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2" w:lineRule="exact"/>
        <w:rPr>
          <w:sz w:val="24"/>
          <w:szCs w:val="24"/>
          <w:color w:val="auto"/>
        </w:rPr>
      </w:pPr>
    </w:p>
    <w:p>
      <w:pPr>
        <w:ind w:left="280" w:right="2560" w:hanging="274"/>
        <w:spacing w:after="0" w:line="314" w:lineRule="auto"/>
        <w:tabs>
          <w:tab w:leader="none" w:pos="2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6"/>
          <w:szCs w:val="16"/>
          <w:color w:val="auto"/>
        </w:rPr>
      </w:pPr>
    </w:p>
    <w:p>
      <w:pPr>
        <w:ind w:left="1120"/>
        <w:spacing w:after="0"/>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OR</w:t>
      </w:r>
    </w:p>
    <w:p>
      <w:pPr>
        <w:spacing w:after="0" w:line="61" w:lineRule="exact"/>
        <w:rPr>
          <w:sz w:val="24"/>
          <w:szCs w:val="24"/>
          <w:color w:val="auto"/>
        </w:rPr>
      </w:pPr>
    </w:p>
    <w:p>
      <w:pPr>
        <w:ind w:left="280" w:right="2220" w:hanging="274"/>
        <w:spacing w:after="0" w:line="352" w:lineRule="auto"/>
        <w:tabs>
          <w:tab w:leader="none" w:pos="2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000-19034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80" w:type="dxa"/>
            <w:vAlign w:val="bottom"/>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20" w:type="dxa"/>
            <w:vAlign w:val="bottom"/>
            <w:gridSpan w:val="2"/>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13-3444607</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60" w:type="dxa"/>
            <w:vAlign w:val="bottom"/>
          </w:tcPr>
          <w:p>
            <w:pPr>
              <w:spacing w:after="0"/>
              <w:rPr>
                <w:sz w:val="18"/>
                <w:szCs w:val="18"/>
                <w:color w:val="auto"/>
              </w:rPr>
            </w:pPr>
          </w:p>
        </w:tc>
        <w:tc>
          <w:tcPr>
            <w:tcW w:w="4380" w:type="dxa"/>
            <w:vAlign w:val="bottom"/>
            <w:gridSpan w:val="4"/>
          </w:tcPr>
          <w:p>
            <w:pPr>
              <w:jc w:val="center"/>
              <w:ind w:left="32"/>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tc>
        <w:tc>
          <w:tcPr>
            <w:tcW w:w="3380" w:type="dxa"/>
            <w:vAlign w:val="bottom"/>
            <w:gridSpan w:val="3"/>
          </w:tcPr>
          <w:p>
            <w:pPr>
              <w:jc w:val="center"/>
              <w:ind w:right="690"/>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2060" w:type="dxa"/>
            <w:vAlign w:val="bottom"/>
          </w:tcPr>
          <w:p>
            <w:pPr>
              <w:spacing w:after="0"/>
              <w:rPr>
                <w:sz w:val="24"/>
                <w:szCs w:val="24"/>
                <w:color w:val="auto"/>
              </w:rPr>
            </w:pPr>
          </w:p>
        </w:tc>
        <w:tc>
          <w:tcPr>
            <w:tcW w:w="7760" w:type="dxa"/>
            <w:vAlign w:val="bottom"/>
            <w:gridSpan w:val="7"/>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 10591-6707</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60" w:type="dxa"/>
            <w:vAlign w:val="bottom"/>
            <w:gridSpan w:val="6"/>
          </w:tcPr>
          <w:p>
            <w:pPr>
              <w:jc w:val="center"/>
              <w:ind w:right="189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(914) 847-7000</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60" w:type="dxa"/>
            <w:vAlign w:val="bottom"/>
            <w:gridSpan w:val="6"/>
          </w:tcPr>
          <w:p>
            <w:pPr>
              <w:jc w:val="center"/>
              <w:ind w:right="1890"/>
              <w:spacing w:after="0" w:line="183" w:lineRule="exact"/>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60" w:type="dxa"/>
            <w:vAlign w:val="bottom"/>
            <w:gridSpan w:val="6"/>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1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8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3"/>
          </w:tcPr>
          <w:p>
            <w:pPr>
              <w:jc w:val="center"/>
              <w:ind w:left="306"/>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4"/>
                <w:szCs w:val="24"/>
                <w:color w:val="auto"/>
              </w:rPr>
            </w:pPr>
          </w:p>
        </w:tc>
        <w:tc>
          <w:tcPr>
            <w:tcW w:w="7760" w:type="dxa"/>
            <w:vAlign w:val="bottom"/>
            <w:gridSpan w:val="7"/>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660" w:type="dxa"/>
            <w:vAlign w:val="bottom"/>
            <w:gridSpan w:val="2"/>
            <w:vMerge w:val="restart"/>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540" w:type="dxa"/>
            <w:vAlign w:val="bottom"/>
            <w:vMerge w:val="restart"/>
          </w:tcPr>
          <w:p>
            <w:pPr>
              <w:ind w:left="200"/>
              <w:spacing w:after="0" w:line="161" w:lineRule="exact"/>
              <w:rPr>
                <w:sz w:val="20"/>
                <w:szCs w:val="20"/>
                <w:color w:val="auto"/>
              </w:rPr>
            </w:pPr>
            <w:r>
              <w:rPr>
                <w:rFonts w:ascii="Times New Roman" w:cs="Times New Roman" w:eastAsia="Times New Roman" w:hAnsi="Times New Roman"/>
                <w:sz w:val="14"/>
                <w:szCs w:val="14"/>
                <w:color w:val="auto"/>
                <w:w w:val="92"/>
              </w:rPr>
              <w:t xml:space="preserve">No </w:t>
            </w:r>
            <w:r>
              <w:rPr>
                <w:rFonts w:ascii="MS PGothic" w:cs="MS PGothic" w:eastAsia="MS PGothic" w:hAnsi="MS PGothic"/>
                <w:sz w:val="14"/>
                <w:szCs w:val="14"/>
                <w:color w:val="auto"/>
                <w:w w:val="92"/>
              </w:rPr>
              <w:t>☐</w:t>
            </w:r>
          </w:p>
        </w:tc>
        <w:tc>
          <w:tcPr>
            <w:tcW w:w="0" w:type="dxa"/>
            <w:vAlign w:val="bottom"/>
          </w:tcPr>
          <w:p>
            <w:pPr>
              <w:spacing w:after="0"/>
              <w:rPr>
                <w:sz w:val="1"/>
                <w:szCs w:val="1"/>
                <w:color w:val="auto"/>
              </w:rPr>
            </w:pPr>
          </w:p>
        </w:tc>
      </w:tr>
      <w:tr>
        <w:trPr>
          <w:trHeight w:val="241"/>
        </w:trPr>
        <w:tc>
          <w:tcPr>
            <w:tcW w:w="69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660" w:type="dxa"/>
            <w:vAlign w:val="bottom"/>
            <w:gridSpan w:val="2"/>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9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60" w:type="dxa"/>
            <w:vAlign w:val="bottom"/>
            <w:gridSpan w:val="2"/>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540" w:type="dxa"/>
            <w:vAlign w:val="bottom"/>
          </w:tcPr>
          <w:p>
            <w:pPr>
              <w:ind w:left="200"/>
              <w:spacing w:after="0" w:line="161" w:lineRule="exact"/>
              <w:rPr>
                <w:sz w:val="20"/>
                <w:szCs w:val="20"/>
                <w:color w:val="auto"/>
              </w:rPr>
            </w:pPr>
            <w:r>
              <w:rPr>
                <w:rFonts w:ascii="Times New Roman" w:cs="Times New Roman" w:eastAsia="Times New Roman" w:hAnsi="Times New Roman"/>
                <w:sz w:val="14"/>
                <w:szCs w:val="14"/>
                <w:color w:val="auto"/>
                <w:w w:val="92"/>
              </w:rPr>
              <w:t xml:space="preserve">No </w:t>
            </w:r>
            <w:r>
              <w:rPr>
                <w:rFonts w:ascii="MS PGothic" w:cs="MS PGothic" w:eastAsia="MS PGothic" w:hAnsi="MS PGothic"/>
                <w:sz w:val="14"/>
                <w:szCs w:val="14"/>
                <w:color w:val="auto"/>
                <w:w w:val="92"/>
              </w:rPr>
              <w:t>☒</w:t>
            </w:r>
          </w:p>
        </w:tc>
        <w:tc>
          <w:tcPr>
            <w:tcW w:w="0" w:type="dxa"/>
            <w:vAlign w:val="bottom"/>
          </w:tcPr>
          <w:p>
            <w:pPr>
              <w:spacing w:after="0"/>
              <w:rPr>
                <w:sz w:val="1"/>
                <w:szCs w:val="1"/>
                <w:color w:val="auto"/>
              </w:rPr>
            </w:pPr>
          </w:p>
        </w:tc>
      </w:tr>
      <w:tr>
        <w:trPr>
          <w:trHeight w:val="222"/>
        </w:trPr>
        <w:tc>
          <w:tcPr>
            <w:tcW w:w="9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9820" w:type="dxa"/>
            <w:vAlign w:val="bottom"/>
            <w:gridSpan w:val="8"/>
          </w:tcPr>
          <w:p>
            <w:pPr>
              <w:spacing w:after="0" w:line="145" w:lineRule="exact"/>
              <w:rPr>
                <w:sz w:val="20"/>
                <w:szCs w:val="20"/>
                <w:color w:val="auto"/>
              </w:rPr>
            </w:pPr>
            <w:r>
              <w:rPr>
                <w:rFonts w:ascii="Times New Roman" w:cs="Times New Roman" w:eastAsia="Times New Roman" w:hAnsi="Times New Roman"/>
                <w:sz w:val="14"/>
                <w:szCs w:val="14"/>
                <w:color w:val="auto"/>
              </w:rPr>
              <w:t>preceding 12 months (or for such shorter period that the registrant was required to file such reports), and (2) has been subject to such filing requirements for the past 90</w:t>
            </w:r>
          </w:p>
        </w:tc>
        <w:tc>
          <w:tcPr>
            <w:tcW w:w="660" w:type="dxa"/>
            <w:vAlign w:val="bottom"/>
            <w:gridSpan w:val="2"/>
            <w:vMerge w:val="restart"/>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540" w:type="dxa"/>
            <w:vAlign w:val="bottom"/>
            <w:vMerge w:val="restart"/>
          </w:tcPr>
          <w:p>
            <w:pPr>
              <w:ind w:left="200"/>
              <w:spacing w:after="0" w:line="161" w:lineRule="exact"/>
              <w:rPr>
                <w:sz w:val="20"/>
                <w:szCs w:val="20"/>
                <w:color w:val="auto"/>
              </w:rPr>
            </w:pPr>
            <w:r>
              <w:rPr>
                <w:rFonts w:ascii="Times New Roman" w:cs="Times New Roman" w:eastAsia="Times New Roman" w:hAnsi="Times New Roman"/>
                <w:sz w:val="14"/>
                <w:szCs w:val="14"/>
                <w:color w:val="auto"/>
                <w:w w:val="92"/>
              </w:rPr>
              <w:t xml:space="preserve">No </w:t>
            </w:r>
            <w:r>
              <w:rPr>
                <w:rFonts w:ascii="MS PGothic" w:cs="MS PGothic" w:eastAsia="MS PGothic" w:hAnsi="MS PGothic"/>
                <w:sz w:val="14"/>
                <w:szCs w:val="14"/>
                <w:color w:val="auto"/>
                <w:w w:val="92"/>
              </w:rPr>
              <w:t>☐</w:t>
            </w:r>
          </w:p>
        </w:tc>
        <w:tc>
          <w:tcPr>
            <w:tcW w:w="0" w:type="dxa"/>
            <w:vAlign w:val="bottom"/>
          </w:tcPr>
          <w:p>
            <w:pPr>
              <w:spacing w:after="0"/>
              <w:rPr>
                <w:sz w:val="1"/>
                <w:szCs w:val="1"/>
                <w:color w:val="auto"/>
              </w:rPr>
            </w:pPr>
          </w:p>
        </w:tc>
      </w:tr>
      <w:tr>
        <w:trPr>
          <w:trHeight w:val="215"/>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days.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w:t>
            </w:r>
          </w:p>
        </w:tc>
        <w:tc>
          <w:tcPr>
            <w:tcW w:w="660" w:type="dxa"/>
            <w:vAlign w:val="bottom"/>
            <w:gridSpan w:val="2"/>
            <w:vMerge w:val="restart"/>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540" w:type="dxa"/>
            <w:vAlign w:val="bottom"/>
            <w:vMerge w:val="restart"/>
          </w:tcPr>
          <w:p>
            <w:pPr>
              <w:ind w:left="200"/>
              <w:spacing w:after="0" w:line="161" w:lineRule="exact"/>
              <w:rPr>
                <w:sz w:val="20"/>
                <w:szCs w:val="20"/>
                <w:color w:val="auto"/>
              </w:rPr>
            </w:pPr>
            <w:r>
              <w:rPr>
                <w:rFonts w:ascii="Times New Roman" w:cs="Times New Roman" w:eastAsia="Times New Roman" w:hAnsi="Times New Roman"/>
                <w:sz w:val="14"/>
                <w:szCs w:val="14"/>
                <w:color w:val="auto"/>
                <w:w w:val="92"/>
              </w:rPr>
              <w:t xml:space="preserve">No </w:t>
            </w:r>
            <w:r>
              <w:rPr>
                <w:rFonts w:ascii="MS PGothic" w:cs="MS PGothic" w:eastAsia="MS PGothic" w:hAnsi="MS PGothic"/>
                <w:sz w:val="14"/>
                <w:szCs w:val="14"/>
                <w:color w:val="auto"/>
                <w:w w:val="92"/>
              </w:rPr>
              <w:t>☐</w:t>
            </w:r>
          </w:p>
        </w:tc>
        <w:tc>
          <w:tcPr>
            <w:tcW w:w="0" w:type="dxa"/>
            <w:vAlign w:val="bottom"/>
          </w:tcPr>
          <w:p>
            <w:pPr>
              <w:spacing w:after="0"/>
              <w:rPr>
                <w:sz w:val="1"/>
                <w:szCs w:val="1"/>
                <w:color w:val="auto"/>
              </w:rPr>
            </w:pPr>
          </w:p>
        </w:tc>
      </w:tr>
      <w:tr>
        <w:trPr>
          <w:trHeight w:val="210"/>
        </w:trPr>
        <w:tc>
          <w:tcPr>
            <w:tcW w:w="9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(§232.405 of this chapter) during the preceding 12 months (or for such shorter period that the registrant was required to submit such files).</w:t>
            </w:r>
          </w:p>
        </w:tc>
        <w:tc>
          <w:tcPr>
            <w:tcW w:w="6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p>
      <w:pPr>
        <w:ind w:left="280"/>
        <w:spacing w:after="0" w:line="161" w:lineRule="exact"/>
        <w:tabs>
          <w:tab w:leader="none" w:pos="2260" w:val="left"/>
          <w:tab w:leader="none" w:pos="4020" w:val="left"/>
          <w:tab w:leader="none" w:pos="6040" w:val="left"/>
          <w:tab w:leader="none" w:pos="84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0800" w:type="dxa"/>
            <w:vAlign w:val="bottom"/>
          </w:tcPr>
          <w:p>
            <w:pPr>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w:t>
            </w:r>
          </w:p>
        </w:tc>
        <w:tc>
          <w:tcPr>
            <w:tcW w:w="26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10"/>
        </w:trPr>
        <w:tc>
          <w:tcPr>
            <w:tcW w:w="10800" w:type="dxa"/>
            <w:vAlign w:val="bottom"/>
          </w:tcPr>
          <w:p>
            <w:pPr>
              <w:spacing w:after="0"/>
              <w:rPr>
                <w:sz w:val="20"/>
                <w:szCs w:val="20"/>
                <w:color w:val="auto"/>
              </w:rPr>
            </w:pPr>
            <w:r>
              <w:rPr>
                <w:rFonts w:ascii="Times New Roman" w:cs="Times New Roman" w:eastAsia="Times New Roman" w:hAnsi="Times New Roman"/>
                <w:sz w:val="14"/>
                <w:szCs w:val="14"/>
                <w:color w:val="auto"/>
              </w:rPr>
              <w:t>standards provided pursuant to Section 13(a) of the Exchange Act.</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w:t>
      </w:r>
    </w:p>
    <w:tbl>
      <w:tblPr>
        <w:tblLayout w:type="fixed"/>
        <w:tblInd w:w="0" w:type="dxa"/>
        <w:tblCellMar>
          <w:top w:w="0" w:type="dxa"/>
          <w:left w:w="0" w:type="dxa"/>
          <w:bottom w:w="0" w:type="dxa"/>
          <w:right w:w="0" w:type="dxa"/>
        </w:tblCellMar>
      </w:tblPr>
      <w:tr>
        <w:trPr>
          <w:trHeight w:val="242"/>
        </w:trPr>
        <w:tc>
          <w:tcPr>
            <w:tcW w:w="9100" w:type="dxa"/>
            <w:vAlign w:val="bottom"/>
          </w:tcPr>
          <w:p>
            <w:pPr>
              <w:spacing w:after="0"/>
              <w:rPr>
                <w:sz w:val="20"/>
                <w:szCs w:val="20"/>
                <w:color w:val="auto"/>
              </w:rPr>
            </w:pPr>
            <w:r>
              <w:rPr>
                <w:rFonts w:ascii="Times New Roman" w:cs="Times New Roman" w:eastAsia="Times New Roman" w:hAnsi="Times New Roman"/>
                <w:sz w:val="14"/>
                <w:szCs w:val="14"/>
                <w:color w:val="auto"/>
              </w:rPr>
              <w:t>Section 404(b) of the Sarbanes-Oxley Act (15 U.S.C. 7262(b)) by the registered public accounting firm that prepared or issued its audit report.</w:t>
            </w:r>
          </w:p>
        </w:tc>
        <w:tc>
          <w:tcPr>
            <w:tcW w:w="1580" w:type="dxa"/>
            <w:vAlign w:val="bottom"/>
          </w:tcPr>
          <w:p>
            <w:pPr>
              <w:spacing w:after="0"/>
              <w:rPr>
                <w:sz w:val="21"/>
                <w:szCs w:val="21"/>
                <w:color w:val="auto"/>
              </w:rPr>
            </w:pPr>
          </w:p>
        </w:tc>
        <w:tc>
          <w:tcPr>
            <w:tcW w:w="380" w:type="dxa"/>
            <w:vAlign w:val="bottom"/>
          </w:tcPr>
          <w:p>
            <w:pPr>
              <w:jc w:val="right"/>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0"/>
        </w:trPr>
        <w:tc>
          <w:tcPr>
            <w:tcW w:w="10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w:t>
            </w:r>
          </w:p>
        </w:tc>
        <w:tc>
          <w:tcPr>
            <w:tcW w:w="380" w:type="dxa"/>
            <w:vAlign w:val="bottom"/>
            <w:vMerge w:val="restart"/>
          </w:tcPr>
          <w:p>
            <w:pPr>
              <w:jc w:val="right"/>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0"/>
        </w:trPr>
        <w:tc>
          <w:tcPr>
            <w:tcW w:w="9100" w:type="dxa"/>
            <w:vAlign w:val="bottom"/>
          </w:tcPr>
          <w:p>
            <w:pPr>
              <w:spacing w:after="0"/>
              <w:rPr>
                <w:sz w:val="20"/>
                <w:szCs w:val="20"/>
                <w:color w:val="auto"/>
              </w:rPr>
            </w:pPr>
            <w:r>
              <w:rPr>
                <w:rFonts w:ascii="Times New Roman" w:cs="Times New Roman" w:eastAsia="Times New Roman" w:hAnsi="Times New Roman"/>
                <w:sz w:val="14"/>
                <w:szCs w:val="14"/>
                <w:color w:val="auto"/>
              </w:rPr>
              <w:t>error to previously issued financial statements.</w:t>
            </w:r>
          </w:p>
        </w:tc>
        <w:tc>
          <w:tcPr>
            <w:tcW w:w="15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w:t>
            </w:r>
          </w:p>
        </w:tc>
        <w:tc>
          <w:tcPr>
            <w:tcW w:w="380" w:type="dxa"/>
            <w:vAlign w:val="bottom"/>
            <w:vMerge w:val="restart"/>
          </w:tcPr>
          <w:p>
            <w:pPr>
              <w:jc w:val="right"/>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0"/>
        </w:trPr>
        <w:tc>
          <w:tcPr>
            <w:tcW w:w="9100" w:type="dxa"/>
            <w:vAlign w:val="bottom"/>
          </w:tcPr>
          <w:p>
            <w:pPr>
              <w:spacing w:after="0"/>
              <w:rPr>
                <w:sz w:val="20"/>
                <w:szCs w:val="20"/>
                <w:color w:val="auto"/>
              </w:rPr>
            </w:pPr>
            <w:r>
              <w:rPr>
                <w:rFonts w:ascii="Times New Roman" w:cs="Times New Roman" w:eastAsia="Times New Roman" w:hAnsi="Times New Roman"/>
                <w:sz w:val="14"/>
                <w:szCs w:val="14"/>
                <w:color w:val="auto"/>
              </w:rPr>
              <w:t>executive officers during the relevant recovery period pursuant to §240.10D-1(b).</w:t>
            </w:r>
          </w:p>
        </w:tc>
        <w:tc>
          <w:tcPr>
            <w:tcW w:w="15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100" w:type="dxa"/>
            <w:vAlign w:val="bottom"/>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p>
        </w:tc>
        <w:tc>
          <w:tcPr>
            <w:tcW w:w="1580" w:type="dxa"/>
            <w:vAlign w:val="bottom"/>
          </w:tcPr>
          <w:p>
            <w:pPr>
              <w:ind w:left="90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80" w:type="dxa"/>
            <w:vAlign w:val="bottom"/>
          </w:tcPr>
          <w:p>
            <w:pPr>
              <w:jc w:val="right"/>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87"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of the registrant was $54.8 billion, computed by reference to the closing sales price of the stock on NASDAQ on June 30, 2025, the last trading day of the registrant's most recently completed second fiscal quarter. For purposes of this calculation only, the registrant has assumed that all of its directors and executive officers, and no other persons, are its affiliates. This determination of affiliate status is not necessarily a determination for other purposes.</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6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number of shares outstanding of each of the registrant's classes of common stock as of January 22, 2026:</w:t>
            </w:r>
          </w:p>
        </w:tc>
        <w:tc>
          <w:tcPr>
            <w:tcW w:w="1680" w:type="dxa"/>
            <w:vAlign w:val="bottom"/>
          </w:tcPr>
          <w:p>
            <w:pPr>
              <w:spacing w:after="0"/>
              <w:rPr>
                <w:sz w:val="16"/>
                <w:szCs w:val="16"/>
                <w:color w:val="auto"/>
              </w:rPr>
            </w:pPr>
          </w:p>
        </w:tc>
      </w:tr>
      <w:tr>
        <w:trPr>
          <w:trHeight w:val="310"/>
        </w:trPr>
        <w:tc>
          <w:tcPr>
            <w:tcW w:w="3140" w:type="dxa"/>
            <w:vAlign w:val="bottom"/>
          </w:tcPr>
          <w:p>
            <w:pPr>
              <w:spacing w:after="0"/>
              <w:rPr>
                <w:sz w:val="24"/>
                <w:szCs w:val="24"/>
                <w:color w:val="auto"/>
              </w:rPr>
            </w:pPr>
          </w:p>
        </w:tc>
        <w:tc>
          <w:tcPr>
            <w:tcW w:w="32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color w:val="auto"/>
              </w:rPr>
              <w:t>Class of Common Stock</w:t>
            </w:r>
          </w:p>
        </w:tc>
        <w:tc>
          <w:tcPr>
            <w:tcW w:w="1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Number of Shares</w:t>
            </w:r>
          </w:p>
        </w:tc>
      </w:tr>
      <w:tr>
        <w:trPr>
          <w:trHeight w:val="24"/>
        </w:trPr>
        <w:tc>
          <w:tcPr>
            <w:tcW w:w="31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r>
      <w:tr>
        <w:trPr>
          <w:trHeight w:val="182"/>
        </w:trPr>
        <w:tc>
          <w:tcPr>
            <w:tcW w:w="3140" w:type="dxa"/>
            <w:vAlign w:val="bottom"/>
          </w:tcPr>
          <w:p>
            <w:pPr>
              <w:spacing w:after="0"/>
              <w:rPr>
                <w:sz w:val="15"/>
                <w:szCs w:val="15"/>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Stock, $.001 par value</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1,817,146</w:t>
            </w:r>
          </w:p>
        </w:tc>
      </w:tr>
      <w:tr>
        <w:trPr>
          <w:trHeight w:val="193"/>
        </w:trPr>
        <w:tc>
          <w:tcPr>
            <w:tcW w:w="3140" w:type="dxa"/>
            <w:vAlign w:val="bottom"/>
          </w:tcPr>
          <w:p>
            <w:pPr>
              <w:spacing w:after="0"/>
              <w:rPr>
                <w:sz w:val="16"/>
                <w:szCs w:val="16"/>
                <w:color w:val="auto"/>
              </w:rPr>
            </w:pPr>
          </w:p>
        </w:tc>
        <w:tc>
          <w:tcPr>
            <w:tcW w:w="32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6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103,902,660</w:t>
            </w:r>
          </w:p>
        </w:tc>
      </w:tr>
    </w:tbl>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98"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Specified portions of the Registrant's definitive proxy statement to be filed in connection with solicitation of proxies for its 2026 Annual Meeting of Shareholders are incorporated by reference into Part III of this Form 10-K. Exhibit index is located on pages 91 to 94 of this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327660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92"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6"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21"/>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6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680" w:type="dxa"/>
            <w:vAlign w:val="bottom"/>
            <w:tcBorders>
              <w:bottom w:val="single" w:sz="8" w:color="CCEEFF"/>
            </w:tcBorders>
            <w:gridSpan w:val="5"/>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1240" w:type="dxa"/>
            <w:vAlign w:val="bottom"/>
            <w:gridSpan w:val="3"/>
          </w:tcPr>
          <w:p>
            <w:pPr>
              <w:jc w:val="center"/>
              <w:ind w:left="95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36</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1B.</w:t>
            </w:r>
          </w:p>
        </w:tc>
        <w:tc>
          <w:tcPr>
            <w:tcW w:w="640" w:type="dxa"/>
            <w:vAlign w:val="bottom"/>
            <w:gridSpan w:val="4"/>
          </w:tcPr>
          <w:p>
            <w:pPr>
              <w:spacing w:after="0"/>
              <w:rPr>
                <w:sz w:val="16"/>
                <w:szCs w:val="16"/>
                <w:color w:val="auto"/>
              </w:rPr>
            </w:pP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70</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6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1C.</w:t>
            </w:r>
          </w:p>
        </w:tc>
        <w:tc>
          <w:tcPr>
            <w:tcW w:w="640" w:type="dxa"/>
            <w:vAlign w:val="bottom"/>
            <w:gridSpan w:val="4"/>
            <w:shd w:val="clear" w:color="auto" w:fill="CCEEFF"/>
          </w:tcPr>
          <w:p>
            <w:pPr>
              <w:spacing w:after="0"/>
              <w:rPr>
                <w:sz w:val="16"/>
                <w:szCs w:val="16"/>
                <w:color w:val="auto"/>
              </w:rPr>
            </w:pP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640" w:type="dxa"/>
            <w:vAlign w:val="bottom"/>
            <w:gridSpan w:val="4"/>
          </w:tcPr>
          <w:p>
            <w:pPr>
              <w:spacing w:after="0"/>
              <w:rPr>
                <w:sz w:val="16"/>
                <w:szCs w:val="16"/>
                <w:color w:val="auto"/>
              </w:rPr>
            </w:pPr>
          </w:p>
        </w:tc>
        <w:tc>
          <w:tcPr>
            <w:tcW w:w="10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5440" w:type="dxa"/>
            <w:vAlign w:val="bottom"/>
            <w:gridSpan w:val="20"/>
          </w:tcPr>
          <w:p>
            <w:pPr>
              <w:spacing w:after="0"/>
              <w:rPr>
                <w:sz w:val="16"/>
                <w:szCs w:val="16"/>
                <w:color w:val="auto"/>
              </w:rPr>
            </w:pP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760" w:type="dxa"/>
            <w:vAlign w:val="bottom"/>
            <w:gridSpan w:val="6"/>
            <w:shd w:val="clear" w:color="auto" w:fill="CCEEFF"/>
          </w:tcPr>
          <w:p>
            <w:pPr>
              <w:spacing w:after="0"/>
              <w:rPr>
                <w:sz w:val="16"/>
                <w:szCs w:val="16"/>
                <w:color w:val="auto"/>
              </w:rPr>
            </w:pPr>
          </w:p>
        </w:tc>
        <w:tc>
          <w:tcPr>
            <w:tcW w:w="134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5100" w:type="dxa"/>
            <w:vAlign w:val="bottom"/>
            <w:gridSpan w:val="18"/>
            <w:shd w:val="clear" w:color="auto" w:fill="CCEEFF"/>
          </w:tcPr>
          <w:p>
            <w:pPr>
              <w:spacing w:after="0"/>
              <w:rPr>
                <w:sz w:val="16"/>
                <w:szCs w:val="16"/>
                <w:color w:val="auto"/>
              </w:rPr>
            </w:pP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760" w:type="dxa"/>
            <w:vAlign w:val="bottom"/>
            <w:gridSpan w:val="6"/>
          </w:tcPr>
          <w:p>
            <w:pPr>
              <w:spacing w:after="0"/>
              <w:rPr>
                <w:sz w:val="16"/>
                <w:szCs w:val="16"/>
                <w:color w:val="auto"/>
              </w:rPr>
            </w:pP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24"/>
        </w:trPr>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90"/>
        </w:trPr>
        <w:tc>
          <w:tcPr>
            <w:tcW w:w="52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2200" w:type="dxa"/>
            <w:vAlign w:val="bottom"/>
            <w:tcBorders>
              <w:top w:val="single" w:sz="8" w:color="0000FF"/>
              <w:bottom w:val="single" w:sz="8" w:color="0000FF"/>
            </w:tcBorders>
            <w:gridSpan w:val="1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Purchases of Equity Securities</w:t>
            </w:r>
          </w:p>
        </w:tc>
        <w:tc>
          <w:tcPr>
            <w:tcW w:w="366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7.</w:t>
            </w: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56"/>
        </w:trPr>
        <w:tc>
          <w:tcPr>
            <w:tcW w:w="5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600" w:type="dxa"/>
            <w:vAlign w:val="bottom"/>
            <w:tcBorders>
              <w:top w:val="single" w:sz="8" w:color="0000FF"/>
            </w:tcBorders>
            <w:gridSpan w:val="2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Operations</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gridSpan w:val="2"/>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140" w:type="dxa"/>
            <w:vAlign w:val="bottom"/>
            <w:tcBorders>
              <w:top w:val="single" w:sz="8" w:color="0000FF"/>
              <w:right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r>
      <w:tr>
        <w:trPr>
          <w:trHeight w:val="34"/>
        </w:trPr>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7A.</w:t>
            </w: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88</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8.</w:t>
            </w:r>
          </w:p>
        </w:tc>
        <w:tc>
          <w:tcPr>
            <w:tcW w:w="760" w:type="dxa"/>
            <w:vAlign w:val="bottom"/>
            <w:gridSpan w:val="6"/>
            <w:shd w:val="clear" w:color="auto" w:fill="CCEEFF"/>
          </w:tcPr>
          <w:p>
            <w:pPr>
              <w:spacing w:after="0"/>
              <w:rPr>
                <w:sz w:val="16"/>
                <w:szCs w:val="16"/>
                <w:color w:val="auto"/>
              </w:rPr>
            </w:pP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89</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9.</w:t>
            </w:r>
          </w:p>
        </w:tc>
        <w:tc>
          <w:tcPr>
            <w:tcW w:w="760" w:type="dxa"/>
            <w:vAlign w:val="bottom"/>
            <w:gridSpan w:val="6"/>
          </w:tcPr>
          <w:p>
            <w:pPr>
              <w:spacing w:after="0"/>
              <w:rPr>
                <w:sz w:val="16"/>
                <w:szCs w:val="16"/>
                <w:color w:val="auto"/>
              </w:rPr>
            </w:pP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89</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56"/>
        </w:trPr>
        <w:tc>
          <w:tcPr>
            <w:tcW w:w="5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60" w:type="dxa"/>
            <w:vAlign w:val="bottom"/>
            <w:tcBorders>
              <w:top w:val="single" w:sz="8" w:color="0000FF"/>
            </w:tcBorders>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Disclosure</w:t>
            </w:r>
          </w:p>
        </w:tc>
        <w:tc>
          <w:tcPr>
            <w:tcW w:w="12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34"/>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9A.</w:t>
            </w: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89</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8"/>
              </w:rPr>
              <w:t>Item 9B.</w:t>
            </w:r>
          </w:p>
        </w:tc>
        <w:tc>
          <w:tcPr>
            <w:tcW w:w="640" w:type="dxa"/>
            <w:vAlign w:val="bottom"/>
            <w:gridSpan w:val="4"/>
          </w:tcPr>
          <w:p>
            <w:pPr>
              <w:spacing w:after="0"/>
              <w:rPr>
                <w:sz w:val="16"/>
                <w:szCs w:val="16"/>
                <w:color w:val="auto"/>
              </w:rPr>
            </w:pPr>
          </w:p>
        </w:tc>
        <w:tc>
          <w:tcPr>
            <w:tcW w:w="17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4680" w:type="dxa"/>
            <w:vAlign w:val="bottom"/>
            <w:gridSpan w:val="15"/>
          </w:tcPr>
          <w:p>
            <w:pPr>
              <w:spacing w:after="0"/>
              <w:rPr>
                <w:sz w:val="16"/>
                <w:szCs w:val="16"/>
                <w:color w:val="auto"/>
              </w:rPr>
            </w:pP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90</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9C.</w:t>
            </w: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324"/>
        </w:trPr>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r>
      <w:tr>
        <w:trPr>
          <w:trHeight w:val="209"/>
        </w:trPr>
        <w:tc>
          <w:tcPr>
            <w:tcW w:w="74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6"/>
              </w:rPr>
              <w:t>PART III</w:t>
            </w:r>
          </w:p>
        </w:tc>
        <w:tc>
          <w:tcPr>
            <w:tcW w:w="5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10.</w:t>
            </w: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90</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11.</w:t>
            </w: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90</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12.</w:t>
            </w: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90</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56"/>
        </w:trPr>
        <w:tc>
          <w:tcPr>
            <w:tcW w:w="5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780" w:type="dxa"/>
            <w:vAlign w:val="bottom"/>
            <w:tcBorders>
              <w:top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Stockholder Matters</w:t>
            </w:r>
          </w:p>
        </w:tc>
        <w:tc>
          <w:tcPr>
            <w:tcW w:w="66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34"/>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13.</w:t>
            </w: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90</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14.</w:t>
            </w: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90</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24"/>
        </w:trPr>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12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15.</w:t>
            </w:r>
          </w:p>
        </w:tc>
        <w:tc>
          <w:tcPr>
            <w:tcW w:w="64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240" w:type="dxa"/>
            <w:vAlign w:val="bottom"/>
            <w:tcBorders>
              <w:right w:val="single" w:sz="8" w:color="CCEEFF"/>
            </w:tcBorders>
            <w:gridSpan w:val="3"/>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91</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16.</w:t>
            </w:r>
          </w:p>
        </w:tc>
        <w:tc>
          <w:tcPr>
            <w:tcW w:w="64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94</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24"/>
        </w:trPr>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89"/>
        </w:trPr>
        <w:tc>
          <w:tcPr>
            <w:tcW w:w="16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7"/>
              </w:rPr>
              <w:t>SIGNATURE PAGE</w:t>
            </w:r>
          </w:p>
        </w:tc>
        <w:tc>
          <w:tcPr>
            <w:tcW w:w="6120" w:type="dxa"/>
            <w:vAlign w:val="bottom"/>
            <w:gridSpan w:val="26"/>
          </w:tcPr>
          <w:p>
            <w:pPr>
              <w:spacing w:after="0"/>
              <w:rPr>
                <w:sz w:val="16"/>
                <w:szCs w:val="16"/>
                <w:color w:val="auto"/>
              </w:rPr>
            </w:pPr>
          </w:p>
        </w:tc>
        <w:tc>
          <w:tcPr>
            <w:tcW w:w="1240" w:type="dxa"/>
            <w:vAlign w:val="bottom"/>
            <w:gridSpan w:val="3"/>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95</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70" w:lineRule="exact"/>
        <w:rPr>
          <w:sz w:val="20"/>
          <w:szCs w:val="20"/>
          <w:color w:val="auto"/>
        </w:rPr>
      </w:pPr>
    </w:p>
    <w:p>
      <w:pPr>
        <w:jc w:val="both"/>
        <w:spacing w:after="0" w:line="186" w:lineRule="auto"/>
        <w:rPr>
          <w:sz w:val="20"/>
          <w:szCs w:val="20"/>
          <w:color w:val="auto"/>
        </w:rPr>
      </w:pPr>
      <w:r>
        <w:rPr>
          <w:rFonts w:ascii="Times New Roman" w:cs="Times New Roman" w:eastAsia="Times New Roman" w:hAnsi="Times New Roman"/>
          <w:sz w:val="17"/>
          <w:szCs w:val="17"/>
          <w:color w:val="auto"/>
        </w:rPr>
        <w:t>"Altibodies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"ARCALYST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"Evkeeza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"EYLEA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"EYLEA HD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"Inmazeb</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"Libtayo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"Lynozyfic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"Ordspono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"Praluent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(in the United States), "REGEN-COV</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"Regeneron</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"Regeneron Genetics Center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"RGC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"STEM-Fueled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Veloci-Bi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VelociGene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VelociHum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VelociMab</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VelocImmune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VelociMouse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VelociSuite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"Veopoz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and "ZALTRAP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are trademarks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Regeneron Pharmaceuticals, Inc. Trademarks and trade names of other companies appearing in this report are, to the knowledge of Regeneron Pharmaceuticals, Inc., the property of their respective owners. This report refers to products of Regeneron Pharmaceuticals, Inc., 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725170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w:t>
      </w:r>
    </w:p>
    <w:p>
      <w:pPr>
        <w:spacing w:after="0" w:line="106" w:lineRule="exact"/>
        <w:rPr>
          <w:sz w:val="20"/>
          <w:szCs w:val="20"/>
          <w:color w:val="auto"/>
        </w:rPr>
      </w:pPr>
    </w:p>
    <w:p>
      <w:pPr>
        <w:jc w:val="both"/>
        <w:ind w:left="660" w:hanging="328"/>
        <w:spacing w:after="0" w:line="247"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competing products and product candidates (including biosimilar products) that may be superior to, or more cost effective than, products marketed or otherwise commercialized by Regeneron and/or its collaborators or licensees (collectively, "Regeneron's Products") and product candidates being developed by Regeneron and/or its collaborators or licensees (collectively, "Regeneron's Product Candidates");</w:t>
      </w:r>
    </w:p>
    <w:p>
      <w:pPr>
        <w:spacing w:after="0" w:line="2" w:lineRule="exact"/>
        <w:rPr>
          <w:rFonts w:ascii="Times New Roman" w:cs="Times New Roman" w:eastAsia="Times New Roman" w:hAnsi="Times New Roman"/>
          <w:sz w:val="18"/>
          <w:szCs w:val="18"/>
          <w:i w:val="1"/>
          <w:iCs w:val="1"/>
          <w:color w:val="auto"/>
        </w:rPr>
      </w:pPr>
    </w:p>
    <w:p>
      <w:pPr>
        <w:jc w:val="both"/>
        <w:ind w:left="660" w:hanging="328"/>
        <w:spacing w:after="0" w:line="239"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or other factors beyond Regeneron's control on the commercial success of Regeneron's Products and Regeneron's Product Candidates;</w:t>
      </w:r>
    </w:p>
    <w:p>
      <w:pPr>
        <w:jc w:val="both"/>
        <w:ind w:left="660" w:hanging="328"/>
        <w:spacing w:after="0"/>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nature, timing, and possible success and therapeutic applications of Regeneron's Products and Regeneron's Product Candidates and research and clinical programs now underway or planned, including without limitation those discussed or referenced in this report, Regeneron's and its collaborators' earlier-stage programs, and the use of human genetics in Regeneron's research programs;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and timing of achieving any of our anticipated development milestones referenced in this report;</w:t>
      </w:r>
    </w:p>
    <w:p>
      <w:pPr>
        <w:ind w:left="660" w:hanging="328"/>
        <w:spacing w:after="0" w:line="242"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safety issues resulting from the administration of Regeneron's Products and Regeneron's Product Candidates in patients, including serious complications or side effects in connection with the use of Regeneron's Products and Regeneron's Product Candidates in clinical trials;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timing, and scope of possible regulatory approval and commercial launch of Regeneron's Product Candidates and new indications for Regeneron's Products, including without limitation those discussed or referenced in this report;</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extent to which the results from the research and development programs conducted by us and/or our collaborators may be replicated in other studies and/or lead to advancement of product candidates to clinical trials, therapeutic applications, or regulatory approval;</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2"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ongoing regulatory obligations and oversight impacting Regeneron's Products, research and clinical programs, and business, including those relating to patient privacy;</w:t>
      </w:r>
    </w:p>
    <w:p>
      <w:pPr>
        <w:spacing w:after="0" w:line="1" w:lineRule="exact"/>
        <w:rPr>
          <w:rFonts w:ascii="Times New Roman" w:cs="Times New Roman" w:eastAsia="Times New Roman" w:hAnsi="Times New Roman"/>
          <w:sz w:val="18"/>
          <w:szCs w:val="18"/>
          <w:i w:val="1"/>
          <w:iCs w:val="1"/>
          <w:color w:val="auto"/>
        </w:rPr>
      </w:pPr>
    </w:p>
    <w:p>
      <w:pPr>
        <w:ind w:left="660" w:right="20" w:hanging="328"/>
        <w:spacing w:after="0" w:line="241"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determinations by regulatory and administrative governmental authorities which may delay or restrict our ability to continue to develop or commercialize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manufacture and manage supply chains for multiple products and product candidates and risks associated with tariffs and other trade restrictions;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of our collaborators, suppliers, or other third parties (as applicable) to perform manufacturing, filling, finishing, packaging, labeling, distribution, and other steps related to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jc w:val="both"/>
        <w:ind w:left="660" w:right="20" w:hanging="328"/>
        <w:spacing w:after="0"/>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availability and extent of reimbursement or copay assistance for Regeneron's Products from third-party payors and other third parties, including private payor healthcare and insurance programs, health maintenance organizations, pharmacy benefit management companies, and government programs such as Medicare and Medicaid;</w:t>
      </w:r>
    </w:p>
    <w:p>
      <w:pPr>
        <w:ind w:left="660" w:hanging="328"/>
        <w:spacing w:after="0" w:line="235"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coverage and reimbursement determinations by such payors and other third parties and new policies and procedures adopted by such payors and other third parties;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to drug pricing regulations and requirements and our drug pricing strategy;</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changes in laws, regulations, and policies affecting the healthcare industry;</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costs of developing, producing, and selling products or unanticipated expenses;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any of our financial projections or guidance and changes to the assumptions underlying those projections or guidance;</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for any license or collaboration agreement, including our agreements with Sanofi and Bayer (or their respective affiliated companies, as applicable), to be cancelled or terminated;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public health outbreaks, epidemics, or pandemics on our business; and</w:t>
      </w:r>
    </w:p>
    <w:p>
      <w:pPr>
        <w:spacing w:after="0" w:line="7" w:lineRule="exact"/>
        <w:rPr>
          <w:rFonts w:ascii="Times New Roman" w:cs="Times New Roman" w:eastAsia="Times New Roman" w:hAnsi="Times New Roman"/>
          <w:sz w:val="18"/>
          <w:szCs w:val="18"/>
          <w:i w:val="1"/>
          <w:iCs w:val="1"/>
          <w:color w:val="auto"/>
        </w:rPr>
      </w:pPr>
    </w:p>
    <w:p>
      <w:pPr>
        <w:jc w:val="both"/>
        <w:ind w:left="660" w:hanging="328"/>
        <w:spacing w:after="0"/>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litigation and other proceedings and government investigations relating to the Company and/or its operations (including without limitation those described in Note 16 to our Consolidated Financial Statements included in this report), risks associated with intellectual property of other parties and pending or future litigation relating thereto (including without limitation the patent litigation and other related proceedings described further in Note 16 to our Consolidated Financial Statements included in this report), the ultimate outcome of any such proceedings and investigations, and the impact any of the foregoing may have on our business, prospects, operating results, and financial condition.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These statements are made based on management's current beliefs and judgment, and the reader is cautioned not to rely on any such statements. In evaluating such statements, shareholders and potential investors should specifically consider the various factors identified under Part I,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products and product candidates in development are designed to help patients with eye diseases, allergic and inflammatory diseases, cancer, cardiovascular and metabolic diseases, neurological diseases, hematologic conditions, infectious diseases, and rare diseases.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scientific research and drug development using our proprietary technologies, and to build on that foundation with our clinical development, manufacturing, and commercial capabilities. Our objective is to continue to advance as an integrated, multi-product biotechnology company that provides patients and medical professionals with important medicines for preventing and treating human diseases.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information is summarized as follows:</w:t>
      </w:r>
    </w:p>
    <w:p>
      <w:pPr>
        <w:spacing w:after="0" w:line="275" w:lineRule="exact"/>
        <w:rPr>
          <w:sz w:val="20"/>
          <w:szCs w:val="20"/>
          <w:color w:val="auto"/>
        </w:rPr>
      </w:pPr>
    </w:p>
    <w:tbl>
      <w:tblPr>
        <w:tblLayout w:type="fixed"/>
        <w:tblInd w:w="216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13,117.2</w:t>
            </w:r>
          </w:p>
        </w:tc>
      </w:tr>
      <w:tr>
        <w:trPr>
          <w:trHeight w:val="22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3,953.6</w:t>
            </w:r>
          </w:p>
        </w:tc>
      </w:tr>
      <w:tr>
        <w:trPr>
          <w:trHeight w:val="23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this report, references to our products encompass products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that have received marketing approval are summarized in the table below. Certain products have also received marketing approval in countries outside the United States, European Union ("EU"), or Japan.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160" w:type="dxa"/>
            <w:vAlign w:val="bottom"/>
          </w:tcPr>
          <w:p>
            <w:pPr>
              <w:spacing w:after="0"/>
              <w:rPr>
                <w:sz w:val="20"/>
                <w:szCs w:val="20"/>
                <w:color w:val="auto"/>
              </w:rPr>
            </w:pPr>
          </w:p>
        </w:tc>
        <w:tc>
          <w:tcPr>
            <w:tcW w:w="378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00" w:type="dxa"/>
            <w:vAlign w:val="bottom"/>
            <w:tcBorders>
              <w:bottom w:val="single" w:sz="8" w:color="CCEEFF"/>
            </w:tcBorders>
          </w:tcPr>
          <w:p>
            <w:pPr>
              <w:spacing w:after="0"/>
              <w:rPr>
                <w:sz w:val="20"/>
                <w:szCs w:val="20"/>
                <w:color w:val="auto"/>
              </w:rPr>
            </w:pPr>
          </w:p>
        </w:tc>
        <w:tc>
          <w:tcPr>
            <w:tcW w:w="38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Japan</w:t>
            </w:r>
          </w:p>
        </w:tc>
        <w:tc>
          <w:tcPr>
            <w:tcW w:w="140" w:type="dxa"/>
            <w:vAlign w:val="bottom"/>
          </w:tcPr>
          <w:p>
            <w:pPr>
              <w:spacing w:after="0"/>
              <w:rPr>
                <w:sz w:val="20"/>
                <w:szCs w:val="20"/>
                <w:color w:val="auto"/>
              </w:rPr>
            </w:pPr>
          </w:p>
        </w:tc>
      </w:tr>
      <w:tr>
        <w:trPr>
          <w:trHeight w:val="223"/>
        </w:trPr>
        <w:tc>
          <w:tcPr>
            <w:tcW w:w="1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 Injection 8 mg</w:t>
            </w:r>
            <w:r>
              <w:rPr>
                <w:rFonts w:ascii="Times New Roman" w:cs="Times New Roman" w:eastAsia="Times New Roman" w:hAnsi="Times New Roman"/>
                <w:sz w:val="23"/>
                <w:szCs w:val="23"/>
                <w:color w:val="auto"/>
                <w:vertAlign w:val="superscript"/>
              </w:rPr>
              <w:t>(a)</w:t>
            </w:r>
          </w:p>
        </w:tc>
        <w:tc>
          <w:tcPr>
            <w:tcW w:w="100" w:type="dxa"/>
            <w:vAlign w:val="bottom"/>
            <w:tcBorders>
              <w:bottom w:val="single" w:sz="8" w:color="CCEEFF"/>
            </w:tcBorders>
            <w:shd w:val="clear" w:color="auto" w:fill="CCEEFF"/>
          </w:tcPr>
          <w:p>
            <w:pPr>
              <w:spacing w:after="0"/>
              <w:rPr>
                <w:sz w:val="19"/>
                <w:szCs w:val="19"/>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Wet age-related macular degeneration ("wAMD")</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macular edema ("DME")</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retinopathy ("DR")</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169"/>
        </w:trPr>
        <w:tc>
          <w:tcPr>
            <w:tcW w:w="160" w:type="dxa"/>
            <w:vAlign w:val="bottom"/>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Macular edema following retinal vein occlusion</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14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1080" w:type="dxa"/>
            <w:vAlign w:val="bottom"/>
            <w:gridSpan w:val="2"/>
            <w:shd w:val="clear" w:color="auto" w:fill="CCEEFF"/>
          </w:tcPr>
          <w:p>
            <w:pPr>
              <w:jc w:val="center"/>
              <w:ind w:right="14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r>
      <w:tr>
        <w:trPr>
          <w:trHeight w:val="239"/>
        </w:trPr>
        <w:tc>
          <w:tcPr>
            <w:tcW w:w="160" w:type="dxa"/>
            <w:vAlign w:val="bottom"/>
          </w:tcPr>
          <w:p>
            <w:pPr>
              <w:spacing w:after="0"/>
              <w:rPr>
                <w:sz w:val="20"/>
                <w:szCs w:val="20"/>
                <w:color w:val="auto"/>
              </w:rPr>
            </w:pPr>
          </w:p>
        </w:tc>
        <w:tc>
          <w:tcPr>
            <w:tcW w:w="37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("RVO")</w:t>
            </w:r>
          </w:p>
        </w:tc>
        <w:tc>
          <w:tcPr>
            <w:tcW w:w="12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27"/>
        </w:trPr>
        <w:tc>
          <w:tcPr>
            <w:tcW w:w="160" w:type="dxa"/>
            <w:vAlign w:val="bottom"/>
          </w:tcPr>
          <w:p>
            <w:pPr>
              <w:spacing w:after="0"/>
              <w:rPr>
                <w:sz w:val="19"/>
                <w:szCs w:val="19"/>
                <w:color w:val="auto"/>
              </w:rPr>
            </w:pPr>
          </w:p>
        </w:tc>
        <w:tc>
          <w:tcPr>
            <w:tcW w:w="378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 Injection</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19"/>
                <w:szCs w:val="19"/>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wAMD</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DME</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DR</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RVO</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Myopic choroidal neovascularization ("mCNV")</w:t>
            </w: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228"/>
        </w:trPr>
        <w:tc>
          <w:tcPr>
            <w:tcW w:w="1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Neovascular glaucoma ("NVG")</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160"/>
              <w:spacing w:after="0"/>
              <w:rPr>
                <w:sz w:val="20"/>
                <w:szCs w:val="20"/>
                <w:color w:val="auto"/>
              </w:rPr>
            </w:pPr>
            <w:r>
              <w:rPr>
                <w:rFonts w:ascii="Webdings" w:cs="Webdings" w:eastAsia="Webdings" w:hAnsi="Webdings"/>
                <w:sz w:val="18"/>
                <w:szCs w:val="18"/>
                <w:b w:val="1"/>
                <w:bCs w:val="1"/>
                <w:color w:val="auto"/>
                <w:w w:val="99"/>
              </w:rPr>
              <w:t>a</w:t>
            </w:r>
          </w:p>
        </w:tc>
      </w:tr>
      <w:tr>
        <w:trPr>
          <w:trHeight w:val="36"/>
        </w:trPr>
        <w:tc>
          <w:tcPr>
            <w:tcW w:w="160" w:type="dxa"/>
            <w:vAlign w:val="bottom"/>
          </w:tcPr>
          <w:p>
            <w:pPr>
              <w:spacing w:after="0"/>
              <w:rPr>
                <w:sz w:val="3"/>
                <w:szCs w:val="3"/>
                <w:color w:val="auto"/>
              </w:rPr>
            </w:pPr>
          </w:p>
        </w:tc>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160" w:type="dxa"/>
            <w:vAlign w:val="bottom"/>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Retinopathy of prematurity ("ROP")</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22"/>
                <w:szCs w:val="22"/>
                <w:color w:val="auto"/>
              </w:rPr>
            </w:pPr>
          </w:p>
        </w:tc>
      </w:tr>
      <w:tr>
        <w:trPr>
          <w:trHeight w:val="169"/>
        </w:trPr>
        <w:tc>
          <w:tcPr>
            <w:tcW w:w="160" w:type="dxa"/>
            <w:vAlign w:val="bottom"/>
          </w:tcPr>
          <w:p>
            <w:pPr>
              <w:spacing w:after="0"/>
              <w:rPr>
                <w:sz w:val="14"/>
                <w:szCs w:val="14"/>
                <w:color w:val="auto"/>
              </w:rPr>
            </w:pPr>
          </w:p>
        </w:tc>
        <w:tc>
          <w:tcPr>
            <w:tcW w:w="37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Dupixent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(dupilumab) Injection</w:t>
            </w:r>
            <w:r>
              <w:rPr>
                <w:rFonts w:ascii="Times New Roman" w:cs="Times New Roman" w:eastAsia="Times New Roman" w:hAnsi="Times New Roman"/>
                <w:sz w:val="19"/>
                <w:szCs w:val="19"/>
                <w:color w:val="auto"/>
                <w:vertAlign w:val="superscript"/>
              </w:rPr>
              <w:t>(b)</w:t>
            </w:r>
          </w:p>
        </w:tc>
        <w:tc>
          <w:tcPr>
            <w:tcW w:w="100" w:type="dxa"/>
            <w:vAlign w:val="bottom"/>
            <w:shd w:val="clear" w:color="auto" w:fill="CCEEFF"/>
          </w:tcPr>
          <w:p>
            <w:pPr>
              <w:spacing w:after="0"/>
              <w:rPr>
                <w:sz w:val="14"/>
                <w:szCs w:val="14"/>
                <w:color w:val="auto"/>
              </w:rPr>
            </w:pPr>
          </w:p>
        </w:tc>
        <w:tc>
          <w:tcPr>
            <w:tcW w:w="38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Atopic dermatitis (in patients aged 6 months and</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14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1080" w:type="dxa"/>
            <w:vAlign w:val="bottom"/>
            <w:gridSpan w:val="2"/>
            <w:shd w:val="clear" w:color="auto" w:fill="CCEEFF"/>
          </w:tcPr>
          <w:p>
            <w:pPr>
              <w:jc w:val="center"/>
              <w:ind w:right="14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jc w:val="center"/>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4"/>
                <w:szCs w:val="14"/>
                <w:color w:val="auto"/>
              </w:rPr>
            </w:pPr>
          </w:p>
        </w:tc>
      </w:tr>
      <w:tr>
        <w:trPr>
          <w:trHeight w:val="239"/>
        </w:trPr>
        <w:tc>
          <w:tcPr>
            <w:tcW w:w="160" w:type="dxa"/>
            <w:vAlign w:val="bottom"/>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older)</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27"/>
        </w:trPr>
        <w:tc>
          <w:tcPr>
            <w:tcW w:w="1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Asthma (in adults and adolescents)</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Asthma (in pediatrics 6–11 years of age)</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750"/>
        </w:trPr>
        <w:tc>
          <w:tcPr>
            <w:tcW w:w="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920" w:type="dxa"/>
            <w:vAlign w:val="bottom"/>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8"/>
        </w:trPr>
        <w:tc>
          <w:tcPr>
            <w:tcW w:w="1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160" w:type="dxa"/>
            <w:vAlign w:val="bottom"/>
          </w:tcPr>
          <w:p>
            <w:pPr>
              <w:spacing w:after="0"/>
              <w:rPr>
                <w:sz w:val="20"/>
                <w:szCs w:val="20"/>
                <w:color w:val="auto"/>
              </w:rPr>
            </w:pPr>
          </w:p>
        </w:tc>
        <w:tc>
          <w:tcPr>
            <w:tcW w:w="378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00" w:type="dxa"/>
            <w:vAlign w:val="bottom"/>
            <w:tcBorders>
              <w:bottom w:val="single" w:sz="8" w:color="CCEEFF"/>
            </w:tcBorders>
          </w:tcPr>
          <w:p>
            <w:pPr>
              <w:spacing w:after="0"/>
              <w:rPr>
                <w:sz w:val="20"/>
                <w:szCs w:val="20"/>
                <w:color w:val="auto"/>
              </w:rPr>
            </w:pPr>
          </w:p>
        </w:tc>
        <w:tc>
          <w:tcPr>
            <w:tcW w:w="38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Japan</w:t>
            </w:r>
          </w:p>
        </w:tc>
        <w:tc>
          <w:tcPr>
            <w:tcW w:w="140" w:type="dxa"/>
            <w:vAlign w:val="bottom"/>
          </w:tcPr>
          <w:p>
            <w:pPr>
              <w:spacing w:after="0"/>
              <w:rPr>
                <w:sz w:val="20"/>
                <w:szCs w:val="20"/>
                <w:color w:val="auto"/>
              </w:rPr>
            </w:pPr>
          </w:p>
        </w:tc>
      </w:tr>
      <w:tr>
        <w:trPr>
          <w:trHeight w:val="178"/>
        </w:trPr>
        <w:tc>
          <w:tcPr>
            <w:tcW w:w="160" w:type="dxa"/>
            <w:vAlign w:val="bottom"/>
          </w:tcPr>
          <w:p>
            <w:pPr>
              <w:spacing w:after="0"/>
              <w:rPr>
                <w:sz w:val="15"/>
                <w:szCs w:val="15"/>
                <w:color w:val="auto"/>
              </w:rPr>
            </w:pPr>
          </w:p>
        </w:tc>
        <w:tc>
          <w:tcPr>
            <w:tcW w:w="37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Dupixent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(dupilumab) Injection</w:t>
            </w: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(continued)</w:t>
            </w:r>
          </w:p>
        </w:tc>
        <w:tc>
          <w:tcPr>
            <w:tcW w:w="100" w:type="dxa"/>
            <w:vAlign w:val="bottom"/>
            <w:shd w:val="clear" w:color="auto" w:fill="CCEEFF"/>
          </w:tcPr>
          <w:p>
            <w:pPr>
              <w:spacing w:after="0"/>
              <w:rPr>
                <w:sz w:val="15"/>
                <w:szCs w:val="15"/>
                <w:color w:val="auto"/>
              </w:rPr>
            </w:pPr>
          </w:p>
        </w:tc>
        <w:tc>
          <w:tcPr>
            <w:tcW w:w="38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Chronic rhinosinusitis with nasal polyposis</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14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5"/>
                <w:szCs w:val="15"/>
                <w:color w:val="auto"/>
              </w:rPr>
            </w:pPr>
          </w:p>
        </w:tc>
      </w:tr>
      <w:tr>
        <w:trPr>
          <w:trHeight w:val="234"/>
        </w:trPr>
        <w:tc>
          <w:tcPr>
            <w:tcW w:w="160" w:type="dxa"/>
            <w:vAlign w:val="bottom"/>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("CRSwNP") (in adults)</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1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CRSwNP (in adolescents)</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Chronic obstructive pulmonary disease ("COPD")</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178"/>
        </w:trPr>
        <w:tc>
          <w:tcPr>
            <w:tcW w:w="160" w:type="dxa"/>
            <w:vAlign w:val="bottom"/>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Eosinophilic esophagitis ("EoE") (in patients aged 1</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14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160" w:type="dxa"/>
            <w:vAlign w:val="bottom"/>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and older)</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1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Prurigo nodularis</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210"/>
        </w:trPr>
        <w:tc>
          <w:tcPr>
            <w:tcW w:w="16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Chronic spontaneous urticaria ("CSU") (in adults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40"/>
              <w:spacing w:after="0"/>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8"/>
                <w:szCs w:val="18"/>
                <w:color w:val="auto"/>
              </w:rPr>
            </w:pPr>
          </w:p>
        </w:tc>
      </w:tr>
      <w:tr>
        <w:trPr>
          <w:trHeight w:val="229"/>
        </w:trPr>
        <w:tc>
          <w:tcPr>
            <w:tcW w:w="1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adolescents)</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37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Bullous pemphigoid</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160" w:type="dxa"/>
            <w:vAlign w:val="bottom"/>
          </w:tcPr>
          <w:p>
            <w:pPr>
              <w:spacing w:after="0"/>
              <w:rPr>
                <w:sz w:val="18"/>
                <w:szCs w:val="18"/>
                <w:color w:val="auto"/>
              </w:rPr>
            </w:pPr>
          </w:p>
        </w:tc>
        <w:tc>
          <w:tcPr>
            <w:tcW w:w="378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(cemiplimab) Injection</w:t>
            </w:r>
          </w:p>
        </w:tc>
        <w:tc>
          <w:tcPr>
            <w:tcW w:w="1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Metastatic or locally advanced first-line non-small</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Webdings" w:cs="Webdings" w:eastAsia="Webdings" w:hAnsi="Webdings"/>
                <w:sz w:val="18"/>
                <w:szCs w:val="18"/>
                <w:b w:val="1"/>
                <w:bCs w:val="1"/>
                <w:color w:val="auto"/>
                <w:w w:val="99"/>
              </w:rPr>
              <w:t>a</w:t>
            </w:r>
          </w:p>
        </w:tc>
        <w:tc>
          <w:tcPr>
            <w:tcW w:w="1100" w:type="dxa"/>
            <w:vAlign w:val="bottom"/>
            <w:gridSpan w:val="2"/>
          </w:tcPr>
          <w:p>
            <w:pPr>
              <w:jc w:val="center"/>
              <w:ind w:right="160"/>
              <w:spacing w:after="0"/>
              <w:rPr>
                <w:sz w:val="20"/>
                <w:szCs w:val="20"/>
                <w:color w:val="auto"/>
              </w:rPr>
            </w:pPr>
            <w:r>
              <w:rPr>
                <w:rFonts w:ascii="Webdings" w:cs="Webdings" w:eastAsia="Webdings" w:hAnsi="Webdings"/>
                <w:sz w:val="18"/>
                <w:szCs w:val="18"/>
                <w:b w:val="1"/>
                <w:bCs w:val="1"/>
                <w:color w:val="auto"/>
                <w:w w:val="99"/>
              </w:rPr>
              <w:t>a</w:t>
            </w:r>
          </w:p>
        </w:tc>
      </w:tr>
      <w:tr>
        <w:trPr>
          <w:trHeight w:val="184"/>
        </w:trPr>
        <w:tc>
          <w:tcPr>
            <w:tcW w:w="1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cell lung cancer ("NSCLC"), monotherapy and in</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4"/>
        </w:trPr>
        <w:tc>
          <w:tcPr>
            <w:tcW w:w="1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combination with chemotherapy</w:t>
            </w: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Metastatic or locally advanced basal cell carcinoma</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Webdings" w:cs="Webdings" w:eastAsia="Webdings" w:hAnsi="Webdings"/>
                <w:sz w:val="18"/>
                <w:szCs w:val="18"/>
                <w:b w:val="1"/>
                <w:bCs w:val="1"/>
                <w:color w:val="auto"/>
                <w:w w:val="99"/>
              </w:rPr>
              <w:t>a</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("BCC")</w:t>
            </w: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78"/>
        </w:trPr>
        <w:tc>
          <w:tcPr>
            <w:tcW w:w="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Metastatic or locally advanced cutaneous squamous</w:t>
            </w:r>
          </w:p>
        </w:tc>
        <w:tc>
          <w:tcPr>
            <w:tcW w:w="120" w:type="dxa"/>
            <w:vAlign w:val="bottom"/>
          </w:tcPr>
          <w:p>
            <w:pPr>
              <w:spacing w:after="0"/>
              <w:rPr>
                <w:sz w:val="15"/>
                <w:szCs w:val="15"/>
                <w:color w:val="auto"/>
              </w:rPr>
            </w:pPr>
          </w:p>
        </w:tc>
        <w:tc>
          <w:tcPr>
            <w:tcW w:w="960" w:type="dxa"/>
            <w:vAlign w:val="bottom"/>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5"/>
                <w:szCs w:val="15"/>
                <w:color w:val="auto"/>
              </w:rPr>
            </w:pPr>
          </w:p>
        </w:tc>
        <w:tc>
          <w:tcPr>
            <w:tcW w:w="1080" w:type="dxa"/>
            <w:vAlign w:val="bottom"/>
            <w:gridSpan w:val="2"/>
          </w:tcPr>
          <w:p>
            <w:pPr>
              <w:jc w:val="center"/>
              <w:ind w:right="14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1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cell carcinoma ("CSCC")</w:t>
            </w: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1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Adjuvant CSCC</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63"/>
        </w:trPr>
        <w:tc>
          <w:tcPr>
            <w:tcW w:w="160" w:type="dxa"/>
            <w:vAlign w:val="bottom"/>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Metastatic or recurrent second-line cervical cancer</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22"/>
                <w:szCs w:val="22"/>
                <w:color w:val="auto"/>
              </w:rPr>
            </w:pPr>
          </w:p>
        </w:tc>
      </w:tr>
      <w:tr>
        <w:trPr>
          <w:trHeight w:val="178"/>
        </w:trPr>
        <w:tc>
          <w:tcPr>
            <w:tcW w:w="160" w:type="dxa"/>
            <w:vAlign w:val="bottom"/>
          </w:tcPr>
          <w:p>
            <w:pPr>
              <w:spacing w:after="0"/>
              <w:rPr>
                <w:sz w:val="15"/>
                <w:szCs w:val="15"/>
                <w:color w:val="auto"/>
              </w:rPr>
            </w:pPr>
          </w:p>
        </w:tc>
        <w:tc>
          <w:tcPr>
            <w:tcW w:w="37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Praluent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(alirocumab) Injection</w:t>
            </w:r>
            <w:r>
              <w:rPr>
                <w:rFonts w:ascii="Times New Roman" w:cs="Times New Roman" w:eastAsia="Times New Roman" w:hAnsi="Times New Roman"/>
                <w:sz w:val="20"/>
                <w:szCs w:val="20"/>
                <w:color w:val="auto"/>
                <w:vertAlign w:val="superscript"/>
              </w:rPr>
              <w:t>(c)</w:t>
            </w:r>
          </w:p>
        </w:tc>
        <w:tc>
          <w:tcPr>
            <w:tcW w:w="100" w:type="dxa"/>
            <w:vAlign w:val="bottom"/>
            <w:shd w:val="clear" w:color="auto" w:fill="CCEEFF"/>
          </w:tcPr>
          <w:p>
            <w:pPr>
              <w:spacing w:after="0"/>
              <w:rPr>
                <w:sz w:val="15"/>
                <w:szCs w:val="15"/>
                <w:color w:val="auto"/>
              </w:rPr>
            </w:pPr>
          </w:p>
        </w:tc>
        <w:tc>
          <w:tcPr>
            <w:tcW w:w="38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Cardiovascular risk reduction in patients at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14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160" w:type="dxa"/>
            <w:vAlign w:val="bottom"/>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increased risk of cardiovascular events</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64"/>
        </w:trPr>
        <w:tc>
          <w:tcPr>
            <w:tcW w:w="160" w:type="dxa"/>
            <w:vAlign w:val="bottom"/>
          </w:tcPr>
          <w:p>
            <w:pPr>
              <w:spacing w:after="0"/>
              <w:rPr>
                <w:sz w:val="22"/>
                <w:szCs w:val="22"/>
                <w:color w:val="auto"/>
              </w:rPr>
            </w:pPr>
          </w:p>
        </w:tc>
        <w:tc>
          <w:tcPr>
            <w:tcW w:w="3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Hypercholesterolemia</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40" w:type="dxa"/>
            <w:vAlign w:val="bottom"/>
          </w:tcPr>
          <w:p>
            <w:pPr>
              <w:spacing w:after="0"/>
              <w:rPr>
                <w:sz w:val="22"/>
                <w:szCs w:val="22"/>
                <w:color w:val="auto"/>
              </w:rPr>
            </w:pPr>
          </w:p>
        </w:tc>
      </w:tr>
      <w:tr>
        <w:trPr>
          <w:trHeight w:val="210"/>
        </w:trPr>
        <w:tc>
          <w:tcPr>
            <w:tcW w:w="16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Heterozygous familial hypercholesterolemia</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40"/>
              <w:spacing w:after="0"/>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1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("HeFH") (in patients aged 8 years and older)</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178"/>
        </w:trPr>
        <w:tc>
          <w:tcPr>
            <w:tcW w:w="160" w:type="dxa"/>
            <w:vAlign w:val="bottom"/>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Homozygous familial hypercholesterolemia</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160" w:type="dxa"/>
            <w:vAlign w:val="bottom"/>
          </w:tcPr>
          <w:p>
            <w:pPr>
              <w:spacing w:after="0"/>
              <w:rPr>
                <w:sz w:val="20"/>
                <w:szCs w:val="20"/>
                <w:color w:val="auto"/>
              </w:rPr>
            </w:pPr>
          </w:p>
        </w:tc>
        <w:tc>
          <w:tcPr>
            <w:tcW w:w="37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("HoFH")</w:t>
            </w:r>
          </w:p>
        </w:tc>
        <w:tc>
          <w:tcPr>
            <w:tcW w:w="12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160" w:type="dxa"/>
            <w:vAlign w:val="bottom"/>
          </w:tcPr>
          <w:p>
            <w:pPr>
              <w:spacing w:after="0"/>
              <w:rPr>
                <w:sz w:val="19"/>
                <w:szCs w:val="19"/>
                <w:color w:val="auto"/>
              </w:rPr>
            </w:pPr>
          </w:p>
        </w:tc>
        <w:tc>
          <w:tcPr>
            <w:tcW w:w="3780" w:type="dxa"/>
            <w:vAlign w:val="bottom"/>
          </w:tcPr>
          <w:p>
            <w:pPr>
              <w:spacing w:after="0" w:line="223"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Injection</w:t>
            </w:r>
            <w:r>
              <w:rPr>
                <w:rFonts w:ascii="Times New Roman" w:cs="Times New Roman" w:eastAsia="Times New Roman" w:hAnsi="Times New Roman"/>
                <w:sz w:val="23"/>
                <w:szCs w:val="23"/>
                <w:color w:val="auto"/>
                <w:vertAlign w:val="superscript"/>
              </w:rPr>
              <w:t>(b)</w:t>
            </w:r>
          </w:p>
        </w:tc>
        <w:tc>
          <w:tcPr>
            <w:tcW w:w="100" w:type="dxa"/>
            <w:vAlign w:val="bottom"/>
          </w:tcPr>
          <w:p>
            <w:pPr>
              <w:spacing w:after="0"/>
              <w:rPr>
                <w:sz w:val="19"/>
                <w:szCs w:val="19"/>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Rheumatoid arthritis ("RA")</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264"/>
        </w:trPr>
        <w:tc>
          <w:tcPr>
            <w:tcW w:w="16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Polymyalgia rheumatica ("PMR")</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23"/>
        </w:trPr>
        <w:tc>
          <w:tcPr>
            <w:tcW w:w="160" w:type="dxa"/>
            <w:vAlign w:val="bottom"/>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Polyarticular juvenile idiopathic arthritis ("pJIA")</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3780" w:type="dxa"/>
            <w:vAlign w:val="bottom"/>
            <w:tcBorders>
              <w:bottom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(evinacumab) Injection</w:t>
            </w:r>
            <w:r>
              <w:rPr>
                <w:rFonts w:ascii="Times New Roman" w:cs="Times New Roman" w:eastAsia="Times New Roman" w:hAnsi="Times New Roman"/>
                <w:sz w:val="23"/>
                <w:szCs w:val="23"/>
                <w:color w:val="auto"/>
                <w:vertAlign w:val="superscript"/>
              </w:rPr>
              <w:t>(d)</w:t>
            </w:r>
          </w:p>
        </w:tc>
        <w:tc>
          <w:tcPr>
            <w:tcW w:w="100" w:type="dxa"/>
            <w:vAlign w:val="bottom"/>
            <w:shd w:val="clear" w:color="auto" w:fill="CCEEFF"/>
          </w:tcPr>
          <w:p>
            <w:pPr>
              <w:spacing w:after="0"/>
              <w:rPr>
                <w:sz w:val="19"/>
                <w:szCs w:val="19"/>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HoFH (in adults, adolescents, and pediatrics)</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9"/>
                <w:szCs w:val="19"/>
                <w:color w:val="auto"/>
              </w:rPr>
            </w:pPr>
          </w:p>
        </w:tc>
      </w:tr>
      <w:tr>
        <w:trPr>
          <w:trHeight w:val="263"/>
        </w:trPr>
        <w:tc>
          <w:tcPr>
            <w:tcW w:w="160" w:type="dxa"/>
            <w:vAlign w:val="bottom"/>
          </w:tcPr>
          <w:p>
            <w:pPr>
              <w:spacing w:after="0"/>
              <w:rPr>
                <w:sz w:val="22"/>
                <w:szCs w:val="22"/>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Ordspono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(odronextamab)</w:t>
            </w:r>
          </w:p>
        </w:tc>
        <w:tc>
          <w:tcPr>
            <w:tcW w:w="100" w:type="dxa"/>
            <w:vAlign w:val="bottom"/>
          </w:tcPr>
          <w:p>
            <w:pPr>
              <w:spacing w:after="0"/>
              <w:rPr>
                <w:sz w:val="22"/>
                <w:szCs w:val="22"/>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Follicular lymphoma ("FL")</w:t>
            </w:r>
          </w:p>
        </w:tc>
        <w:tc>
          <w:tcPr>
            <w:tcW w:w="1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64"/>
        </w:trPr>
        <w:tc>
          <w:tcPr>
            <w:tcW w:w="160" w:type="dxa"/>
            <w:vAlign w:val="bottom"/>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Diffuse large B-cell lymphoma ("DLBCL")</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63"/>
        </w:trPr>
        <w:tc>
          <w:tcPr>
            <w:tcW w:w="16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Lynozyfic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(linvoseltamab)</w:t>
            </w:r>
          </w:p>
        </w:tc>
        <w:tc>
          <w:tcPr>
            <w:tcW w:w="100" w:type="dxa"/>
            <w:vAlign w:val="bottom"/>
            <w:shd w:val="clear" w:color="auto" w:fill="CCEEFF"/>
          </w:tcPr>
          <w:p>
            <w:pPr>
              <w:spacing w:after="0"/>
              <w:rPr>
                <w:sz w:val="22"/>
                <w:szCs w:val="22"/>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Relapsed/refractory multiple myeloma</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center"/>
              <w:ind w:right="140"/>
              <w:spacing w:after="0"/>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spacing w:after="0"/>
              <w:rPr>
                <w:sz w:val="22"/>
                <w:szCs w:val="22"/>
                <w:color w:val="auto"/>
              </w:rPr>
            </w:pPr>
          </w:p>
        </w:tc>
        <w:tc>
          <w:tcPr>
            <w:tcW w:w="140" w:type="dxa"/>
            <w:vAlign w:val="bottom"/>
          </w:tcPr>
          <w:p>
            <w:pPr>
              <w:spacing w:after="0"/>
              <w:rPr>
                <w:sz w:val="22"/>
                <w:szCs w:val="22"/>
                <w:color w:val="auto"/>
              </w:rPr>
            </w:pPr>
          </w:p>
        </w:tc>
      </w:tr>
      <w:tr>
        <w:trPr>
          <w:trHeight w:val="178"/>
        </w:trPr>
        <w:tc>
          <w:tcPr>
            <w:tcW w:w="160" w:type="dxa"/>
            <w:vAlign w:val="bottom"/>
          </w:tcPr>
          <w:p>
            <w:pPr>
              <w:spacing w:after="0"/>
              <w:rPr>
                <w:sz w:val="15"/>
                <w:szCs w:val="15"/>
                <w:color w:val="auto"/>
              </w:rPr>
            </w:pPr>
          </w:p>
        </w:tc>
        <w:tc>
          <w:tcPr>
            <w:tcW w:w="37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Inmazeb</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(atoltivimab, maftivimab, and</w:t>
            </w:r>
          </w:p>
        </w:tc>
        <w:tc>
          <w:tcPr>
            <w:tcW w:w="100" w:type="dxa"/>
            <w:vAlign w:val="bottom"/>
          </w:tcPr>
          <w:p>
            <w:pPr>
              <w:spacing w:after="0"/>
              <w:rPr>
                <w:sz w:val="15"/>
                <w:szCs w:val="15"/>
                <w:color w:val="auto"/>
              </w:rPr>
            </w:pPr>
          </w:p>
        </w:tc>
        <w:tc>
          <w:tcPr>
            <w:tcW w:w="382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 xml:space="preserve">Infection caused by </w:t>
            </w:r>
            <w:r>
              <w:rPr>
                <w:rFonts w:ascii="Times New Roman" w:cs="Times New Roman" w:eastAsia="Times New Roman" w:hAnsi="Times New Roman"/>
                <w:sz w:val="18"/>
                <w:szCs w:val="18"/>
                <w:i w:val="1"/>
                <w:iCs w:val="1"/>
                <w:color w:val="auto"/>
              </w:rPr>
              <w:t>Zaire ebolavirus</w:t>
            </w:r>
          </w:p>
        </w:tc>
        <w:tc>
          <w:tcPr>
            <w:tcW w:w="120" w:type="dxa"/>
            <w:vAlign w:val="bottom"/>
          </w:tcPr>
          <w:p>
            <w:pPr>
              <w:spacing w:after="0"/>
              <w:rPr>
                <w:sz w:val="15"/>
                <w:szCs w:val="15"/>
                <w:color w:val="auto"/>
              </w:rPr>
            </w:pPr>
          </w:p>
        </w:tc>
        <w:tc>
          <w:tcPr>
            <w:tcW w:w="960" w:type="dxa"/>
            <w:vAlign w:val="bottom"/>
            <w:tcBorders>
              <w:top w:val="single" w:sz="8" w:color="auto"/>
            </w:tcBorders>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160" w:type="dxa"/>
            <w:vAlign w:val="bottom"/>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odesivimab) Injection</w:t>
            </w:r>
          </w:p>
        </w:tc>
        <w:tc>
          <w:tcPr>
            <w:tcW w:w="100" w:type="dxa"/>
            <w:vAlign w:val="bottom"/>
            <w:tcBorders>
              <w:bottom w:val="single" w:sz="8" w:color="CCEEFF"/>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78"/>
        </w:trPr>
        <w:tc>
          <w:tcPr>
            <w:tcW w:w="160" w:type="dxa"/>
            <w:vAlign w:val="bottom"/>
          </w:tcPr>
          <w:p>
            <w:pPr>
              <w:spacing w:after="0"/>
              <w:rPr>
                <w:sz w:val="15"/>
                <w:szCs w:val="15"/>
                <w:color w:val="auto"/>
              </w:rPr>
            </w:pPr>
          </w:p>
        </w:tc>
        <w:tc>
          <w:tcPr>
            <w:tcW w:w="37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Veopoz</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(pozelimab) Injection</w:t>
            </w:r>
          </w:p>
        </w:tc>
        <w:tc>
          <w:tcPr>
            <w:tcW w:w="100" w:type="dxa"/>
            <w:vAlign w:val="bottom"/>
            <w:shd w:val="clear" w:color="auto" w:fill="CCEEFF"/>
          </w:tcPr>
          <w:p>
            <w:pPr>
              <w:spacing w:after="0"/>
              <w:rPr>
                <w:sz w:val="15"/>
                <w:szCs w:val="15"/>
                <w:color w:val="auto"/>
              </w:rPr>
            </w:pPr>
          </w:p>
        </w:tc>
        <w:tc>
          <w:tcPr>
            <w:tcW w:w="38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CD55-deficient protein-losing enteropathy</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160" w:type="dxa"/>
            <w:vAlign w:val="bottom"/>
          </w:tcPr>
          <w:p>
            <w:pPr>
              <w:spacing w:after="0"/>
              <w:rPr>
                <w:sz w:val="20"/>
                <w:szCs w:val="20"/>
                <w:color w:val="auto"/>
              </w:rPr>
            </w:pPr>
          </w:p>
        </w:tc>
        <w:tc>
          <w:tcPr>
            <w:tcW w:w="37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("CHAPLE") (in patients aged 1 year and older)</w:t>
            </w:r>
          </w:p>
        </w:tc>
        <w:tc>
          <w:tcPr>
            <w:tcW w:w="12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178"/>
        </w:trPr>
        <w:tc>
          <w:tcPr>
            <w:tcW w:w="160" w:type="dxa"/>
            <w:vAlign w:val="bottom"/>
          </w:tcPr>
          <w:p>
            <w:pPr>
              <w:spacing w:after="0"/>
              <w:rPr>
                <w:sz w:val="15"/>
                <w:szCs w:val="15"/>
                <w:color w:val="auto"/>
              </w:rPr>
            </w:pPr>
          </w:p>
        </w:tc>
        <w:tc>
          <w:tcPr>
            <w:tcW w:w="37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ARCALYST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(rilonacept) Injection</w:t>
            </w:r>
            <w:r>
              <w:rPr>
                <w:rFonts w:ascii="Times New Roman" w:cs="Times New Roman" w:eastAsia="Times New Roman" w:hAnsi="Times New Roman"/>
                <w:sz w:val="20"/>
                <w:szCs w:val="20"/>
                <w:color w:val="auto"/>
                <w:vertAlign w:val="superscript"/>
              </w:rPr>
              <w:t>(e)</w:t>
            </w:r>
          </w:p>
        </w:tc>
        <w:tc>
          <w:tcPr>
            <w:tcW w:w="100" w:type="dxa"/>
            <w:vAlign w:val="bottom"/>
          </w:tcPr>
          <w:p>
            <w:pPr>
              <w:spacing w:after="0"/>
              <w:rPr>
                <w:sz w:val="15"/>
                <w:szCs w:val="15"/>
                <w:color w:val="auto"/>
              </w:rPr>
            </w:pPr>
          </w:p>
        </w:tc>
        <w:tc>
          <w:tcPr>
            <w:tcW w:w="38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Cryopyrin-associated periodic syndromes</w:t>
            </w:r>
          </w:p>
        </w:tc>
        <w:tc>
          <w:tcPr>
            <w:tcW w:w="120" w:type="dxa"/>
            <w:vAlign w:val="bottom"/>
          </w:tcPr>
          <w:p>
            <w:pPr>
              <w:spacing w:after="0"/>
              <w:rPr>
                <w:sz w:val="15"/>
                <w:szCs w:val="15"/>
                <w:color w:val="auto"/>
              </w:rPr>
            </w:pPr>
          </w:p>
        </w:tc>
        <w:tc>
          <w:tcPr>
            <w:tcW w:w="960" w:type="dxa"/>
            <w:vAlign w:val="bottom"/>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("CAPS"), including familial cold auto-</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inflammatory syndrome ("FCAS") and Muckle-</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4"/>
        </w:trPr>
        <w:tc>
          <w:tcPr>
            <w:tcW w:w="1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Wells syndrome ("MWS") (in adults and</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4"/>
        </w:trPr>
        <w:tc>
          <w:tcPr>
            <w:tcW w:w="1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adolescents)</w:t>
            </w: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78"/>
        </w:trPr>
        <w:tc>
          <w:tcPr>
            <w:tcW w:w="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Deficiency of interleukin-1 receptor antagonist</w:t>
            </w:r>
          </w:p>
        </w:tc>
        <w:tc>
          <w:tcPr>
            <w:tcW w:w="120" w:type="dxa"/>
            <w:vAlign w:val="bottom"/>
          </w:tcPr>
          <w:p>
            <w:pPr>
              <w:spacing w:after="0"/>
              <w:rPr>
                <w:sz w:val="15"/>
                <w:szCs w:val="15"/>
                <w:color w:val="auto"/>
              </w:rPr>
            </w:pPr>
          </w:p>
        </w:tc>
        <w:tc>
          <w:tcPr>
            <w:tcW w:w="960" w:type="dxa"/>
            <w:vAlign w:val="bottom"/>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1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("DIRA") (in adults, adolescents, and pediatrics)</w:t>
            </w: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160" w:type="dxa"/>
            <w:vAlign w:val="bottom"/>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Recurrent pericarditis (in adults and adolescents)</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74"/>
        </w:trPr>
        <w:tc>
          <w:tcPr>
            <w:tcW w:w="160" w:type="dxa"/>
            <w:vAlign w:val="bottom"/>
          </w:tcPr>
          <w:p>
            <w:pPr>
              <w:spacing w:after="0"/>
              <w:rPr>
                <w:sz w:val="15"/>
                <w:szCs w:val="15"/>
                <w:color w:val="auto"/>
              </w:rPr>
            </w:pPr>
          </w:p>
        </w:tc>
        <w:tc>
          <w:tcPr>
            <w:tcW w:w="37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ZALTRAP</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(ziv-aflibercept) Injection for</w:t>
            </w:r>
          </w:p>
        </w:tc>
        <w:tc>
          <w:tcPr>
            <w:tcW w:w="100" w:type="dxa"/>
            <w:vAlign w:val="bottom"/>
            <w:shd w:val="clear" w:color="auto" w:fill="CCEEFF"/>
          </w:tcPr>
          <w:p>
            <w:pPr>
              <w:spacing w:after="0"/>
              <w:rPr>
                <w:sz w:val="15"/>
                <w:szCs w:val="15"/>
                <w:color w:val="auto"/>
              </w:rPr>
            </w:pPr>
          </w:p>
        </w:tc>
        <w:tc>
          <w:tcPr>
            <w:tcW w:w="38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Metastatic colorectal cancer ("mCRC")</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14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960" w:type="dxa"/>
            <w:vAlign w:val="bottom"/>
            <w:shd w:val="clear" w:color="auto" w:fill="CCEEFF"/>
          </w:tcPr>
          <w:p>
            <w:pPr>
              <w:jc w:val="center"/>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140" w:type="dxa"/>
            <w:vAlign w:val="bottom"/>
          </w:tcPr>
          <w:p>
            <w:pPr>
              <w:spacing w:after="0"/>
              <w:rPr>
                <w:sz w:val="15"/>
                <w:szCs w:val="15"/>
                <w:color w:val="auto"/>
              </w:rPr>
            </w:pPr>
          </w:p>
        </w:tc>
      </w:tr>
      <w:tr>
        <w:trPr>
          <w:trHeight w:val="238"/>
        </w:trPr>
        <w:tc>
          <w:tcPr>
            <w:tcW w:w="160" w:type="dxa"/>
            <w:vAlign w:val="bottom"/>
          </w:tcPr>
          <w:p>
            <w:pPr>
              <w:spacing w:after="0"/>
              <w:rPr>
                <w:sz w:val="20"/>
                <w:szCs w:val="20"/>
                <w:color w:val="auto"/>
              </w:rPr>
            </w:pPr>
          </w:p>
        </w:tc>
        <w:tc>
          <w:tcPr>
            <w:tcW w:w="3780" w:type="dxa"/>
            <w:vAlign w:val="bottom"/>
            <w:tcBorders>
              <w:bottom w:val="single" w:sz="8" w:color="auto"/>
            </w:tcBorders>
            <w:shd w:val="clear" w:color="auto" w:fill="CCEEFF"/>
          </w:tcPr>
          <w:p>
            <w:pPr>
              <w:spacing w:after="0" w:line="237" w:lineRule="exact"/>
              <w:rPr>
                <w:sz w:val="20"/>
                <w:szCs w:val="20"/>
                <w:color w:val="auto"/>
              </w:rPr>
            </w:pPr>
            <w:r>
              <w:rPr>
                <w:rFonts w:ascii="Times New Roman" w:cs="Times New Roman" w:eastAsia="Times New Roman" w:hAnsi="Times New Roman"/>
                <w:sz w:val="18"/>
                <w:szCs w:val="18"/>
                <w:color w:val="auto"/>
              </w:rPr>
              <w:t>Intravenous Infusion</w:t>
            </w:r>
            <w:r>
              <w:rPr>
                <w:rFonts w:ascii="Times New Roman" w:cs="Times New Roman" w:eastAsia="Times New Roman" w:hAnsi="Times New Roman"/>
                <w:sz w:val="23"/>
                <w:szCs w:val="23"/>
                <w:color w:val="auto"/>
                <w:vertAlign w:val="superscript"/>
              </w:rPr>
              <w:t>(f)</w:t>
            </w:r>
          </w:p>
        </w:tc>
        <w:tc>
          <w:tcPr>
            <w:tcW w:w="100" w:type="dxa"/>
            <w:vAlign w:val="bottom"/>
            <w:shd w:val="clear" w:color="auto" w:fill="CCEEFF"/>
          </w:tcPr>
          <w:p>
            <w:pPr>
              <w:spacing w:after="0"/>
              <w:rPr>
                <w:sz w:val="20"/>
                <w:szCs w:val="20"/>
                <w:color w:val="auto"/>
              </w:rPr>
            </w:pPr>
          </w:p>
        </w:tc>
        <w:tc>
          <w:tcPr>
            <w:tcW w:w="38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749"/>
        </w:trPr>
        <w:tc>
          <w:tcPr>
            <w:tcW w:w="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920" w:type="dxa"/>
            <w:vAlign w:val="bottom"/>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8"/>
        </w:trPr>
        <w:tc>
          <w:tcPr>
            <w:tcW w:w="1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right="380"/>
        <w:spacing w:after="0" w:line="242" w:lineRule="auto"/>
        <w:rPr>
          <w:sz w:val="20"/>
          <w:szCs w:val="20"/>
          <w:color w:val="auto"/>
        </w:rPr>
      </w:pPr>
      <w:r>
        <w:rPr>
          <w:rFonts w:ascii="Times New Roman" w:cs="Times New Roman" w:eastAsia="Times New Roman" w:hAnsi="Times New Roman"/>
          <w:sz w:val="16"/>
          <w:szCs w:val="16"/>
          <w:color w:val="auto"/>
        </w:rPr>
        <w:t>Note: Refer to table below (net product sales of Regeneron-discovered products) for information regarding whether net product sales for a particular product are recorded by us or others. In addition, unless otherwise noted, products in the table above are generally approved for use in adults in the above-referenced diseases.</w:t>
      </w:r>
    </w:p>
    <w:p>
      <w:pPr>
        <w:ind w:left="500" w:hanging="170"/>
        <w:spacing w:after="0" w:line="197" w:lineRule="auto"/>
        <w:tabs>
          <w:tab w:leader="none" w:pos="50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collaboration with Bayer outside the United States. Aflibercept 8 mg is known as EYLEA HD in the United States and EYLEA 8 mg in other countries.</w:t>
      </w:r>
    </w:p>
    <w:p>
      <w:pPr>
        <w:spacing w:after="0" w:line="23" w:lineRule="exact"/>
        <w:rPr>
          <w:rFonts w:ascii="Times New Roman" w:cs="Times New Roman" w:eastAsia="Times New Roman" w:hAnsi="Times New Roman"/>
          <w:sz w:val="23"/>
          <w:szCs w:val="23"/>
          <w:color w:val="auto"/>
          <w:vertAlign w:val="superscript"/>
        </w:rPr>
      </w:pPr>
    </w:p>
    <w:p>
      <w:pPr>
        <w:ind w:left="500" w:hanging="170"/>
        <w:spacing w:after="0" w:line="191" w:lineRule="auto"/>
        <w:tabs>
          <w:tab w:leader="none" w:pos="50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Sanofi</w:t>
      </w:r>
    </w:p>
    <w:p>
      <w:pPr>
        <w:spacing w:after="0" w:line="23" w:lineRule="exact"/>
        <w:rPr>
          <w:rFonts w:ascii="Times New Roman" w:cs="Times New Roman" w:eastAsia="Times New Roman" w:hAnsi="Times New Roman"/>
          <w:sz w:val="21"/>
          <w:szCs w:val="21"/>
          <w:color w:val="auto"/>
          <w:vertAlign w:val="superscript"/>
        </w:rPr>
      </w:pPr>
    </w:p>
    <w:p>
      <w:pPr>
        <w:ind w:left="320" w:right="680" w:firstLine="10"/>
        <w:spacing w:after="0" w:line="205" w:lineRule="auto"/>
        <w:tabs>
          <w:tab w:leader="none" w:pos="49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Company is responsible for the development and commercialization of Praluent in the United States and Sanofi is responsible for the development and commercialization of Praluent outside the United States</w:t>
      </w:r>
    </w:p>
    <w:p>
      <w:pPr>
        <w:spacing w:after="0" w:line="6" w:lineRule="exact"/>
        <w:rPr>
          <w:rFonts w:ascii="Times New Roman" w:cs="Times New Roman" w:eastAsia="Times New Roman" w:hAnsi="Times New Roman"/>
          <w:sz w:val="21"/>
          <w:szCs w:val="21"/>
          <w:color w:val="auto"/>
          <w:vertAlign w:val="superscript"/>
        </w:rPr>
      </w:pPr>
    </w:p>
    <w:p>
      <w:pPr>
        <w:ind w:left="320" w:right="340" w:firstLine="10"/>
        <w:spacing w:after="0" w:line="215" w:lineRule="auto"/>
        <w:tabs>
          <w:tab w:leader="none" w:pos="497"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Company is responsible for the development and commercialization of Evkeeza in the United States and Ultragenyx is responsible for the development and commercialization of Evkeeza outside the United States</w:t>
      </w:r>
    </w:p>
    <w:p>
      <w:pPr>
        <w:spacing w:after="0" w:line="1" w:lineRule="exact"/>
        <w:rPr>
          <w:rFonts w:ascii="Times New Roman" w:cs="Times New Roman" w:eastAsia="Times New Roman" w:hAnsi="Times New Roman"/>
          <w:sz w:val="21"/>
          <w:szCs w:val="21"/>
          <w:color w:val="auto"/>
          <w:vertAlign w:val="superscript"/>
        </w:rPr>
      </w:pPr>
    </w:p>
    <w:p>
      <w:pPr>
        <w:ind w:left="500" w:hanging="170"/>
        <w:spacing w:after="0" w:line="208" w:lineRule="auto"/>
        <w:tabs>
          <w:tab w:leader="none" w:pos="50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Kiniksa is responsible for the development and commercialization of ARCALYST</w:t>
      </w:r>
    </w:p>
    <w:p>
      <w:pPr>
        <w:spacing w:after="0" w:line="23" w:lineRule="exact"/>
        <w:rPr>
          <w:rFonts w:ascii="Times New Roman" w:cs="Times New Roman" w:eastAsia="Times New Roman" w:hAnsi="Times New Roman"/>
          <w:sz w:val="23"/>
          <w:szCs w:val="23"/>
          <w:color w:val="auto"/>
          <w:vertAlign w:val="superscript"/>
        </w:rPr>
      </w:pPr>
    </w:p>
    <w:p>
      <w:pPr>
        <w:ind w:left="480" w:hanging="150"/>
        <w:spacing w:after="0" w:line="182" w:lineRule="auto"/>
        <w:tabs>
          <w:tab w:leader="none" w:pos="4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is responsible for the development and commercialization of ZALTRAP</w:t>
      </w:r>
    </w:p>
    <w:p>
      <w:pPr>
        <w:spacing w:after="0" w:line="2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below includes net product sales of Regeneron-discovered products. Such net product sales are recorded by us or others, as further described in the footnotes to the table. We believe the information in the table is useful to investors as it demonstrates our pipeline productivity and our ability to innovate, discover, and develop new products, and bring those products to market either alone or based on contractual arrangements with other parties, which has a direct impact on our results of operations and financial condition. The table also shows the degree to which we, a collaborator, and/or a licensee is currently commercializing the products discovered by Regeneron. In addition, this information allows management and investors to assess the commercial trends and developments impacting Regeneron-discovered products. In arrangements where our collaborator or licensee is currently commercializing such products and is recording net product sales as a result, the net product sales shown in the table also are an important metric for management's review and assessment of (i) the revenues we record for our share of profits and/or royalties from such sales and (ii) the impact of our obligation to supply commercial product to certain of these collaborators or licensees.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23"/>
        </w:trPr>
        <w:tc>
          <w:tcPr>
            <w:tcW w:w="2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Pr>
          <w:p>
            <w:pPr>
              <w:spacing w:after="0"/>
              <w:rPr>
                <w:sz w:val="19"/>
                <w:szCs w:val="19"/>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140" w:type="dxa"/>
            <w:vAlign w:val="bottom"/>
          </w:tcPr>
          <w:p>
            <w:pPr>
              <w:spacing w:after="0"/>
              <w:rPr>
                <w:sz w:val="19"/>
                <w:szCs w:val="19"/>
                <w:color w:val="auto"/>
              </w:rPr>
            </w:pPr>
          </w:p>
        </w:tc>
        <w:tc>
          <w:tcPr>
            <w:tcW w:w="82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ROW</w:t>
            </w:r>
            <w:r>
              <w:rPr>
                <w:rFonts w:ascii="Times New Roman" w:cs="Times New Roman" w:eastAsia="Times New Roman" w:hAnsi="Times New Roman"/>
                <w:sz w:val="23"/>
                <w:szCs w:val="23"/>
                <w:b w:val="1"/>
                <w:bCs w:val="1"/>
                <w:color w:val="auto"/>
                <w:vertAlign w:val="superscript"/>
              </w:rPr>
              <w:t>(f)</w:t>
            </w:r>
          </w:p>
        </w:tc>
        <w:tc>
          <w:tcPr>
            <w:tcW w:w="14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140" w:type="dxa"/>
            <w:vAlign w:val="bottom"/>
          </w:tcPr>
          <w:p>
            <w:pPr>
              <w:spacing w:after="0"/>
              <w:rPr>
                <w:sz w:val="19"/>
                <w:szCs w:val="19"/>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14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ROW</w:t>
            </w:r>
          </w:p>
        </w:tc>
        <w:tc>
          <w:tcPr>
            <w:tcW w:w="14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7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29"/>
        </w:trPr>
        <w:tc>
          <w:tcPr>
            <w:tcW w:w="27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9,214.8</w:t>
            </w:r>
          </w:p>
        </w:tc>
      </w:tr>
      <w:tr>
        <w:trPr>
          <w:trHeight w:val="223"/>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EYLEA HD and EYLEA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9,380.6</w:t>
            </w:r>
          </w:p>
        </w:tc>
      </w:tr>
      <w:tr>
        <w:trPr>
          <w:trHeight w:val="229"/>
        </w:trPr>
        <w:tc>
          <w:tcPr>
            <w:tcW w:w="2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13,187.0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10,398.7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11,588.1</w:t>
            </w:r>
          </w:p>
        </w:tc>
      </w:tr>
      <w:tr>
        <w:trPr>
          <w:trHeight w:val="230"/>
        </w:trPr>
        <w:tc>
          <w:tcPr>
            <w:tcW w:w="2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w:t>
            </w:r>
          </w:p>
        </w:tc>
      </w:tr>
      <w:tr>
        <w:trPr>
          <w:trHeight w:val="230"/>
        </w:trPr>
        <w:tc>
          <w:tcPr>
            <w:tcW w:w="2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r>
      <w:tr>
        <w:trPr>
          <w:trHeight w:val="230"/>
        </w:trPr>
        <w:tc>
          <w:tcPr>
            <w:tcW w:w="2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r>
      <w:tr>
        <w:trPr>
          <w:trHeight w:val="30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r>
    </w:tbl>
    <w:p>
      <w:pPr>
        <w:spacing w:after="0" w:line="17" w:lineRule="exact"/>
        <w:rPr>
          <w:sz w:val="20"/>
          <w:szCs w:val="20"/>
          <w:color w:val="auto"/>
        </w:rPr>
      </w:pPr>
    </w:p>
    <w:p>
      <w:pPr>
        <w:ind w:left="240" w:right="240" w:firstLine="2"/>
        <w:spacing w:after="0" w:line="206" w:lineRule="auto"/>
        <w:tabs>
          <w:tab w:leader="none" w:pos="41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We record net product sales of EYLEA HD and EYLEA in the United States, and Bayer records net product sales outside the United States. We record our share of profits in connection with sales outside the United States within Collaboration revenue; refer to Part II, Item 7. "Management's Discussion and Analysis of Financial Condition and Results of Operations - Results of Operations - Revenues - Bayer Collaboration Revenue" for such amounts.</w:t>
      </w:r>
    </w:p>
    <w:p>
      <w:pPr>
        <w:spacing w:after="0" w:line="7" w:lineRule="exact"/>
        <w:rPr>
          <w:rFonts w:ascii="Times New Roman" w:cs="Times New Roman" w:eastAsia="Times New Roman" w:hAnsi="Times New Roman"/>
          <w:sz w:val="22"/>
          <w:szCs w:val="22"/>
          <w:color w:val="auto"/>
          <w:vertAlign w:val="superscript"/>
        </w:rPr>
      </w:pPr>
    </w:p>
    <w:p>
      <w:pPr>
        <w:ind w:left="240" w:right="420" w:firstLine="2"/>
        <w:spacing w:after="0" w:line="206" w:lineRule="auto"/>
        <w:tabs>
          <w:tab w:leader="none" w:pos="416"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records global net product sales of Dupixent and Kevzara, and we record our share of profits in connection with global sales of such products within Collaboration revenue. Refer to Part II, Item 7. "Management's Discussion and Analysis of Financial Condition and Results of Operations - Results of Operations - Revenues - Sanofi Collaboration Revenue" for such amounts.</w:t>
      </w:r>
    </w:p>
    <w:p>
      <w:pPr>
        <w:spacing w:after="0" w:line="1" w:lineRule="exact"/>
        <w:rPr>
          <w:rFonts w:ascii="Times New Roman" w:cs="Times New Roman" w:eastAsia="Times New Roman" w:hAnsi="Times New Roman"/>
          <w:sz w:val="22"/>
          <w:szCs w:val="22"/>
          <w:color w:val="auto"/>
          <w:vertAlign w:val="superscript"/>
        </w:rPr>
      </w:pPr>
    </w:p>
    <w:p>
      <w:pPr>
        <w:ind w:left="420" w:hanging="178"/>
        <w:spacing w:after="0" w:line="196" w:lineRule="auto"/>
        <w:tabs>
          <w:tab w:leader="none" w:pos="4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We record global net product sales of Libtayo and pay Sanofi a royalty on such sales</w:t>
      </w:r>
    </w:p>
    <w:p>
      <w:pPr>
        <w:spacing w:after="0" w:line="23" w:lineRule="exact"/>
        <w:rPr>
          <w:rFonts w:ascii="Times New Roman" w:cs="Times New Roman" w:eastAsia="Times New Roman" w:hAnsi="Times New Roman"/>
          <w:sz w:val="23"/>
          <w:szCs w:val="23"/>
          <w:color w:val="auto"/>
          <w:vertAlign w:val="superscript"/>
        </w:rPr>
      </w:pPr>
    </w:p>
    <w:p>
      <w:pPr>
        <w:ind w:left="240" w:right="40" w:firstLine="2"/>
        <w:spacing w:after="0" w:line="194" w:lineRule="auto"/>
        <w:tabs>
          <w:tab w:leader="none" w:pos="416"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We record net product sales of Praluent in the United States. Sanofi records net product sales of Praluent outside the United States and pays us a royalty on such sales, which is recorded within Other revenue.</w:t>
      </w:r>
    </w:p>
    <w:p>
      <w:pPr>
        <w:spacing w:after="0" w:line="6" w:lineRule="exact"/>
        <w:rPr>
          <w:rFonts w:ascii="Times New Roman" w:cs="Times New Roman" w:eastAsia="Times New Roman" w:hAnsi="Times New Roman"/>
          <w:sz w:val="22"/>
          <w:szCs w:val="22"/>
          <w:color w:val="auto"/>
          <w:vertAlign w:val="superscript"/>
        </w:rPr>
      </w:pPr>
    </w:p>
    <w:p>
      <w:pPr>
        <w:ind w:left="240" w:right="240" w:firstLine="2"/>
        <w:spacing w:after="0" w:line="206" w:lineRule="auto"/>
        <w:tabs>
          <w:tab w:leader="none" w:pos="41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Included in this line item are products which are sold by us and others. Refer to Part II, Item 7. "Management's Discussion and Analysis of Financial Condition and Results of Operations - Results of Operations - Revenues" for a listing of net product sales recorded by us. Not included in this line item are net product sales of ARCALYST, which are recorded by Kiniksa.</w:t>
      </w:r>
    </w:p>
    <w:p>
      <w:pPr>
        <w:spacing w:after="0" w:line="1" w:lineRule="exact"/>
        <w:rPr>
          <w:rFonts w:ascii="Times New Roman" w:cs="Times New Roman" w:eastAsia="Times New Roman" w:hAnsi="Times New Roman"/>
          <w:sz w:val="22"/>
          <w:szCs w:val="22"/>
          <w:color w:val="auto"/>
          <w:vertAlign w:val="superscript"/>
        </w:rPr>
      </w:pPr>
    </w:p>
    <w:p>
      <w:pPr>
        <w:ind w:left="400" w:hanging="158"/>
        <w:spacing w:after="0" w:line="196" w:lineRule="auto"/>
        <w:tabs>
          <w:tab w:leader="none" w:pos="40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Rest of world ("ROW")</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Programs in Clinical Development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candidates in Phase 2 and Phase 3 clinical development, which are being developed by us and/or our collaborators, are summarized in the table below.</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Part I, Item 1A. "Risk Factors" for a description of risks and uncertainties that may affect our clinical programs. Any of such risks and uncertainties may, among other matters, negatively impact the development timelines set forth in the table below.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0900"/>
          </w:cols>
          <w:pgMar w:left="320" w:top="36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80" w:type="dxa"/>
            <w:vAlign w:val="bottom"/>
            <w:vMerge w:val="restart"/>
          </w:tcPr>
          <w:p>
            <w:pPr>
              <w:spacing w:after="0"/>
              <w:rPr>
                <w:sz w:val="17"/>
                <w:szCs w:val="17"/>
                <w:color w:val="auto"/>
              </w:rPr>
            </w:pP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1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2025 and 2026</w:t>
            </w:r>
          </w:p>
        </w:tc>
        <w:tc>
          <w:tcPr>
            <w:tcW w:w="0" w:type="dxa"/>
            <w:vAlign w:val="bottom"/>
          </w:tcPr>
          <w:p>
            <w:pPr>
              <w:spacing w:after="0"/>
              <w:rPr>
                <w:sz w:val="1"/>
                <w:szCs w:val="1"/>
                <w:color w:val="auto"/>
              </w:rPr>
            </w:pPr>
          </w:p>
        </w:tc>
      </w:tr>
      <w:tr>
        <w:trPr>
          <w:trHeight w:val="240"/>
        </w:trPr>
        <w:tc>
          <w:tcPr>
            <w:tcW w:w="20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80" w:type="dxa"/>
            <w:vAlign w:val="bottom"/>
          </w:tcPr>
          <w:p>
            <w:pPr>
              <w:spacing w:after="0"/>
              <w:rPr>
                <w:sz w:val="20"/>
                <w:szCs w:val="20"/>
                <w:color w:val="auto"/>
              </w:rPr>
            </w:pPr>
          </w:p>
        </w:tc>
        <w:tc>
          <w:tcPr>
            <w:tcW w:w="19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0" w:type="dxa"/>
            <w:vAlign w:val="bottom"/>
          </w:tcPr>
          <w:p>
            <w:pPr>
              <w:spacing w:after="0"/>
              <w:rPr>
                <w:sz w:val="1"/>
                <w:szCs w:val="1"/>
                <w:color w:val="auto"/>
              </w:rPr>
            </w:pPr>
          </w:p>
        </w:tc>
      </w:tr>
      <w:tr>
        <w:trPr>
          <w:trHeight w:val="304"/>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Ophthalmology</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EYLEA HD (aflibercept)</w:t>
            </w: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–Pre-filled syringe</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–Presented positive</w:t>
            </w:r>
          </w:p>
        </w:tc>
        <w:tc>
          <w:tcPr>
            <w:tcW w:w="0" w:type="dxa"/>
            <w:vAlign w:val="bottom"/>
          </w:tcPr>
          <w:p>
            <w:pPr>
              <w:spacing w:after="0"/>
              <w:rPr>
                <w:sz w:val="1"/>
                <w:szCs w:val="1"/>
                <w:color w:val="auto"/>
              </w:rPr>
            </w:pPr>
          </w:p>
        </w:tc>
      </w:tr>
      <w:tr>
        <w:trPr>
          <w:trHeight w:val="186"/>
        </w:trPr>
        <w:tc>
          <w:tcPr>
            <w:tcW w:w="212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8 mg</w:t>
            </w:r>
            <w:r>
              <w:rPr>
                <w:rFonts w:ascii="Times New Roman" w:cs="Times New Roman" w:eastAsia="Times New Roman" w:hAnsi="Times New Roman"/>
                <w:sz w:val="21"/>
                <w:szCs w:val="21"/>
                <w:b w:val="1"/>
                <w:bCs w:val="1"/>
                <w:color w:val="auto"/>
                <w:vertAlign w:val="superscript"/>
              </w:rPr>
              <w:t>(a)</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(U.S.)</w:t>
            </w:r>
          </w:p>
        </w:tc>
        <w:tc>
          <w:tcPr>
            <w:tcW w:w="19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three-year data from</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extension study of Phase</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–RVO (Japan)</w:t>
            </w:r>
          </w:p>
        </w:tc>
        <w:tc>
          <w:tcPr>
            <w:tcW w:w="1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 wAMD trial at</w:t>
            </w:r>
          </w:p>
        </w:tc>
        <w:tc>
          <w:tcPr>
            <w:tcW w:w="0" w:type="dxa"/>
            <w:vAlign w:val="bottom"/>
          </w:tcPr>
          <w:p>
            <w:pPr>
              <w:spacing w:after="0"/>
              <w:rPr>
                <w:sz w:val="1"/>
                <w:szCs w:val="1"/>
                <w:color w:val="auto"/>
              </w:rPr>
            </w:pPr>
          </w:p>
        </w:tc>
      </w:tr>
      <w:tr>
        <w:trPr>
          <w:trHeight w:val="113"/>
        </w:trPr>
        <w:tc>
          <w:tcPr>
            <w:tcW w:w="2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90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8"/>
                <w:szCs w:val="18"/>
                <w:color w:val="auto"/>
              </w:rPr>
              <w:t>Angiogenesis, Exudation,</w:t>
            </w: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Degeneration</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("Angiogenesis") 2025</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meeting</w:t>
            </w:r>
          </w:p>
        </w:tc>
        <w:tc>
          <w:tcPr>
            <w:tcW w:w="0" w:type="dxa"/>
            <w:vAlign w:val="bottom"/>
          </w:tcPr>
          <w:p>
            <w:pPr>
              <w:spacing w:after="0"/>
              <w:rPr>
                <w:sz w:val="1"/>
                <w:szCs w:val="1"/>
                <w:color w:val="auto"/>
              </w:rPr>
            </w:pPr>
          </w:p>
        </w:tc>
      </w:tr>
      <w:tr>
        <w:trPr>
          <w:trHeight w:val="364"/>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–Presented positive data</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from Phase 3 QUASAR</w:t>
            </w: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trial in RVO at</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Angiogenesis 2025</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meeting</w:t>
            </w:r>
          </w:p>
        </w:tc>
        <w:tc>
          <w:tcPr>
            <w:tcW w:w="0" w:type="dxa"/>
            <w:vAlign w:val="bottom"/>
          </w:tcPr>
          <w:p>
            <w:pPr>
              <w:spacing w:after="0"/>
              <w:rPr>
                <w:sz w:val="1"/>
                <w:szCs w:val="1"/>
                <w:color w:val="auto"/>
              </w:rPr>
            </w:pPr>
          </w:p>
        </w:tc>
      </w:tr>
      <w:tr>
        <w:trPr>
          <w:trHeight w:val="373"/>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by FDA and</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European Commission</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 for RVO</w:t>
            </w:r>
          </w:p>
        </w:tc>
        <w:tc>
          <w:tcPr>
            <w:tcW w:w="0" w:type="dxa"/>
            <w:vAlign w:val="bottom"/>
          </w:tcPr>
          <w:p>
            <w:pPr>
              <w:spacing w:after="0"/>
              <w:rPr>
                <w:sz w:val="1"/>
                <w:szCs w:val="1"/>
                <w:color w:val="auto"/>
              </w:rPr>
            </w:pPr>
          </w:p>
        </w:tc>
      </w:tr>
      <w:tr>
        <w:trPr>
          <w:trHeight w:val="373"/>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by FDA for</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every 4-week dosing</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regimen for approved</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indications</w:t>
            </w:r>
          </w:p>
        </w:tc>
        <w:tc>
          <w:tcPr>
            <w:tcW w:w="0" w:type="dxa"/>
            <w:vAlign w:val="bottom"/>
          </w:tcPr>
          <w:p>
            <w:pPr>
              <w:spacing w:after="0"/>
              <w:rPr>
                <w:sz w:val="1"/>
                <w:szCs w:val="1"/>
                <w:color w:val="auto"/>
              </w:rPr>
            </w:pPr>
          </w:p>
        </w:tc>
      </w:tr>
      <w:tr>
        <w:trPr>
          <w:trHeight w:val="365"/>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–FDA issued Complete</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Response Letters</w:t>
            </w: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("CRLs") for</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supplemental Biologics</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License Application</w:t>
            </w: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("sBLA") for addition of</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extended dosing intervals</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and for regulatory</w:t>
            </w: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application for pre-filled</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syringe</w:t>
            </w:r>
          </w:p>
        </w:tc>
        <w:tc>
          <w:tcPr>
            <w:tcW w:w="0" w:type="dxa"/>
            <w:vAlign w:val="bottom"/>
          </w:tcPr>
          <w:p>
            <w:pPr>
              <w:spacing w:after="0"/>
              <w:rPr>
                <w:sz w:val="1"/>
                <w:szCs w:val="1"/>
                <w:color w:val="auto"/>
              </w:rPr>
            </w:pPr>
          </w:p>
        </w:tc>
      </w:tr>
      <w:tr>
        <w:trPr>
          <w:trHeight w:val="368"/>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–Submitted regulatory</w:t>
            </w: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application for pre-filled</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syringe in U.S.</w:t>
            </w:r>
          </w:p>
        </w:tc>
        <w:tc>
          <w:tcPr>
            <w:tcW w:w="0" w:type="dxa"/>
            <w:vAlign w:val="bottom"/>
          </w:tcPr>
          <w:p>
            <w:pPr>
              <w:spacing w:after="0"/>
              <w:rPr>
                <w:sz w:val="1"/>
                <w:szCs w:val="1"/>
                <w:color w:val="auto"/>
              </w:rPr>
            </w:pPr>
          </w:p>
        </w:tc>
      </w:tr>
      <w:tr>
        <w:trPr>
          <w:trHeight w:val="360"/>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EC for</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extended dosing intervals</w:t>
            </w: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up to 6 months (24</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weeks) in wAMD and</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-5506085</wp:posOffset>
            </wp:positionV>
            <wp:extent cx="7132320" cy="5503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503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Select Upcoming</w:t>
      </w:r>
    </w:p>
    <w:p>
      <w:pPr>
        <w:spacing w:after="0" w:line="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wp:posOffset>
            </wp:positionV>
            <wp:extent cx="1346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–U.S. Food and Drug Administration ("FDA")</w:t>
      </w:r>
    </w:p>
    <w:p>
      <w:pPr>
        <w:ind w:right="80"/>
        <w:spacing w:after="0" w:line="218" w:lineRule="auto"/>
        <w:rPr>
          <w:sz w:val="20"/>
          <w:szCs w:val="20"/>
          <w:color w:val="auto"/>
        </w:rPr>
      </w:pPr>
      <w:r>
        <w:rPr>
          <w:rFonts w:ascii="Times New Roman" w:cs="Times New Roman" w:eastAsia="Times New Roman" w:hAnsi="Times New Roman"/>
          <w:sz w:val="18"/>
          <w:szCs w:val="18"/>
          <w:color w:val="auto"/>
        </w:rPr>
        <w:t>decision for pre-filled syringe (second quarter 2026)</w:t>
      </w:r>
    </w:p>
    <w:p>
      <w:pPr>
        <w:spacing w:after="0" w:line="7563" w:lineRule="exact"/>
        <w:rPr>
          <w:sz w:val="20"/>
          <w:szCs w:val="20"/>
          <w:color w:val="auto"/>
        </w:rPr>
      </w:pPr>
    </w:p>
    <w:p>
      <w:pPr>
        <w:sectPr>
          <w:pgSz w:w="11900" w:h="16838" w:orient="portrait"/>
          <w:cols w:equalWidth="0" w:num="2">
            <w:col w:w="9040" w:space="100"/>
            <w:col w:w="1760"/>
          </w:cols>
          <w:pgMar w:left="320" w:top="369"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69" w:right="6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6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8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2025 and 2026</w:t>
            </w:r>
          </w:p>
        </w:tc>
        <w:tc>
          <w:tcPr>
            <w:tcW w:w="0" w:type="dxa"/>
            <w:vAlign w:val="bottom"/>
          </w:tcPr>
          <w:p>
            <w:pPr>
              <w:spacing w:after="0"/>
              <w:rPr>
                <w:sz w:val="1"/>
                <w:szCs w:val="1"/>
                <w:color w:val="auto"/>
              </w:rPr>
            </w:pPr>
          </w:p>
        </w:tc>
      </w:tr>
      <w:tr>
        <w:trPr>
          <w:trHeight w:val="240"/>
        </w:trPr>
        <w:tc>
          <w:tcPr>
            <w:tcW w:w="20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80" w:type="dxa"/>
            <w:vAlign w:val="bottom"/>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80" w:type="dxa"/>
            <w:vAlign w:val="bottom"/>
            <w:tcBorders>
              <w:bottom w:val="single" w:sz="8" w:color="auto"/>
            </w:tcBorders>
          </w:tcPr>
          <w:p>
            <w:pPr>
              <w:ind w:left="440"/>
              <w:spacing w:after="0" w:line="240"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3"/>
                <w:szCs w:val="23"/>
                <w:b w:val="1"/>
                <w:bCs w:val="1"/>
                <w:color w:val="auto"/>
                <w:vertAlign w:val="superscript"/>
              </w:rPr>
              <w:t>(h)</w:t>
            </w:r>
          </w:p>
        </w:tc>
        <w:tc>
          <w:tcPr>
            <w:tcW w:w="80" w:type="dxa"/>
            <w:vAlign w:val="bottom"/>
          </w:tcPr>
          <w:p>
            <w:pPr>
              <w:spacing w:after="0"/>
              <w:rPr>
                <w:sz w:val="20"/>
                <w:szCs w:val="20"/>
                <w:color w:val="auto"/>
              </w:rPr>
            </w:pPr>
          </w:p>
        </w:tc>
        <w:tc>
          <w:tcPr>
            <w:tcW w:w="18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0" w:type="dxa"/>
            <w:vAlign w:val="bottom"/>
          </w:tcPr>
          <w:p>
            <w:pPr>
              <w:spacing w:after="0"/>
              <w:rPr>
                <w:sz w:val="1"/>
                <w:szCs w:val="1"/>
                <w:color w:val="auto"/>
              </w:rPr>
            </w:pPr>
          </w:p>
        </w:tc>
      </w:tr>
      <w:tr>
        <w:trPr>
          <w:trHeight w:val="210"/>
        </w:trPr>
        <w:tc>
          <w:tcPr>
            <w:tcW w:w="204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(antibody to</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–Geographic</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i w:val="1"/>
                <w:iCs w:val="1"/>
                <w:color w:val="auto"/>
              </w:rPr>
              <w:t xml:space="preserve">C5)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cemdisiran</w:t>
            </w:r>
            <w:r>
              <w:rPr>
                <w:rFonts w:ascii="Times New Roman" w:cs="Times New Roman" w:eastAsia="Times New Roman" w:hAnsi="Times New Roman"/>
                <w:sz w:val="20"/>
                <w:szCs w:val="20"/>
                <w:b w:val="1"/>
                <w:bCs w:val="1"/>
                <w:color w:val="auto"/>
                <w:vertAlign w:val="superscript"/>
              </w:rPr>
              <w:t>(l)</w:t>
            </w:r>
            <w:r>
              <w:rPr>
                <w:rFonts w:ascii="Times New Roman" w:cs="Times New Roman" w:eastAsia="Times New Roman" w:hAnsi="Times New Roman"/>
                <w:sz w:val="16"/>
                <w:szCs w:val="16"/>
                <w:i w:val="1"/>
                <w:iCs w:val="1"/>
                <w:color w:val="auto"/>
              </w:rPr>
              <w:t xml:space="preserve"> (siRNA</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atrophy</w:t>
            </w:r>
            <w:r>
              <w:rPr>
                <w:rFonts w:ascii="Times New Roman" w:cs="Times New Roman" w:eastAsia="Times New Roman" w:hAnsi="Times New Roman"/>
                <w:sz w:val="20"/>
                <w:szCs w:val="20"/>
                <w:color w:val="auto"/>
                <w:vertAlign w:val="superscript"/>
              </w:rPr>
              <w:t>(q)</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therapeutic targeting C5)</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0"/>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Immunology &amp; Inflammation</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Dupixent (dupilumab)</w:t>
            </w:r>
            <w:r>
              <w:rPr>
                <w:rFonts w:ascii="Times New Roman" w:cs="Times New Roman" w:eastAsia="Times New Roman" w:hAnsi="Times New Roman"/>
                <w:sz w:val="23"/>
                <w:szCs w:val="23"/>
                <w:b w:val="1"/>
                <w:bCs w:val="1"/>
                <w:color w:val="auto"/>
                <w:vertAlign w:val="superscript"/>
              </w:rPr>
              <w:t>(b)</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–Asthma in pediatrics</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–CSU in pediatrics</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by Japan's</w:t>
            </w: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Antibody to IL-4R alpha</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(2–5 years of age)</w:t>
            </w:r>
          </w:p>
        </w:tc>
        <w:tc>
          <w:tcPr>
            <w:tcW w:w="1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(2–11 years of age)</w:t>
            </w:r>
          </w:p>
        </w:tc>
        <w:tc>
          <w:tcPr>
            <w:tcW w:w="18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Ministry of Health,</w:t>
            </w:r>
          </w:p>
        </w:tc>
        <w:tc>
          <w:tcPr>
            <w:tcW w:w="0" w:type="dxa"/>
            <w:vAlign w:val="bottom"/>
          </w:tcPr>
          <w:p>
            <w:pPr>
              <w:spacing w:after="0"/>
              <w:rPr>
                <w:sz w:val="1"/>
                <w:szCs w:val="1"/>
                <w:color w:val="auto"/>
              </w:rPr>
            </w:pPr>
          </w:p>
        </w:tc>
      </w:tr>
      <w:tr>
        <w:trPr>
          <w:trHeight w:val="175"/>
        </w:trPr>
        <w:tc>
          <w:tcPr>
            <w:tcW w:w="2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subunit</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(U.S., EU, and</w:t>
            </w:r>
          </w:p>
        </w:tc>
        <w:tc>
          <w:tcPr>
            <w:tcW w:w="1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Labour and Welfare</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–Chronic pruritus of</w:t>
            </w:r>
          </w:p>
        </w:tc>
        <w:tc>
          <w:tcPr>
            <w:tcW w:w="1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Japan)</w:t>
            </w:r>
          </w:p>
        </w:tc>
        <w:tc>
          <w:tcPr>
            <w:tcW w:w="1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("MHLW") for asthma in</w:t>
            </w:r>
          </w:p>
        </w:tc>
        <w:tc>
          <w:tcPr>
            <w:tcW w:w="0" w:type="dxa"/>
            <w:vAlign w:val="bottom"/>
          </w:tcPr>
          <w:p>
            <w:pPr>
              <w:spacing w:after="0"/>
              <w:rPr>
                <w:sz w:val="1"/>
                <w:szCs w:val="1"/>
                <w:color w:val="auto"/>
              </w:rPr>
            </w:pPr>
          </w:p>
        </w:tc>
      </w:tr>
      <w:tr>
        <w:trPr>
          <w:trHeight w:val="59"/>
        </w:trPr>
        <w:tc>
          <w:tcPr>
            <w:tcW w:w="2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pediatrics (6–11 years of</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unknown origin</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("CPUO")</w:t>
            </w:r>
          </w:p>
        </w:tc>
        <w:tc>
          <w:tcPr>
            <w:tcW w:w="1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–Bullous</w:t>
            </w:r>
          </w:p>
        </w:tc>
        <w:tc>
          <w:tcPr>
            <w:tcW w:w="1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age)</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pemphigoid (EU and</w:t>
            </w:r>
          </w:p>
        </w:tc>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–Approved by MHLW</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–Lichen simplex</w:t>
            </w:r>
          </w:p>
        </w:tc>
        <w:tc>
          <w:tcPr>
            <w:tcW w:w="1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Japan)</w:t>
            </w: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2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for COPD</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chronicus</w:t>
            </w: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–Allergic fungal</w:t>
            </w:r>
          </w:p>
        </w:tc>
        <w:tc>
          <w:tcPr>
            <w:tcW w:w="1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–Approved by FDA and</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rhinosinusitis</w:t>
            </w: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("AFRS") (U.S.)</w:t>
            </w:r>
          </w:p>
        </w:tc>
        <w:tc>
          <w:tcPr>
            <w:tcW w:w="1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EC for CSU in adults</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adolescents</w:t>
            </w:r>
          </w:p>
        </w:tc>
        <w:tc>
          <w:tcPr>
            <w:tcW w:w="0" w:type="dxa"/>
            <w:vAlign w:val="bottom"/>
          </w:tcPr>
          <w:p>
            <w:pPr>
              <w:spacing w:after="0"/>
              <w:rPr>
                <w:sz w:val="1"/>
                <w:szCs w:val="1"/>
                <w:color w:val="auto"/>
              </w:rPr>
            </w:pPr>
          </w:p>
        </w:tc>
      </w:tr>
      <w:tr>
        <w:trPr>
          <w:trHeight w:val="364"/>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–Presented positive data</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from Phase 2/3 bullous</w:t>
            </w: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pemphigoid trial at 2025</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American Academy of</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Dermatology ("AAD")</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Meeting</w:t>
            </w:r>
          </w:p>
        </w:tc>
        <w:tc>
          <w:tcPr>
            <w:tcW w:w="0" w:type="dxa"/>
            <w:vAlign w:val="bottom"/>
          </w:tcPr>
          <w:p>
            <w:pPr>
              <w:spacing w:after="0"/>
              <w:rPr>
                <w:sz w:val="1"/>
                <w:szCs w:val="1"/>
                <w:color w:val="auto"/>
              </w:rPr>
            </w:pPr>
          </w:p>
        </w:tc>
      </w:tr>
      <w:tr>
        <w:trPr>
          <w:trHeight w:val="364"/>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by FDA for</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bullous pemphigoid</w:t>
            </w:r>
          </w:p>
        </w:tc>
        <w:tc>
          <w:tcPr>
            <w:tcW w:w="0" w:type="dxa"/>
            <w:vAlign w:val="bottom"/>
          </w:tcPr>
          <w:p>
            <w:pPr>
              <w:spacing w:after="0"/>
              <w:rPr>
                <w:sz w:val="1"/>
                <w:szCs w:val="1"/>
                <w:color w:val="auto"/>
              </w:rPr>
            </w:pPr>
          </w:p>
        </w:tc>
      </w:tr>
      <w:tr>
        <w:trPr>
          <w:trHeight w:val="373"/>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that Phase 3</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trial in AFRS met its</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primary and key</w:t>
            </w:r>
          </w:p>
        </w:tc>
        <w:tc>
          <w:tcPr>
            <w:tcW w:w="0" w:type="dxa"/>
            <w:vAlign w:val="bottom"/>
          </w:tcPr>
          <w:p>
            <w:pPr>
              <w:spacing w:after="0"/>
              <w:rPr>
                <w:sz w:val="1"/>
                <w:szCs w:val="1"/>
                <w:color w:val="auto"/>
              </w:rPr>
            </w:pPr>
          </w:p>
        </w:tc>
      </w:tr>
      <w:tr>
        <w:trPr>
          <w:trHeight w:val="234"/>
        </w:trPr>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Kevzara (sarilumab)</w:t>
            </w:r>
            <w:r>
              <w:rPr>
                <w:rFonts w:ascii="Times New Roman" w:cs="Times New Roman" w:eastAsia="Times New Roman" w:hAnsi="Times New Roman"/>
                <w:sz w:val="23"/>
                <w:szCs w:val="23"/>
                <w:b w:val="1"/>
                <w:bCs w:val="1"/>
                <w:color w:val="auto"/>
                <w:vertAlign w:val="superscript"/>
              </w:rPr>
              <w:t>(b)</w:t>
            </w: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–Systemic juvenile</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secondary endpoints</w:t>
            </w:r>
          </w:p>
        </w:tc>
        <w:tc>
          <w:tcPr>
            <w:tcW w:w="0" w:type="dxa"/>
            <w:vAlign w:val="bottom"/>
          </w:tcPr>
          <w:p>
            <w:pPr>
              <w:spacing w:after="0"/>
              <w:rPr>
                <w:sz w:val="1"/>
                <w:szCs w:val="1"/>
                <w:color w:val="auto"/>
              </w:rPr>
            </w:pPr>
          </w:p>
        </w:tc>
      </w:tr>
      <w:tr>
        <w:trPr>
          <w:trHeight w:val="216"/>
        </w:trPr>
        <w:tc>
          <w:tcPr>
            <w:tcW w:w="212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by EC for</w:t>
            </w:r>
          </w:p>
        </w:tc>
        <w:tc>
          <w:tcPr>
            <w:tcW w:w="0" w:type="dxa"/>
            <w:vAlign w:val="bottom"/>
          </w:tcPr>
          <w:p>
            <w:pPr>
              <w:spacing w:after="0"/>
              <w:rPr>
                <w:sz w:val="1"/>
                <w:szCs w:val="1"/>
                <w:color w:val="auto"/>
              </w:rPr>
            </w:pPr>
          </w:p>
        </w:tc>
      </w:tr>
      <w:tr>
        <w:trPr>
          <w:trHeight w:val="164"/>
        </w:trPr>
        <w:tc>
          <w:tcPr>
            <w:tcW w:w="212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8"/>
                <w:szCs w:val="18"/>
                <w:i w:val="1"/>
                <w:iCs w:val="1"/>
                <w:color w:val="auto"/>
              </w:rPr>
              <w:t>Antibody to IL-6R</w:t>
            </w:r>
          </w:p>
        </w:tc>
        <w:tc>
          <w:tcPr>
            <w:tcW w:w="166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8"/>
                <w:szCs w:val="18"/>
                <w:color w:val="auto"/>
              </w:rPr>
              <w:t>idiopathic arthritis</w:t>
            </w: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color w:val="auto"/>
              </w:rPr>
              <w:t>pJIA</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("sJIA") (pivotal</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-3995420</wp:posOffset>
            </wp:positionV>
            <wp:extent cx="7132320" cy="3642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642995"/>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8"/>
          <w:szCs w:val="18"/>
          <w:color w:val="auto"/>
        </w:rPr>
        <w:t>study)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 Upcoming</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4445</wp:posOffset>
            </wp:positionV>
            <wp:extent cx="13373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–Report initial results from</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lead-in cohort of Phase 3 study in geographic atrophy (combination and</w:t>
      </w:r>
    </w:p>
    <w:p>
      <w:pPr>
        <w:spacing w:after="0" w:line="205" w:lineRule="auto"/>
        <w:rPr>
          <w:sz w:val="20"/>
          <w:szCs w:val="20"/>
          <w:color w:val="auto"/>
        </w:rPr>
      </w:pPr>
      <w:r>
        <w:rPr>
          <w:rFonts w:ascii="Times New Roman" w:cs="Times New Roman" w:eastAsia="Times New Roman" w:hAnsi="Times New Roman"/>
          <w:sz w:val="18"/>
          <w:szCs w:val="18"/>
          <w:color w:val="auto"/>
        </w:rPr>
        <w:t>cemdisiran monotherapy)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half 2026)</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 decision on regulatory</w:t>
      </w:r>
    </w:p>
    <w:p>
      <w:pPr>
        <w:spacing w:after="0" w:line="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submission for bullous pemphigoid (first half 2026)</w:t>
      </w:r>
    </w:p>
    <w:p>
      <w:pPr>
        <w:spacing w:after="0" w:line="18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–FDA decision on sBLA for AFRS (February 2026)</w:t>
      </w:r>
    </w:p>
    <w:p>
      <w:pPr>
        <w:spacing w:after="0" w:line="4967" w:lineRule="exact"/>
        <w:rPr>
          <w:sz w:val="20"/>
          <w:szCs w:val="20"/>
          <w:color w:val="auto"/>
        </w:rPr>
      </w:pPr>
    </w:p>
    <w:p>
      <w:pPr>
        <w:sectPr>
          <w:pgSz w:w="11900" w:h="16838" w:orient="portrait"/>
          <w:cols w:equalWidth="0" w:num="2">
            <w:col w:w="9060" w:space="100"/>
            <w:col w:w="208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17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7"/>
                <w:szCs w:val="17"/>
                <w:b w:val="1"/>
                <w:bCs w:val="1"/>
                <w:color w:val="auto"/>
              </w:rPr>
              <w:t>Itepekimab</w:t>
            </w:r>
            <w:r>
              <w:rPr>
                <w:rFonts w:ascii="Times New Roman" w:cs="Times New Roman" w:eastAsia="Times New Roman" w:hAnsi="Times New Roman"/>
                <w:sz w:val="21"/>
                <w:szCs w:val="21"/>
                <w:b w:val="1"/>
                <w:bCs w:val="1"/>
                <w:color w:val="auto"/>
                <w:vertAlign w:val="superscript"/>
              </w:rPr>
              <w:t>(b)</w:t>
            </w:r>
          </w:p>
        </w:tc>
        <w:tc>
          <w:tcPr>
            <w:tcW w:w="1740" w:type="dxa"/>
            <w:vAlign w:val="bottom"/>
            <w:shd w:val="clear" w:color="auto" w:fill="CCEEFF"/>
          </w:tcPr>
          <w:p>
            <w:pPr>
              <w:ind w:left="420"/>
              <w:spacing w:after="0" w:line="188" w:lineRule="exact"/>
              <w:rPr>
                <w:sz w:val="20"/>
                <w:szCs w:val="20"/>
                <w:color w:val="auto"/>
              </w:rPr>
            </w:pPr>
            <w:r>
              <w:rPr>
                <w:rFonts w:ascii="Times New Roman" w:cs="Times New Roman" w:eastAsia="Times New Roman" w:hAnsi="Times New Roman"/>
                <w:sz w:val="18"/>
                <w:szCs w:val="18"/>
                <w:color w:val="auto"/>
              </w:rPr>
              <w:t>–Chronic</w:t>
            </w:r>
          </w:p>
        </w:tc>
        <w:tc>
          <w:tcPr>
            <w:tcW w:w="2440" w:type="dxa"/>
            <w:vAlign w:val="bottom"/>
            <w:shd w:val="clear" w:color="auto" w:fill="CCEEFF"/>
          </w:tcPr>
          <w:p>
            <w:pPr>
              <w:ind w:left="340"/>
              <w:spacing w:after="0" w:line="188" w:lineRule="exact"/>
              <w:rPr>
                <w:sz w:val="20"/>
                <w:szCs w:val="20"/>
                <w:color w:val="auto"/>
              </w:rPr>
            </w:pPr>
            <w:r>
              <w:rPr>
                <w:rFonts w:ascii="Times New Roman" w:cs="Times New Roman" w:eastAsia="Times New Roman" w:hAnsi="Times New Roman"/>
                <w:sz w:val="17"/>
                <w:szCs w:val="17"/>
                <w:color w:val="auto"/>
              </w:rPr>
              <w:t>–COPD</w:t>
            </w:r>
            <w:r>
              <w:rPr>
                <w:rFonts w:ascii="Times New Roman" w:cs="Times New Roman" w:eastAsia="Times New Roman" w:hAnsi="Times New Roman"/>
                <w:sz w:val="21"/>
                <w:szCs w:val="21"/>
                <w:color w:val="auto"/>
                <w:vertAlign w:val="superscript"/>
              </w:rPr>
              <w:t>(e)</w:t>
            </w:r>
          </w:p>
        </w:tc>
        <w:tc>
          <w:tcPr>
            <w:tcW w:w="5340" w:type="dxa"/>
            <w:vAlign w:val="bottom"/>
            <w:shd w:val="clear" w:color="auto" w:fill="CCEEFF"/>
          </w:tcPr>
          <w:p>
            <w:pPr>
              <w:ind w:left="1300"/>
              <w:spacing w:after="0" w:line="188" w:lineRule="exact"/>
              <w:rPr>
                <w:sz w:val="20"/>
                <w:szCs w:val="20"/>
                <w:color w:val="auto"/>
              </w:rPr>
            </w:pPr>
            <w:r>
              <w:rPr>
                <w:rFonts w:ascii="Times New Roman" w:cs="Times New Roman" w:eastAsia="Times New Roman" w:hAnsi="Times New Roman"/>
                <w:sz w:val="18"/>
                <w:szCs w:val="18"/>
                <w:color w:val="auto"/>
              </w:rPr>
              <w:t>–Reported that Phase 3</w:t>
            </w:r>
          </w:p>
        </w:tc>
        <w:tc>
          <w:tcPr>
            <w:tcW w:w="0" w:type="dxa"/>
            <w:vAlign w:val="bottom"/>
          </w:tcPr>
          <w:p>
            <w:pPr>
              <w:spacing w:after="0"/>
              <w:rPr>
                <w:sz w:val="1"/>
                <w:szCs w:val="1"/>
                <w:color w:val="auto"/>
              </w:rPr>
            </w:pPr>
          </w:p>
        </w:tc>
      </w:tr>
      <w:tr>
        <w:trPr>
          <w:trHeight w:val="184"/>
        </w:trPr>
        <w:tc>
          <w:tcPr>
            <w:tcW w:w="17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(REGN3500)</w:t>
            </w:r>
          </w:p>
        </w:tc>
        <w:tc>
          <w:tcPr>
            <w:tcW w:w="1740" w:type="dxa"/>
            <w:vAlign w:val="bottom"/>
            <w:shd w:val="clear" w:color="auto" w:fill="CCEEFF"/>
          </w:tcPr>
          <w:p>
            <w:pPr>
              <w:ind w:left="420"/>
              <w:spacing w:after="0" w:line="184" w:lineRule="exact"/>
              <w:rPr>
                <w:sz w:val="20"/>
                <w:szCs w:val="20"/>
                <w:color w:val="auto"/>
              </w:rPr>
            </w:pPr>
            <w:r>
              <w:rPr>
                <w:rFonts w:ascii="Times New Roman" w:cs="Times New Roman" w:eastAsia="Times New Roman" w:hAnsi="Times New Roman"/>
                <w:sz w:val="18"/>
                <w:szCs w:val="18"/>
                <w:color w:val="auto"/>
              </w:rPr>
              <w:t>rhinosinusitis</w:t>
            </w:r>
          </w:p>
        </w:tc>
        <w:tc>
          <w:tcPr>
            <w:tcW w:w="2440" w:type="dxa"/>
            <w:vAlign w:val="bottom"/>
            <w:shd w:val="clear" w:color="auto" w:fill="CCEEFF"/>
          </w:tcPr>
          <w:p>
            <w:pPr>
              <w:spacing w:after="0"/>
              <w:rPr>
                <w:sz w:val="16"/>
                <w:szCs w:val="16"/>
                <w:color w:val="auto"/>
              </w:rPr>
            </w:pPr>
          </w:p>
        </w:tc>
        <w:tc>
          <w:tcPr>
            <w:tcW w:w="5340" w:type="dxa"/>
            <w:vAlign w:val="bottom"/>
            <w:shd w:val="clear" w:color="auto" w:fill="CCEEFF"/>
          </w:tcPr>
          <w:p>
            <w:pPr>
              <w:ind w:left="1300"/>
              <w:spacing w:after="0" w:line="184" w:lineRule="exact"/>
              <w:rPr>
                <w:sz w:val="20"/>
                <w:szCs w:val="20"/>
                <w:color w:val="auto"/>
              </w:rPr>
            </w:pPr>
            <w:r>
              <w:rPr>
                <w:rFonts w:ascii="Times New Roman" w:cs="Times New Roman" w:eastAsia="Times New Roman" w:hAnsi="Times New Roman"/>
                <w:sz w:val="18"/>
                <w:szCs w:val="18"/>
                <w:color w:val="auto"/>
              </w:rPr>
              <w:t>trial (AERIFY-1) in</w:t>
            </w:r>
          </w:p>
        </w:tc>
        <w:tc>
          <w:tcPr>
            <w:tcW w:w="0" w:type="dxa"/>
            <w:vAlign w:val="bottom"/>
          </w:tcPr>
          <w:p>
            <w:pPr>
              <w:spacing w:after="0"/>
              <w:rPr>
                <w:sz w:val="1"/>
                <w:szCs w:val="1"/>
                <w:color w:val="auto"/>
              </w:rPr>
            </w:pPr>
          </w:p>
        </w:tc>
      </w:tr>
      <w:tr>
        <w:trPr>
          <w:trHeight w:val="175"/>
        </w:trPr>
        <w:tc>
          <w:tcPr>
            <w:tcW w:w="1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IL-33</w:t>
            </w:r>
          </w:p>
        </w:tc>
        <w:tc>
          <w:tcPr>
            <w:tcW w:w="174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without nasal</w:t>
            </w:r>
          </w:p>
        </w:tc>
        <w:tc>
          <w:tcPr>
            <w:tcW w:w="24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–CRSwNP</w:t>
            </w:r>
          </w:p>
        </w:tc>
        <w:tc>
          <w:tcPr>
            <w:tcW w:w="5340" w:type="dxa"/>
            <w:vAlign w:val="bottom"/>
            <w:shd w:val="clear" w:color="auto" w:fill="CCEEFF"/>
          </w:tcPr>
          <w:p>
            <w:pPr>
              <w:ind w:left="1300"/>
              <w:spacing w:after="0" w:line="176" w:lineRule="exact"/>
              <w:rPr>
                <w:sz w:val="20"/>
                <w:szCs w:val="20"/>
                <w:color w:val="auto"/>
              </w:rPr>
            </w:pPr>
            <w:r>
              <w:rPr>
                <w:rFonts w:ascii="Times New Roman" w:cs="Times New Roman" w:eastAsia="Times New Roman" w:hAnsi="Times New Roman"/>
                <w:sz w:val="18"/>
                <w:szCs w:val="18"/>
                <w:color w:val="auto"/>
              </w:rPr>
              <w:t>COPD met its primary</w:t>
            </w:r>
          </w:p>
        </w:tc>
        <w:tc>
          <w:tcPr>
            <w:tcW w:w="0" w:type="dxa"/>
            <w:vAlign w:val="bottom"/>
          </w:tcPr>
          <w:p>
            <w:pPr>
              <w:spacing w:after="0"/>
              <w:rPr>
                <w:sz w:val="1"/>
                <w:szCs w:val="1"/>
                <w:color w:val="auto"/>
              </w:rPr>
            </w:pPr>
          </w:p>
        </w:tc>
      </w:tr>
      <w:tr>
        <w:trPr>
          <w:trHeight w:val="122"/>
        </w:trPr>
        <w:tc>
          <w:tcPr>
            <w:tcW w:w="1720" w:type="dxa"/>
            <w:vAlign w:val="bottom"/>
            <w:shd w:val="clear" w:color="auto" w:fill="CCEEFF"/>
          </w:tcPr>
          <w:p>
            <w:pPr>
              <w:spacing w:after="0"/>
              <w:rPr>
                <w:sz w:val="10"/>
                <w:szCs w:val="10"/>
                <w:color w:val="auto"/>
              </w:rPr>
            </w:pPr>
          </w:p>
        </w:tc>
        <w:tc>
          <w:tcPr>
            <w:tcW w:w="1740" w:type="dxa"/>
            <w:vAlign w:val="bottom"/>
            <w:vMerge w:val="restart"/>
            <w:shd w:val="clear" w:color="auto" w:fill="CCEEFF"/>
          </w:tcPr>
          <w:p>
            <w:pPr>
              <w:ind w:left="420"/>
              <w:spacing w:after="0" w:line="184" w:lineRule="exact"/>
              <w:rPr>
                <w:sz w:val="20"/>
                <w:szCs w:val="20"/>
                <w:color w:val="auto"/>
              </w:rPr>
            </w:pPr>
            <w:r>
              <w:rPr>
                <w:rFonts w:ascii="Times New Roman" w:cs="Times New Roman" w:eastAsia="Times New Roman" w:hAnsi="Times New Roman"/>
                <w:sz w:val="18"/>
                <w:szCs w:val="18"/>
                <w:color w:val="auto"/>
              </w:rPr>
              <w:t>polyposis</w:t>
            </w:r>
          </w:p>
        </w:tc>
        <w:tc>
          <w:tcPr>
            <w:tcW w:w="2440" w:type="dxa"/>
            <w:vAlign w:val="bottom"/>
            <w:vMerge w:val="continue"/>
            <w:shd w:val="clear" w:color="auto" w:fill="CCEEFF"/>
          </w:tcPr>
          <w:p>
            <w:pPr>
              <w:spacing w:after="0"/>
              <w:rPr>
                <w:sz w:val="10"/>
                <w:szCs w:val="10"/>
                <w:color w:val="auto"/>
              </w:rPr>
            </w:pPr>
          </w:p>
        </w:tc>
        <w:tc>
          <w:tcPr>
            <w:tcW w:w="5340" w:type="dxa"/>
            <w:vAlign w:val="bottom"/>
            <w:vMerge w:val="restart"/>
            <w:shd w:val="clear" w:color="auto" w:fill="CCEEFF"/>
          </w:tcPr>
          <w:p>
            <w:pPr>
              <w:ind w:left="1300"/>
              <w:spacing w:after="0" w:line="184" w:lineRule="exact"/>
              <w:rPr>
                <w:sz w:val="20"/>
                <w:szCs w:val="20"/>
                <w:color w:val="auto"/>
              </w:rPr>
            </w:pPr>
            <w:r>
              <w:rPr>
                <w:rFonts w:ascii="Times New Roman" w:cs="Times New Roman" w:eastAsia="Times New Roman" w:hAnsi="Times New Roman"/>
                <w:sz w:val="18"/>
                <w:szCs w:val="18"/>
                <w:color w:val="auto"/>
              </w:rPr>
              <w:t>endpoint; second Phase 3</w:t>
            </w:r>
          </w:p>
        </w:tc>
        <w:tc>
          <w:tcPr>
            <w:tcW w:w="0" w:type="dxa"/>
            <w:vAlign w:val="bottom"/>
          </w:tcPr>
          <w:p>
            <w:pPr>
              <w:spacing w:after="0"/>
              <w:rPr>
                <w:sz w:val="1"/>
                <w:szCs w:val="1"/>
                <w:color w:val="auto"/>
              </w:rPr>
            </w:pPr>
          </w:p>
        </w:tc>
      </w:tr>
      <w:tr>
        <w:trPr>
          <w:trHeight w:val="63"/>
        </w:trPr>
        <w:tc>
          <w:tcPr>
            <w:tcW w:w="1720" w:type="dxa"/>
            <w:vAlign w:val="bottom"/>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2440" w:type="dxa"/>
            <w:vAlign w:val="bottom"/>
            <w:shd w:val="clear" w:color="auto" w:fill="CCEEFF"/>
          </w:tcPr>
          <w:p>
            <w:pPr>
              <w:spacing w:after="0"/>
              <w:rPr>
                <w:sz w:val="5"/>
                <w:szCs w:val="5"/>
                <w:color w:val="auto"/>
              </w:rPr>
            </w:pPr>
          </w:p>
        </w:tc>
        <w:tc>
          <w:tcPr>
            <w:tcW w:w="53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spacing w:after="0"/>
              <w:rPr>
                <w:sz w:val="15"/>
                <w:szCs w:val="15"/>
                <w:color w:val="auto"/>
              </w:rPr>
            </w:pPr>
          </w:p>
        </w:tc>
        <w:tc>
          <w:tcPr>
            <w:tcW w:w="1740" w:type="dxa"/>
            <w:vAlign w:val="bottom"/>
            <w:shd w:val="clear" w:color="auto" w:fill="CCEEFF"/>
          </w:tcPr>
          <w:p>
            <w:pPr>
              <w:ind w:left="420"/>
              <w:spacing w:after="0" w:line="181" w:lineRule="exact"/>
              <w:rPr>
                <w:sz w:val="20"/>
                <w:szCs w:val="20"/>
                <w:color w:val="auto"/>
              </w:rPr>
            </w:pPr>
            <w:r>
              <w:rPr>
                <w:rFonts w:ascii="Times New Roman" w:cs="Times New Roman" w:eastAsia="Times New Roman" w:hAnsi="Times New Roman"/>
                <w:sz w:val="18"/>
                <w:szCs w:val="18"/>
                <w:color w:val="auto"/>
              </w:rPr>
              <w:t>("CRSsNP")</w:t>
            </w:r>
          </w:p>
        </w:tc>
        <w:tc>
          <w:tcPr>
            <w:tcW w:w="2440" w:type="dxa"/>
            <w:vAlign w:val="bottom"/>
            <w:shd w:val="clear" w:color="auto" w:fill="CCEEFF"/>
          </w:tcPr>
          <w:p>
            <w:pPr>
              <w:spacing w:after="0"/>
              <w:rPr>
                <w:sz w:val="15"/>
                <w:szCs w:val="15"/>
                <w:color w:val="auto"/>
              </w:rPr>
            </w:pPr>
          </w:p>
        </w:tc>
        <w:tc>
          <w:tcPr>
            <w:tcW w:w="5340" w:type="dxa"/>
            <w:vAlign w:val="bottom"/>
            <w:shd w:val="clear" w:color="auto" w:fill="CCEEFF"/>
          </w:tcPr>
          <w:p>
            <w:pPr>
              <w:ind w:left="1300"/>
              <w:spacing w:after="0" w:line="181" w:lineRule="exact"/>
              <w:rPr>
                <w:sz w:val="20"/>
                <w:szCs w:val="20"/>
                <w:color w:val="auto"/>
              </w:rPr>
            </w:pPr>
            <w:r>
              <w:rPr>
                <w:rFonts w:ascii="Times New Roman" w:cs="Times New Roman" w:eastAsia="Times New Roman" w:hAnsi="Times New Roman"/>
                <w:sz w:val="18"/>
                <w:szCs w:val="18"/>
                <w:color w:val="auto"/>
              </w:rPr>
              <w:t>trial (AERIFY-2) did not</w:t>
            </w:r>
          </w:p>
        </w:tc>
        <w:tc>
          <w:tcPr>
            <w:tcW w:w="0" w:type="dxa"/>
            <w:vAlign w:val="bottom"/>
          </w:tcPr>
          <w:p>
            <w:pPr>
              <w:spacing w:after="0"/>
              <w:rPr>
                <w:sz w:val="1"/>
                <w:szCs w:val="1"/>
                <w:color w:val="auto"/>
              </w:rPr>
            </w:pPr>
          </w:p>
        </w:tc>
      </w:tr>
      <w:tr>
        <w:trPr>
          <w:trHeight w:val="175"/>
        </w:trPr>
        <w:tc>
          <w:tcPr>
            <w:tcW w:w="17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5340" w:type="dxa"/>
            <w:vAlign w:val="bottom"/>
            <w:shd w:val="clear" w:color="auto" w:fill="CCEEFF"/>
          </w:tcPr>
          <w:p>
            <w:pPr>
              <w:ind w:left="1300"/>
              <w:spacing w:after="0" w:line="176" w:lineRule="exact"/>
              <w:rPr>
                <w:sz w:val="20"/>
                <w:szCs w:val="20"/>
                <w:color w:val="auto"/>
              </w:rPr>
            </w:pPr>
            <w:r>
              <w:rPr>
                <w:rFonts w:ascii="Times New Roman" w:cs="Times New Roman" w:eastAsia="Times New Roman" w:hAnsi="Times New Roman"/>
                <w:sz w:val="18"/>
                <w:szCs w:val="18"/>
                <w:color w:val="auto"/>
              </w:rPr>
              <w:t>meet same primary</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53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endpoint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6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2025 and 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40"/>
        </w:trPr>
        <w:tc>
          <w:tcPr>
            <w:tcW w:w="20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58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8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8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Itepekimab</w:t>
            </w:r>
            <w:r>
              <w:rPr>
                <w:rFonts w:ascii="Times New Roman" w:cs="Times New Roman" w:eastAsia="Times New Roman" w:hAnsi="Times New Roman"/>
                <w:sz w:val="23"/>
                <w:szCs w:val="23"/>
                <w:b w:val="1"/>
                <w:bCs w:val="1"/>
                <w:color w:val="auto"/>
                <w:vertAlign w:val="superscript"/>
              </w:rPr>
              <w:t>(b)</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Phase 2</w:t>
            </w: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(REGN3500) </w:t>
            </w:r>
            <w:r>
              <w:rPr>
                <w:rFonts w:ascii="Times New Roman" w:cs="Times New Roman" w:eastAsia="Times New Roman" w:hAnsi="Times New Roman"/>
                <w:sz w:val="18"/>
                <w:szCs w:val="18"/>
                <w:i w:val="1"/>
                <w:iCs w:val="1"/>
                <w:color w:val="auto"/>
              </w:rPr>
              <w:t>(continued)</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study in non-cystic</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fibrosis bronchiectasis</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("NCFB")</w:t>
            </w: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REGN5713-5715</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–Birch allergy</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–Reported that Phase 3</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Multi-antibody therapy to</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trial in birch allergy met</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Bet v 1</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its primary and key</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secondary endpoints</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–Initiated second Phase 3</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trial in birch allergy</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REGN1908-1909</w:t>
            </w:r>
            <w:r>
              <w:rPr>
                <w:rFonts w:ascii="Times New Roman" w:cs="Times New Roman" w:eastAsia="Times New Roman" w:hAnsi="Times New Roman"/>
                <w:sz w:val="23"/>
                <w:szCs w:val="23"/>
                <w:b w:val="1"/>
                <w:bCs w:val="1"/>
                <w:color w:val="auto"/>
                <w:vertAlign w:val="superscript"/>
              </w:rPr>
              <w:t>(f)</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 allergy</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that Phase 3</w:t>
            </w: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 second Phase 3</w:t>
            </w:r>
          </w:p>
        </w:tc>
        <w:tc>
          <w:tcPr>
            <w:tcW w:w="0" w:type="dxa"/>
            <w:vAlign w:val="bottom"/>
          </w:tcPr>
          <w:p>
            <w:pPr>
              <w:spacing w:after="0"/>
              <w:rPr>
                <w:sz w:val="1"/>
                <w:szCs w:val="1"/>
                <w:color w:val="auto"/>
              </w:rPr>
            </w:pPr>
          </w:p>
        </w:tc>
      </w:tr>
      <w:tr>
        <w:trPr>
          <w:trHeight w:val="176"/>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Multi-antibody therapy to</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trial in cat allergy met its</w:t>
            </w: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study in cat allergy (first</w:t>
            </w:r>
          </w:p>
        </w:tc>
        <w:tc>
          <w:tcPr>
            <w:tcW w:w="0" w:type="dxa"/>
            <w:vAlign w:val="bottom"/>
          </w:tcPr>
          <w:p>
            <w:pPr>
              <w:spacing w:after="0"/>
              <w:rPr>
                <w:sz w:val="1"/>
                <w:szCs w:val="1"/>
                <w:color w:val="auto"/>
              </w:rPr>
            </w:pPr>
          </w:p>
        </w:tc>
      </w:tr>
      <w:tr>
        <w:trPr>
          <w:trHeight w:val="189"/>
        </w:trPr>
        <w:tc>
          <w:tcPr>
            <w:tcW w:w="21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Fel d 1</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primary and key</w:t>
            </w:r>
          </w:p>
        </w:tc>
        <w:tc>
          <w:tcPr>
            <w:tcW w:w="2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half 2026)</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secondary endpoints</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ectPr>
          <w:pgSz w:w="11900" w:h="16838" w:orient="portrait"/>
          <w:cols w:equalWidth="0" w:num="1">
            <w:col w:w="11240"/>
          </w:cols>
          <w:pgMar w:left="320" w:top="369" w:right="339" w:bottom="1440" w:gutter="0" w:footer="0" w:header="0"/>
        </w:sectPr>
      </w:pPr>
    </w:p>
    <w:tbl>
      <w:tblPr>
        <w:tblLayout w:type="fixed"/>
        <w:tblInd w:w="2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480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Solid Organ Oncology</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Libtayo (cemiplimab)</w:t>
            </w:r>
            <w:r>
              <w:rPr>
                <w:rFonts w:ascii="Times New Roman" w:cs="Times New Roman" w:eastAsia="Times New Roman" w:hAnsi="Times New Roman"/>
                <w:sz w:val="23"/>
                <w:szCs w:val="23"/>
                <w:b w:val="1"/>
                <w:bCs w:val="1"/>
                <w:color w:val="auto"/>
                <w:vertAlign w:val="superscript"/>
              </w:rPr>
              <w:t>(g)</w:t>
            </w: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–Neoadjuvant CSCC  –Early-stage CSCC</w:t>
            </w:r>
          </w:p>
        </w:tc>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–Adjuvant CSCC</w:t>
            </w:r>
          </w:p>
        </w:tc>
      </w:tr>
      <w:tr>
        <w:trPr>
          <w:trHeight w:val="231"/>
        </w:trPr>
        <w:tc>
          <w:tcPr>
            <w:tcW w:w="1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Antibody to PD-1</w:t>
            </w:r>
          </w:p>
        </w:tc>
        <w:tc>
          <w:tcPr>
            <w:tcW w:w="3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(intralesional)</w:t>
            </w:r>
          </w:p>
        </w:tc>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(Japan)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140"/>
        <w:spacing w:after="0" w:line="190" w:lineRule="auto"/>
        <w:rPr>
          <w:sz w:val="20"/>
          <w:szCs w:val="20"/>
          <w:color w:val="auto"/>
        </w:rPr>
      </w:pPr>
      <w:r>
        <w:rPr>
          <w:rFonts w:ascii="Times New Roman" w:cs="Times New Roman" w:eastAsia="Times New Roman" w:hAnsi="Times New Roman"/>
          <w:sz w:val="18"/>
          <w:szCs w:val="18"/>
          <w:color w:val="auto"/>
        </w:rPr>
        <w:t>–First-line NSCLC,</w:t>
      </w:r>
    </w:p>
    <w:p>
      <w:pPr>
        <w:ind w:left="2140"/>
        <w:spacing w:after="0" w:line="185" w:lineRule="auto"/>
        <w:rPr>
          <w:sz w:val="20"/>
          <w:szCs w:val="20"/>
          <w:color w:val="auto"/>
        </w:rPr>
      </w:pPr>
      <w:r>
        <w:rPr>
          <w:rFonts w:ascii="Times New Roman" w:cs="Times New Roman" w:eastAsia="Times New Roman" w:hAnsi="Times New Roman"/>
          <w:sz w:val="17"/>
          <w:szCs w:val="17"/>
          <w:color w:val="auto"/>
        </w:rPr>
        <w:t>BNT116</w:t>
      </w:r>
      <w:r>
        <w:rPr>
          <w:rFonts w:ascii="Times New Roman" w:cs="Times New Roman" w:eastAsia="Times New Roman" w:hAnsi="Times New Roman"/>
          <w:sz w:val="21"/>
          <w:szCs w:val="21"/>
          <w:color w:val="auto"/>
          <w:vertAlign w:val="superscript"/>
        </w:rPr>
        <w:t>(i)</w:t>
      </w:r>
    </w:p>
    <w:p>
      <w:pPr>
        <w:spacing w:after="0" w:line="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combination</w:t>
      </w:r>
    </w:p>
    <w:p>
      <w:pPr>
        <w:spacing w:after="0" w:line="19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–Neoadjuvant</w:t>
      </w:r>
    </w:p>
    <w:p>
      <w:pPr>
        <w:ind w:left="2140"/>
        <w:spacing w:after="0"/>
        <w:rPr>
          <w:sz w:val="20"/>
          <w:szCs w:val="20"/>
          <w:color w:val="auto"/>
        </w:rPr>
      </w:pPr>
      <w:r>
        <w:rPr>
          <w:rFonts w:ascii="Times New Roman" w:cs="Times New Roman" w:eastAsia="Times New Roman" w:hAnsi="Times New Roman"/>
          <w:sz w:val="18"/>
          <w:szCs w:val="18"/>
          <w:color w:val="auto"/>
        </w:rPr>
        <w:t>NSCLC</w:t>
      </w:r>
    </w:p>
    <w:p>
      <w:pPr>
        <w:spacing w:after="0" w:line="19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–Neoadjuvant</w:t>
      </w:r>
    </w:p>
    <w:p>
      <w:pPr>
        <w:ind w:left="2140"/>
        <w:spacing w:after="0" w:line="205" w:lineRule="auto"/>
        <w:rPr>
          <w:sz w:val="20"/>
          <w:szCs w:val="20"/>
          <w:color w:val="auto"/>
        </w:rPr>
      </w:pPr>
      <w:r>
        <w:rPr>
          <w:rFonts w:ascii="Times New Roman" w:cs="Times New Roman" w:eastAsia="Times New Roman" w:hAnsi="Times New Roman"/>
          <w:sz w:val="18"/>
          <w:szCs w:val="18"/>
          <w:color w:val="auto"/>
        </w:rPr>
        <w:t>hepatocellular</w:t>
      </w:r>
    </w:p>
    <w:p>
      <w:pPr>
        <w:spacing w:after="0" w:line="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carcinoma ("HCC")</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FDA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 for adjuvant CSCC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positive data</w:t>
      </w:r>
    </w:p>
    <w:p>
      <w:pPr>
        <w:spacing w:after="0" w:line="219" w:lineRule="auto"/>
        <w:rPr>
          <w:sz w:val="20"/>
          <w:szCs w:val="20"/>
          <w:color w:val="auto"/>
        </w:rPr>
      </w:pPr>
      <w:r>
        <w:rPr>
          <w:rFonts w:ascii="Times New Roman" w:cs="Times New Roman" w:eastAsia="Times New Roman" w:hAnsi="Times New Roman"/>
          <w:sz w:val="18"/>
          <w:szCs w:val="18"/>
          <w:color w:val="auto"/>
        </w:rPr>
        <w:t>from Phase 3 trial in</w:t>
      </w:r>
    </w:p>
    <w:p>
      <w:pPr>
        <w:spacing w:after="0" w:line="203" w:lineRule="auto"/>
        <w:rPr>
          <w:sz w:val="20"/>
          <w:szCs w:val="20"/>
          <w:color w:val="auto"/>
        </w:rPr>
      </w:pPr>
      <w:r>
        <w:rPr>
          <w:rFonts w:ascii="Times New Roman" w:cs="Times New Roman" w:eastAsia="Times New Roman" w:hAnsi="Times New Roman"/>
          <w:sz w:val="18"/>
          <w:szCs w:val="18"/>
          <w:color w:val="auto"/>
        </w:rPr>
        <w:t>adjuvant CSCC; results</w:t>
      </w:r>
    </w:p>
    <w:p>
      <w:pPr>
        <w:spacing w:after="0" w:line="204" w:lineRule="auto"/>
        <w:rPr>
          <w:sz w:val="20"/>
          <w:szCs w:val="20"/>
          <w:color w:val="auto"/>
        </w:rPr>
      </w:pPr>
      <w:r>
        <w:rPr>
          <w:rFonts w:ascii="Times New Roman" w:cs="Times New Roman" w:eastAsia="Times New Roman" w:hAnsi="Times New Roman"/>
          <w:sz w:val="18"/>
          <w:szCs w:val="18"/>
          <w:color w:val="auto"/>
        </w:rPr>
        <w:t>presented at 2025</w:t>
      </w:r>
    </w:p>
    <w:p>
      <w:pPr>
        <w:spacing w:after="0" w:line="219" w:lineRule="auto"/>
        <w:rPr>
          <w:sz w:val="20"/>
          <w:szCs w:val="20"/>
          <w:color w:val="auto"/>
        </w:rPr>
      </w:pPr>
      <w:r>
        <w:rPr>
          <w:rFonts w:ascii="Times New Roman" w:cs="Times New Roman" w:eastAsia="Times New Roman" w:hAnsi="Times New Roman"/>
          <w:sz w:val="18"/>
          <w:szCs w:val="18"/>
          <w:color w:val="auto"/>
        </w:rPr>
        <w:t>American Society of</w:t>
      </w:r>
    </w:p>
    <w:p>
      <w:pPr>
        <w:spacing w:after="0" w:line="203" w:lineRule="auto"/>
        <w:rPr>
          <w:sz w:val="20"/>
          <w:szCs w:val="20"/>
          <w:color w:val="auto"/>
        </w:rPr>
      </w:pPr>
      <w:r>
        <w:rPr>
          <w:rFonts w:ascii="Times New Roman" w:cs="Times New Roman" w:eastAsia="Times New Roman" w:hAnsi="Times New Roman"/>
          <w:sz w:val="18"/>
          <w:szCs w:val="18"/>
          <w:color w:val="auto"/>
        </w:rPr>
        <w:t>Clinical Oncology</w:t>
      </w:r>
    </w:p>
    <w:p>
      <w:pPr>
        <w:spacing w:after="0" w:line="204" w:lineRule="auto"/>
        <w:rPr>
          <w:sz w:val="20"/>
          <w:szCs w:val="20"/>
          <w:color w:val="auto"/>
        </w:rPr>
      </w:pPr>
      <w:r>
        <w:rPr>
          <w:rFonts w:ascii="Times New Roman" w:cs="Times New Roman" w:eastAsia="Times New Roman" w:hAnsi="Times New Roman"/>
          <w:sz w:val="18"/>
          <w:szCs w:val="18"/>
          <w:color w:val="auto"/>
        </w:rPr>
        <w:t>("ASCO") Annual</w:t>
      </w:r>
    </w:p>
    <w:p>
      <w:pPr>
        <w:spacing w:after="0" w:line="219" w:lineRule="auto"/>
        <w:rPr>
          <w:sz w:val="20"/>
          <w:szCs w:val="20"/>
          <w:color w:val="auto"/>
        </w:rPr>
      </w:pPr>
      <w:r>
        <w:rPr>
          <w:rFonts w:ascii="Times New Roman" w:cs="Times New Roman" w:eastAsia="Times New Roman" w:hAnsi="Times New Roman"/>
          <w:sz w:val="18"/>
          <w:szCs w:val="18"/>
          <w:color w:val="auto"/>
        </w:rPr>
        <w:t>Meeting and published in</w:t>
      </w:r>
    </w:p>
    <w:p>
      <w:pPr>
        <w:spacing w:after="0" w:line="203" w:lineRule="auto"/>
        <w:rPr>
          <w:sz w:val="20"/>
          <w:szCs w:val="20"/>
          <w:color w:val="auto"/>
        </w:rPr>
      </w:pPr>
      <w:r>
        <w:rPr>
          <w:rFonts w:ascii="Times New Roman" w:cs="Times New Roman" w:eastAsia="Times New Roman" w:hAnsi="Times New Roman"/>
          <w:sz w:val="18"/>
          <w:szCs w:val="18"/>
          <w:i w:val="1"/>
          <w:iCs w:val="1"/>
          <w:color w:val="auto"/>
        </w:rPr>
        <w:t>New England Journal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Medicine ("NEJM")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MHLW</w:t>
      </w:r>
    </w:p>
    <w:p>
      <w:pPr>
        <w:spacing w:after="0" w:line="205" w:lineRule="auto"/>
        <w:rPr>
          <w:sz w:val="20"/>
          <w:szCs w:val="20"/>
          <w:color w:val="auto"/>
        </w:rPr>
      </w:pPr>
      <w:r>
        <w:rPr>
          <w:rFonts w:ascii="Times New Roman" w:cs="Times New Roman" w:eastAsia="Times New Roman" w:hAnsi="Times New Roman"/>
          <w:sz w:val="18"/>
          <w:szCs w:val="18"/>
          <w:color w:val="auto"/>
        </w:rPr>
        <w:t>for NSCLC,</w:t>
      </w:r>
    </w:p>
    <w:p>
      <w:pPr>
        <w:spacing w:after="0" w:line="204" w:lineRule="auto"/>
        <w:rPr>
          <w:sz w:val="20"/>
          <w:szCs w:val="20"/>
          <w:color w:val="auto"/>
        </w:rPr>
      </w:pPr>
      <w:r>
        <w:rPr>
          <w:rFonts w:ascii="Times New Roman" w:cs="Times New Roman" w:eastAsia="Times New Roman" w:hAnsi="Times New Roman"/>
          <w:sz w:val="18"/>
          <w:szCs w:val="18"/>
          <w:color w:val="auto"/>
        </w:rPr>
        <w:t>monotherapy and</w:t>
      </w:r>
    </w:p>
    <w:p>
      <w:pPr>
        <w:spacing w:after="0" w:line="219" w:lineRule="auto"/>
        <w:rPr>
          <w:sz w:val="20"/>
          <w:szCs w:val="20"/>
          <w:color w:val="auto"/>
        </w:rPr>
      </w:pPr>
      <w:r>
        <w:rPr>
          <w:rFonts w:ascii="Times New Roman" w:cs="Times New Roman" w:eastAsia="Times New Roman" w:hAnsi="Times New Roman"/>
          <w:sz w:val="18"/>
          <w:szCs w:val="18"/>
          <w:color w:val="auto"/>
        </w:rPr>
        <w:t>chemotherapy</w:t>
      </w:r>
    </w:p>
    <w:p>
      <w:pPr>
        <w:spacing w:after="0"/>
        <w:rPr>
          <w:sz w:val="20"/>
          <w:szCs w:val="20"/>
          <w:color w:val="auto"/>
        </w:rPr>
      </w:pPr>
      <w:r>
        <w:rPr>
          <w:rFonts w:ascii="Times New Roman" w:cs="Times New Roman" w:eastAsia="Times New Roman" w:hAnsi="Times New Roman"/>
          <w:sz w:val="18"/>
          <w:szCs w:val="18"/>
          <w:color w:val="auto"/>
        </w:rPr>
        <w:t>combination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positive five-</w:t>
      </w:r>
    </w:p>
    <w:p>
      <w:pPr>
        <w:spacing w:after="0" w:line="219" w:lineRule="auto"/>
        <w:rPr>
          <w:sz w:val="20"/>
          <w:szCs w:val="20"/>
          <w:color w:val="auto"/>
        </w:rPr>
      </w:pPr>
      <w:r>
        <w:rPr>
          <w:rFonts w:ascii="Times New Roman" w:cs="Times New Roman" w:eastAsia="Times New Roman" w:hAnsi="Times New Roman"/>
          <w:sz w:val="18"/>
          <w:szCs w:val="18"/>
          <w:color w:val="auto"/>
        </w:rPr>
        <w:t>year follow-up data from</w:t>
      </w:r>
    </w:p>
    <w:p>
      <w:pPr>
        <w:spacing w:after="0" w:line="203" w:lineRule="auto"/>
        <w:rPr>
          <w:sz w:val="20"/>
          <w:szCs w:val="20"/>
          <w:color w:val="auto"/>
        </w:rPr>
      </w:pPr>
      <w:r>
        <w:rPr>
          <w:rFonts w:ascii="Times New Roman" w:cs="Times New Roman" w:eastAsia="Times New Roman" w:hAnsi="Times New Roman"/>
          <w:sz w:val="18"/>
          <w:szCs w:val="18"/>
          <w:color w:val="auto"/>
        </w:rPr>
        <w:t>Phase 3 trial in</w:t>
      </w:r>
    </w:p>
    <w:p>
      <w:pPr>
        <w:spacing w:after="0" w:line="204" w:lineRule="auto"/>
        <w:rPr>
          <w:sz w:val="20"/>
          <w:szCs w:val="20"/>
          <w:color w:val="auto"/>
        </w:rPr>
      </w:pPr>
      <w:r>
        <w:rPr>
          <w:rFonts w:ascii="Times New Roman" w:cs="Times New Roman" w:eastAsia="Times New Roman" w:hAnsi="Times New Roman"/>
          <w:sz w:val="18"/>
          <w:szCs w:val="18"/>
          <w:color w:val="auto"/>
        </w:rPr>
        <w:t>combination with</w:t>
      </w:r>
    </w:p>
    <w:p>
      <w:pPr>
        <w:spacing w:after="0" w:line="219" w:lineRule="auto"/>
        <w:rPr>
          <w:sz w:val="20"/>
          <w:szCs w:val="20"/>
          <w:color w:val="auto"/>
        </w:rPr>
      </w:pPr>
      <w:r>
        <w:rPr>
          <w:rFonts w:ascii="Times New Roman" w:cs="Times New Roman" w:eastAsia="Times New Roman" w:hAnsi="Times New Roman"/>
          <w:sz w:val="18"/>
          <w:szCs w:val="18"/>
          <w:color w:val="auto"/>
        </w:rPr>
        <w:t>chemotherapy for</w:t>
      </w:r>
    </w:p>
    <w:p>
      <w:pPr>
        <w:spacing w:after="0" w:line="203" w:lineRule="auto"/>
        <w:rPr>
          <w:sz w:val="20"/>
          <w:szCs w:val="20"/>
          <w:color w:val="auto"/>
        </w:rPr>
      </w:pPr>
      <w:r>
        <w:rPr>
          <w:rFonts w:ascii="Times New Roman" w:cs="Times New Roman" w:eastAsia="Times New Roman" w:hAnsi="Times New Roman"/>
          <w:sz w:val="18"/>
          <w:szCs w:val="18"/>
          <w:color w:val="auto"/>
        </w:rPr>
        <w:t>NSCLC; results</w:t>
      </w:r>
    </w:p>
    <w:p>
      <w:pPr>
        <w:spacing w:after="0" w:line="204" w:lineRule="auto"/>
        <w:rPr>
          <w:sz w:val="20"/>
          <w:szCs w:val="20"/>
          <w:color w:val="auto"/>
        </w:rPr>
      </w:pPr>
      <w:r>
        <w:rPr>
          <w:rFonts w:ascii="Times New Roman" w:cs="Times New Roman" w:eastAsia="Times New Roman" w:hAnsi="Times New Roman"/>
          <w:sz w:val="18"/>
          <w:szCs w:val="18"/>
          <w:color w:val="auto"/>
        </w:rPr>
        <w:t>presented at IASLC 2025</w:t>
      </w:r>
    </w:p>
    <w:p>
      <w:pPr>
        <w:spacing w:after="0" w:line="219" w:lineRule="auto"/>
        <w:rPr>
          <w:sz w:val="20"/>
          <w:szCs w:val="20"/>
          <w:color w:val="auto"/>
        </w:rPr>
      </w:pPr>
      <w:r>
        <w:rPr>
          <w:rFonts w:ascii="Times New Roman" w:cs="Times New Roman" w:eastAsia="Times New Roman" w:hAnsi="Times New Roman"/>
          <w:sz w:val="18"/>
          <w:szCs w:val="18"/>
          <w:color w:val="auto"/>
        </w:rPr>
        <w:t>World Conference on</w:t>
      </w:r>
    </w:p>
    <w:p>
      <w:pPr>
        <w:spacing w:after="0"/>
        <w:rPr>
          <w:sz w:val="20"/>
          <w:szCs w:val="20"/>
          <w:color w:val="auto"/>
        </w:rPr>
      </w:pPr>
      <w:r>
        <w:rPr>
          <w:rFonts w:ascii="Times New Roman" w:cs="Times New Roman" w:eastAsia="Times New Roman" w:hAnsi="Times New Roman"/>
          <w:sz w:val="18"/>
          <w:szCs w:val="18"/>
          <w:color w:val="auto"/>
        </w:rPr>
        <w:t>Lung Cancer ("WCLC")</w:t>
      </w:r>
    </w:p>
    <w:p>
      <w:pPr>
        <w:spacing w:after="0" w:line="1" w:lineRule="exact"/>
        <w:rPr>
          <w:sz w:val="20"/>
          <w:szCs w:val="20"/>
          <w:color w:val="auto"/>
        </w:rPr>
      </w:pPr>
    </w:p>
    <w:p>
      <w:pPr>
        <w:sectPr>
          <w:pgSz w:w="11900" w:h="16838" w:orient="portrait"/>
          <w:cols w:equalWidth="0" w:num="2">
            <w:col w:w="6780" w:space="400"/>
            <w:col w:w="406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b w:val="1"/>
                <w:bCs w:val="1"/>
                <w:color w:val="auto"/>
              </w:rPr>
              <w:t>Fianlimab</w:t>
            </w:r>
            <w:r>
              <w:rPr>
                <w:rFonts w:ascii="Times New Roman" w:cs="Times New Roman" w:eastAsia="Times New Roman" w:hAnsi="Times New Roman"/>
                <w:sz w:val="21"/>
                <w:szCs w:val="21"/>
                <w:b w:val="1"/>
                <w:bCs w:val="1"/>
                <w:color w:val="auto"/>
                <w:vertAlign w:val="superscript"/>
              </w:rPr>
              <w:t>(f)</w:t>
            </w:r>
            <w:r>
              <w:rPr>
                <w:rFonts w:ascii="Times New Roman" w:cs="Times New Roman" w:eastAsia="Times New Roman" w:hAnsi="Times New Roman"/>
                <w:sz w:val="17"/>
                <w:szCs w:val="17"/>
                <w:b w:val="1"/>
                <w:bCs w:val="1"/>
                <w:color w:val="auto"/>
              </w:rPr>
              <w:t xml:space="preserve"> (REGN3767)</w:t>
            </w:r>
          </w:p>
        </w:tc>
        <w:tc>
          <w:tcPr>
            <w:tcW w:w="16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–First-line advanced</w:t>
            </w:r>
          </w:p>
        </w:tc>
        <w:tc>
          <w:tcPr>
            <w:tcW w:w="176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–First-line metastatic</w:t>
            </w:r>
          </w:p>
        </w:tc>
        <w:tc>
          <w:tcPr>
            <w:tcW w:w="5780" w:type="dxa"/>
            <w:vAlign w:val="bottom"/>
            <w:shd w:val="clear" w:color="auto" w:fill="CCEEFF"/>
          </w:tcPr>
          <w:p>
            <w:pPr>
              <w:ind w:left="3700"/>
              <w:spacing w:after="0" w:line="189" w:lineRule="exact"/>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i w:val="1"/>
                <w:iCs w:val="1"/>
                <w:color w:val="auto"/>
              </w:rPr>
              <w:t>Antibody to LAG-3</w:t>
            </w:r>
          </w:p>
        </w:tc>
        <w:tc>
          <w:tcPr>
            <w:tcW w:w="1640" w:type="dxa"/>
            <w:vAlign w:val="bottom"/>
            <w:shd w:val="clear" w:color="auto" w:fill="CCEEFF"/>
          </w:tcPr>
          <w:p>
            <w:pPr>
              <w:ind w:left="80"/>
              <w:spacing w:after="0" w:line="183" w:lineRule="exact"/>
              <w:rPr>
                <w:sz w:val="20"/>
                <w:szCs w:val="20"/>
                <w:color w:val="auto"/>
              </w:rPr>
            </w:pPr>
            <w:r>
              <w:rPr>
                <w:rFonts w:ascii="Times New Roman" w:cs="Times New Roman" w:eastAsia="Times New Roman" w:hAnsi="Times New Roman"/>
                <w:sz w:val="18"/>
                <w:szCs w:val="18"/>
                <w:color w:val="auto"/>
              </w:rPr>
              <w:t>NSCLC (Phase 2/3)</w:t>
            </w:r>
          </w:p>
        </w:tc>
        <w:tc>
          <w:tcPr>
            <w:tcW w:w="176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7"/>
                <w:szCs w:val="17"/>
                <w:color w:val="auto"/>
              </w:rPr>
              <w:t>melanoma</w:t>
            </w:r>
            <w:r>
              <w:rPr>
                <w:rFonts w:ascii="Times New Roman" w:cs="Times New Roman" w:eastAsia="Times New Roman" w:hAnsi="Times New Roman"/>
                <w:sz w:val="21"/>
                <w:szCs w:val="21"/>
                <w:color w:val="auto"/>
                <w:vertAlign w:val="superscript"/>
              </w:rPr>
              <w:t>(e)</w:t>
            </w:r>
          </w:p>
        </w:tc>
        <w:tc>
          <w:tcPr>
            <w:tcW w:w="5780" w:type="dxa"/>
            <w:vAlign w:val="bottom"/>
            <w:shd w:val="clear" w:color="auto" w:fill="CCEEFF"/>
          </w:tcPr>
          <w:p>
            <w:pPr>
              <w:ind w:left="3700"/>
              <w:spacing w:after="0" w:line="183" w:lineRule="exact"/>
              <w:rPr>
                <w:sz w:val="20"/>
                <w:szCs w:val="20"/>
                <w:color w:val="auto"/>
              </w:rPr>
            </w:pPr>
            <w:r>
              <w:rPr>
                <w:rFonts w:ascii="Times New Roman" w:cs="Times New Roman" w:eastAsia="Times New Roman" w:hAnsi="Times New Roman"/>
                <w:sz w:val="18"/>
                <w:szCs w:val="18"/>
                <w:color w:val="auto"/>
              </w:rPr>
              <w:t>3 study versus</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5780" w:type="dxa"/>
            <w:vAlign w:val="bottom"/>
            <w:shd w:val="clear" w:color="auto" w:fill="CCEEFF"/>
          </w:tcPr>
          <w:p>
            <w:pPr>
              <w:ind w:left="3700"/>
              <w:spacing w:after="0" w:line="176" w:lineRule="exact"/>
              <w:rPr>
                <w:sz w:val="20"/>
                <w:szCs w:val="20"/>
                <w:color w:val="auto"/>
              </w:rPr>
            </w:pPr>
            <w:r>
              <w:rPr>
                <w:rFonts w:ascii="Times New Roman" w:cs="Times New Roman" w:eastAsia="Times New Roman" w:hAnsi="Times New Roman"/>
                <w:sz w:val="18"/>
                <w:szCs w:val="18"/>
                <w:color w:val="auto"/>
              </w:rPr>
              <w:t>pembrolizumab in first-line</w:t>
            </w: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–Perioperative</w:t>
            </w:r>
          </w:p>
        </w:tc>
        <w:tc>
          <w:tcPr>
            <w:tcW w:w="17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–Adjuvant melanoma</w:t>
            </w:r>
          </w:p>
        </w:tc>
        <w:tc>
          <w:tcPr>
            <w:tcW w:w="5780" w:type="dxa"/>
            <w:vAlign w:val="bottom"/>
            <w:shd w:val="clear" w:color="auto" w:fill="CCEEFF"/>
          </w:tcPr>
          <w:p>
            <w:pPr>
              <w:ind w:left="3700"/>
              <w:spacing w:after="0" w:line="184" w:lineRule="exact"/>
              <w:rPr>
                <w:sz w:val="20"/>
                <w:szCs w:val="20"/>
                <w:color w:val="auto"/>
              </w:rPr>
            </w:pPr>
            <w:r>
              <w:rPr>
                <w:rFonts w:ascii="Times New Roman" w:cs="Times New Roman" w:eastAsia="Times New Roman" w:hAnsi="Times New Roman"/>
                <w:sz w:val="18"/>
                <w:szCs w:val="18"/>
                <w:color w:val="auto"/>
              </w:rPr>
              <w:t>metastatic melanoma (first</w:t>
            </w:r>
          </w:p>
        </w:tc>
        <w:tc>
          <w:tcPr>
            <w:tcW w:w="0" w:type="dxa"/>
            <w:vAlign w:val="bottom"/>
          </w:tcPr>
          <w:p>
            <w:pPr>
              <w:spacing w:after="0"/>
              <w:rPr>
                <w:sz w:val="1"/>
                <w:szCs w:val="1"/>
                <w:color w:val="auto"/>
              </w:rPr>
            </w:pPr>
          </w:p>
        </w:tc>
      </w:tr>
      <w:tr>
        <w:trPr>
          <w:trHeight w:val="59"/>
        </w:trPr>
        <w:tc>
          <w:tcPr>
            <w:tcW w:w="2060" w:type="dxa"/>
            <w:vAlign w:val="bottom"/>
            <w:shd w:val="clear" w:color="auto" w:fill="CCEEFF"/>
          </w:tcPr>
          <w:p>
            <w:pPr>
              <w:spacing w:after="0"/>
              <w:rPr>
                <w:sz w:val="5"/>
                <w:szCs w:val="5"/>
                <w:color w:val="auto"/>
              </w:rPr>
            </w:pPr>
          </w:p>
        </w:tc>
        <w:tc>
          <w:tcPr>
            <w:tcW w:w="1640" w:type="dxa"/>
            <w:vAlign w:val="bottom"/>
            <w:vMerge w:val="continue"/>
            <w:shd w:val="clear" w:color="auto" w:fill="CCEEFF"/>
          </w:tcPr>
          <w:p>
            <w:pPr>
              <w:spacing w:after="0"/>
              <w:rPr>
                <w:sz w:val="5"/>
                <w:szCs w:val="5"/>
                <w:color w:val="auto"/>
              </w:rPr>
            </w:pPr>
          </w:p>
        </w:tc>
        <w:tc>
          <w:tcPr>
            <w:tcW w:w="1760" w:type="dxa"/>
            <w:vAlign w:val="bottom"/>
            <w:vMerge w:val="continue"/>
            <w:shd w:val="clear" w:color="auto" w:fill="CCEEFF"/>
          </w:tcPr>
          <w:p>
            <w:pPr>
              <w:spacing w:after="0"/>
              <w:rPr>
                <w:sz w:val="5"/>
                <w:szCs w:val="5"/>
                <w:color w:val="auto"/>
              </w:rPr>
            </w:pPr>
          </w:p>
        </w:tc>
        <w:tc>
          <w:tcPr>
            <w:tcW w:w="5780" w:type="dxa"/>
            <w:vAlign w:val="bottom"/>
            <w:vMerge w:val="restart"/>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half 2026)</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spacing w:after="0"/>
              <w:rPr>
                <w:sz w:val="19"/>
                <w:szCs w:val="19"/>
                <w:color w:val="auto"/>
              </w:rPr>
            </w:pPr>
          </w:p>
        </w:tc>
        <w:tc>
          <w:tcPr>
            <w:tcW w:w="1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NSCLC</w:t>
            </w:r>
          </w:p>
        </w:tc>
        <w:tc>
          <w:tcPr>
            <w:tcW w:w="1760" w:type="dxa"/>
            <w:vAlign w:val="bottom"/>
            <w:shd w:val="clear" w:color="auto" w:fill="CCEEFF"/>
          </w:tcPr>
          <w:p>
            <w:pPr>
              <w:spacing w:after="0"/>
              <w:rPr>
                <w:sz w:val="19"/>
                <w:szCs w:val="19"/>
                <w:color w:val="auto"/>
              </w:rPr>
            </w:pPr>
          </w:p>
        </w:tc>
        <w:tc>
          <w:tcPr>
            <w:tcW w:w="5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15"/>
        </w:trPr>
        <w:tc>
          <w:tcPr>
            <w:tcW w:w="2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58"/>
        </w:trPr>
        <w:tc>
          <w:tcPr>
            <w:tcW w:w="20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5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3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2025 and 2026</w:t>
            </w:r>
          </w:p>
        </w:tc>
        <w:tc>
          <w:tcPr>
            <w:tcW w:w="21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20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8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8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Fianlimab</w:t>
            </w:r>
            <w:r>
              <w:rPr>
                <w:rFonts w:ascii="Times New Roman" w:cs="Times New Roman" w:eastAsia="Times New Roman" w:hAnsi="Times New Roman"/>
                <w:sz w:val="23"/>
                <w:szCs w:val="23"/>
                <w:b w:val="1"/>
                <w:bCs w:val="1"/>
                <w:color w:val="auto"/>
                <w:vertAlign w:val="superscript"/>
              </w:rPr>
              <w:t>(f)</w:t>
            </w:r>
            <w:r>
              <w:rPr>
                <w:rFonts w:ascii="Times New Roman" w:cs="Times New Roman" w:eastAsia="Times New Roman" w:hAnsi="Times New Roman"/>
                <w:sz w:val="18"/>
                <w:szCs w:val="18"/>
                <w:b w:val="1"/>
                <w:bCs w:val="1"/>
                <w:color w:val="auto"/>
              </w:rPr>
              <w:t xml:space="preserve"> (REGN3767)</w:t>
            </w: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–Perioperative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–Based on pre-planned</w:t>
            </w: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Phase 2 data in</w:t>
            </w:r>
          </w:p>
        </w:tc>
        <w:tc>
          <w:tcPr>
            <w:tcW w:w="0" w:type="dxa"/>
            <w:vAlign w:val="bottom"/>
          </w:tcPr>
          <w:p>
            <w:pPr>
              <w:spacing w:after="0"/>
              <w:rPr>
                <w:sz w:val="1"/>
                <w:szCs w:val="1"/>
                <w:color w:val="auto"/>
              </w:rPr>
            </w:pPr>
          </w:p>
        </w:tc>
      </w:tr>
      <w:tr>
        <w:trPr>
          <w:trHeight w:val="184"/>
        </w:trPr>
        <w:tc>
          <w:tcPr>
            <w:tcW w:w="21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(continued)</w:t>
            </w:r>
          </w:p>
        </w:tc>
        <w:tc>
          <w:tcPr>
            <w:tcW w:w="1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melanoma</w:t>
            </w: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interim analysis of two</w:t>
            </w:r>
          </w:p>
        </w:tc>
        <w:tc>
          <w:tcPr>
            <w:tcW w:w="2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first-line advanced NSCLC</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Phase 2/3 studies in first-</w:t>
            </w:r>
          </w:p>
        </w:tc>
        <w:tc>
          <w:tcPr>
            <w:tcW w:w="2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(first half 2026)</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line advanced NSCLC,</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Phase 2 portion of the</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studies will continue</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unchanged</w:t>
            </w: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1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Vidutolimod</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Immune activator targeting</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TLR9</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Ubamatamab</w:t>
            </w:r>
            <w:r>
              <w:rPr>
                <w:rFonts w:ascii="Times New Roman" w:cs="Times New Roman" w:eastAsia="Times New Roman" w:hAnsi="Times New Roman"/>
                <w:sz w:val="23"/>
                <w:szCs w:val="23"/>
                <w:b w:val="1"/>
                <w:bCs w:val="1"/>
                <w:color w:val="auto"/>
                <w:vertAlign w:val="superscript"/>
              </w:rPr>
              <w:t>(f)</w:t>
            </w: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–Ovarian cancer</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–Presented additional</w:t>
            </w: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(REGN4018)</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data from Phase 2 study</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in platinum-resistant</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MUC16 and CD3</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ovarian cancer at</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European Society for</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Medical Oncology</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("ESMO") 2025 Meeting</w:t>
            </w: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14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REGN5668</w:t>
            </w:r>
            <w:r>
              <w:rPr>
                <w:rFonts w:ascii="Times New Roman" w:cs="Times New Roman" w:eastAsia="Times New Roman" w:hAnsi="Times New Roman"/>
                <w:sz w:val="21"/>
                <w:szCs w:val="21"/>
                <w:b w:val="1"/>
                <w:bCs w:val="1"/>
                <w:color w:val="auto"/>
                <w:vertAlign w:val="superscript"/>
              </w:rPr>
              <w:t>(p)</w:t>
            </w:r>
          </w:p>
        </w:tc>
        <w:tc>
          <w:tcPr>
            <w:tcW w:w="16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–Ovarian cancer</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MUC16 and</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CD28</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Nezastomig (REGN5678)</w:t>
            </w: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–Prostate cancer</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additional</w:t>
            </w: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data from study in</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targeting PSMA and CD28</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prostate cancer at</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American Association</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for Cancer Research</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("AACR") Annual</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Meeting</w:t>
            </w: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1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Marlotamig (REGN7075)</w:t>
            </w:r>
          </w:p>
        </w:tc>
        <w:tc>
          <w:tcPr>
            <w:tcW w:w="16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–Solid tumors</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EGFR and CD28</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1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Davutamig (REGN5093)</w:t>
            </w:r>
          </w:p>
        </w:tc>
        <w:tc>
          <w:tcPr>
            <w:tcW w:w="16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–MET-altered</w:t>
            </w:r>
          </w:p>
        </w:tc>
        <w:tc>
          <w:tcPr>
            <w:tcW w:w="1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6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advanced NSCLC</w:t>
            </w:r>
          </w:p>
        </w:tc>
        <w:tc>
          <w:tcPr>
            <w:tcW w:w="1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two distinct MET</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epitopes</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380" w:type="dxa"/>
            <w:vAlign w:val="bottom"/>
            <w:shd w:val="clear" w:color="auto" w:fill="ACACAC"/>
          </w:tcPr>
          <w:p>
            <w:pPr>
              <w:spacing w:after="0"/>
              <w:rPr>
                <w:sz w:val="19"/>
                <w:szCs w:val="19"/>
                <w:color w:val="auto"/>
              </w:rPr>
            </w:pPr>
          </w:p>
        </w:tc>
        <w:tc>
          <w:tcPr>
            <w:tcW w:w="2020" w:type="dxa"/>
            <w:vAlign w:val="bottom"/>
            <w:gridSpan w:val="4"/>
            <w:shd w:val="clear" w:color="auto" w:fill="ACACAC"/>
          </w:tcPr>
          <w:p>
            <w:pPr>
              <w:spacing w:after="0"/>
              <w:rPr>
                <w:sz w:val="20"/>
                <w:szCs w:val="20"/>
                <w:color w:val="auto"/>
              </w:rPr>
            </w:pPr>
            <w:r>
              <w:rPr>
                <w:rFonts w:ascii="Times New Roman" w:cs="Times New Roman" w:eastAsia="Times New Roman" w:hAnsi="Times New Roman"/>
                <w:sz w:val="18"/>
                <w:szCs w:val="18"/>
                <w:b w:val="1"/>
                <w:bCs w:val="1"/>
                <w:color w:val="auto"/>
              </w:rPr>
              <w:t>Hematology</w:t>
            </w:r>
          </w:p>
        </w:tc>
        <w:tc>
          <w:tcPr>
            <w:tcW w:w="18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10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(antibody to</w:t>
            </w: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–Paroxysmal</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75"/>
        </w:trPr>
        <w:tc>
          <w:tcPr>
            <w:tcW w:w="2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i w:val="1"/>
                <w:iCs w:val="1"/>
                <w:color w:val="auto"/>
              </w:rPr>
              <w:t xml:space="preserve">C5) + </w:t>
            </w:r>
            <w:r>
              <w:rPr>
                <w:rFonts w:ascii="Times New Roman" w:cs="Times New Roman" w:eastAsia="Times New Roman" w:hAnsi="Times New Roman"/>
                <w:sz w:val="16"/>
                <w:szCs w:val="16"/>
                <w:b w:val="1"/>
                <w:bCs w:val="1"/>
                <w:color w:val="auto"/>
              </w:rPr>
              <w:t>cemdisiran</w:t>
            </w:r>
            <w:r>
              <w:rPr>
                <w:rFonts w:ascii="Times New Roman" w:cs="Times New Roman" w:eastAsia="Times New Roman" w:hAnsi="Times New Roman"/>
                <w:sz w:val="20"/>
                <w:szCs w:val="20"/>
                <w:b w:val="1"/>
                <w:bCs w:val="1"/>
                <w:color w:val="auto"/>
                <w:vertAlign w:val="superscript"/>
              </w:rPr>
              <w:t>(l)</w:t>
            </w:r>
            <w:r>
              <w:rPr>
                <w:rFonts w:ascii="Times New Roman" w:cs="Times New Roman" w:eastAsia="Times New Roman" w:hAnsi="Times New Roman"/>
                <w:sz w:val="16"/>
                <w:szCs w:val="16"/>
                <w:i w:val="1"/>
                <w:iCs w:val="1"/>
                <w:color w:val="auto"/>
              </w:rPr>
              <w:t xml:space="preserve"> (siRNA</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nocturnal</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 study in PNH (fourth</w:t>
            </w:r>
          </w:p>
        </w:tc>
        <w:tc>
          <w:tcPr>
            <w:tcW w:w="0" w:type="dxa"/>
            <w:vAlign w:val="bottom"/>
          </w:tcPr>
          <w:p>
            <w:pPr>
              <w:spacing w:after="0"/>
              <w:rPr>
                <w:sz w:val="1"/>
                <w:szCs w:val="1"/>
                <w:color w:val="auto"/>
              </w:rPr>
            </w:pPr>
          </w:p>
        </w:tc>
      </w:tr>
      <w:tr>
        <w:trPr>
          <w:trHeight w:val="189"/>
        </w:trPr>
        <w:tc>
          <w:tcPr>
            <w:tcW w:w="21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therapeutic targeting C5)</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hemoglobinuria</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quarter 2026/first quarter</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("PNH")</w:t>
            </w:r>
            <w:r>
              <w:rPr>
                <w:rFonts w:ascii="Times New Roman" w:cs="Times New Roman" w:eastAsia="Times New Roman" w:hAnsi="Times New Roman"/>
                <w:sz w:val="23"/>
                <w:szCs w:val="23"/>
                <w:color w:val="auto"/>
                <w:vertAlign w:val="superscript"/>
              </w:rPr>
              <w:t>(c)</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Ordspono</w:t>
            </w: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–B-cell non-</w:t>
            </w:r>
          </w:p>
        </w:tc>
        <w:tc>
          <w:tcPr>
            <w:tcW w:w="13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–Lymphoma</w:t>
            </w:r>
            <w:r>
              <w:rPr>
                <w:rFonts w:ascii="Times New Roman" w:cs="Times New Roman" w:eastAsia="Times New Roman" w:hAnsi="Times New Roman"/>
                <w:sz w:val="23"/>
                <w:szCs w:val="23"/>
                <w:color w:val="auto"/>
                <w:vertAlign w:val="superscript"/>
              </w:rPr>
              <w:t>(c)(e)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 issued CRL for</w:t>
            </w: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(odronextamab)</w:t>
            </w:r>
          </w:p>
        </w:tc>
        <w:tc>
          <w:tcPr>
            <w:tcW w:w="1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Hodgkin lymphoma</w:t>
            </w:r>
          </w:p>
        </w:tc>
        <w:tc>
          <w:tcPr>
            <w:tcW w:w="1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(multiple lines and</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BLA for</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64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("B-NHL") (pivotal</w:t>
            </w:r>
          </w:p>
        </w:tc>
        <w:tc>
          <w:tcPr>
            <w:tcW w:w="13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settings)</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relapsed/refractory FL</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targeting CD20 and CD3</w:t>
            </w:r>
          </w:p>
        </w:tc>
        <w:tc>
          <w:tcPr>
            <w:tcW w:w="16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study)</w:t>
            </w: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tbl>
      <w:tblPr>
        <w:tblLayout w:type="fixed"/>
        <w:tblInd w:w="20" w:type="dxa"/>
        <w:tblCellMar>
          <w:top w:w="0" w:type="dxa"/>
          <w:left w:w="0" w:type="dxa"/>
          <w:bottom w:w="0" w:type="dxa"/>
          <w:right w:w="0" w:type="dxa"/>
        </w:tblCellMar>
      </w:tblPr>
      <w:tr>
        <w:trPr>
          <w:trHeight w:val="175"/>
        </w:trPr>
        <w:tc>
          <w:tcPr>
            <w:tcW w:w="20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Lynozyfic (linvoseltamab)</w:t>
            </w: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–Multiple myeloma</w:t>
            </w:r>
          </w:p>
        </w:tc>
        <w:tc>
          <w:tcPr>
            <w:tcW w:w="1620" w:type="dxa"/>
            <w:vAlign w:val="bottom"/>
          </w:tcPr>
          <w:p>
            <w:pPr>
              <w:ind w:left="1500"/>
              <w:spacing w:after="0"/>
              <w:rPr>
                <w:sz w:val="20"/>
                <w:szCs w:val="20"/>
                <w:color w:val="auto"/>
              </w:rPr>
            </w:pPr>
            <w:r>
              <w:rPr>
                <w:rFonts w:ascii="Times New Roman" w:cs="Times New Roman" w:eastAsia="Times New Roman" w:hAnsi="Times New Roman"/>
                <w:sz w:val="12"/>
                <w:szCs w:val="12"/>
                <w:color w:val="auto"/>
                <w:w w:val="74"/>
              </w:rPr>
              <w:t>(c)</w:t>
            </w:r>
          </w:p>
        </w:tc>
        <w:tc>
          <w:tcPr>
            <w:tcW w:w="0" w:type="dxa"/>
            <w:vAlign w:val="bottom"/>
          </w:tcPr>
          <w:p>
            <w:pPr>
              <w:spacing w:after="0"/>
              <w:rPr>
                <w:sz w:val="1"/>
                <w:szCs w:val="1"/>
                <w:color w:val="auto"/>
              </w:rPr>
            </w:pPr>
          </w:p>
        </w:tc>
      </w:tr>
      <w:tr>
        <w:trPr>
          <w:trHeight w:val="56"/>
        </w:trPr>
        <w:tc>
          <w:tcPr>
            <w:tcW w:w="2060" w:type="dxa"/>
            <w:vAlign w:val="bottom"/>
          </w:tcPr>
          <w:p>
            <w:pPr>
              <w:spacing w:after="0" w:line="56" w:lineRule="exact"/>
              <w:rPr>
                <w:sz w:val="20"/>
                <w:szCs w:val="20"/>
                <w:color w:val="auto"/>
              </w:rPr>
            </w:pPr>
            <w:r>
              <w:rPr>
                <w:rFonts w:ascii="Times New Roman" w:cs="Times New Roman" w:eastAsia="Times New Roman" w:hAnsi="Times New Roman"/>
                <w:sz w:val="6"/>
                <w:szCs w:val="6"/>
                <w:b w:val="1"/>
                <w:bCs w:val="1"/>
                <w:color w:val="auto"/>
              </w:rPr>
              <w:t>(f)</w:t>
            </w:r>
          </w:p>
        </w:tc>
        <w:tc>
          <w:tcPr>
            <w:tcW w:w="1660" w:type="dxa"/>
            <w:vAlign w:val="bottom"/>
            <w:vMerge w:val="continue"/>
          </w:tcPr>
          <w:p>
            <w:pPr>
              <w:spacing w:after="0"/>
              <w:rPr>
                <w:sz w:val="4"/>
                <w:szCs w:val="4"/>
                <w:color w:val="auto"/>
              </w:rPr>
            </w:pPr>
          </w:p>
        </w:tc>
        <w:tc>
          <w:tcPr>
            <w:tcW w:w="1620" w:type="dxa"/>
            <w:vAlign w:val="bottom"/>
          </w:tcPr>
          <w:p>
            <w:pPr>
              <w:ind w:left="60"/>
              <w:spacing w:after="0" w:line="56" w:lineRule="exact"/>
              <w:rPr>
                <w:sz w:val="20"/>
                <w:szCs w:val="20"/>
                <w:color w:val="auto"/>
              </w:rPr>
            </w:pPr>
            <w:r>
              <w:rPr>
                <w:rFonts w:ascii="Times New Roman" w:cs="Times New Roman" w:eastAsia="Times New Roman" w:hAnsi="Times New Roman"/>
                <w:sz w:val="6"/>
                <w:szCs w:val="6"/>
                <w:color w:val="auto"/>
              </w:rPr>
              <w:t>–Multiple myeloma</w:t>
            </w:r>
          </w:p>
        </w:tc>
        <w:tc>
          <w:tcPr>
            <w:tcW w:w="0" w:type="dxa"/>
            <w:vAlign w:val="bottom"/>
          </w:tcPr>
          <w:p>
            <w:pPr>
              <w:spacing w:after="0"/>
              <w:rPr>
                <w:sz w:val="1"/>
                <w:szCs w:val="1"/>
                <w:color w:val="auto"/>
              </w:rPr>
            </w:pPr>
          </w:p>
        </w:tc>
      </w:tr>
      <w:tr>
        <w:trPr>
          <w:trHeight w:val="169"/>
        </w:trPr>
        <w:tc>
          <w:tcPr>
            <w:tcW w:w="20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Bispecific antibody</w:t>
            </w:r>
          </w:p>
        </w:tc>
        <w:tc>
          <w:tcPr>
            <w:tcW w:w="166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precursor and related</w:t>
            </w:r>
          </w:p>
        </w:tc>
        <w:tc>
          <w:tcPr>
            <w:tcW w:w="1620" w:type="dxa"/>
            <w:vAlign w:val="bottom"/>
          </w:tcPr>
          <w:p>
            <w:pPr>
              <w:ind w:left="60"/>
              <w:spacing w:after="0" w:line="169" w:lineRule="exact"/>
              <w:rPr>
                <w:sz w:val="20"/>
                <w:szCs w:val="20"/>
                <w:color w:val="auto"/>
              </w:rPr>
            </w:pPr>
            <w:r>
              <w:rPr>
                <w:rFonts w:ascii="Times New Roman" w:cs="Times New Roman" w:eastAsia="Times New Roman" w:hAnsi="Times New Roman"/>
                <w:sz w:val="19"/>
                <w:szCs w:val="19"/>
                <w:color w:val="auto"/>
                <w:vertAlign w:val="superscript"/>
              </w:rPr>
              <w:t>(e)</w:t>
            </w:r>
            <w:r>
              <w:rPr>
                <w:rFonts w:ascii="Times New Roman" w:cs="Times New Roman" w:eastAsia="Times New Roman" w:hAnsi="Times New Roman"/>
                <w:sz w:val="15"/>
                <w:szCs w:val="15"/>
                <w:color w:val="auto"/>
              </w:rPr>
              <w:t xml:space="preserve"> (multiple lines and</w:t>
            </w:r>
          </w:p>
        </w:tc>
        <w:tc>
          <w:tcPr>
            <w:tcW w:w="0" w:type="dxa"/>
            <w:vAlign w:val="bottom"/>
          </w:tcPr>
          <w:p>
            <w:pPr>
              <w:spacing w:after="0"/>
              <w:rPr>
                <w:sz w:val="1"/>
                <w:szCs w:val="1"/>
                <w:color w:val="auto"/>
              </w:rPr>
            </w:pPr>
          </w:p>
        </w:tc>
      </w:tr>
      <w:tr>
        <w:trPr>
          <w:trHeight w:val="79"/>
        </w:trPr>
        <w:tc>
          <w:tcPr>
            <w:tcW w:w="2060" w:type="dxa"/>
            <w:vAlign w:val="bottom"/>
            <w:vMerge w:val="continue"/>
          </w:tcPr>
          <w:p>
            <w:pPr>
              <w:spacing w:after="0"/>
              <w:rPr>
                <w:sz w:val="6"/>
                <w:szCs w:val="6"/>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conditions</w:t>
            </w:r>
          </w:p>
        </w:tc>
        <w:tc>
          <w:tcPr>
            <w:tcW w:w="1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settings)</w:t>
            </w:r>
          </w:p>
        </w:tc>
        <w:tc>
          <w:tcPr>
            <w:tcW w:w="0" w:type="dxa"/>
            <w:vAlign w:val="bottom"/>
          </w:tcPr>
          <w:p>
            <w:pPr>
              <w:spacing w:after="0"/>
              <w:rPr>
                <w:sz w:val="1"/>
                <w:szCs w:val="1"/>
                <w:color w:val="auto"/>
              </w:rPr>
            </w:pPr>
          </w:p>
        </w:tc>
      </w:tr>
      <w:tr>
        <w:trPr>
          <w:trHeight w:val="155"/>
        </w:trPr>
        <w:tc>
          <w:tcPr>
            <w:tcW w:w="20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targeting BCMA and CD3</w:t>
            </w:r>
          </w:p>
        </w:tc>
        <w:tc>
          <w:tcPr>
            <w:tcW w:w="166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60" w:type="dxa"/>
            <w:vAlign w:val="bottom"/>
            <w:vMerge w:val="continue"/>
          </w:tcPr>
          <w:p>
            <w:pPr>
              <w:spacing w:after="0"/>
              <w:rPr>
                <w:sz w:val="7"/>
                <w:szCs w:val="7"/>
                <w:color w:val="auto"/>
              </w:rPr>
            </w:pPr>
          </w:p>
        </w:tc>
        <w:tc>
          <w:tcPr>
            <w:tcW w:w="16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–Approved by FDA and</w:t>
      </w:r>
    </w:p>
    <w:p>
      <w:pPr>
        <w:spacing w:after="0" w:line="213" w:lineRule="auto"/>
        <w:rPr>
          <w:sz w:val="20"/>
          <w:szCs w:val="20"/>
          <w:color w:val="auto"/>
        </w:rPr>
      </w:pPr>
      <w:r>
        <w:rPr>
          <w:rFonts w:ascii="Times New Roman" w:cs="Times New Roman" w:eastAsia="Times New Roman" w:hAnsi="Times New Roman"/>
          <w:sz w:val="18"/>
          <w:szCs w:val="18"/>
          <w:color w:val="auto"/>
        </w:rPr>
        <w:t>EC for</w:t>
      </w:r>
    </w:p>
    <w:p>
      <w:pPr>
        <w:spacing w:after="0" w:line="204" w:lineRule="auto"/>
        <w:rPr>
          <w:sz w:val="20"/>
          <w:szCs w:val="20"/>
          <w:color w:val="auto"/>
        </w:rPr>
      </w:pPr>
      <w:r>
        <w:rPr>
          <w:rFonts w:ascii="Times New Roman" w:cs="Times New Roman" w:eastAsia="Times New Roman" w:hAnsi="Times New Roman"/>
          <w:sz w:val="18"/>
          <w:szCs w:val="18"/>
          <w:color w:val="auto"/>
        </w:rPr>
        <w:t>relapsed/refractory</w:t>
      </w:r>
    </w:p>
    <w:p>
      <w:pPr>
        <w:spacing w:after="0"/>
        <w:rPr>
          <w:sz w:val="20"/>
          <w:szCs w:val="20"/>
          <w:color w:val="auto"/>
        </w:rPr>
      </w:pPr>
      <w:r>
        <w:rPr>
          <w:rFonts w:ascii="Times New Roman" w:cs="Times New Roman" w:eastAsia="Times New Roman" w:hAnsi="Times New Roman"/>
          <w:sz w:val="18"/>
          <w:szCs w:val="18"/>
          <w:color w:val="auto"/>
        </w:rPr>
        <w:t>multiple myeloma</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7"/>
          <w:szCs w:val="17"/>
          <w:color w:val="auto"/>
        </w:rPr>
        <w:t>–Initiate additional Phase 3 studies in multiple myeloma</w:t>
      </w:r>
    </w:p>
    <w:p>
      <w:pPr>
        <w:ind w:right="300"/>
        <w:spacing w:after="0" w:line="226" w:lineRule="auto"/>
        <w:rPr>
          <w:sz w:val="20"/>
          <w:szCs w:val="20"/>
          <w:color w:val="auto"/>
        </w:rPr>
      </w:pPr>
      <w:r>
        <w:rPr>
          <w:rFonts w:ascii="Times New Roman" w:cs="Times New Roman" w:eastAsia="Times New Roman" w:hAnsi="Times New Roman"/>
          <w:sz w:val="18"/>
          <w:szCs w:val="18"/>
          <w:color w:val="auto"/>
        </w:rPr>
        <w:t>and precursor conditions (2026)</w:t>
      </w:r>
    </w:p>
    <w:p>
      <w:pPr>
        <w:spacing w:after="0" w:line="200" w:lineRule="exact"/>
        <w:rPr>
          <w:sz w:val="20"/>
          <w:szCs w:val="20"/>
          <w:color w:val="auto"/>
        </w:rPr>
      </w:pPr>
    </w:p>
    <w:p>
      <w:pPr>
        <w:sectPr>
          <w:pgSz w:w="11900" w:h="16838" w:orient="portrait"/>
          <w:cols w:equalWidth="0" w:num="3">
            <w:col w:w="6480" w:space="720"/>
            <w:col w:w="1740" w:space="220"/>
            <w:col w:w="2080"/>
          </w:cols>
          <w:pgMar w:left="320" w:top="3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5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6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2025 and 2026</w:t>
            </w:r>
          </w:p>
        </w:tc>
        <w:tc>
          <w:tcPr>
            <w:tcW w:w="2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20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80" w:type="dxa"/>
            <w:vAlign w:val="bottom"/>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6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6"/>
              </w:rPr>
              <w:t>Review</w:t>
            </w:r>
            <w:r>
              <w:rPr>
                <w:rFonts w:ascii="Times New Roman" w:cs="Times New Roman" w:eastAsia="Times New Roman" w:hAnsi="Times New Roman"/>
                <w:sz w:val="23"/>
                <w:szCs w:val="23"/>
                <w:b w:val="1"/>
                <w:bCs w:val="1"/>
                <w:color w:val="auto"/>
                <w:w w:val="96"/>
                <w:vertAlign w:val="superscript"/>
              </w:rPr>
              <w:t>(h)</w:t>
            </w:r>
          </w:p>
        </w:tc>
        <w:tc>
          <w:tcPr>
            <w:tcW w:w="80" w:type="dxa"/>
            <w:vAlign w:val="bottom"/>
          </w:tcPr>
          <w:p>
            <w:pPr>
              <w:spacing w:after="0"/>
              <w:rPr>
                <w:sz w:val="20"/>
                <w:szCs w:val="20"/>
                <w:color w:val="auto"/>
              </w:rPr>
            </w:pPr>
          </w:p>
        </w:tc>
        <w:tc>
          <w:tcPr>
            <w:tcW w:w="1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80" w:type="dxa"/>
            <w:vAlign w:val="bottom"/>
          </w:tcPr>
          <w:p>
            <w:pPr>
              <w:spacing w:after="0"/>
              <w:rPr>
                <w:sz w:val="20"/>
                <w:szCs w:val="20"/>
                <w:color w:val="auto"/>
              </w:rPr>
            </w:pPr>
          </w:p>
        </w:tc>
        <w:tc>
          <w:tcPr>
            <w:tcW w:w="21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21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Lynozyfic (linvoseltamab)</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–Completed enrollment</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14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21"/>
                <w:szCs w:val="21"/>
                <w:b w:val="1"/>
                <w:bCs w:val="1"/>
                <w:color w:val="auto"/>
                <w:vertAlign w:val="superscript"/>
              </w:rPr>
              <w:t>(f)</w:t>
            </w:r>
            <w:r>
              <w:rPr>
                <w:rFonts w:ascii="Times New Roman" w:cs="Times New Roman" w:eastAsia="Times New Roman" w:hAnsi="Times New Roman"/>
                <w:sz w:val="17"/>
                <w:szCs w:val="17"/>
                <w:i w:val="1"/>
                <w:iCs w:val="1"/>
                <w:color w:val="auto"/>
              </w:rPr>
              <w:t xml:space="preserve"> (continued)</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 Phase 3 confirmatory</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trial (LINKER-MM3) in</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relapsed/refractory</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multiple myeloma</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14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Nexiguran ziclumeran</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–Transthyretin</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–Phase 3 ATTR-CM trial</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14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(Nex-z, NTLA-2001)</w:t>
            </w:r>
            <w:r>
              <w:rPr>
                <w:rFonts w:ascii="Times New Roman" w:cs="Times New Roman" w:eastAsia="Times New Roman" w:hAnsi="Times New Roman"/>
                <w:sz w:val="21"/>
                <w:szCs w:val="21"/>
                <w:b w:val="1"/>
                <w:bCs w:val="1"/>
                <w:color w:val="auto"/>
                <w:vertAlign w:val="superscript"/>
              </w:rPr>
              <w:t>(j)</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amyloidosis with</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enrollment on FDA</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TTR gene knockout using</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cardiomyopathy</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clinical hold</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CRISPR/Cas9</w:t>
            </w:r>
          </w:p>
        </w:tc>
        <w:tc>
          <w:tcPr>
            <w:tcW w:w="1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("ATTR-CM")</w:t>
            </w:r>
            <w:r>
              <w:rPr>
                <w:rFonts w:ascii="Times New Roman" w:cs="Times New Roman" w:eastAsia="Times New Roman" w:hAnsi="Times New Roman"/>
                <w:sz w:val="23"/>
                <w:szCs w:val="23"/>
                <w:color w:val="auto"/>
                <w:vertAlign w:val="superscript"/>
              </w:rPr>
              <w:t>(c)(m)</w:t>
            </w:r>
          </w:p>
        </w:tc>
        <w:tc>
          <w:tcPr>
            <w:tcW w:w="1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–Hereditary</w:t>
            </w:r>
          </w:p>
        </w:tc>
        <w:tc>
          <w:tcPr>
            <w:tcW w:w="1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transthyretin</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amyloidosis with</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polyneuropathy</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("ATTRv-PN")</w:t>
            </w:r>
            <w:r>
              <w:rPr>
                <w:rFonts w:ascii="Times New Roman" w:cs="Times New Roman" w:eastAsia="Times New Roman" w:hAnsi="Times New Roman"/>
                <w:sz w:val="23"/>
                <w:szCs w:val="23"/>
                <w:color w:val="auto"/>
                <w:vertAlign w:val="superscript"/>
              </w:rPr>
              <w:t>(c)(m)</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REGN7508</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–Thrombosis</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–Venous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–Initiate additional Phase 3</w:t>
            </w:r>
          </w:p>
        </w:tc>
        <w:tc>
          <w:tcPr>
            <w:tcW w:w="0" w:type="dxa"/>
            <w:vAlign w:val="bottom"/>
          </w:tcPr>
          <w:p>
            <w:pPr>
              <w:spacing w:after="0"/>
              <w:rPr>
                <w:sz w:val="1"/>
                <w:szCs w:val="1"/>
                <w:color w:val="auto"/>
              </w:rPr>
            </w:pPr>
          </w:p>
        </w:tc>
      </w:tr>
      <w:tr>
        <w:trPr>
          <w:trHeight w:val="176"/>
        </w:trPr>
        <w:tc>
          <w:tcPr>
            <w:tcW w:w="2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Factor XI</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thromboembolism</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studies in anticoagulation</w:t>
            </w:r>
          </w:p>
        </w:tc>
        <w:tc>
          <w:tcPr>
            <w:tcW w:w="0" w:type="dxa"/>
            <w:vAlign w:val="bottom"/>
          </w:tcPr>
          <w:p>
            <w:pPr>
              <w:spacing w:after="0"/>
              <w:rPr>
                <w:sz w:val="1"/>
                <w:szCs w:val="1"/>
                <w:color w:val="auto"/>
              </w:rPr>
            </w:pPr>
          </w:p>
        </w:tc>
      </w:tr>
      <w:tr>
        <w:trPr>
          <w:trHeight w:val="189"/>
        </w:trPr>
        <w:tc>
          <w:tcPr>
            <w:tcW w:w="21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(catalytic domain)</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after total knee</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(first half 2026)</w:t>
            </w:r>
          </w:p>
        </w:tc>
        <w:tc>
          <w:tcPr>
            <w:tcW w:w="0" w:type="dxa"/>
            <w:vAlign w:val="bottom"/>
          </w:tcPr>
          <w:p>
            <w:pPr>
              <w:spacing w:after="0"/>
              <w:rPr>
                <w:sz w:val="1"/>
                <w:szCs w:val="1"/>
                <w:color w:val="auto"/>
              </w:rPr>
            </w:pPr>
          </w:p>
        </w:tc>
      </w:tr>
      <w:tr>
        <w:trPr>
          <w:trHeight w:val="189"/>
        </w:trPr>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replacement surgery</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REGN9933</w:t>
            </w: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–Thrombosis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 Phase 3 studies in</w:t>
            </w:r>
          </w:p>
        </w:tc>
        <w:tc>
          <w:tcPr>
            <w:tcW w:w="0" w:type="dxa"/>
            <w:vAlign w:val="bottom"/>
          </w:tcPr>
          <w:p>
            <w:pPr>
              <w:spacing w:after="0"/>
              <w:rPr>
                <w:sz w:val="1"/>
                <w:szCs w:val="1"/>
                <w:color w:val="auto"/>
              </w:rPr>
            </w:pPr>
          </w:p>
        </w:tc>
      </w:tr>
      <w:tr>
        <w:trPr>
          <w:trHeight w:val="175"/>
        </w:trPr>
        <w:tc>
          <w:tcPr>
            <w:tcW w:w="2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Factor XI (A2</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anticoagulation (first half</w:t>
            </w:r>
          </w:p>
        </w:tc>
        <w:tc>
          <w:tcPr>
            <w:tcW w:w="0" w:type="dxa"/>
            <w:vAlign w:val="bottom"/>
          </w:tcPr>
          <w:p>
            <w:pPr>
              <w:spacing w:after="0"/>
              <w:rPr>
                <w:sz w:val="1"/>
                <w:szCs w:val="1"/>
                <w:color w:val="auto"/>
              </w:rPr>
            </w:pPr>
          </w:p>
        </w:tc>
      </w:tr>
      <w:tr>
        <w:trPr>
          <w:trHeight w:val="243"/>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domain)</w:t>
            </w: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tbl>
      <w:tblPr>
        <w:tblLayout w:type="fixed"/>
        <w:tblInd w:w="20" w:type="dxa"/>
        <w:tblCellMar>
          <w:top w:w="0" w:type="dxa"/>
          <w:left w:w="0" w:type="dxa"/>
          <w:bottom w:w="0" w:type="dxa"/>
          <w:right w:w="0" w:type="dxa"/>
        </w:tblCellMar>
      </w:tblPr>
      <w:tr>
        <w:trPr>
          <w:trHeight w:val="182"/>
        </w:trPr>
        <w:tc>
          <w:tcPr>
            <w:tcW w:w="188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REGN7257</w:t>
            </w:r>
          </w:p>
        </w:tc>
        <w:tc>
          <w:tcPr>
            <w:tcW w:w="3560" w:type="dxa"/>
            <w:vAlign w:val="bottom"/>
          </w:tcPr>
          <w:p>
            <w:pPr>
              <w:spacing w:after="0"/>
              <w:rPr>
                <w:sz w:val="15"/>
                <w:szCs w:val="15"/>
                <w:color w:val="auto"/>
              </w:rPr>
            </w:pPr>
          </w:p>
        </w:tc>
        <w:tc>
          <w:tcPr>
            <w:tcW w:w="3400" w:type="dxa"/>
            <w:vAlign w:val="bottom"/>
          </w:tcPr>
          <w:p>
            <w:pPr>
              <w:ind w:left="1720"/>
              <w:spacing w:after="0" w:line="182" w:lineRule="exact"/>
              <w:rPr>
                <w:sz w:val="20"/>
                <w:szCs w:val="20"/>
                <w:color w:val="auto"/>
              </w:rPr>
            </w:pPr>
            <w:r>
              <w:rPr>
                <w:rFonts w:ascii="Times New Roman" w:cs="Times New Roman" w:eastAsia="Times New Roman" w:hAnsi="Times New Roman"/>
                <w:sz w:val="18"/>
                <w:szCs w:val="18"/>
                <w:color w:val="auto"/>
                <w:w w:val="99"/>
              </w:rPr>
              <w:t>–Discontinued study in</w:t>
            </w:r>
          </w:p>
        </w:tc>
      </w:tr>
      <w:tr>
        <w:trPr>
          <w:trHeight w:val="227"/>
        </w:trPr>
        <w:tc>
          <w:tcPr>
            <w:tcW w:w="1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Antibody to IL2Rg</w:t>
            </w:r>
          </w:p>
        </w:tc>
        <w:tc>
          <w:tcPr>
            <w:tcW w:w="3560" w:type="dxa"/>
            <w:vAlign w:val="bottom"/>
          </w:tcPr>
          <w:p>
            <w:pPr>
              <w:spacing w:after="0"/>
              <w:rPr>
                <w:sz w:val="19"/>
                <w:szCs w:val="19"/>
                <w:color w:val="auto"/>
              </w:rPr>
            </w:pPr>
          </w:p>
        </w:tc>
        <w:tc>
          <w:tcPr>
            <w:tcW w:w="34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aplastic anemia</w:t>
            </w:r>
          </w:p>
        </w:tc>
      </w:tr>
      <w:tr>
        <w:trPr>
          <w:trHeight w:val="191"/>
        </w:trPr>
        <w:tc>
          <w:tcPr>
            <w:tcW w:w="18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REGN7999</w:t>
            </w:r>
          </w:p>
        </w:tc>
        <w:tc>
          <w:tcPr>
            <w:tcW w:w="35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–Iron overload in</w:t>
            </w:r>
          </w:p>
        </w:tc>
        <w:tc>
          <w:tcPr>
            <w:tcW w:w="3400" w:type="dxa"/>
            <w:vAlign w:val="bottom"/>
          </w:tcPr>
          <w:p>
            <w:pPr>
              <w:spacing w:after="0"/>
              <w:rPr>
                <w:sz w:val="16"/>
                <w:szCs w:val="16"/>
                <w:color w:val="auto"/>
              </w:rPr>
            </w:pPr>
          </w:p>
        </w:tc>
      </w:tr>
      <w:tr>
        <w:trPr>
          <w:trHeight w:val="236"/>
        </w:trPr>
        <w:tc>
          <w:tcPr>
            <w:tcW w:w="1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Antibody to TMPRSS6</w:t>
            </w:r>
          </w:p>
        </w:tc>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beta-thalassemia</w:t>
            </w:r>
          </w:p>
        </w:tc>
        <w:tc>
          <w:tcPr>
            <w:tcW w:w="3400" w:type="dxa"/>
            <w:vAlign w:val="bottom"/>
          </w:tcPr>
          <w:p>
            <w:pPr>
              <w:spacing w:after="0"/>
              <w:rPr>
                <w:sz w:val="20"/>
                <w:szCs w:val="20"/>
                <w:color w:val="auto"/>
              </w:rPr>
            </w:pPr>
          </w:p>
        </w:tc>
      </w:tr>
      <w:tr>
        <w:trPr>
          <w:trHeight w:val="283"/>
        </w:trPr>
        <w:tc>
          <w:tcPr>
            <w:tcW w:w="1880" w:type="dxa"/>
            <w:vAlign w:val="bottom"/>
          </w:tcPr>
          <w:p>
            <w:pPr>
              <w:spacing w:after="0"/>
              <w:rPr>
                <w:sz w:val="24"/>
                <w:szCs w:val="24"/>
                <w:color w:val="auto"/>
              </w:rPr>
            </w:pPr>
          </w:p>
        </w:tc>
        <w:tc>
          <w:tcPr>
            <w:tcW w:w="69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Internal Medicine/Neurology/Rare Diseases</w:t>
            </w:r>
          </w:p>
        </w:tc>
      </w:tr>
      <w:tr>
        <w:trPr>
          <w:trHeight w:val="270"/>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Garetosmab</w:t>
            </w:r>
            <w:r>
              <w:rPr>
                <w:rFonts w:ascii="Times New Roman" w:cs="Times New Roman" w:eastAsia="Times New Roman" w:hAnsi="Times New Roman"/>
                <w:sz w:val="23"/>
                <w:szCs w:val="23"/>
                <w:b w:val="1"/>
                <w:bCs w:val="1"/>
                <w:color w:val="auto"/>
                <w:vertAlign w:val="superscript"/>
              </w:rPr>
              <w:t>(f)</w:t>
            </w:r>
          </w:p>
        </w:tc>
        <w:tc>
          <w:tcPr>
            <w:tcW w:w="35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–Fibrodysplasia</w:t>
            </w:r>
          </w:p>
        </w:tc>
        <w:tc>
          <w:tcPr>
            <w:tcW w:w="3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–FOP (U.S. and EU)  –Reported that Phase 3</w:t>
            </w:r>
          </w:p>
        </w:tc>
      </w:tr>
      <w:tr>
        <w:trPr>
          <w:trHeight w:val="152"/>
        </w:trPr>
        <w:tc>
          <w:tcPr>
            <w:tcW w:w="1880" w:type="dxa"/>
            <w:vAlign w:val="bottom"/>
          </w:tcPr>
          <w:p>
            <w:pPr>
              <w:spacing w:after="0" w:line="153" w:lineRule="exact"/>
              <w:rPr>
                <w:sz w:val="20"/>
                <w:szCs w:val="20"/>
                <w:color w:val="auto"/>
              </w:rPr>
            </w:pPr>
            <w:r>
              <w:rPr>
                <w:rFonts w:ascii="Times New Roman" w:cs="Times New Roman" w:eastAsia="Times New Roman" w:hAnsi="Times New Roman"/>
                <w:sz w:val="17"/>
                <w:szCs w:val="17"/>
                <w:b w:val="1"/>
                <w:bCs w:val="1"/>
                <w:color w:val="auto"/>
              </w:rPr>
              <w:t>(REGN2477)</w:t>
            </w:r>
          </w:p>
        </w:tc>
        <w:tc>
          <w:tcPr>
            <w:tcW w:w="3560" w:type="dxa"/>
            <w:vAlign w:val="bottom"/>
          </w:tcPr>
          <w:p>
            <w:pPr>
              <w:ind w:left="1900"/>
              <w:spacing w:after="0" w:line="153" w:lineRule="exact"/>
              <w:rPr>
                <w:sz w:val="20"/>
                <w:szCs w:val="20"/>
                <w:color w:val="auto"/>
              </w:rPr>
            </w:pPr>
            <w:r>
              <w:rPr>
                <w:rFonts w:ascii="Times New Roman" w:cs="Times New Roman" w:eastAsia="Times New Roman" w:hAnsi="Times New Roman"/>
                <w:sz w:val="17"/>
                <w:szCs w:val="17"/>
                <w:color w:val="auto"/>
              </w:rPr>
              <w:t>ossificans progressiva</w:t>
            </w:r>
          </w:p>
        </w:tc>
        <w:tc>
          <w:tcPr>
            <w:tcW w:w="3400" w:type="dxa"/>
            <w:vAlign w:val="bottom"/>
          </w:tcPr>
          <w:p>
            <w:pPr>
              <w:ind w:left="1720"/>
              <w:spacing w:after="0" w:line="153" w:lineRule="exact"/>
              <w:rPr>
                <w:sz w:val="20"/>
                <w:szCs w:val="20"/>
                <w:color w:val="auto"/>
              </w:rPr>
            </w:pPr>
            <w:r>
              <w:rPr>
                <w:rFonts w:ascii="Times New Roman" w:cs="Times New Roman" w:eastAsia="Times New Roman" w:hAnsi="Times New Roman"/>
                <w:sz w:val="17"/>
                <w:szCs w:val="17"/>
                <w:color w:val="auto"/>
              </w:rPr>
              <w:t>trial in FOP met its</w:t>
            </w:r>
          </w:p>
        </w:tc>
      </w:tr>
      <w:tr>
        <w:trPr>
          <w:trHeight w:val="475"/>
        </w:trPr>
        <w:tc>
          <w:tcPr>
            <w:tcW w:w="1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Antibody to Activin A</w:t>
            </w:r>
          </w:p>
        </w:tc>
        <w:tc>
          <w:tcPr>
            <w:tcW w:w="3560" w:type="dxa"/>
            <w:vAlign w:val="bottom"/>
          </w:tcPr>
          <w:p>
            <w:pPr>
              <w:ind w:left="1900"/>
              <w:spacing w:after="0"/>
              <w:rPr>
                <w:sz w:val="20"/>
                <w:szCs w:val="20"/>
                <w:color w:val="auto"/>
              </w:rPr>
            </w:pPr>
            <w:r>
              <w:rPr>
                <w:rFonts w:ascii="Times New Roman" w:cs="Times New Roman" w:eastAsia="Times New Roman" w:hAnsi="Times New Roman"/>
                <w:sz w:val="35"/>
                <w:szCs w:val="35"/>
                <w:color w:val="auto"/>
                <w:vertAlign w:val="subscript"/>
              </w:rPr>
              <w:t>("FOP")</w:t>
            </w:r>
            <w:r>
              <w:rPr>
                <w:rFonts w:ascii="Times New Roman" w:cs="Times New Roman" w:eastAsia="Times New Roman" w:hAnsi="Times New Roman"/>
                <w:sz w:val="12"/>
                <w:szCs w:val="12"/>
                <w:color w:val="auto"/>
              </w:rPr>
              <w:t>(c)(d)(e)</w:t>
            </w:r>
          </w:p>
        </w:tc>
        <w:tc>
          <w:tcPr>
            <w:tcW w:w="34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primary endpoint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-1014730</wp:posOffset>
            </wp:positionV>
            <wp:extent cx="713232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–FDA decision on BLA and</w:t>
      </w:r>
    </w:p>
    <w:p>
      <w:pPr>
        <w:spacing w:after="0" w:line="14" w:lineRule="exact"/>
        <w:rPr>
          <w:sz w:val="20"/>
          <w:szCs w:val="20"/>
          <w:color w:val="auto"/>
        </w:rPr>
      </w:pPr>
    </w:p>
    <w:p>
      <w:pPr>
        <w:jc w:val="both"/>
        <w:ind w:right="160"/>
        <w:spacing w:after="0" w:line="220" w:lineRule="auto"/>
        <w:rPr>
          <w:sz w:val="20"/>
          <w:szCs w:val="20"/>
          <w:color w:val="auto"/>
        </w:rPr>
      </w:pPr>
      <w:r>
        <w:rPr>
          <w:rFonts w:ascii="Times New Roman" w:cs="Times New Roman" w:eastAsia="Times New Roman" w:hAnsi="Times New Roman"/>
          <w:sz w:val="17"/>
          <w:szCs w:val="17"/>
          <w:color w:val="auto"/>
        </w:rPr>
        <w:t>EC decision on Marketing Authorization Application ("MAA") for FOP (second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half 2026)</w:t>
      </w:r>
    </w:p>
    <w:p>
      <w:pPr>
        <w:spacing w:after="0" w:line="1" w:lineRule="exact"/>
        <w:rPr>
          <w:sz w:val="20"/>
          <w:szCs w:val="20"/>
          <w:color w:val="auto"/>
        </w:rPr>
      </w:pPr>
    </w:p>
    <w:p>
      <w:pPr>
        <w:sectPr>
          <w:pgSz w:w="11900" w:h="16838" w:orient="portrait"/>
          <w:cols w:equalWidth="0" w:num="2">
            <w:col w:w="8860" w:space="300"/>
            <w:col w:w="208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Cemdisiran</w:t>
            </w:r>
            <w:r>
              <w:rPr>
                <w:rFonts w:ascii="Times New Roman" w:cs="Times New Roman" w:eastAsia="Times New Roman" w:hAnsi="Times New Roman"/>
                <w:sz w:val="23"/>
                <w:szCs w:val="23"/>
                <w:b w:val="1"/>
                <w:bCs w:val="1"/>
                <w:color w:val="auto"/>
                <w:vertAlign w:val="superscript"/>
              </w:rPr>
              <w:t>(l)</w:t>
            </w:r>
          </w:p>
        </w:tc>
        <w:tc>
          <w:tcPr>
            <w:tcW w:w="1460" w:type="dxa"/>
            <w:vAlign w:val="bottom"/>
            <w:shd w:val="clear" w:color="auto" w:fill="CCEEFF"/>
          </w:tcPr>
          <w:p>
            <w:pPr>
              <w:spacing w:after="0"/>
              <w:rPr>
                <w:sz w:val="19"/>
                <w:szCs w:val="19"/>
                <w:color w:val="auto"/>
              </w:rPr>
            </w:pPr>
          </w:p>
        </w:tc>
        <w:tc>
          <w:tcPr>
            <w:tcW w:w="1960" w:type="dxa"/>
            <w:vAlign w:val="bottom"/>
            <w:shd w:val="clear" w:color="auto" w:fill="CCEEFF"/>
          </w:tcPr>
          <w:p>
            <w:pPr>
              <w:ind w:left="320"/>
              <w:spacing w:after="0" w:line="223" w:lineRule="exact"/>
              <w:rPr>
                <w:sz w:val="20"/>
                <w:szCs w:val="20"/>
                <w:color w:val="auto"/>
              </w:rPr>
            </w:pPr>
            <w:r>
              <w:rPr>
                <w:rFonts w:ascii="Times New Roman" w:cs="Times New Roman" w:eastAsia="Times New Roman" w:hAnsi="Times New Roman"/>
                <w:sz w:val="18"/>
                <w:szCs w:val="18"/>
                <w:color w:val="auto"/>
              </w:rPr>
              <w:t>–Myasthenia gravis</w:t>
            </w:r>
            <w:r>
              <w:rPr>
                <w:rFonts w:ascii="Times New Roman" w:cs="Times New Roman" w:eastAsia="Times New Roman" w:hAnsi="Times New Roman"/>
                <w:sz w:val="23"/>
                <w:szCs w:val="23"/>
                <w:color w:val="auto"/>
                <w:vertAlign w:val="superscript"/>
              </w:rPr>
              <w:t>(c)</w:t>
            </w:r>
          </w:p>
        </w:tc>
        <w:tc>
          <w:tcPr>
            <w:tcW w:w="36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–Reported that Phase 3</w:t>
            </w:r>
          </w:p>
        </w:tc>
        <w:tc>
          <w:tcPr>
            <w:tcW w:w="2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–Submit New Drug</w:t>
            </w:r>
          </w:p>
        </w:tc>
      </w:tr>
      <w:tr>
        <w:trPr>
          <w:trHeight w:val="175"/>
        </w:trPr>
        <w:tc>
          <w:tcPr>
            <w:tcW w:w="2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siRNA therapeutic</w:t>
            </w:r>
          </w:p>
        </w:tc>
        <w:tc>
          <w:tcPr>
            <w:tcW w:w="14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3640" w:type="dxa"/>
            <w:vAlign w:val="bottom"/>
            <w:shd w:val="clear" w:color="auto" w:fill="CCEEFF"/>
          </w:tcPr>
          <w:p>
            <w:pPr>
              <w:ind w:left="1740"/>
              <w:spacing w:after="0" w:line="176" w:lineRule="exact"/>
              <w:rPr>
                <w:sz w:val="20"/>
                <w:szCs w:val="20"/>
                <w:color w:val="auto"/>
              </w:rPr>
            </w:pPr>
            <w:r>
              <w:rPr>
                <w:rFonts w:ascii="Times New Roman" w:cs="Times New Roman" w:eastAsia="Times New Roman" w:hAnsi="Times New Roman"/>
                <w:sz w:val="18"/>
                <w:szCs w:val="18"/>
                <w:color w:val="auto"/>
              </w:rPr>
              <w:t>trial in myasthenia gravis</w:t>
            </w:r>
          </w:p>
        </w:tc>
        <w:tc>
          <w:tcPr>
            <w:tcW w:w="21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Application ("NDA") for</w:t>
            </w:r>
          </w:p>
        </w:tc>
      </w:tr>
      <w:tr>
        <w:trPr>
          <w:trHeight w:val="189"/>
        </w:trPr>
        <w:tc>
          <w:tcPr>
            <w:tcW w:w="2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targeting C5</w:t>
            </w:r>
          </w:p>
        </w:tc>
        <w:tc>
          <w:tcPr>
            <w:tcW w:w="146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3640" w:type="dxa"/>
            <w:vAlign w:val="bottom"/>
            <w:shd w:val="clear" w:color="auto" w:fill="CCEEFF"/>
          </w:tcPr>
          <w:p>
            <w:pPr>
              <w:ind w:left="1740"/>
              <w:spacing w:after="0" w:line="189" w:lineRule="exact"/>
              <w:rPr>
                <w:sz w:val="20"/>
                <w:szCs w:val="20"/>
                <w:color w:val="auto"/>
              </w:rPr>
            </w:pPr>
            <w:r>
              <w:rPr>
                <w:rFonts w:ascii="Times New Roman" w:cs="Times New Roman" w:eastAsia="Times New Roman" w:hAnsi="Times New Roman"/>
                <w:sz w:val="18"/>
                <w:szCs w:val="18"/>
                <w:color w:val="auto"/>
              </w:rPr>
              <w:t>met its primary and key</w:t>
            </w:r>
          </w:p>
        </w:tc>
        <w:tc>
          <w:tcPr>
            <w:tcW w:w="216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myasthenia gravis (first</w:t>
            </w:r>
          </w:p>
        </w:tc>
      </w:tr>
      <w:tr>
        <w:trPr>
          <w:trHeight w:val="229"/>
        </w:trPr>
        <w:tc>
          <w:tcPr>
            <w:tcW w:w="20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36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secondary endpoints</w:t>
            </w:r>
          </w:p>
        </w:tc>
        <w:tc>
          <w:tcPr>
            <w:tcW w:w="2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quarter 2026)</w:t>
            </w:r>
          </w:p>
        </w:tc>
      </w:tr>
      <w:tr>
        <w:trPr>
          <w:trHeight w:val="180"/>
        </w:trPr>
        <w:tc>
          <w:tcPr>
            <w:tcW w:w="202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Mibavademab</w:t>
            </w:r>
            <w:r>
              <w:rPr>
                <w:rFonts w:ascii="Times New Roman" w:cs="Times New Roman" w:eastAsia="Times New Roman" w:hAnsi="Times New Roman"/>
                <w:sz w:val="20"/>
                <w:szCs w:val="20"/>
                <w:b w:val="1"/>
                <w:bCs w:val="1"/>
                <w:color w:val="auto"/>
                <w:vertAlign w:val="superscript"/>
              </w:rPr>
              <w:t>(f)(o)</w:t>
            </w:r>
          </w:p>
        </w:tc>
        <w:tc>
          <w:tcPr>
            <w:tcW w:w="1460" w:type="dxa"/>
            <w:vAlign w:val="bottom"/>
          </w:tcPr>
          <w:p>
            <w:pPr>
              <w:ind w:left="140"/>
              <w:spacing w:after="0" w:line="180" w:lineRule="exact"/>
              <w:rPr>
                <w:sz w:val="20"/>
                <w:szCs w:val="20"/>
                <w:color w:val="auto"/>
              </w:rPr>
            </w:pPr>
            <w:r>
              <w:rPr>
                <w:rFonts w:ascii="Times New Roman" w:cs="Times New Roman" w:eastAsia="Times New Roman" w:hAnsi="Times New Roman"/>
                <w:sz w:val="18"/>
                <w:szCs w:val="18"/>
                <w:color w:val="auto"/>
              </w:rPr>
              <w:t>–Functional</w:t>
            </w:r>
          </w:p>
        </w:tc>
        <w:tc>
          <w:tcPr>
            <w:tcW w:w="1960" w:type="dxa"/>
            <w:vAlign w:val="bottom"/>
          </w:tcPr>
          <w:p>
            <w:pPr>
              <w:ind w:left="320"/>
              <w:spacing w:after="0" w:line="180" w:lineRule="exact"/>
              <w:rPr>
                <w:sz w:val="20"/>
                <w:szCs w:val="20"/>
                <w:color w:val="auto"/>
              </w:rPr>
            </w:pPr>
            <w:r>
              <w:rPr>
                <w:rFonts w:ascii="Times New Roman" w:cs="Times New Roman" w:eastAsia="Times New Roman" w:hAnsi="Times New Roman"/>
                <w:sz w:val="18"/>
                <w:szCs w:val="18"/>
                <w:color w:val="auto"/>
              </w:rPr>
              <w:t>–Generalized</w:t>
            </w:r>
          </w:p>
        </w:tc>
        <w:tc>
          <w:tcPr>
            <w:tcW w:w="364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84"/>
        </w:trPr>
        <w:tc>
          <w:tcPr>
            <w:tcW w:w="20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(REGN4461)</w:t>
            </w:r>
          </w:p>
        </w:tc>
        <w:tc>
          <w:tcPr>
            <w:tcW w:w="14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hypothalamic</w:t>
            </w:r>
          </w:p>
        </w:tc>
        <w:tc>
          <w:tcPr>
            <w:tcW w:w="1960" w:type="dxa"/>
            <w:vAlign w:val="bottom"/>
          </w:tcPr>
          <w:p>
            <w:pPr>
              <w:ind w:left="320"/>
              <w:spacing w:after="0" w:line="185" w:lineRule="exact"/>
              <w:rPr>
                <w:sz w:val="20"/>
                <w:szCs w:val="20"/>
                <w:color w:val="auto"/>
              </w:rPr>
            </w:pPr>
            <w:r>
              <w:rPr>
                <w:rFonts w:ascii="Times New Roman" w:cs="Times New Roman" w:eastAsia="Times New Roman" w:hAnsi="Times New Roman"/>
                <w:sz w:val="17"/>
                <w:szCs w:val="17"/>
                <w:color w:val="auto"/>
              </w:rPr>
              <w:t>lipodystrophy</w:t>
            </w:r>
            <w:r>
              <w:rPr>
                <w:rFonts w:ascii="Times New Roman" w:cs="Times New Roman" w:eastAsia="Times New Roman" w:hAnsi="Times New Roman"/>
                <w:sz w:val="21"/>
                <w:szCs w:val="21"/>
                <w:color w:val="auto"/>
                <w:vertAlign w:val="superscript"/>
              </w:rPr>
              <w:t>(c)(d)(e)</w:t>
            </w:r>
          </w:p>
        </w:tc>
        <w:tc>
          <w:tcPr>
            <w:tcW w:w="364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75"/>
        </w:trPr>
        <w:tc>
          <w:tcPr>
            <w:tcW w:w="2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Agonist antibody to leptin</w:t>
            </w:r>
          </w:p>
        </w:tc>
        <w:tc>
          <w:tcPr>
            <w:tcW w:w="14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amenorrhea</w:t>
            </w:r>
          </w:p>
        </w:tc>
        <w:tc>
          <w:tcPr>
            <w:tcW w:w="19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230"/>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receptor ("LEPR")</w:t>
            </w:r>
          </w:p>
        </w:tc>
        <w:tc>
          <w:tcPr>
            <w:tcW w:w="14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16"/>
        </w:trPr>
        <w:tc>
          <w:tcPr>
            <w:tcW w:w="20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Trevogrumab</w:t>
            </w:r>
            <w:r>
              <w:rPr>
                <w:rFonts w:ascii="Times New Roman" w:cs="Times New Roman" w:eastAsia="Times New Roman" w:hAnsi="Times New Roman"/>
                <w:sz w:val="23"/>
                <w:szCs w:val="23"/>
                <w:b w:val="1"/>
                <w:bCs w:val="1"/>
                <w:color w:val="auto"/>
                <w:vertAlign w:val="superscript"/>
              </w:rPr>
              <w:t>(f)</w:t>
            </w:r>
          </w:p>
        </w:tc>
        <w:tc>
          <w:tcPr>
            <w:tcW w:w="14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8"/>
                <w:szCs w:val="18"/>
                <w:color w:val="auto"/>
              </w:rPr>
              <w:t>–Obesity</w:t>
            </w:r>
            <w:r>
              <w:rPr>
                <w:rFonts w:ascii="Times New Roman" w:cs="Times New Roman" w:eastAsia="Times New Roman" w:hAnsi="Times New Roman"/>
                <w:sz w:val="23"/>
                <w:szCs w:val="23"/>
                <w:color w:val="auto"/>
                <w:vertAlign w:val="superscript"/>
              </w:rPr>
              <w:t>(n)</w:t>
            </w:r>
          </w:p>
        </w:tc>
        <w:tc>
          <w:tcPr>
            <w:tcW w:w="1960" w:type="dxa"/>
            <w:vAlign w:val="bottom"/>
            <w:shd w:val="clear" w:color="auto" w:fill="CCEEFF"/>
          </w:tcPr>
          <w:p>
            <w:pPr>
              <w:spacing w:after="0"/>
              <w:rPr>
                <w:sz w:val="18"/>
                <w:szCs w:val="18"/>
                <w:color w:val="auto"/>
              </w:rPr>
            </w:pPr>
          </w:p>
        </w:tc>
        <w:tc>
          <w:tcPr>
            <w:tcW w:w="36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–Reported 26-week</w:t>
            </w:r>
          </w:p>
        </w:tc>
        <w:tc>
          <w:tcPr>
            <w:tcW w:w="2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–Report additional data</w:t>
            </w:r>
          </w:p>
        </w:tc>
      </w:tr>
      <w:tr>
        <w:trPr>
          <w:trHeight w:val="176"/>
        </w:trPr>
        <w:tc>
          <w:tcPr>
            <w:tcW w:w="2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(REGN1033)</w:t>
            </w:r>
          </w:p>
        </w:tc>
        <w:tc>
          <w:tcPr>
            <w:tcW w:w="14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3640" w:type="dxa"/>
            <w:vAlign w:val="bottom"/>
            <w:shd w:val="clear" w:color="auto" w:fill="CCEEFF"/>
          </w:tcPr>
          <w:p>
            <w:pPr>
              <w:ind w:left="1740"/>
              <w:spacing w:after="0" w:line="176" w:lineRule="exact"/>
              <w:rPr>
                <w:sz w:val="20"/>
                <w:szCs w:val="20"/>
                <w:color w:val="auto"/>
              </w:rPr>
            </w:pPr>
            <w:r>
              <w:rPr>
                <w:rFonts w:ascii="Times New Roman" w:cs="Times New Roman" w:eastAsia="Times New Roman" w:hAnsi="Times New Roman"/>
                <w:sz w:val="18"/>
                <w:szCs w:val="18"/>
                <w:color w:val="auto"/>
              </w:rPr>
              <w:t>results from Phase 2</w:t>
            </w:r>
          </w:p>
        </w:tc>
        <w:tc>
          <w:tcPr>
            <w:tcW w:w="21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from Phase 2 study in</w:t>
            </w:r>
          </w:p>
        </w:tc>
      </w:tr>
      <w:tr>
        <w:trPr>
          <w:trHeight w:val="189"/>
        </w:trPr>
        <w:tc>
          <w:tcPr>
            <w:tcW w:w="2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Antibody to myostatin</w:t>
            </w:r>
          </w:p>
        </w:tc>
        <w:tc>
          <w:tcPr>
            <w:tcW w:w="146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3640" w:type="dxa"/>
            <w:vAlign w:val="bottom"/>
            <w:shd w:val="clear" w:color="auto" w:fill="CCEEFF"/>
          </w:tcPr>
          <w:p>
            <w:pPr>
              <w:ind w:left="1740"/>
              <w:spacing w:after="0" w:line="189" w:lineRule="exact"/>
              <w:rPr>
                <w:sz w:val="20"/>
                <w:szCs w:val="20"/>
                <w:color w:val="auto"/>
              </w:rPr>
            </w:pPr>
            <w:r>
              <w:rPr>
                <w:rFonts w:ascii="Times New Roman" w:cs="Times New Roman" w:eastAsia="Times New Roman" w:hAnsi="Times New Roman"/>
                <w:sz w:val="18"/>
                <w:szCs w:val="18"/>
                <w:color w:val="auto"/>
              </w:rPr>
              <w:t>study in obesity</w:t>
            </w:r>
          </w:p>
        </w:tc>
        <w:tc>
          <w:tcPr>
            <w:tcW w:w="216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obesity (2026)</w:t>
            </w:r>
          </w:p>
        </w:tc>
      </w:tr>
      <w:tr>
        <w:trPr>
          <w:trHeight w:val="189"/>
        </w:trPr>
        <w:tc>
          <w:tcPr>
            <w:tcW w:w="2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(GDF8)</w:t>
            </w:r>
          </w:p>
        </w:tc>
        <w:tc>
          <w:tcPr>
            <w:tcW w:w="146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r>
      <w:tr>
        <w:trPr>
          <w:trHeight w:val="715"/>
        </w:trPr>
        <w:tc>
          <w:tcPr>
            <w:tcW w:w="2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2160" w:type="dxa"/>
            <w:vAlign w:val="bottom"/>
          </w:tcPr>
          <w:p>
            <w:pPr>
              <w:spacing w:after="0"/>
              <w:rPr>
                <w:sz w:val="24"/>
                <w:szCs w:val="24"/>
                <w:color w:val="auto"/>
              </w:rPr>
            </w:pPr>
          </w:p>
        </w:tc>
      </w:tr>
      <w:tr>
        <w:trPr>
          <w:trHeight w:val="358"/>
        </w:trPr>
        <w:tc>
          <w:tcPr>
            <w:tcW w:w="20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7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9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2025 and 2026</w:t>
            </w:r>
          </w:p>
        </w:tc>
        <w:tc>
          <w:tcPr>
            <w:tcW w:w="21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21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700" w:type="dxa"/>
            <w:vAlign w:val="bottom"/>
            <w:gridSpan w:val="2"/>
            <w:vMerge w:val="continue"/>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1660" w:type="dxa"/>
            <w:vAlign w:val="bottom"/>
            <w:gridSpan w:val="2"/>
          </w:tcPr>
          <w:p>
            <w:pPr>
              <w:ind w:left="440"/>
              <w:spacing w:after="0" w:line="240"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3"/>
                <w:szCs w:val="23"/>
                <w:b w:val="1"/>
                <w:bCs w:val="1"/>
                <w:color w:val="auto"/>
                <w:vertAlign w:val="superscript"/>
              </w:rPr>
              <w:t>(h)</w:t>
            </w:r>
          </w:p>
        </w:tc>
        <w:tc>
          <w:tcPr>
            <w:tcW w:w="19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21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76"/>
        </w:trPr>
        <w:tc>
          <w:tcPr>
            <w:tcW w:w="204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REGN7544</w:t>
            </w:r>
          </w:p>
        </w:tc>
        <w:tc>
          <w:tcPr>
            <w:tcW w:w="80" w:type="dxa"/>
            <w:vAlign w:val="bottom"/>
          </w:tcPr>
          <w:p>
            <w:pPr>
              <w:spacing w:after="0"/>
              <w:rPr>
                <w:sz w:val="15"/>
                <w:szCs w:val="15"/>
                <w:color w:val="auto"/>
              </w:rPr>
            </w:pPr>
          </w:p>
        </w:tc>
        <w:tc>
          <w:tcPr>
            <w:tcW w:w="162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–Postural orthostatic</w:t>
            </w:r>
          </w:p>
        </w:tc>
        <w:tc>
          <w:tcPr>
            <w:tcW w:w="8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Antagonist antibody to</w:t>
            </w:r>
          </w:p>
        </w:tc>
        <w:tc>
          <w:tcPr>
            <w:tcW w:w="17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tachycardia syndrome</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NPR1</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("POTS")</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–Sepsis-induced</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hypotension</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Rapirosiran (ALN-HSD)</w:t>
            </w:r>
          </w:p>
        </w:tc>
        <w:tc>
          <w:tcPr>
            <w:tcW w:w="1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–Metabolic</w:t>
            </w: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120" w:type="dxa"/>
            <w:vAlign w:val="bottom"/>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2"/>
                <w:szCs w:val="12"/>
                <w:b w:val="1"/>
                <w:bCs w:val="1"/>
                <w:color w:val="auto"/>
              </w:rPr>
              <w:t>(k)</w:t>
            </w:r>
          </w:p>
        </w:tc>
        <w:tc>
          <w:tcPr>
            <w:tcW w:w="1700" w:type="dxa"/>
            <w:vAlign w:val="bottom"/>
            <w:gridSpan w:val="2"/>
            <w:vMerge w:val="restart"/>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dysfunction-</w:t>
            </w:r>
          </w:p>
        </w:tc>
        <w:tc>
          <w:tcPr>
            <w:tcW w:w="1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RNAi therapeutic targeting</w:t>
            </w:r>
          </w:p>
        </w:tc>
        <w:tc>
          <w:tcPr>
            <w:tcW w:w="1700" w:type="dxa"/>
            <w:vAlign w:val="bottom"/>
            <w:gridSpan w:val="2"/>
            <w:vMerge w:val="continue"/>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120" w:type="dxa"/>
            <w:vAlign w:val="bottom"/>
            <w:gridSpan w:val="2"/>
            <w:vMerge w:val="continue"/>
            <w:shd w:val="clear" w:color="auto" w:fill="CCEEFF"/>
          </w:tcPr>
          <w:p>
            <w:pPr>
              <w:spacing w:after="0"/>
              <w:rPr>
                <w:sz w:val="15"/>
                <w:szCs w:val="15"/>
                <w:color w:val="auto"/>
              </w:rPr>
            </w:pPr>
          </w:p>
        </w:tc>
        <w:tc>
          <w:tcPr>
            <w:tcW w:w="1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associated</w:t>
            </w: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HSD17B13</w:t>
            </w:r>
          </w:p>
        </w:tc>
        <w:tc>
          <w:tcPr>
            <w:tcW w:w="1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steatohepatitis</w:t>
            </w: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("MASH")</w:t>
            </w: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ALN-ANG3</w:t>
            </w:r>
            <w:r>
              <w:rPr>
                <w:rFonts w:ascii="Times New Roman" w:cs="Times New Roman" w:eastAsia="Times New Roman" w:hAnsi="Times New Roman"/>
                <w:sz w:val="21"/>
                <w:szCs w:val="21"/>
                <w:b w:val="1"/>
                <w:bCs w:val="1"/>
                <w:color w:val="auto"/>
                <w:vertAlign w:val="superscript"/>
              </w:rPr>
              <w:t>(k)(r)</w:t>
            </w:r>
          </w:p>
        </w:tc>
        <w:tc>
          <w:tcPr>
            <w:tcW w:w="17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–Diabetic kidney</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RNAi therapeutic targeting</w:t>
            </w:r>
          </w:p>
        </w:tc>
        <w:tc>
          <w:tcPr>
            <w:tcW w:w="17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disease</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ANGPTL3</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DB-OTO</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–Hearing deficit due</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–Hearing deficit due</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–Presented updated data</w:t>
            </w: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 decision on BLA for</w:t>
            </w:r>
          </w:p>
        </w:tc>
        <w:tc>
          <w:tcPr>
            <w:tcW w:w="0" w:type="dxa"/>
            <w:vAlign w:val="bottom"/>
          </w:tcPr>
          <w:p>
            <w:pPr>
              <w:spacing w:after="0"/>
              <w:rPr>
                <w:sz w:val="1"/>
                <w:szCs w:val="1"/>
                <w:color w:val="auto"/>
              </w:rPr>
            </w:pPr>
          </w:p>
        </w:tc>
      </w:tr>
      <w:tr>
        <w:trPr>
          <w:trHeight w:val="176"/>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AAV-based gene therapy</w:t>
            </w:r>
          </w:p>
        </w:tc>
        <w:tc>
          <w:tcPr>
            <w:tcW w:w="1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 variants of</w:t>
            </w: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 variants of</w:t>
            </w: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Phase 1/2 trial and</w:t>
            </w: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hearing deficit due to</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otoferlin gene</w:t>
            </w:r>
            <w:r>
              <w:rPr>
                <w:rFonts w:ascii="Times New Roman" w:cs="Times New Roman" w:eastAsia="Times New Roman" w:hAnsi="Times New Roman"/>
                <w:sz w:val="21"/>
                <w:szCs w:val="21"/>
                <w:color w:val="auto"/>
                <w:vertAlign w:val="superscript"/>
              </w:rPr>
              <w:t>(c)(e)(m)</w:t>
            </w: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otoferlin gene (U.S.)</w:t>
            </w:r>
          </w:p>
        </w:tc>
        <w:tc>
          <w:tcPr>
            <w:tcW w:w="19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published in </w:t>
            </w:r>
            <w:r>
              <w:rPr>
                <w:rFonts w:ascii="Times New Roman" w:cs="Times New Roman" w:eastAsia="Times New Roman" w:hAnsi="Times New Roman"/>
                <w:sz w:val="18"/>
                <w:szCs w:val="18"/>
                <w:i w:val="1"/>
                <w:iCs w:val="1"/>
                <w:color w:val="auto"/>
              </w:rPr>
              <w:t>NEJM</w:t>
            </w:r>
          </w:p>
        </w:tc>
        <w:tc>
          <w:tcPr>
            <w:tcW w:w="2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variants of otoferlin gene</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(Phase 1/2) (pivotal</w:t>
            </w: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(first half 2026)</w:t>
            </w:r>
          </w:p>
        </w:tc>
        <w:tc>
          <w:tcPr>
            <w:tcW w:w="0" w:type="dxa"/>
            <w:vAlign w:val="bottom"/>
          </w:tcPr>
          <w:p>
            <w:pPr>
              <w:spacing w:after="0"/>
              <w:rPr>
                <w:sz w:val="1"/>
                <w:szCs w:val="1"/>
                <w:color w:val="auto"/>
              </w:rPr>
            </w:pPr>
          </w:p>
        </w:tc>
      </w:tr>
      <w:tr>
        <w:trPr>
          <w:trHeight w:val="211"/>
        </w:trPr>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study)</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 granted</w:t>
            </w: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Commissioner's National</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Voucher</w:t>
            </w: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16"/>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240" w:right="520"/>
        <w:spacing w:after="0" w:line="245" w:lineRule="auto"/>
        <w:rPr>
          <w:sz w:val="20"/>
          <w:szCs w:val="20"/>
          <w:color w:val="auto"/>
        </w:rPr>
      </w:pPr>
      <w:r>
        <w:rPr>
          <w:rFonts w:ascii="Times New Roman" w:cs="Times New Roman" w:eastAsia="Times New Roman" w:hAnsi="Times New Roman"/>
          <w:sz w:val="16"/>
          <w:szCs w:val="16"/>
          <w:color w:val="auto"/>
        </w:rPr>
        <w:t>Note 1: For purposes of the table above, a program is classified in Phase 2 or 3 clinical development after recruitment for the corresponding study or studies has commenced</w:t>
      </w:r>
    </w:p>
    <w:p>
      <w:pPr>
        <w:spacing w:after="0" w:line="2" w:lineRule="exact"/>
        <w:rPr>
          <w:sz w:val="20"/>
          <w:szCs w:val="20"/>
          <w:color w:val="auto"/>
        </w:rPr>
      </w:pPr>
    </w:p>
    <w:p>
      <w:pPr>
        <w:ind w:left="240" w:right="480"/>
        <w:spacing w:after="0"/>
        <w:rPr>
          <w:sz w:val="20"/>
          <w:szCs w:val="20"/>
          <w:color w:val="auto"/>
        </w:rPr>
      </w:pPr>
      <w:r>
        <w:rPr>
          <w:rFonts w:ascii="Times New Roman" w:cs="Times New Roman" w:eastAsia="Times New Roman" w:hAnsi="Times New Roman"/>
          <w:sz w:val="16"/>
          <w:szCs w:val="16"/>
          <w:color w:val="auto"/>
        </w:rPr>
        <w:t>Note 2: We have discontinued further clinical development of REGN5381, an agonist antibody to NPR1, which was previously being studied in heart failure and uncontrolled hypertension</w:t>
      </w:r>
    </w:p>
    <w:p>
      <w:pPr>
        <w:ind w:left="400" w:hanging="165"/>
        <w:spacing w:after="0" w:line="209" w:lineRule="auto"/>
        <w:tabs>
          <w:tab w:leader="none" w:pos="4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Orphan Drug designation for one or more indications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Breakthrough Therapy designation for one or more indications</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Fast Track designation for one or more indications</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is entitled to receive royalties on sales of the product</w:t>
      </w:r>
    </w:p>
    <w:p>
      <w:pPr>
        <w:spacing w:after="0" w:line="75" w:lineRule="exact"/>
        <w:rPr>
          <w:rFonts w:ascii="Times New Roman" w:cs="Times New Roman" w:eastAsia="Times New Roman" w:hAnsi="Times New Roman"/>
          <w:sz w:val="22"/>
          <w:szCs w:val="22"/>
          <w:color w:val="auto"/>
          <w:vertAlign w:val="superscript"/>
        </w:rPr>
      </w:pPr>
    </w:p>
    <w:p>
      <w:pPr>
        <w:ind w:left="420" w:hanging="185"/>
        <w:spacing w:after="0" w:line="185" w:lineRule="auto"/>
        <w:tabs>
          <w:tab w:leader="none" w:pos="42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Studied as monotherapy and in combination with other antibodies and treatments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Information in this column captures submissions to U.S., EU, and/or Japan regulatory authorities</w:t>
      </w:r>
    </w:p>
    <w:p>
      <w:pPr>
        <w:spacing w:after="0" w:line="6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BioNTech's BNT116 is an mRNA cancer vaccine</w:t>
      </w:r>
    </w:p>
    <w:p>
      <w:pPr>
        <w:spacing w:after="0" w:line="2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Intellia</w:t>
      </w:r>
    </w:p>
    <w:p>
      <w:pPr>
        <w:spacing w:after="0" w:line="2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Alnylam is entitled to receive royalties on sales of the product</w:t>
      </w:r>
    </w:p>
    <w:p>
      <w:pPr>
        <w:spacing w:after="0" w:line="6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Under the terms of our license agreement for cemdisiran, Alnylam is entitled to receive royalties on sales, as well as milestone payments</w:t>
      </w:r>
    </w:p>
    <w:p>
      <w:pPr>
        <w:spacing w:after="0" w:line="24" w:lineRule="exact"/>
        <w:rPr>
          <w:rFonts w:ascii="Times New Roman" w:cs="Times New Roman" w:eastAsia="Times New Roman" w:hAnsi="Times New Roman"/>
          <w:sz w:val="22"/>
          <w:szCs w:val="22"/>
          <w:color w:val="auto"/>
          <w:vertAlign w:val="superscript"/>
        </w:rPr>
      </w:pPr>
    </w:p>
    <w:p>
      <w:pPr>
        <w:ind w:left="440" w:hanging="205"/>
        <w:spacing w:after="0" w:line="191" w:lineRule="auto"/>
        <w:tabs>
          <w:tab w:leader="none" w:pos="44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Regenerative Medicine Advanced Therapy ("RMAT") designation for one or more indications</w:t>
      </w:r>
    </w:p>
    <w:p>
      <w:pPr>
        <w:spacing w:after="0" w:line="64" w:lineRule="exact"/>
        <w:rPr>
          <w:rFonts w:ascii="Times New Roman" w:cs="Times New Roman" w:eastAsia="Times New Roman" w:hAnsi="Times New Roman"/>
          <w:sz w:val="21"/>
          <w:szCs w:val="21"/>
          <w:color w:val="auto"/>
          <w:vertAlign w:val="superscript"/>
        </w:rPr>
      </w:pPr>
    </w:p>
    <w:p>
      <w:pPr>
        <w:ind w:left="420" w:hanging="185"/>
        <w:spacing w:after="0" w:line="182" w:lineRule="auto"/>
        <w:tabs>
          <w:tab w:leader="none" w:pos="42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Studied in combination with semaglutide with and without garetosmab</w:t>
      </w:r>
    </w:p>
    <w:p>
      <w:pPr>
        <w:spacing w:after="0" w:line="24" w:lineRule="exact"/>
        <w:rPr>
          <w:rFonts w:ascii="Times New Roman" w:cs="Times New Roman" w:eastAsia="Times New Roman" w:hAnsi="Times New Roman"/>
          <w:sz w:val="22"/>
          <w:szCs w:val="22"/>
          <w:color w:val="auto"/>
          <w:vertAlign w:val="superscript"/>
        </w:rPr>
      </w:pPr>
    </w:p>
    <w:p>
      <w:pPr>
        <w:ind w:left="240" w:hanging="5"/>
        <w:spacing w:after="0" w:line="189" w:lineRule="auto"/>
        <w:tabs>
          <w:tab w:leader="none" w:pos="417"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 Phase 2 study, sponsored by Eli Lilly, is also ongoing and testing the combination of tirzepatide and mibavademab compared with tirzepatide alone in patients with obesity</w:t>
      </w:r>
    </w:p>
    <w:p>
      <w:pPr>
        <w:spacing w:after="0" w:line="1" w:lineRule="exact"/>
        <w:rPr>
          <w:rFonts w:ascii="Times New Roman" w:cs="Times New Roman" w:eastAsia="Times New Roman" w:hAnsi="Times New Roman"/>
          <w:sz w:val="23"/>
          <w:szCs w:val="23"/>
          <w:color w:val="auto"/>
          <w:vertAlign w:val="superscript"/>
        </w:rPr>
      </w:pPr>
    </w:p>
    <w:p>
      <w:pPr>
        <w:ind w:left="420" w:hanging="185"/>
        <w:spacing w:after="0" w:line="196" w:lineRule="auto"/>
        <w:tabs>
          <w:tab w:leader="none" w:pos="4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Studied in combination with ubamatamab or fianlimab</w:t>
      </w:r>
    </w:p>
    <w:p>
      <w:pPr>
        <w:spacing w:after="0" w:line="23" w:lineRule="exact"/>
        <w:rPr>
          <w:rFonts w:ascii="Times New Roman" w:cs="Times New Roman" w:eastAsia="Times New Roman" w:hAnsi="Times New Roman"/>
          <w:sz w:val="23"/>
          <w:szCs w:val="23"/>
          <w:color w:val="auto"/>
          <w:vertAlign w:val="superscript"/>
        </w:rPr>
      </w:pPr>
    </w:p>
    <w:p>
      <w:pPr>
        <w:ind w:left="420" w:hanging="185"/>
        <w:spacing w:after="0" w:line="182" w:lineRule="auto"/>
        <w:tabs>
          <w:tab w:leader="none" w:pos="42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Geographic atrophy also studied with cemdisiran monotherapy</w:t>
      </w:r>
    </w:p>
    <w:p>
      <w:pPr>
        <w:spacing w:after="0" w:line="2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Studied as monotherapy and in combination with Evkeeza (evinacumab)</w:t>
      </w: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9"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 Clinical Development Programs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EYLEA HD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2025, the FDA extended the target action dates for the Company's FDA applications for EYLEA HD (pre-filled syringe, every-four-week dosing, and for the treatment of RVO). The delay resulted from observations from a July 2025 FDA general site inspection (not specific to EYLEA HD) at Catalent Indiana, LLC ("Catalent"), part of Novo Nordisk A/S, the manufacturing filler in the EYLEA HD BLA. The FDA extended the review periods after determining that the information submitted by the manufacturing filler in August 2025 to address the observations constituted a major amendment to each regulatory application.</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2025, the Company was notified by Catalent that they received an official action indicated ("OAI") letter from the FDA citing unresolved issues related to a July 2025 FDA general site inspection. On October 27, 2025, the FDA issued a CRL for the pre-filled syringe sBLA. The sole approvability issue cited in the CRL relates to unresolved inspection findings at Catalent. In December 2025, the Company submitted a regulatory application seeking approval of the EYLEA HD pre-filled syringe using a new manufacturer. The application has been accepted for review, a standard pre-licensing inspection has been scheduled, and an FDA decision on the Company's filing is expected in the second quarter of 2026.</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2025, the FDA approved EYLEA HD for the treatment of patients with RVO and for an every 4-week dosing option across approved indications. In addition, in December 2025, the FDA approved the addition of a new manufacturer to fill vials for EYLEA HD.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Itepekimab</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and Sanofi announced that a Phase 3 trial, AERIFY-1, in adults who were former smokers with inadequately controlled COPD met the primary endpoint of significantly reducing moderate or severe acute exacerbations by 27% compared to placebo at week 52, a clinically meaningful benefit. A second Phase 3 trial, AERIFY-2, did not meet the same primary endpoint, although a benefit was seen earlier in the trial. The safety profile of itepekimab observed in the Phase 3 trials was consistent with prior clinical trials. The Company and Sanofi are evaluating next steps.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Fianlimab</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2025, a pre-planned interim analysis was conducted on two ongoing Phase 2/3 studies evaluating the combination of fianlimab and cemiplimab in first-line advanced NSCLC. Due to limited follow-up, the Phase 2 portion of the studies will continue unchanged until additional data are available. The next analyses for these studies are expected in the first half of 2026, at which time a decision whether to advance to Phase 3 is expected to be made. No new safety signals were observed in either study.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Ordspono (odronextamab)</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30, 2025, the FDA issued a CRL for the BLA for odronextamab in relapsed/refractory follicular lymphoma after two or more lines of systemic therapy, which was also impacted by the Catalent Indiana LLC site inspection (as described in the "EYLEA HD" section above).</w:t>
      </w:r>
    </w:p>
    <w:p>
      <w:pPr>
        <w:spacing w:after="0" w:line="90" w:lineRule="exact"/>
        <w:rPr>
          <w:sz w:val="20"/>
          <w:szCs w:val="20"/>
          <w:color w:val="auto"/>
        </w:rPr>
      </w:pPr>
    </w:p>
    <w:p>
      <w:pPr>
        <w:ind w:right="1620"/>
        <w:spacing w:after="0" w:line="4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Descriptions of Marketed Products Studied in Additional Indications and Product Candidates in Late-Stage Clinical Development </w:t>
      </w:r>
      <w:r>
        <w:rPr>
          <w:rFonts w:ascii="Times New Roman" w:cs="Times New Roman" w:eastAsia="Times New Roman" w:hAnsi="Times New Roman"/>
          <w:sz w:val="18"/>
          <w:szCs w:val="18"/>
          <w:i w:val="1"/>
          <w:iCs w:val="1"/>
          <w:color w:val="auto"/>
        </w:rPr>
        <w:t>EYLEA HD (aflibercept) 8 mg</w:t>
      </w:r>
    </w:p>
    <w:p>
      <w:pPr>
        <w:jc w:val="both"/>
        <w:spacing w:after="0" w:line="266" w:lineRule="auto"/>
        <w:rPr>
          <w:sz w:val="20"/>
          <w:szCs w:val="20"/>
          <w:color w:val="auto"/>
        </w:rPr>
      </w:pPr>
      <w:r>
        <w:rPr>
          <w:rFonts w:ascii="Times New Roman" w:cs="Times New Roman" w:eastAsia="Times New Roman" w:hAnsi="Times New Roman"/>
          <w:sz w:val="18"/>
          <w:szCs w:val="18"/>
          <w:color w:val="auto"/>
        </w:rPr>
        <w:t>EYLEA HD is a soluble fusion protein that acts as a vascular endothelial growth factor ("VEGF") inhibitor. Through a novel formulation, it is designed to deliver a concentrated dose of aflibercept to block VEGF-A and PLGF and inhibit the growth of new blood vessels and decrease vascular permeability to treat various retinal diseases, including wAMD, DME, DR, and RVO.</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Dupixent (dupilumab)</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Dupixent is a fully human monoclonal antibody that inhibits signaling of the IL-4 and IL-13 pathways, and is not an immunosuppressant. IL-4 and IL-13 are key and central drivers of the type 2 inflammation that play a major role in atopic dermatitis, asthma, CRSwNP, COPD, EoE, prurigo nodularis, CSU, bullous pemphigoid, and potentially other chronic allergic and inflammatory diseases.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Kevzara (sarilumab)</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Kevzara is a fully human monoclonal antibody that binds specifically to the IL-6 receptor and inhibits IL-6-mediated signaling. IL-6 is an immune system protein produced in increased quantities in patients with inflammatory diseases such as RA and has been associated with disease activity, joint destruction, and other systemic problems.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Itepekimab</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Itepekimab is an investigational, fully human monoclonal antibody that inhibits IL-33, a protein that is believed to play a key role in inflammation in COPD and CRSwNP.</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REGN5713-5715</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REGN5713-5715 is an investigational combination of two fully human monoclonal antibodies designed to treat allergic inflammatory conditions caused by the allergen Bet v 1, which is the main allergen responsible for birch pollen allergies. Birch pollen allergy is one of the most common causes of seasonal allergies that occur in the spring, and is also believed to trigger "oral allergy syndrome" food reactions to related allergens found in nuts and fruits such as apples, pears, and cherries.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REGN1908-1909</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REGN1908-1909 is an investigational combination of two fully human monoclonal antibodies that is designed to specifically bind and block the Fel d 1 allergen, thus preventing it from binding and triggering the endogenous antibodies that cause allergies (i.e., immunoglobulin E antibodies). Cat allergy is primarily caused by exposure to Fel d 1, the major allergen in cat dander produced by all cats.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Libtayo (cemiplimab)</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Libtayo is a fully human monoclonal antibody targeting the immune checkpoint receptor PD-1 on T-cells. The PD-1/PD-L1 immune checkpoint pathway is a well-known mechanism by which cancers evade immune destruction. Regeneron is studying Libtayo as a monotherapy and in combination with either conventional or novel therapeutic approaches in various solid tumors and blood cancers. It is also being studied in combination with proprietary anti-cancer assets of other companies. Libtayo has also been approved by regulatory authorities in a number of cancer indications, including as a treatment for advanced NSCLC, BCC, CSCC, and cervical cancer, and as an adjuvant treatment for patients with CSCC with a high risk of recurrence after surgery and radiation.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Fianlimab</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Fianlimab is an investigational, fully human monoclonal antibody targeting the immune checkpoint receptor LAG-3 on T-cells. In melanoma and NSCLC, LAG-3 expression in the tumor microenvironment may be associated with therapeutic resistance to PD-1 inhibitors. Fianlimab is being investigated in combination with Libtayo to determine whether concurrent blockade of LAG-3 and PD-1 can help overcome this resistance and release the brakes on T-cell activation.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Pozelimab</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Pozelimab is a fully human monoclonal antibody designed to block complement factor C5 in order to treat diseases mediated by abnormal complement pathway activity, and is approved by the FDA for CHAPLE. Pozelimab is being studied in investigational combinations with an investigational small interfering RNA ("siRNA") therapy, cemdisiran, in PNH and geographic atrophy.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Cemdisiran</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Cemdisiran is an investigational siRNA therapy that reduces circulating levels of C5. Cemdisiran, as a monotherapy and in combination with pozelimab (C5 antibody), is being evaluated in trials for complement-mediated disorders, including myasthenia gravis, PNH, and geographic atrophy.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Ordspono (odronextamab)</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Ordspono is a bispecific monoclonal antibody designed to bridge CD20 on cancer cells with CD3-expressing T cells to facilitate local T-cell activation and cancer-cell killing. We are studying Ordspono in several types of B-cell non-Hodgkin lymphoma, including in frontline settings.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Lynozyfic (linvoseltamab)</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Lynozyfic is a bispecific monoclonal antibody designed to bind to CD3 while also binding and bridging T-cells to the BCMA protein on multiple myeloma cells. This may help to activate T-cells via their CD3 receptors and trigger targeted, T-cell mediated killing of multiple myeloma. Lynozyfic has been approved by regulatory authorities for relapsed or refractory multiple myeloma, and continues to be studied in multiple lines and settings of multiple myeloma.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Nex-z</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Nex-z is an investigational CRISPR-based therapy to be systemically delivered to edit genes inside the human body and is being studied as a treatment for ATTR amyloidosis. ATTR amyloidosis is a progressive and fatal disorder resulting from deposition of insoluble amyloid fibrils into multiple organs and tissues leading to systemic failure. Delivered with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technology, nex-z offers the possibility of halting and reversing the disease by driving a deep, consistent, and potentially lifelong reduction in transthyretin ("TTR") protein after a single dose.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REGN7508 and REGN9933</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advancing a robust factor XI program to assess two mechanistically-distinct antibodies, REGN7508 (catalytic domain) and/or REGN9933 (A2 domain), across a variety of indications. These two antibodies were prospectively designed to have distinct profiles – with one designed to provide stronger anticoagulation and the other offering a lower risk of bleeding – potentially allowing physicians to tailor anticoagulation therapy for patients with different risk profiles.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Garetosmab</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Garetosmab is an investigational, fully human monoclonal antibody that binds to and neutralizes Activin A, which drives the abnormal bone formation that is the main pathology of the ultra-rare genetic disorder FOP. This abnormal bone formation in soft tissue outside of the normal skeleton, a process known as heterotopic ossification, leads to loss of mobility and premature death in FOP patients. Garetosmab is being investigated to determine whether it can help reduce and/or prevent the formation of heterotopic bone lesions by neutralizing the Activin A protein.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Mibavademab</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Mibavademab is an investigational, fully human monoclonal antibody that binds to and activates the leptin receptor, which modulates the control of food intake, energy expenditure, and glucose/lipid metabolism. We are studying mibavademab as a potential treatment for generalized lipodystrophy.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DB-OTO</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DB-OTO is an investigational cell-selective, dual AAV vector gene therapy designed to provide durable, physiological hearing to individuals with profound, congenital hearing loss caused by variants of the otoferlin gene. The treatment aims to deliver a working copy of the otoferlin gene to replace the non-functional otoferlin protein using a modified, non-pathogenic virus that is delivered via an infusion into the cochlea under general anesthesia (similar to the procedure used for cochlear implantation). In this gene therapy, the newly introduced otoferlin gene is under the control of a proprietary cell-specific </w:t>
      </w:r>
      <w:r>
        <w:rPr>
          <w:rFonts w:ascii="Times New Roman" w:cs="Times New Roman" w:eastAsia="Times New Roman" w:hAnsi="Times New Roman"/>
          <w:sz w:val="18"/>
          <w:szCs w:val="18"/>
          <w:i w:val="1"/>
          <w:iCs w:val="1"/>
          <w:color w:val="auto"/>
        </w:rPr>
        <w:t xml:space="preserve">Myo15 </w:t>
      </w:r>
      <w:r>
        <w:rPr>
          <w:rFonts w:ascii="Times New Roman" w:cs="Times New Roman" w:eastAsia="Times New Roman" w:hAnsi="Times New Roman"/>
          <w:sz w:val="18"/>
          <w:szCs w:val="18"/>
          <w:color w:val="auto"/>
        </w:rPr>
        <w:t>promoter, which is intended to restrict expression only to hair cells that normally express otoferlin.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Programs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preclinical research programs include the areas of oncology/immuno-oncology, angiogenesis, ophthalmology, metabolic and related diseases, muscle diseases and disorders, inflammation and immune diseases, bone and cartilage, pain and neurobiology, auditory conditions, enzyme replacement therapy, cardiovascular diseases, infectious diseases, and diseases related to aging. These preclinical research programs include both rare diseases and those involving broader populations.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Technologies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Many proteins that play an important role in biology and disease are secreted by cells or located on the cell surface. Moreover, cells communicate through secreted factors and surface molecules. Our scientists have developed two different technologies to make protein therapeutics that potently and specifically block, activate, or inhibit the action of specific cell surface or secreted molecules. The first technology fuses receptor components to the constant region of an antibody molecule to make a class of drugs we call "Traps." EYLEA HD, EYLEA, ZALTRAP, and ARCALYST are drugs generated using our Trap technology.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our second technology platform, which is used for discovering, developing, and producing fully human antibodies that can address both secreted and cell-surface targets. We also leverage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to produce new classes of bispecific antibodies, antibody-protein fusions, and antibody conjugates. Additionally, we use genetic medicine platforms as complementary approaches to these core technologies to potentially treat or cure diseases.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VelociSuite</w:t>
      </w:r>
    </w:p>
    <w:p>
      <w:pPr>
        <w:spacing w:after="0" w:line="14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VelociSuite </w:t>
      </w:r>
      <w:r>
        <w:rPr>
          <w:rFonts w:ascii="Times New Roman" w:cs="Times New Roman" w:eastAsia="Times New Roman" w:hAnsi="Times New Roman"/>
          <w:sz w:val="18"/>
          <w:szCs w:val="18"/>
          <w:color w:val="auto"/>
        </w:rPr>
        <w:t>consists of</w:t>
      </w:r>
      <w:r>
        <w:rPr>
          <w:rFonts w:ascii="Times New Roman" w:cs="Times New Roman" w:eastAsia="Times New Roman" w:hAnsi="Times New Roman"/>
          <w:sz w:val="18"/>
          <w:szCs w:val="18"/>
          <w:i w:val="1"/>
          <w:iCs w:val="1"/>
          <w:color w:val="auto"/>
        </w:rPr>
        <w:t xml:space="preserve"> VelocImmune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VelociGene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VelociMouse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VelociMab</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Veloci-Bi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VelociHum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other related technologies. The</w:t>
      </w:r>
      <w:r>
        <w:rPr>
          <w:rFonts w:ascii="Times New Roman" w:cs="Times New Roman" w:eastAsia="Times New Roman" w:hAnsi="Times New Roman"/>
          <w:sz w:val="18"/>
          <w:szCs w:val="18"/>
          <w:i w:val="1"/>
          <w:iCs w:val="1"/>
          <w:color w:val="auto"/>
        </w:rPr>
        <w:t xml:space="preserve"> VelocImmune </w:t>
      </w:r>
      <w:r>
        <w:rPr>
          <w:rFonts w:ascii="Times New Roman" w:cs="Times New Roman" w:eastAsia="Times New Roman" w:hAnsi="Times New Roman"/>
          <w:sz w:val="18"/>
          <w:szCs w:val="18"/>
          <w:color w:val="auto"/>
        </w:rPr>
        <w:t>mouse platform is utilized to produce fully human antibodies.</w:t>
      </w:r>
      <w:r>
        <w:rPr>
          <w:rFonts w:ascii="Times New Roman" w:cs="Times New Roman" w:eastAsia="Times New Roman" w:hAnsi="Times New Roman"/>
          <w:sz w:val="18"/>
          <w:szCs w:val="18"/>
          <w:i w:val="1"/>
          <w:iCs w:val="1"/>
          <w:color w:val="auto"/>
        </w:rPr>
        <w:t xml:space="preserve"> VelocImmune </w:t>
      </w:r>
      <w:r>
        <w:rPr>
          <w:rFonts w:ascii="Times New Roman" w:cs="Times New Roman" w:eastAsia="Times New Roman" w:hAnsi="Times New Roman"/>
          <w:sz w:val="18"/>
          <w:szCs w:val="18"/>
          <w:color w:val="auto"/>
        </w:rPr>
        <w:t>was generated by leveraging our</w:t>
      </w:r>
      <w:r>
        <w:rPr>
          <w:rFonts w:ascii="Times New Roman" w:cs="Times New Roman" w:eastAsia="Times New Roman" w:hAnsi="Times New Roman"/>
          <w:sz w:val="18"/>
          <w:szCs w:val="18"/>
          <w:i w:val="1"/>
          <w:iCs w:val="1"/>
          <w:color w:val="auto"/>
        </w:rPr>
        <w:t xml:space="preserve"> VelociGene </w:t>
      </w:r>
      <w:r>
        <w:rPr>
          <w:rFonts w:ascii="Times New Roman" w:cs="Times New Roman" w:eastAsia="Times New Roman" w:hAnsi="Times New Roman"/>
          <w:sz w:val="18"/>
          <w:szCs w:val="18"/>
          <w:color w:val="auto"/>
        </w:rPr>
        <w:t>technology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below), in a process in which six megabases of mouse immunoglobulin gene loci were replaced, or "humanized," with corresponding human immunoglobulin gene loci.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mice can be used efficiently to generate fully human antibodies to targets of therapeutic interest.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and our entire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offer the potential to increase the speed and efficiency through which human antibody therapeutics may be discovered and validated, thereby improving the overall efficiency of our early-stage drug development activities. We are utilizing the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to produce our next generation of therapeutic antibody drug candidates for preclinical and clinical development.</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platform allows custom and precise manipulation of very large sequences of DNA to produce highly customized alterations of a specified target gene, or genes, and accelerates the production of knock-out and transgenic expression models.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offers the opportunity to humanize targets by replacing the mouse gene with the human homolog or variants thereof. Thus,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allows scientists to rapidly identify the physical and biological effects of deleting or over-expressing the target gene, as well as to characterize and test potential therapeutic molecules.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18"/>
          <w:szCs w:val="18"/>
          <w:color w:val="auto"/>
        </w:rPr>
        <w:t xml:space="preserve"> technology are suitable for direct phenotyping or other studies.</w:t>
      </w:r>
    </w:p>
    <w:p>
      <w:pPr>
        <w:spacing w:after="0" w:line="9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We have also developed our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18"/>
          <w:szCs w:val="18"/>
          <w:color w:val="auto"/>
        </w:rPr>
        <w:t xml:space="preserve"> platform for the rapid screening of antibodies and rapid generation of expression cell lines for our Traps and our </w:t>
      </w:r>
      <w:r>
        <w:rPr>
          <w:rFonts w:ascii="Times New Roman" w:cs="Times New Roman" w:eastAsia="Times New Roman" w:hAnsi="Times New Roman"/>
          <w:sz w:val="18"/>
          <w:szCs w:val="18"/>
          <w:i w:val="1"/>
          <w:iCs w:val="1"/>
          <w:color w:val="auto"/>
        </w:rPr>
        <w:t xml:space="preserve">VelocImmune </w:t>
      </w:r>
      <w:r>
        <w:rPr>
          <w:rFonts w:ascii="Times New Roman" w:cs="Times New Roman" w:eastAsia="Times New Roman" w:hAnsi="Times New Roman"/>
          <w:sz w:val="18"/>
          <w:szCs w:val="18"/>
          <w:color w:val="auto"/>
        </w:rPr>
        <w:t>human antibodies.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utilized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to develop a class of potential drug candidates, known as bispecific antibodies. </w:t>
      </w:r>
      <w:r>
        <w:rPr>
          <w:rFonts w:ascii="Times New Roman" w:cs="Times New Roman" w:eastAsia="Times New Roman" w:hAnsi="Times New Roman"/>
          <w:sz w:val="18"/>
          <w:szCs w:val="18"/>
          <w:i w:val="1"/>
          <w:iCs w:val="1"/>
          <w:color w:val="auto"/>
        </w:rPr>
        <w:t>Veloci-Bi</w:t>
      </w:r>
      <w:r>
        <w:rPr>
          <w:rFonts w:ascii="Times New Roman" w:cs="Times New Roman" w:eastAsia="Times New Roman" w:hAnsi="Times New Roman"/>
          <w:sz w:val="18"/>
          <w:szCs w:val="18"/>
          <w:color w:val="auto"/>
        </w:rPr>
        <w:t xml:space="preserve"> allows for the generation of full-length bispecific antibodies similar to native antibodies that are amenable to production by standard antibody manufacturing techniques, and are likely to have favorable antibody-like pharmacokinetic properties. In the area of immunotherapies in oncology, we are exploring the use of bispecific antibodies that target tumor antigens and the CD3 receptor on T-cells to harness the oncolytic properties of T-cells. We are exploring additional indications and applications for our bispecific technologies, including CD28 and 4-1BB costimulatory bispecifics. We are also exploring a variety of alternative antibody formats (Altibodies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that can bring binding partners together in restrained geometries.</w:t>
      </w:r>
    </w:p>
    <w:p>
      <w:pPr>
        <w:spacing w:after="0" w:line="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VelociT</w:t>
      </w:r>
      <w:r>
        <w:rPr>
          <w:rFonts w:ascii="Times New Roman" w:cs="Times New Roman" w:eastAsia="Times New Roman" w:hAnsi="Times New Roman"/>
          <w:sz w:val="18"/>
          <w:szCs w:val="18"/>
          <w:color w:val="auto"/>
        </w:rPr>
        <w:t xml:space="preserve"> mouse extends our research and drug discovery capabilities into cell-mediated immunity and therapeutic T-cell receptors ("TCRs") for oncology and other indications. </w:t>
      </w:r>
      <w:r>
        <w:rPr>
          <w:rFonts w:ascii="Times New Roman" w:cs="Times New Roman" w:eastAsia="Times New Roman" w:hAnsi="Times New Roman"/>
          <w:sz w:val="18"/>
          <w:szCs w:val="18"/>
          <w:i w:val="1"/>
          <w:iCs w:val="1"/>
          <w:color w:val="auto"/>
        </w:rPr>
        <w:t>VelociT</w:t>
      </w:r>
      <w:r>
        <w:rPr>
          <w:rFonts w:ascii="Times New Roman" w:cs="Times New Roman" w:eastAsia="Times New Roman" w:hAnsi="Times New Roman"/>
          <w:sz w:val="18"/>
          <w:szCs w:val="18"/>
          <w:color w:val="auto"/>
        </w:rPr>
        <w:t xml:space="preserve"> was developed by using 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technology to humanize genes encoding TCRα and TCRβ variable sequences, CD4 and CD8 co-receptors, β2m, and class-I and -II major histocompatibility complexes. As a result, </w:t>
      </w:r>
      <w:r>
        <w:rPr>
          <w:rFonts w:ascii="Times New Roman" w:cs="Times New Roman" w:eastAsia="Times New Roman" w:hAnsi="Times New Roman"/>
          <w:sz w:val="18"/>
          <w:szCs w:val="18"/>
          <w:i w:val="1"/>
          <w:iCs w:val="1"/>
          <w:color w:val="auto"/>
        </w:rPr>
        <w:t>VelociT</w:t>
      </w:r>
      <w:r>
        <w:rPr>
          <w:rFonts w:ascii="Times New Roman" w:cs="Times New Roman" w:eastAsia="Times New Roman" w:hAnsi="Times New Roman"/>
          <w:sz w:val="18"/>
          <w:szCs w:val="18"/>
          <w:color w:val="auto"/>
        </w:rPr>
        <w:t xml:space="preserve"> mice can be utilized to produce fully human TCRs, providing for customized modeling of T-cell function in different diseases and a powerful platform for the discovery of unique TCR-based therapies. We are also able to produce antibodies that recognize intracellular peptides bound in the groove of human leukocyte antigen ("HLA"), enabling the targeting of intracellular proteins in cancer cells.</w:t>
      </w:r>
    </w:p>
    <w:p>
      <w:pPr>
        <w:spacing w:after="0" w:line="1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VelociHum </w:t>
      </w:r>
      <w:r>
        <w:rPr>
          <w:rFonts w:ascii="Times New Roman" w:cs="Times New Roman" w:eastAsia="Times New Roman" w:hAnsi="Times New Roman"/>
          <w:sz w:val="18"/>
          <w:szCs w:val="18"/>
          <w:color w:val="auto"/>
        </w:rPr>
        <w:t>is our immunodeficient mouse platform that can be used to accurately test human therapeutics against human immune cells and to study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tumor models. Through genetic humanizations, </w:t>
      </w:r>
      <w:r>
        <w:rPr>
          <w:rFonts w:ascii="Times New Roman" w:cs="Times New Roman" w:eastAsia="Times New Roman" w:hAnsi="Times New Roman"/>
          <w:sz w:val="18"/>
          <w:szCs w:val="18"/>
          <w:i w:val="1"/>
          <w:iCs w:val="1"/>
          <w:color w:val="auto"/>
        </w:rPr>
        <w:t>VelociHum</w:t>
      </w:r>
      <w:r>
        <w:rPr>
          <w:rFonts w:ascii="Times New Roman" w:cs="Times New Roman" w:eastAsia="Times New Roman" w:hAnsi="Times New Roman"/>
          <w:sz w:val="18"/>
          <w:szCs w:val="18"/>
          <w:color w:val="auto"/>
        </w:rPr>
        <w:t xml:space="preserve"> mice have been optimized to allow for better development of human immune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as well as to allow for engraftment of primary patient-derived tumors that do not take in other commercially available mice.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Regeneron Genetics Center</w:t>
      </w:r>
      <w:r>
        <w:rPr>
          <w:rFonts w:ascii="Times New Roman" w:cs="Times New Roman" w:eastAsia="Times New Roman" w:hAnsi="Times New Roman"/>
          <w:sz w:val="23"/>
          <w:szCs w:val="23"/>
          <w:b w:val="1"/>
          <w:bCs w:val="1"/>
          <w:color w:val="auto"/>
          <w:vertAlign w:val="superscript"/>
        </w:rPr>
        <w:t>®</w:t>
      </w:r>
    </w:p>
    <w:p>
      <w:pPr>
        <w:spacing w:after="0" w:line="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Regeneron Genetics Center LLC (RGC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wholly owned subsidiary of Regeneron Pharmaceuticals, Inc., leverages de-identified clinical, genomic, proteomic, and other types of molecular data from properly consented human volunteers from around the world to identify medically relevant associations in a blinded fashion designed to preserve a patient's privacy while uncovering the unique characteristics of their health and wellness. The objective of RGC is to expand the use of human genetics for discovering and validating genetic factors that cause or influence a range of diseases where there are major unmet medical needs, with the prospect of improving the drug discovery and development process and to advance innovation in clinical care design. RGC is undertaking multiple collaborative approaches to study design and implementation, including large population-based efforts that engage study participants to more discrete disease specific and founder populations with data on strategic phenotypes of interest. RGC utilizes laboratory automation and innovative approaches to cloud computing to achieve high-quality throughput, attaining over 3 million samples sequenced to date.</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2025, it was announced that RGC was selected by UK Biobank consortium members to complete proteomic assay data generation for the UK Biobank Pharma Proteomics Project.</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2025, RGC entered into an agreement with Truveta Inc. pursuant to which RGC will sequence exomes and conduct genotyping and imputation of up to ten million de-identified consented volunteers using biospecimens provided by Truveta health system members across the United States. In addition, central to the ongoing work of RGC is the portfolio of collaborations with over 150 academic and clinical collaborators around the world, including the University of Colorado, Geisinger Health System, Mayo Clinic, University of Pennsylvania, UCLA Medical Center, UK Biobank, University of Oxford, and the University of Cambridge. These collaborations provide access to biological samples and associated phenotype data from properly consented patient volunteers for purposes of genomic research. RGC undertakes genetic sequencing of these samples to create a unique resource of de-identified genetic data and associated phenotype data for research. Furthermore, RGC has deployed bulk RNA sequencing, whole genome sequencing, and an O-LINK proteomic assay to complement whole exome sequencing and genotyping. In addition, RGC leverages organoid models, siRNA, and CRISPR knockout models to validate genetic associations that lead to new therapeutic targets. RGC continues to publish results from its research efforts in journals and publications in partnership with its collaborators to advance the field of genomics.</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These efforts at RGC have led to the identification of more than 40 novel genetic targets. Through our Regeneron Genetics Medicines initiative, we are currently advancing many of these targets using either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or other technologies, such as siRNA gene silencing, genome editing, and targeted viral-based gene delivery and expression. See the "Collaboration, License, and Other Agreements" section below for descriptions of our agreements with Alnylam Pharmaceuticals, Inc. and Intellia Therapeutics, Inc.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License, and Other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collaborating with Sanofi on the global development and commercialization of Dupixent, Kevzara, and itepekimab. Under the terms of the collaboration, Sanofi is generally responsible for funding 80% to 100% of agreed-upon development expenses as incurred. We are obligated to reimburse Sanofi for 30% to 50% of development expenses that were funded by Sanofi (i.e., "development balance") based on our share of collaboration profits; however, we are only required to apply 20% of our share of profits from the collaboration each calendar quarter to reimburse Sanofi for these development expenses. As of December 31, 2025, the total amount of our contingent reimbursement obligation to Sanofi in connection with the development balance was approximately $595 million.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for commercialized products, and we have the right to co-commercialize such products on a country-by-country basis. We co-commercialize Dupixent in the United States and in certain countries outside the United States. We supply certain commercial bulk product to Sanofi. We and Sanofi equally share profits from sales within the United States, and share profits outside the United States on a sliding scale based on sales starting at 65% (Sanofi)/35% (us) and ending at 55% (Sanofi)/45% (us).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Bayer are parties to a license and collaboration agreement for the global development and commercialization of EYLEA 8 mg and EYLEA outside the United States. Agreed-upon development expenses incurred by the Company and Bayer are generally shared equally. Bayer is responsible for commercialization activities outside the United States, and the companies share equally in profits from such sales.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obligated to reimburse Bayer for 50% of the development expenses that it has incurred under the agreement from our share of the collaboration profits. The reimbursement payment in any quarter will equal 5% of the then outstanding repayment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1620"/>
        <w:spacing w:after="0" w:line="494" w:lineRule="auto"/>
        <w:rPr>
          <w:sz w:val="20"/>
          <w:szCs w:val="20"/>
          <w:color w:val="auto"/>
        </w:rPr>
      </w:pPr>
      <w:r>
        <w:rPr>
          <w:rFonts w:ascii="Times New Roman" w:cs="Times New Roman" w:eastAsia="Times New Roman" w:hAnsi="Times New Roman"/>
          <w:sz w:val="18"/>
          <w:szCs w:val="18"/>
          <w:color w:val="auto"/>
        </w:rPr>
        <w:t xml:space="preserve">obligation, but never more than our share of the collaboration profits in the quarter unless we elect to reimburse Bayer at a faster rate. Within the United States, we retain exclusive commercialization rights and are entitled to all profits from such sales. </w:t>
      </w:r>
      <w:r>
        <w:rPr>
          <w:rFonts w:ascii="Times New Roman" w:cs="Times New Roman" w:eastAsia="Times New Roman" w:hAnsi="Times New Roman"/>
          <w:sz w:val="18"/>
          <w:szCs w:val="18"/>
          <w:b w:val="1"/>
          <w:bCs w:val="1"/>
          <w:i w:val="1"/>
          <w:iCs w:val="1"/>
          <w:color w:val="auto"/>
        </w:rPr>
        <w:t>Alnylam</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Alnylam Pharmaceuticals, Inc. are parties to a collaboration to discover, develop, and commercialize RNAi therapeutics for a broad range of diseases by addressing therapeutic disease targets expressed in the eye and central nervous system, in addition to a select number of targets expressed in the liver.</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each target nominated, we provide Alnylam with a specified amount of funding at program initiation and at lead candidate designation. Under the terms of the collaboration, the parties perform discovery research until designation of lead candidates. Following designation of a lead candidate, the parties may further advance such lead candidate under either a co-development and co-commercialization collaboration agreement ("Co-Co Collaboration Agreement") or a license agreement. The target nomination period of the collaboration agreement ends in May 2026.</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CNS programs and liver programs, under a Co-Co Collaboration Agreement, the party designated as the lead party will lead development and commercialization of the program and the parties will split profits and share costs equally, subject to certain co-funding opt-outs at specified clinical trial phases or under other conditions.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also entered into various license agreements with Alnylam, with us as the licensee, including for cemdisiran as a monotherapy and for a combination consisting of cemdisiran and pozelimab. Under a license agreement, the lead party is designated as the licensee and has the right to develop and commercialize the product under such program. The licensee will be responsible for its own expenses incurred. The licensee will pay to the licensor certain development and/or commercialization milestone payments, as well as tiered royalty payments to the licensor based on the aggregate annual sales of the product.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and Intellia Therapeutics, Inc. are parties to a license and collaboration agreement to advance CRISPR/Cas9 gene-editing technology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 development, including therapies focused on neurological and muscular diseases. We have the right to select targets under the license and collaboration agreement until April 2026.</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Intellia leads the design of the editing methodology, we lead the design of the targeted viral vector delivery approach, and the parties share costs. Each company has the opportunity to lead potential development and commercialization of product candidates for a target, and the company that is not leading development and commercialization will have the option to enter into a co-development and co-commercialization agreement for the target.</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Nex-z, which is in clinical development, is subject to a co-development and co-commercialization arrangement pursuant to which Intellia leads development activities and the parties share development expenses 75% (Intellia)/25% (us). If nex-z is commercialized, Intellia will lead commercialization activities and we will share in 25% of any profits or losses.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Hansoh</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our license agreement with Hansoh Pharmaceuticals Group Company Limited to acquire development and commercial rights outside of mainland China, Hong Kong, and Macau for HS-20094 (a dual GLP-1/GIP receptor agonist currently in Phase 3 clinical development in China) became effective. In-licensing a late-stage GLP-1/GIP agonist enables us to study combinations with our products and product candidates in order to address muscle loss and potentially other comorbidities of obesity, such as cardiovascular diseases, diabetes, and liver conditions. Under the terms of the agreement, we made an $80.0 million up-front payment in July 2025. In addition, we are obligated to make additional payments upon achievement of development, regulatory, and sales milestones, as well as a low double-digit royalty on sales.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Tessera</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2026, our collaboration agreement with Tessera Therapeutics, Inc. to develop and commercialize TSRA-196 (Tessera's investigational program for the treatment of alpha-1 antitrypsin deficiency ("AATD")) became effective. Tessera will lead the initial first-in-human trial, while we will lead subsequent global development and commercialization. The parties will share worldwide development expenses and, if commercialized, any future profits or losses equally. Under the terms of the agreement, the Company made aggregate payments of $150.0 million in January 2026, consisting of an up-front payment and the purchase of Tessera preferred stock. In addition, we are obligated to make additional payments upon achievement of certain development milestones.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manufacture bulk drug materials and products at our manufacturing facilities in Rensselaer, New York and Limerick, Ireland. These facilities consist of owned and leased manufacturing, office, laboratory, and warehouse space. In addition, we have constructed a fill/finish facility in Rensselaer, New York that is undergoing process validation and has yet to be approved for commercial production.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approximately 100,000 liters of cell culture capacity at our Rensselaer facility and approximately 120,000 liters of cell culture capacity at our Limerick facility. Each of these facilities is approved by the FDA and certain other regulatory agencies to manufacture our bulk drug materials and products.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bulk drug materials and products are also manufactured by our collaborators, and certain raw materials or products necessary for the manufacture and formulation of our products and product candidates are provided by single-source unaffiliated third-party suppliers. In addition, we rely on our collaborators or third parties to perform packaging, filling, finishing, labeling, distribution, laboratory testing, and other services related to the manufacture of our products and product candidates. See Part I, Item 1A. "Risk Factors - Risks Related to Manufacturing and Supply" for further information.</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Among the conditions for marketing approval of a new drug or biologic product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commercialize our products both in the United States and other countries through our commercial group, which includes experienced professionals in the fields of marketing, sales, professional education, patient education, reimbursement and market access, trade and distribution, commercial operations, commercial analytics, and market research. In addition, we also co-commercialize certain products sold by our collaborators in the United States and other countries.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our marketed products primarily to wholesalers, specialty distributors, pharmacies, hospitals, government agencies, physicians, and other healthcare providers. We promote approved medicines to healthcare professionals via our team of field employees, as well as medical journals, medical exhibitions, distribution of literature and samples, and online channels. In addition, we advertise certain products directly to consumers and maintain websites with information about our medicines. The commercial group also evaluates opportunities for our targets and product candidates and prepares for market launches of new medicines.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had sales to two customers that each accounted for more than 10% of total gross product revenue. On a combined basis, our product sales to these customers accounted for 77% of our total gross product revenue for the year ended December 31,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substantial competition from pharmaceutical and biotechnology companies. Our ability to compete depends, to a great extent, on how fast we can develop safe and effective product candidates, complete clinical testing and approval processes, and supply commercial quantities of the product to the market. Competition among products approved for sale is based on efficacy, safety, reliability, ease of administration, dosing frequency, availability, price, patent and other intellectual property position, and other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Marketed Products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table below provides an overview of the current competitive landscape for key products marketed by us and/or our collaborators in such products' currently approved indications. The table below is provided for illustrative purposes only and is not exhaustive. For additional information regarding the substantial competition these marketed products face, including potential future competition from product candidates in clinical development, see also Part 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 commercial success of our products and product candidates is subject to significant competition.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264"/>
        </w:trPr>
        <w:tc>
          <w:tcPr>
            <w:tcW w:w="20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Marketed Product</w:t>
            </w:r>
          </w:p>
        </w:tc>
        <w:tc>
          <w:tcPr>
            <w:tcW w:w="120" w:type="dxa"/>
            <w:vAlign w:val="bottom"/>
            <w:tcBorders>
              <w:bottom w:val="single" w:sz="8" w:color="CCEEFF"/>
            </w:tcBorders>
          </w:tcPr>
          <w:p>
            <w:pPr>
              <w:spacing w:after="0"/>
              <w:rPr>
                <w:sz w:val="22"/>
                <w:szCs w:val="22"/>
                <w:color w:val="auto"/>
              </w:rPr>
            </w:pPr>
          </w:p>
        </w:tc>
        <w:tc>
          <w:tcPr>
            <w:tcW w:w="24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Competitor Product</w:t>
            </w:r>
          </w:p>
        </w:tc>
        <w:tc>
          <w:tcPr>
            <w:tcW w:w="100" w:type="dxa"/>
            <w:vAlign w:val="bottom"/>
            <w:tcBorders>
              <w:bottom w:val="single" w:sz="8" w:color="CCEEFF"/>
            </w:tcBorders>
          </w:tcPr>
          <w:p>
            <w:pPr>
              <w:spacing w:after="0"/>
              <w:rPr>
                <w:sz w:val="22"/>
                <w:szCs w:val="22"/>
                <w:color w:val="auto"/>
              </w:rPr>
            </w:pPr>
          </w:p>
        </w:tc>
        <w:tc>
          <w:tcPr>
            <w:tcW w:w="23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Competitor</w:t>
            </w:r>
          </w:p>
        </w:tc>
        <w:tc>
          <w:tcPr>
            <w:tcW w:w="12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23"/>
                <w:szCs w:val="23"/>
                <w:b w:val="1"/>
                <w:bCs w:val="1"/>
                <w:color w:val="auto"/>
                <w:vertAlign w:val="superscript"/>
              </w:rPr>
              <w:t>(a)</w:t>
            </w:r>
          </w:p>
        </w:tc>
        <w:tc>
          <w:tcPr>
            <w:tcW w:w="0" w:type="dxa"/>
            <w:vAlign w:val="bottom"/>
          </w:tcPr>
          <w:p>
            <w:pPr>
              <w:spacing w:after="0"/>
              <w:rPr>
                <w:sz w:val="1"/>
                <w:szCs w:val="1"/>
                <w:color w:val="auto"/>
              </w:rPr>
            </w:pPr>
          </w:p>
        </w:tc>
      </w:tr>
      <w:tr>
        <w:trPr>
          <w:trHeight w:val="174"/>
        </w:trPr>
        <w:tc>
          <w:tcPr>
            <w:tcW w:w="20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EYLEA HD and</w:t>
            </w:r>
          </w:p>
        </w:tc>
        <w:tc>
          <w:tcPr>
            <w:tcW w:w="120" w:type="dxa"/>
            <w:vAlign w:val="bottom"/>
            <w:tcBorders>
              <w:right w:val="single" w:sz="8" w:color="CCEEFF"/>
            </w:tcBorders>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0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(b)</w:t>
            </w:r>
          </w:p>
        </w:tc>
        <w:tc>
          <w:tcPr>
            <w:tcW w:w="120" w:type="dxa"/>
            <w:vAlign w:val="bottom"/>
            <w:tcBorders>
              <w:right w:val="single" w:sz="8" w:color="CCEEFF"/>
            </w:tcBorders>
            <w:shd w:val="clear" w:color="auto" w:fill="CCEEFF"/>
          </w:tcPr>
          <w:p>
            <w:pPr>
              <w:spacing w:after="0"/>
              <w:rPr>
                <w:sz w:val="20"/>
                <w:szCs w:val="20"/>
                <w:color w:val="auto"/>
              </w:rPr>
            </w:pPr>
          </w:p>
        </w:tc>
        <w:tc>
          <w:tcPr>
            <w:tcW w:w="24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Branded Competitor Products</w:t>
            </w: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48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480" w:type="dxa"/>
            <w:vAlign w:val="bottom"/>
            <w:gridSpan w:val="3"/>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Vabysmo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(faricimab-svoa)</w:t>
            </w:r>
          </w:p>
        </w:tc>
        <w:tc>
          <w:tcPr>
            <w:tcW w:w="100" w:type="dxa"/>
            <w:vAlign w:val="bottom"/>
            <w:shd w:val="clear" w:color="auto" w:fill="CCEEFF"/>
          </w:tcPr>
          <w:p>
            <w:pPr>
              <w:spacing w:after="0"/>
              <w:rPr>
                <w:sz w:val="17"/>
                <w:szCs w:val="17"/>
                <w:color w:val="auto"/>
              </w:rPr>
            </w:pPr>
          </w:p>
        </w:tc>
        <w:tc>
          <w:tcPr>
            <w:tcW w:w="23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Genentech/Roche</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wAMD, DME, RVO, and</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choroidal</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76"/>
        </w:trPr>
        <w:tc>
          <w:tcPr>
            <w:tcW w:w="20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neovascularization</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("CNV") with angioid</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streaks</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48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Avastin</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(bevacizumab)</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Genentech/Roche</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wAMD, DME, and RVO</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(for each used off-label</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repackaged)</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48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Lucentis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(ranibizumab injection)</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Novartis AG and</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wAMD, DME, RVO, DR,</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Genentech/Roche</w:t>
            </w: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CNV, and ROP</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4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7"/>
                <w:szCs w:val="17"/>
                <w:color w:val="auto"/>
              </w:rPr>
              <w:t>Lytenava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(bevacizumab</w:t>
            </w:r>
          </w:p>
        </w:tc>
        <w:tc>
          <w:tcPr>
            <w:tcW w:w="100" w:type="dxa"/>
            <w:vAlign w:val="bottom"/>
            <w:shd w:val="clear" w:color="auto" w:fill="CCEEFF"/>
          </w:tcPr>
          <w:p>
            <w:pPr>
              <w:spacing w:after="0"/>
              <w:rPr>
                <w:sz w:val="17"/>
                <w:szCs w:val="17"/>
                <w:color w:val="auto"/>
              </w:rPr>
            </w:pPr>
          </w:p>
        </w:tc>
        <w:tc>
          <w:tcPr>
            <w:tcW w:w="23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Outlook Therapeutics, Inc.</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wAMD</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EU</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gamma)</w:t>
            </w: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4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8"/>
                <w:szCs w:val="18"/>
                <w:color w:val="auto"/>
              </w:rPr>
              <w:t>Susvimo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ocular</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Genentech/Roche</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wAMD, DME, DR</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implant)</w:t>
            </w: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80" w:type="dxa"/>
            <w:vAlign w:val="bottom"/>
            <w:gridSpan w:val="3"/>
            <w:shd w:val="clear" w:color="auto" w:fill="CCEEFF"/>
          </w:tcPr>
          <w:p>
            <w:pPr>
              <w:spacing w:after="0" w:line="211" w:lineRule="exact"/>
              <w:rPr>
                <w:sz w:val="20"/>
                <w:szCs w:val="20"/>
                <w:color w:val="auto"/>
              </w:rPr>
            </w:pPr>
            <w:r>
              <w:rPr>
                <w:rFonts w:ascii="Times New Roman" w:cs="Times New Roman" w:eastAsia="Times New Roman" w:hAnsi="Times New Roman"/>
                <w:sz w:val="18"/>
                <w:szCs w:val="18"/>
                <w:color w:val="auto"/>
              </w:rPr>
              <w:t>Beovu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(brolucizumab) Injection</w:t>
            </w: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Novartis AG</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wAMD, DME</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48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Ozurdex</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(dexamethasone</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Allergan/AbbVie Inc.</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DME, RVO</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intravitreal implant)</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4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Iluvien</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(fluocinolone acetonide</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Alimera Sciences, Inc.</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DME</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intravitreal implant)</w:t>
            </w: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4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Biosimilar Competitor Products</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480" w:type="dxa"/>
            <w:vAlign w:val="bottom"/>
            <w:gridSpan w:val="3"/>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Pavblu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(aflibercept-ayyh)</w:t>
            </w:r>
          </w:p>
        </w:tc>
        <w:tc>
          <w:tcPr>
            <w:tcW w:w="100" w:type="dxa"/>
            <w:vAlign w:val="bottom"/>
            <w:shd w:val="clear" w:color="auto" w:fill="CCEEFF"/>
          </w:tcPr>
          <w:p>
            <w:pPr>
              <w:spacing w:after="0"/>
              <w:rPr>
                <w:sz w:val="17"/>
                <w:szCs w:val="17"/>
                <w:color w:val="auto"/>
              </w:rPr>
            </w:pPr>
          </w:p>
        </w:tc>
        <w:tc>
          <w:tcPr>
            <w:tcW w:w="23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Amgen Inc.</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wAMD, DME, RVO, and</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United States, EU</w:t>
            </w:r>
            <w:r>
              <w:rPr>
                <w:rFonts w:ascii="Times New Roman" w:cs="Times New Roman" w:eastAsia="Times New Roman" w:hAnsi="Times New Roman"/>
                <w:sz w:val="23"/>
                <w:szCs w:val="23"/>
                <w:color w:val="auto"/>
                <w:vertAlign w:val="superscript"/>
              </w:rPr>
              <w:t>(c)</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(biosimilar referencing EYLEA)</w:t>
            </w: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48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Afqlir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(aflibercept) (biosimilar</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Sandoz</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wAMD, DME, RVO, and</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21"/>
                <w:szCs w:val="21"/>
                <w:color w:val="auto"/>
                <w:vertAlign w:val="subscript"/>
              </w:rPr>
              <w:t>EU</w:t>
            </w:r>
            <w:r>
              <w:rPr>
                <w:rFonts w:ascii="Times New Roman" w:cs="Times New Roman" w:eastAsia="Times New Roman" w:hAnsi="Times New Roman"/>
                <w:sz w:val="9"/>
                <w:szCs w:val="9"/>
                <w:color w:val="auto"/>
              </w:rPr>
              <w:t>(c)</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referencing EYLEA)</w:t>
            </w: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mCNV</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48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Eiyzey (aflibercept) (biosimilar</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Sam Chun Dang</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wAMD, DME, RVO, and</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21"/>
                <w:szCs w:val="21"/>
                <w:color w:val="auto"/>
                <w:vertAlign w:val="subscript"/>
              </w:rPr>
              <w:t>EU</w:t>
            </w:r>
            <w:r>
              <w:rPr>
                <w:rFonts w:ascii="Times New Roman" w:cs="Times New Roman" w:eastAsia="Times New Roman" w:hAnsi="Times New Roman"/>
                <w:sz w:val="9"/>
                <w:szCs w:val="9"/>
                <w:color w:val="auto"/>
              </w:rPr>
              <w:t>(c)</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referencing EYLEA)</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mCNV</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4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Byooviz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(ranibizumab-nuna)</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Samsung Bioepis Co., Ltd. and</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wAMD, DME, RVO, DR,</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(biosimilar referencing Lucentis)</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Harrow, Inc.</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CNV</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4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Ximluci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(ranibizumab)</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Xbrane Biopharma AB and</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wAMD, DME, RVO,</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EU</w:t>
            </w:r>
          </w:p>
        </w:tc>
        <w:tc>
          <w:tcPr>
            <w:tcW w:w="0" w:type="dxa"/>
            <w:vAlign w:val="bottom"/>
          </w:tcPr>
          <w:p>
            <w:pPr>
              <w:spacing w:after="0"/>
              <w:rPr>
                <w:sz w:val="1"/>
                <w:szCs w:val="1"/>
                <w:color w:val="auto"/>
              </w:rPr>
            </w:pPr>
          </w:p>
        </w:tc>
      </w:tr>
      <w:tr>
        <w:trPr>
          <w:trHeight w:val="194"/>
        </w:trPr>
        <w:tc>
          <w:tcPr>
            <w:tcW w:w="20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48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(biosimilar referencing Lucentis)</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STADA Arzneimittel AG</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proliferative DR, and</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CNV</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4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Cimerli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(ranibizumab-eqrn)</w:t>
            </w:r>
          </w:p>
        </w:tc>
        <w:tc>
          <w:tcPr>
            <w:tcW w:w="10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Formycon AG, Bioeq AG,</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wAMD, DME, RVO, DR,</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48"/>
        </w:trPr>
        <w:tc>
          <w:tcPr>
            <w:tcW w:w="20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(biosimilar referencing Lucentis)</w:t>
            </w: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Sandoz, and Teva Ltd.</w:t>
            </w:r>
          </w:p>
        </w:tc>
        <w:tc>
          <w:tcPr>
            <w:tcW w:w="1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CNV</w:t>
            </w: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80" w:type="dxa"/>
            <w:vAlign w:val="bottom"/>
            <w:gridSpan w:val="3"/>
            <w:shd w:val="clear" w:color="auto" w:fill="CCEEFF"/>
          </w:tcPr>
          <w:p>
            <w:pPr>
              <w:spacing w:after="0" w:line="211" w:lineRule="exact"/>
              <w:rPr>
                <w:sz w:val="20"/>
                <w:szCs w:val="20"/>
                <w:color w:val="auto"/>
              </w:rPr>
            </w:pPr>
            <w:r>
              <w:rPr>
                <w:rFonts w:ascii="Times New Roman" w:cs="Times New Roman" w:eastAsia="Times New Roman" w:hAnsi="Times New Roman"/>
                <w:sz w:val="18"/>
                <w:szCs w:val="18"/>
                <w:color w:val="auto"/>
              </w:rPr>
              <w:t>Nufymco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(ranibizumab-leyk)</w:t>
            </w: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Formycon AG, Bioeq AG, and</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wAMD, DME, RVO, DR,</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55"/>
        </w:trPr>
        <w:tc>
          <w:tcPr>
            <w:tcW w:w="2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(biosimilar referencing Lucentis)</w:t>
            </w:r>
          </w:p>
        </w:tc>
        <w:tc>
          <w:tcPr>
            <w:tcW w:w="10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Zydus Lifesciences Limited</w:t>
            </w:r>
          </w:p>
        </w:tc>
        <w:tc>
          <w:tcPr>
            <w:tcW w:w="1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mCNV</w:t>
            </w: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Dupixent</w:t>
            </w:r>
          </w:p>
        </w:tc>
        <w:tc>
          <w:tcPr>
            <w:tcW w:w="120" w:type="dxa"/>
            <w:vAlign w:val="bottom"/>
          </w:tcPr>
          <w:p>
            <w:pPr>
              <w:spacing w:after="0"/>
              <w:rPr>
                <w:sz w:val="16"/>
                <w:szCs w:val="16"/>
                <w:color w:val="auto"/>
              </w:rPr>
            </w:pPr>
          </w:p>
        </w:tc>
        <w:tc>
          <w:tcPr>
            <w:tcW w:w="248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auto"/>
              </w:rPr>
              <w:t>Ebglyss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(lebrikizumab)</w:t>
            </w:r>
          </w:p>
        </w:tc>
        <w:tc>
          <w:tcPr>
            <w:tcW w:w="100" w:type="dxa"/>
            <w:vAlign w:val="bottom"/>
          </w:tcPr>
          <w:p>
            <w:pPr>
              <w:spacing w:after="0"/>
              <w:rPr>
                <w:sz w:val="16"/>
                <w:szCs w:val="16"/>
                <w:color w:val="auto"/>
              </w:rPr>
            </w:pPr>
          </w:p>
        </w:tc>
        <w:tc>
          <w:tcPr>
            <w:tcW w:w="2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Almirall S.A., Eli Lilly and</w:t>
            </w:r>
          </w:p>
        </w:tc>
        <w:tc>
          <w:tcPr>
            <w:tcW w:w="120" w:type="dxa"/>
            <w:vAlign w:val="bottom"/>
          </w:tcPr>
          <w:p>
            <w:pPr>
              <w:spacing w:after="0"/>
              <w:rPr>
                <w:sz w:val="16"/>
                <w:szCs w:val="16"/>
                <w:color w:val="auto"/>
              </w:rPr>
            </w:pPr>
          </w:p>
        </w:tc>
        <w:tc>
          <w:tcPr>
            <w:tcW w:w="1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Moderate-to-severe atopic</w:t>
            </w:r>
          </w:p>
        </w:tc>
        <w:tc>
          <w:tcPr>
            <w:tcW w:w="100" w:type="dxa"/>
            <w:vAlign w:val="bottom"/>
          </w:tcPr>
          <w:p>
            <w:pPr>
              <w:spacing w:after="0"/>
              <w:rPr>
                <w:sz w:val="16"/>
                <w:szCs w:val="16"/>
                <w:color w:val="auto"/>
              </w:rPr>
            </w:pPr>
          </w:p>
        </w:tc>
        <w:tc>
          <w:tcPr>
            <w:tcW w:w="1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120" w:type="dxa"/>
            <w:vAlign w:val="bottom"/>
          </w:tcPr>
          <w:p>
            <w:pPr>
              <w:spacing w:after="0"/>
              <w:rPr>
                <w:sz w:val="21"/>
                <w:szCs w:val="21"/>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dermatitis</w:t>
            </w:r>
          </w:p>
        </w:tc>
        <w:tc>
          <w:tcPr>
            <w:tcW w:w="100" w:type="dxa"/>
            <w:vAlign w:val="bottom"/>
          </w:tcPr>
          <w:p>
            <w:pPr>
              <w:spacing w:after="0"/>
              <w:rPr>
                <w:sz w:val="21"/>
                <w:szCs w:val="21"/>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1"/>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3"/>
          </w:tcPr>
          <w:p>
            <w:pPr>
              <w:spacing w:after="0" w:line="211" w:lineRule="exact"/>
              <w:rPr>
                <w:sz w:val="20"/>
                <w:szCs w:val="20"/>
                <w:color w:val="auto"/>
              </w:rPr>
            </w:pPr>
            <w:r>
              <w:rPr>
                <w:rFonts w:ascii="Times New Roman" w:cs="Times New Roman" w:eastAsia="Times New Roman" w:hAnsi="Times New Roman"/>
                <w:sz w:val="18"/>
                <w:szCs w:val="18"/>
                <w:color w:val="auto"/>
              </w:rPr>
              <w:t>Rinvoq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(upadacitinib)</w:t>
            </w:r>
          </w:p>
        </w:tc>
        <w:tc>
          <w:tcPr>
            <w:tcW w:w="10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AbbVie</w:t>
            </w:r>
          </w:p>
        </w:tc>
        <w:tc>
          <w:tcPr>
            <w:tcW w:w="1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Moderate-to-severe atopic</w:t>
            </w:r>
          </w:p>
        </w:tc>
        <w:tc>
          <w:tcPr>
            <w:tcW w:w="10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dermatitis</w:t>
            </w:r>
          </w:p>
        </w:tc>
        <w:tc>
          <w:tcPr>
            <w:tcW w:w="10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auto"/>
              </w:rPr>
              <w:t>Nemluvio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/Mitchga</w:t>
            </w:r>
            <w:r>
              <w:rPr>
                <w:rFonts w:ascii="Times New Roman" w:cs="Times New Roman" w:eastAsia="Times New Roman" w:hAnsi="Times New Roman"/>
                <w:sz w:val="21"/>
                <w:szCs w:val="21"/>
                <w:color w:val="auto"/>
                <w:vertAlign w:val="superscript"/>
              </w:rPr>
              <w:t>®</w:t>
            </w:r>
          </w:p>
        </w:tc>
        <w:tc>
          <w:tcPr>
            <w:tcW w:w="100" w:type="dxa"/>
            <w:vAlign w:val="bottom"/>
          </w:tcPr>
          <w:p>
            <w:pPr>
              <w:spacing w:after="0"/>
              <w:rPr>
                <w:sz w:val="16"/>
                <w:szCs w:val="16"/>
                <w:color w:val="auto"/>
              </w:rPr>
            </w:pPr>
          </w:p>
        </w:tc>
        <w:tc>
          <w:tcPr>
            <w:tcW w:w="2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Galderma; Maruho Co.,</w:t>
            </w:r>
          </w:p>
        </w:tc>
        <w:tc>
          <w:tcPr>
            <w:tcW w:w="120" w:type="dxa"/>
            <w:vAlign w:val="bottom"/>
          </w:tcPr>
          <w:p>
            <w:pPr>
              <w:spacing w:after="0"/>
              <w:rPr>
                <w:sz w:val="16"/>
                <w:szCs w:val="16"/>
                <w:color w:val="auto"/>
              </w:rPr>
            </w:pPr>
          </w:p>
        </w:tc>
        <w:tc>
          <w:tcPr>
            <w:tcW w:w="1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Moderate-to-severe atopic</w:t>
            </w:r>
          </w:p>
        </w:tc>
        <w:tc>
          <w:tcPr>
            <w:tcW w:w="100" w:type="dxa"/>
            <w:vAlign w:val="bottom"/>
          </w:tcPr>
          <w:p>
            <w:pPr>
              <w:spacing w:after="0"/>
              <w:rPr>
                <w:sz w:val="16"/>
                <w:szCs w:val="16"/>
                <w:color w:val="auto"/>
              </w:rPr>
            </w:pPr>
          </w:p>
        </w:tc>
        <w:tc>
          <w:tcPr>
            <w:tcW w:w="1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(nemolizumab)</w:t>
            </w:r>
          </w:p>
        </w:tc>
        <w:tc>
          <w:tcPr>
            <w:tcW w:w="100" w:type="dxa"/>
            <w:vAlign w:val="bottom"/>
          </w:tcPr>
          <w:p>
            <w:pPr>
              <w:spacing w:after="0"/>
              <w:rPr>
                <w:sz w:val="15"/>
                <w:szCs w:val="15"/>
                <w:color w:val="auto"/>
              </w:rPr>
            </w:pPr>
          </w:p>
        </w:tc>
        <w:tc>
          <w:tcPr>
            <w:tcW w:w="2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Ltd./Chugai Pharmaceutical</w:t>
            </w:r>
          </w:p>
        </w:tc>
        <w:tc>
          <w:tcPr>
            <w:tcW w:w="120" w:type="dxa"/>
            <w:vAlign w:val="bottom"/>
          </w:tcPr>
          <w:p>
            <w:pPr>
              <w:spacing w:after="0"/>
              <w:rPr>
                <w:sz w:val="15"/>
                <w:szCs w:val="15"/>
                <w:color w:val="auto"/>
              </w:rPr>
            </w:pPr>
          </w:p>
        </w:tc>
        <w:tc>
          <w:tcPr>
            <w:tcW w:w="19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dermatitis, pruritus</w:t>
            </w:r>
          </w:p>
        </w:tc>
        <w:tc>
          <w:tcPr>
            <w:tcW w:w="100" w:type="dxa"/>
            <w:vAlign w:val="bottom"/>
          </w:tcPr>
          <w:p>
            <w:pPr>
              <w:spacing w:after="0"/>
              <w:rPr>
                <w:sz w:val="15"/>
                <w:szCs w:val="15"/>
                <w:color w:val="auto"/>
              </w:rPr>
            </w:pPr>
          </w:p>
        </w:tc>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Co., Ltd.</w:t>
            </w:r>
          </w:p>
        </w:tc>
        <w:tc>
          <w:tcPr>
            <w:tcW w:w="120" w:type="dxa"/>
            <w:vAlign w:val="bottom"/>
          </w:tcPr>
          <w:p>
            <w:pPr>
              <w:spacing w:after="0"/>
              <w:rPr>
                <w:sz w:val="16"/>
                <w:szCs w:val="16"/>
                <w:color w:val="auto"/>
              </w:rPr>
            </w:pPr>
          </w:p>
        </w:tc>
        <w:tc>
          <w:tcPr>
            <w:tcW w:w="1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associated with atopic</w:t>
            </w: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7280"/>
        <w:spacing w:after="0" w:line="219" w:lineRule="auto"/>
        <w:rPr>
          <w:sz w:val="20"/>
          <w:szCs w:val="20"/>
          <w:color w:val="auto"/>
        </w:rPr>
      </w:pPr>
      <w:r>
        <w:rPr>
          <w:rFonts w:ascii="Times New Roman" w:cs="Times New Roman" w:eastAsia="Times New Roman" w:hAnsi="Times New Roman"/>
          <w:sz w:val="18"/>
          <w:szCs w:val="18"/>
          <w:color w:val="auto"/>
        </w:rPr>
        <w:t>dermatitis, prurigo</w:t>
      </w:r>
    </w:p>
    <w:p>
      <w:pPr>
        <w:ind w:left="7280"/>
        <w:spacing w:after="0"/>
        <w:rPr>
          <w:sz w:val="20"/>
          <w:szCs w:val="20"/>
          <w:color w:val="auto"/>
        </w:rPr>
      </w:pPr>
      <w:r>
        <w:rPr>
          <w:rFonts w:ascii="Times New Roman" w:cs="Times New Roman" w:eastAsia="Times New Roman" w:hAnsi="Times New Roman"/>
          <w:sz w:val="18"/>
          <w:szCs w:val="18"/>
          <w:color w:val="auto"/>
        </w:rPr>
        <w:t>nodularis</w:t>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9"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Marketed Product</w:t>
            </w:r>
          </w:p>
        </w:tc>
        <w:tc>
          <w:tcPr>
            <w:tcW w:w="100" w:type="dxa"/>
            <w:vAlign w:val="bottom"/>
          </w:tcPr>
          <w:p>
            <w:pPr>
              <w:spacing w:after="0"/>
              <w:rPr>
                <w:sz w:val="17"/>
                <w:szCs w:val="17"/>
                <w:color w:val="auto"/>
              </w:rPr>
            </w:pPr>
          </w:p>
        </w:tc>
        <w:tc>
          <w:tcPr>
            <w:tcW w:w="25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Competitor Product</w:t>
            </w:r>
          </w:p>
        </w:tc>
        <w:tc>
          <w:tcPr>
            <w:tcW w:w="100" w:type="dxa"/>
            <w:vAlign w:val="bottom"/>
          </w:tcPr>
          <w:p>
            <w:pPr>
              <w:spacing w:after="0"/>
              <w:rPr>
                <w:sz w:val="17"/>
                <w:szCs w:val="17"/>
                <w:color w:val="auto"/>
              </w:rPr>
            </w:pPr>
          </w:p>
        </w:tc>
        <w:tc>
          <w:tcPr>
            <w:tcW w:w="2400" w:type="dxa"/>
            <w:vAlign w:val="bottom"/>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Competitor</w:t>
            </w:r>
          </w:p>
        </w:tc>
        <w:tc>
          <w:tcPr>
            <w:tcW w:w="100" w:type="dxa"/>
            <w:vAlign w:val="bottom"/>
          </w:tcPr>
          <w:p>
            <w:pPr>
              <w:spacing w:after="0"/>
              <w:rPr>
                <w:sz w:val="17"/>
                <w:szCs w:val="17"/>
                <w:color w:val="auto"/>
              </w:rPr>
            </w:pPr>
          </w:p>
        </w:tc>
        <w:tc>
          <w:tcPr>
            <w:tcW w:w="20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8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23"/>
                <w:szCs w:val="23"/>
                <w:b w:val="1"/>
                <w:bCs w:val="1"/>
                <w:color w:val="auto"/>
                <w:vertAlign w:val="superscript"/>
              </w:rPr>
              <w:t>(a)</w:t>
            </w:r>
          </w:p>
        </w:tc>
        <w:tc>
          <w:tcPr>
            <w:tcW w:w="0" w:type="dxa"/>
            <w:vAlign w:val="bottom"/>
          </w:tcPr>
          <w:p>
            <w:pPr>
              <w:spacing w:after="0"/>
              <w:rPr>
                <w:sz w:val="1"/>
                <w:szCs w:val="1"/>
                <w:color w:val="auto"/>
              </w:rPr>
            </w:pPr>
          </w:p>
        </w:tc>
      </w:tr>
      <w:tr>
        <w:trPr>
          <w:trHeight w:val="238"/>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(continued)</w:t>
            </w:r>
          </w:p>
        </w:tc>
        <w:tc>
          <w:tcPr>
            <w:tcW w:w="100" w:type="dxa"/>
            <w:vAlign w:val="bottom"/>
          </w:tcPr>
          <w:p>
            <w:pPr>
              <w:spacing w:after="0"/>
              <w:rPr>
                <w:sz w:val="20"/>
                <w:szCs w:val="20"/>
                <w:color w:val="auto"/>
              </w:rPr>
            </w:pPr>
          </w:p>
        </w:tc>
        <w:tc>
          <w:tcPr>
            <w:tcW w:w="2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2"/>
            <w:vMerge w:val="continue"/>
          </w:tcPr>
          <w:p>
            <w:pPr>
              <w:spacing w:after="0"/>
              <w:rPr>
                <w:sz w:val="20"/>
                <w:szCs w:val="20"/>
                <w:color w:val="auto"/>
              </w:rPr>
            </w:pPr>
          </w:p>
        </w:tc>
        <w:tc>
          <w:tcPr>
            <w:tcW w:w="1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0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 xml:space="preserve">Dupixent </w:t>
            </w:r>
            <w:r>
              <w:rPr>
                <w:rFonts w:ascii="Times New Roman" w:cs="Times New Roman" w:eastAsia="Times New Roman" w:hAnsi="Times New Roman"/>
                <w:sz w:val="18"/>
                <w:szCs w:val="18"/>
                <w:i w:val="1"/>
                <w:iCs w:val="1"/>
                <w:color w:val="auto"/>
              </w:rPr>
              <w:t>(continued)</w:t>
            </w:r>
          </w:p>
        </w:tc>
        <w:tc>
          <w:tcPr>
            <w:tcW w:w="100" w:type="dxa"/>
            <w:vAlign w:val="bottom"/>
          </w:tcPr>
          <w:p>
            <w:pPr>
              <w:spacing w:after="0"/>
              <w:rPr>
                <w:sz w:val="15"/>
                <w:szCs w:val="15"/>
                <w:color w:val="auto"/>
              </w:rPr>
            </w:pPr>
          </w:p>
        </w:tc>
        <w:tc>
          <w:tcPr>
            <w:tcW w:w="2500" w:type="dxa"/>
            <w:vAlign w:val="bottom"/>
            <w:tcBorders>
              <w:top w:val="single" w:sz="8" w:color="auto"/>
            </w:tcBorders>
          </w:tcPr>
          <w:p>
            <w:pPr>
              <w:ind w:left="20"/>
              <w:spacing w:after="0" w:line="178" w:lineRule="exact"/>
              <w:rPr>
                <w:sz w:val="20"/>
                <w:szCs w:val="20"/>
                <w:color w:val="auto"/>
              </w:rPr>
            </w:pPr>
            <w:r>
              <w:rPr>
                <w:rFonts w:ascii="Times New Roman" w:cs="Times New Roman" w:eastAsia="Times New Roman" w:hAnsi="Times New Roman"/>
                <w:sz w:val="16"/>
                <w:szCs w:val="16"/>
                <w:color w:val="auto"/>
              </w:rPr>
              <w:t>Adbry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/Adtralza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(tralokinumab)</w:t>
            </w:r>
          </w:p>
        </w:tc>
        <w:tc>
          <w:tcPr>
            <w:tcW w:w="100" w:type="dxa"/>
            <w:vAlign w:val="bottom"/>
          </w:tcPr>
          <w:p>
            <w:pPr>
              <w:spacing w:after="0"/>
              <w:rPr>
                <w:sz w:val="15"/>
                <w:szCs w:val="15"/>
                <w:color w:val="auto"/>
              </w:rPr>
            </w:pPr>
          </w:p>
        </w:tc>
        <w:tc>
          <w:tcPr>
            <w:tcW w:w="240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LEO Pharma Inc.</w:t>
            </w:r>
          </w:p>
        </w:tc>
        <w:tc>
          <w:tcPr>
            <w:tcW w:w="100" w:type="dxa"/>
            <w:vAlign w:val="bottom"/>
          </w:tcPr>
          <w:p>
            <w:pPr>
              <w:spacing w:after="0"/>
              <w:rPr>
                <w:sz w:val="15"/>
                <w:szCs w:val="15"/>
                <w:color w:val="auto"/>
              </w:rPr>
            </w:pPr>
          </w:p>
        </w:tc>
        <w:tc>
          <w:tcPr>
            <w:tcW w:w="196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Moderate-to-severe atopic</w:t>
            </w:r>
          </w:p>
        </w:tc>
        <w:tc>
          <w:tcPr>
            <w:tcW w:w="100" w:type="dxa"/>
            <w:vAlign w:val="bottom"/>
          </w:tcPr>
          <w:p>
            <w:pPr>
              <w:spacing w:after="0"/>
              <w:rPr>
                <w:sz w:val="15"/>
                <w:szCs w:val="15"/>
                <w:color w:val="auto"/>
              </w:rPr>
            </w:pPr>
          </w:p>
        </w:tc>
        <w:tc>
          <w:tcPr>
            <w:tcW w:w="184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dermatitis</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Cibinqo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(abrocitinib)</w:t>
            </w:r>
          </w:p>
        </w:tc>
        <w:tc>
          <w:tcPr>
            <w:tcW w:w="100" w:type="dxa"/>
            <w:vAlign w:val="bottom"/>
          </w:tcPr>
          <w:p>
            <w:pPr>
              <w:spacing w:after="0"/>
              <w:rPr>
                <w:sz w:val="16"/>
                <w:szCs w:val="16"/>
                <w:color w:val="auto"/>
              </w:rPr>
            </w:pPr>
          </w:p>
        </w:tc>
        <w:tc>
          <w:tcPr>
            <w:tcW w:w="24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Pfizer</w:t>
            </w:r>
          </w:p>
        </w:tc>
        <w:tc>
          <w:tcPr>
            <w:tcW w:w="100" w:type="dxa"/>
            <w:vAlign w:val="bottom"/>
          </w:tcPr>
          <w:p>
            <w:pPr>
              <w:spacing w:after="0"/>
              <w:rPr>
                <w:sz w:val="16"/>
                <w:szCs w:val="16"/>
                <w:color w:val="auto"/>
              </w:rPr>
            </w:pPr>
          </w:p>
        </w:tc>
        <w:tc>
          <w:tcPr>
            <w:tcW w:w="20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Moderate-to-severe atopic</w:t>
            </w:r>
          </w:p>
        </w:tc>
        <w:tc>
          <w:tcPr>
            <w:tcW w:w="1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dermatitis</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Tezspire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(tezepelumab-ekko)</w:t>
            </w:r>
          </w:p>
        </w:tc>
        <w:tc>
          <w:tcPr>
            <w:tcW w:w="100" w:type="dxa"/>
            <w:vAlign w:val="bottom"/>
          </w:tcPr>
          <w:p>
            <w:pPr>
              <w:spacing w:after="0"/>
              <w:rPr>
                <w:sz w:val="16"/>
                <w:szCs w:val="16"/>
                <w:color w:val="auto"/>
              </w:rPr>
            </w:pPr>
          </w:p>
        </w:tc>
        <w:tc>
          <w:tcPr>
            <w:tcW w:w="24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AstraZeneca/Amgen</w:t>
            </w:r>
          </w:p>
        </w:tc>
        <w:tc>
          <w:tcPr>
            <w:tcW w:w="100" w:type="dxa"/>
            <w:vAlign w:val="bottom"/>
          </w:tcPr>
          <w:p>
            <w:pPr>
              <w:spacing w:after="0"/>
              <w:rPr>
                <w:sz w:val="16"/>
                <w:szCs w:val="16"/>
                <w:color w:val="auto"/>
              </w:rPr>
            </w:pPr>
          </w:p>
        </w:tc>
        <w:tc>
          <w:tcPr>
            <w:tcW w:w="20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Asthma, nasal polyps</w:t>
            </w:r>
          </w:p>
        </w:tc>
        <w:tc>
          <w:tcPr>
            <w:tcW w:w="1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21"/>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ind w:left="20"/>
              <w:spacing w:after="0" w:line="221" w:lineRule="exact"/>
              <w:rPr>
                <w:sz w:val="20"/>
                <w:szCs w:val="20"/>
                <w:color w:val="auto"/>
              </w:rPr>
            </w:pPr>
            <w:r>
              <w:rPr>
                <w:rFonts w:ascii="Times New Roman" w:cs="Times New Roman" w:eastAsia="Times New Roman" w:hAnsi="Times New Roman"/>
                <w:sz w:val="18"/>
                <w:szCs w:val="18"/>
                <w:color w:val="auto"/>
              </w:rPr>
              <w:t>Fasenra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(benralizumab)</w:t>
            </w:r>
          </w:p>
        </w:tc>
        <w:tc>
          <w:tcPr>
            <w:tcW w:w="100" w:type="dxa"/>
            <w:vAlign w:val="bottom"/>
          </w:tcPr>
          <w:p>
            <w:pPr>
              <w:spacing w:after="0"/>
              <w:rPr>
                <w:sz w:val="19"/>
                <w:szCs w:val="19"/>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AstraZeneca</w:t>
            </w:r>
          </w:p>
        </w:tc>
        <w:tc>
          <w:tcPr>
            <w:tcW w:w="10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Asthma</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198"/>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Nucala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(mepolizumab)</w:t>
            </w:r>
          </w:p>
        </w:tc>
        <w:tc>
          <w:tcPr>
            <w:tcW w:w="100" w:type="dxa"/>
            <w:vAlign w:val="bottom"/>
          </w:tcPr>
          <w:p>
            <w:pPr>
              <w:spacing w:after="0"/>
              <w:rPr>
                <w:sz w:val="16"/>
                <w:szCs w:val="16"/>
                <w:color w:val="auto"/>
              </w:rPr>
            </w:pPr>
          </w:p>
        </w:tc>
        <w:tc>
          <w:tcPr>
            <w:tcW w:w="24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GlaxoSmithKline ("GSK")</w:t>
            </w:r>
          </w:p>
        </w:tc>
        <w:tc>
          <w:tcPr>
            <w:tcW w:w="100" w:type="dxa"/>
            <w:vAlign w:val="bottom"/>
          </w:tcPr>
          <w:p>
            <w:pPr>
              <w:spacing w:after="0"/>
              <w:rPr>
                <w:sz w:val="16"/>
                <w:szCs w:val="16"/>
                <w:color w:val="auto"/>
              </w:rPr>
            </w:pPr>
          </w:p>
        </w:tc>
        <w:tc>
          <w:tcPr>
            <w:tcW w:w="20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Asthma, nasal polyps,</w:t>
            </w:r>
          </w:p>
        </w:tc>
        <w:tc>
          <w:tcPr>
            <w:tcW w:w="1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48"/>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COPD</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52"/>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ind w:left="20"/>
              <w:spacing w:after="0" w:line="252" w:lineRule="exact"/>
              <w:rPr>
                <w:sz w:val="20"/>
                <w:szCs w:val="20"/>
                <w:color w:val="auto"/>
              </w:rPr>
            </w:pPr>
            <w:r>
              <w:rPr>
                <w:rFonts w:ascii="Times New Roman" w:cs="Times New Roman" w:eastAsia="Times New Roman" w:hAnsi="Times New Roman"/>
                <w:sz w:val="18"/>
                <w:szCs w:val="18"/>
                <w:color w:val="auto"/>
              </w:rPr>
              <w:t>Exdensur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(depemokimab)</w:t>
            </w:r>
          </w:p>
        </w:tc>
        <w:tc>
          <w:tcPr>
            <w:tcW w:w="10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GSK</w:t>
            </w:r>
          </w:p>
        </w:tc>
        <w:tc>
          <w:tcPr>
            <w:tcW w:w="10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Asthma, CRSwNP</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Japan</w:t>
            </w:r>
          </w:p>
        </w:tc>
        <w:tc>
          <w:tcPr>
            <w:tcW w:w="0" w:type="dxa"/>
            <w:vAlign w:val="bottom"/>
          </w:tcPr>
          <w:p>
            <w:pPr>
              <w:spacing w:after="0"/>
              <w:rPr>
                <w:sz w:val="1"/>
                <w:szCs w:val="1"/>
                <w:color w:val="auto"/>
              </w:rPr>
            </w:pPr>
          </w:p>
        </w:tc>
      </w:tr>
      <w:tr>
        <w:trPr>
          <w:trHeight w:val="221"/>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ind w:left="20"/>
              <w:spacing w:after="0" w:line="221" w:lineRule="exact"/>
              <w:rPr>
                <w:sz w:val="20"/>
                <w:szCs w:val="20"/>
                <w:color w:val="auto"/>
              </w:rPr>
            </w:pPr>
            <w:r>
              <w:rPr>
                <w:rFonts w:ascii="Times New Roman" w:cs="Times New Roman" w:eastAsia="Times New Roman" w:hAnsi="Times New Roman"/>
                <w:sz w:val="18"/>
                <w:szCs w:val="18"/>
                <w:color w:val="auto"/>
              </w:rPr>
              <w:t>Xolair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(omalizumab)</w:t>
            </w:r>
          </w:p>
        </w:tc>
        <w:tc>
          <w:tcPr>
            <w:tcW w:w="100" w:type="dxa"/>
            <w:vAlign w:val="bottom"/>
          </w:tcPr>
          <w:p>
            <w:pPr>
              <w:spacing w:after="0"/>
              <w:rPr>
                <w:sz w:val="19"/>
                <w:szCs w:val="19"/>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Roche/Novartis</w:t>
            </w:r>
          </w:p>
        </w:tc>
        <w:tc>
          <w:tcPr>
            <w:tcW w:w="10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Asthma, nasal polyps,</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198"/>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CSU</w:t>
            </w:r>
          </w:p>
        </w:tc>
        <w:tc>
          <w:tcPr>
            <w:tcW w:w="18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Omlyclo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(biosimilar referencing</w:t>
            </w:r>
          </w:p>
        </w:tc>
        <w:tc>
          <w:tcPr>
            <w:tcW w:w="100" w:type="dxa"/>
            <w:vAlign w:val="bottom"/>
          </w:tcPr>
          <w:p>
            <w:pPr>
              <w:spacing w:after="0"/>
              <w:rPr>
                <w:sz w:val="16"/>
                <w:szCs w:val="16"/>
                <w:color w:val="auto"/>
              </w:rPr>
            </w:pPr>
          </w:p>
        </w:tc>
        <w:tc>
          <w:tcPr>
            <w:tcW w:w="24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Celltrion</w:t>
            </w:r>
          </w:p>
        </w:tc>
        <w:tc>
          <w:tcPr>
            <w:tcW w:w="100" w:type="dxa"/>
            <w:vAlign w:val="bottom"/>
          </w:tcPr>
          <w:p>
            <w:pPr>
              <w:spacing w:after="0"/>
              <w:rPr>
                <w:sz w:val="16"/>
                <w:szCs w:val="16"/>
                <w:color w:val="auto"/>
              </w:rPr>
            </w:pPr>
          </w:p>
        </w:tc>
        <w:tc>
          <w:tcPr>
            <w:tcW w:w="20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Asthma, nasal polyps,</w:t>
            </w:r>
          </w:p>
        </w:tc>
        <w:tc>
          <w:tcPr>
            <w:tcW w:w="1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Xolair)</w:t>
            </w: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CSU</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ind w:left="20"/>
              <w:spacing w:after="0" w:line="234" w:lineRule="exact"/>
              <w:rPr>
                <w:sz w:val="20"/>
                <w:szCs w:val="20"/>
                <w:color w:val="auto"/>
              </w:rPr>
            </w:pPr>
            <w:r>
              <w:rPr>
                <w:rFonts w:ascii="Times New Roman" w:cs="Times New Roman" w:eastAsia="Times New Roman" w:hAnsi="Times New Roman"/>
                <w:sz w:val="18"/>
                <w:szCs w:val="18"/>
                <w:color w:val="auto"/>
              </w:rPr>
              <w:t>Rhapsido</w:t>
            </w:r>
            <w:r>
              <w:rPr>
                <w:rFonts w:ascii="Times New Roman" w:cs="Times New Roman" w:eastAsia="Times New Roman" w:hAnsi="Times New Roman"/>
                <w:sz w:val="23"/>
                <w:szCs w:val="23"/>
                <w:color w:val="auto"/>
                <w:vertAlign w:val="superscript"/>
              </w:rPr>
              <w:t>®</w:t>
            </w:r>
          </w:p>
        </w:tc>
        <w:tc>
          <w:tcPr>
            <w:tcW w:w="10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Novartis AG</w:t>
            </w:r>
          </w:p>
        </w:tc>
        <w:tc>
          <w:tcPr>
            <w:tcW w:w="10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CSU</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Libtayo</w:t>
            </w: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Keytruda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(pembrolizumab)</w:t>
            </w: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Merck &amp; Co., Inc.</w:t>
            </w:r>
          </w:p>
        </w:tc>
        <w:tc>
          <w:tcPr>
            <w:tcW w:w="10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Various cancers</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Opdivo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(nivolumab)</w:t>
            </w: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Bristol-Myers Squibb</w:t>
            </w:r>
          </w:p>
        </w:tc>
        <w:tc>
          <w:tcPr>
            <w:tcW w:w="10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Various cancers</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Tecentriq</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(atezolizumab)</w:t>
            </w: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Roche</w:t>
            </w:r>
          </w:p>
        </w:tc>
        <w:tc>
          <w:tcPr>
            <w:tcW w:w="10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Various cancers</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Imfinzi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(durvalumab)</w:t>
            </w: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AstraZeneca</w:t>
            </w:r>
          </w:p>
        </w:tc>
        <w:tc>
          <w:tcPr>
            <w:tcW w:w="10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Various cancers</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Bavencio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(avelumab)</w:t>
            </w: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Pfizer/Merck KGaA</w:t>
            </w:r>
          </w:p>
        </w:tc>
        <w:tc>
          <w:tcPr>
            <w:tcW w:w="10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Various cancers</w:t>
            </w:r>
          </w:p>
        </w:tc>
        <w:tc>
          <w:tcPr>
            <w:tcW w:w="1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Jemperli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(dostarlimab)</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GSK</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cancers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Unloxcyt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(cosibelimab)</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Checkpoint Therapeutics, Inc.</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CSCC</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60" w:right="200" w:hanging="5"/>
        <w:spacing w:after="0" w:line="199" w:lineRule="auto"/>
        <w:tabs>
          <w:tab w:leader="none" w:pos="43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Except as noted in footnote (b) below, this table focuses on products that have received marketing approval in one or more of the specified indications in the United States, EU, and/or Japan. Certain products listed in this table have also received marketing approval in countries outside the United States, EU, and Japan.</w:t>
      </w:r>
    </w:p>
    <w:p>
      <w:pPr>
        <w:spacing w:after="0" w:line="6" w:lineRule="exact"/>
        <w:rPr>
          <w:rFonts w:ascii="Times New Roman" w:cs="Times New Roman" w:eastAsia="Times New Roman" w:hAnsi="Times New Roman"/>
          <w:sz w:val="23"/>
          <w:szCs w:val="23"/>
          <w:color w:val="auto"/>
          <w:vertAlign w:val="superscript"/>
        </w:rPr>
      </w:pPr>
    </w:p>
    <w:p>
      <w:pPr>
        <w:ind w:left="260" w:right="120" w:hanging="5"/>
        <w:spacing w:after="0" w:line="204" w:lineRule="auto"/>
        <w:tabs>
          <w:tab w:leader="none" w:pos="437"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addition to the products listed in this table, certain other biosimilar products referencing EYLEA have received marketing approval in the United States, EU, and/or Japan but have not yet launched in such jurisdictions. The timing of any launch of these biosimilar products will depend on, among other factors, the outcome of the pending patent litigation proceedings and the settlement terms of the previously pending litigation proceedings described in Note 16 to our Consolidated Financial Statements and the expiration of the patents protecting EYLEA (including those set forth under "Patents, Trademarks, and Trade Secrets" below).</w:t>
      </w:r>
    </w:p>
    <w:p>
      <w:pPr>
        <w:spacing w:after="0" w:line="5" w:lineRule="exact"/>
        <w:rPr>
          <w:rFonts w:ascii="Times New Roman" w:cs="Times New Roman" w:eastAsia="Times New Roman" w:hAnsi="Times New Roman"/>
          <w:sz w:val="23"/>
          <w:szCs w:val="23"/>
          <w:color w:val="auto"/>
          <w:vertAlign w:val="superscript"/>
        </w:rPr>
      </w:pPr>
    </w:p>
    <w:p>
      <w:pPr>
        <w:ind w:left="420" w:hanging="165"/>
        <w:spacing w:after="0"/>
        <w:tabs>
          <w:tab w:leader="none" w:pos="4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This product has launched in one or more countries in the EU</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Candidates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late-stage and earlier-stage clinical candidates (including those being developed pursuant to agreements with our collaborators) face competition from many pharmaceutical and biotechnology companies. For example, we are aware of other pharmaceutical and biotechnology companies actively engaged in the research and development of antibody-based products (including bispecific antibodies, multispecific antibodies, and/or antibody-drug conjugates) and gene therapy-based products against targets that are also the targets of our early- and late-stage product candidates. These companies are using various technologies in competition with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and our other antibody generation technologies, including their own antibody generation technologies and other approaches such as RNAi, chimeric antigen receptor T ("CAR-T") cell, and gene therapy technologies. We are also aware of other companies developing or marketing small molecules that may compete with our antibody product candidates in various indications, if such product candidates obtain regulatory approval in those indications.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regarding our product candidates (including those being developed in collaboration with our collaborators) and the substantial competition they face, see also Part 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 commercial success of our products and product candidates is subject to significant competition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Areas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pharmaceutical and biotechnology companies are attempting to discover new therapeutics for indications in which we invest substantial time and resources. In these and related areas, intellectual property rights have been sought and certain rights have been granted to competitors and potential competitors of ours, and we may be at a substantial competitive disadvantage in such areas as a result of, among other things, our inferior intellectual property position or lack of experience, trained personnel, and expertise. A number of corporate and academic competitors are involved in the discovery and development of novel therapeutics that are the focus of other research or development programs we are now conducting. Some of these competitors are currently conducting advanced preclinical and clinical research programs in these areas. These and other competitors also may have established substantial intellectual property and other competitive advantages.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operating results, financial condition, cash flows, or future prospects.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compete with academic institutions, governmental agencies, and other public or private research organizations, which conduct research, seek patent and other intellectual property protection, and establish collaborative arrangements for the development and marketing of products that would provide royalties or other consideration for use of their technology. These institutions have become more active in seeking patent and other intellectual property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Trade Secrets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on a combination of intellectual property laws, including patent, trademark, copyright, trade secret, and domain name protection laws, as well as confidentiality and license agreements, to protect our intellectual property and proprietary rights.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success depends, in part, on our ability to obtain patents, maintain trade secret protection, and operate without infringing on the proprietary rights of third parties (see Part I, Item 1A. "Risk Factors - Risks Related to Intellectual Property and Market Exclusivity - </w:t>
      </w:r>
      <w:r>
        <w:rPr>
          <w:rFonts w:ascii="Times New Roman" w:cs="Times New Roman" w:eastAsia="Times New Roman" w:hAnsi="Times New Roman"/>
          <w:sz w:val="18"/>
          <w:szCs w:val="18"/>
          <w:i w:val="1"/>
          <w:iCs w:val="1"/>
          <w:color w:val="auto"/>
        </w:rPr>
        <w:t>We may be restricted in our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manufacturing, and/or commercialization activities by patents or other proprietary rights of others, and could be subject to awards of damages if we are found to have infringed such patents or rights</w:t>
      </w:r>
      <w:r>
        <w:rPr>
          <w:rFonts w:ascii="Times New Roman" w:cs="Times New Roman" w:eastAsia="Times New Roman" w:hAnsi="Times New Roman"/>
          <w:sz w:val="18"/>
          <w:szCs w:val="18"/>
          <w:color w:val="auto"/>
        </w:rPr>
        <w:t>"; and Note 16 to our Consolidated Financial Statements). Our policy is to file patent applications to protect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inventions, and improvements that we consider important to our business and operations. We hold an ownership interest in a number of issued patents in the United States and other countries with respect to our products and technologies. In addition, we hold an ownership interest in thousands of patent applications in the United States and other countries.</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Our patent portfolio includes granted patents and pending patent applications covering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including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mouse platform (used to generate fully human antibodies). Patent protection for certain of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extends to 2042 based on remaining issued patents, and we continue to file new patent applications directed to improvements to these technology platforms.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patent portfolio also includes issued patents and pending applications relating to commercialized products and our product candidates in clinical development. These patents cover, among other things, proteins, DNA and RNA molecules, manufacturing patents, method of use patents, and pharmaceutical compositions and formulations.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describes our U.S. patents, European patents ("EP"), and Japanese patents ("JP") that are of particular relevance to key products marketed or otherwise commercialized by us and/or our collaborators. The noted expiration dates include any patent term adjustments, and certain of these patents may also be entitled to term extensions. We continue to pursue additional patents and patent term extensions in the United States and other jurisdictions covering various aspects of our products that may, if issued, extend exclusivity beyond the expiration of the patents listed in the table below. One or more patents with the same or earlier expiry date may fall under the same "general subject matter class" for certain products and may not be separately listed. We also own various patents with claims relating to methods of making, formulating, and/or using the active molecules contained within our key products, but that do not cover indications, methods of use or processes currently approved by regulatory agencies or used by us and/or our collaborators. Such patents are not listed in the following table.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14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18"/>
                <w:szCs w:val="18"/>
                <w:color w:val="auto"/>
              </w:rPr>
            </w:pPr>
          </w:p>
        </w:tc>
        <w:tc>
          <w:tcPr>
            <w:tcW w:w="1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Molecule</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25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HD</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aflibercept (8 mg)</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8"/>
              </w:rPr>
              <w:t>11,066,458</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60" w:type="dxa"/>
            <w:vAlign w:val="bottom"/>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8"/>
              </w:rPr>
              <w:t>11,084,865</w:t>
            </w:r>
          </w:p>
        </w:tc>
        <w:tc>
          <w:tcPr>
            <w:tcW w:w="10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8"/>
              </w:rPr>
              <w:t>11,103,552</w:t>
            </w:r>
          </w:p>
        </w:tc>
        <w:tc>
          <w:tcPr>
            <w:tcW w:w="1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15, 2039</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0"/>
        </w:trPr>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17"/>
                <w:szCs w:val="17"/>
                <w:color w:val="auto"/>
              </w:rPr>
            </w:pP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Molecule</w:t>
            </w:r>
          </w:p>
        </w:tc>
        <w:tc>
          <w:tcPr>
            <w:tcW w:w="100" w:type="dxa"/>
            <w:vAlign w:val="bottom"/>
          </w:tcPr>
          <w:p>
            <w:pPr>
              <w:spacing w:after="0"/>
              <w:rPr>
                <w:sz w:val="17"/>
                <w:szCs w:val="17"/>
                <w:color w:val="auto"/>
              </w:rPr>
            </w:pPr>
          </w:p>
        </w:tc>
        <w:tc>
          <w:tcPr>
            <w:tcW w:w="12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120" w:type="dxa"/>
            <w:vAlign w:val="bottom"/>
          </w:tcPr>
          <w:p>
            <w:pPr>
              <w:spacing w:after="0"/>
              <w:rPr>
                <w:sz w:val="17"/>
                <w:szCs w:val="17"/>
                <w:color w:val="auto"/>
              </w:rPr>
            </w:pP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100" w:type="dxa"/>
            <w:vAlign w:val="bottom"/>
          </w:tcPr>
          <w:p>
            <w:pPr>
              <w:spacing w:after="0"/>
              <w:rPr>
                <w:sz w:val="17"/>
                <w:szCs w:val="17"/>
                <w:color w:val="auto"/>
              </w:rPr>
            </w:pPr>
          </w:p>
        </w:tc>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100" w:type="dxa"/>
            <w:vAlign w:val="bottom"/>
          </w:tcPr>
          <w:p>
            <w:pPr>
              <w:spacing w:after="0"/>
              <w:rPr>
                <w:sz w:val="17"/>
                <w:szCs w:val="17"/>
                <w:color w:val="auto"/>
              </w:rPr>
            </w:pPr>
          </w:p>
        </w:tc>
        <w:tc>
          <w:tcPr>
            <w:tcW w:w="25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4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20" w:type="dxa"/>
            <w:vAlign w:val="bottom"/>
          </w:tcPr>
          <w:p>
            <w:pPr>
              <w:spacing w:after="0"/>
              <w:rPr>
                <w:sz w:val="21"/>
                <w:szCs w:val="21"/>
                <w:color w:val="auto"/>
              </w:rPr>
            </w:pPr>
          </w:p>
        </w:tc>
        <w:tc>
          <w:tcPr>
            <w:tcW w:w="1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00" w:type="dxa"/>
            <w:vAlign w:val="bottom"/>
          </w:tcPr>
          <w:p>
            <w:pPr>
              <w:spacing w:after="0"/>
              <w:rPr>
                <w:sz w:val="21"/>
                <w:szCs w:val="21"/>
                <w:color w:val="auto"/>
              </w:rPr>
            </w:pPr>
          </w:p>
        </w:tc>
        <w:tc>
          <w:tcPr>
            <w:tcW w:w="25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14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EYLEA HD</w:t>
            </w:r>
          </w:p>
        </w:tc>
        <w:tc>
          <w:tcPr>
            <w:tcW w:w="12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10,828,345</w:t>
            </w:r>
          </w:p>
        </w:tc>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January 11, 2032</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12,168,036</w:t>
            </w: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10, 2039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4,185,318</w:t>
            </w:r>
          </w:p>
        </w:tc>
        <w:tc>
          <w:tcPr>
            <w:tcW w:w="100" w:type="dxa"/>
            <w:vAlign w:val="bottom"/>
            <w:shd w:val="clear" w:color="auto" w:fill="CCEEFF"/>
          </w:tcPr>
          <w:p>
            <w:pPr>
              <w:spacing w:after="0"/>
              <w:rPr>
                <w:sz w:val="22"/>
                <w:szCs w:val="22"/>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16, 2042</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7,235,770</w:t>
            </w:r>
          </w:p>
        </w:tc>
        <w:tc>
          <w:tcPr>
            <w:tcW w:w="10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30, 2040</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4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aflibercept (2 mg)</w:t>
            </w: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8,092,803</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21, 2027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11,066,458</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11,084,865</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11,732,024</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12,331,099</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10,828,345</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11,559,564</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11,707,506</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11,730,794</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11,986,511</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2364691</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2944306</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tcPr>
          <w:p>
            <w:pPr>
              <w:spacing w:after="0"/>
              <w:rPr>
                <w:sz w:val="19"/>
                <w:szCs w:val="19"/>
                <w:color w:val="auto"/>
              </w:rPr>
            </w:pPr>
          </w:p>
        </w:tc>
        <w:tc>
          <w:tcPr>
            <w:tcW w:w="25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June 14, 2027</w:t>
            </w:r>
            <w:r>
              <w:rPr>
                <w:rFonts w:ascii="Times New Roman" w:cs="Times New Roman" w:eastAsia="Times New Roman" w:hAnsi="Times New Roman"/>
                <w:sz w:val="23"/>
                <w:szCs w:val="23"/>
                <w:color w:val="auto"/>
                <w:vertAlign w:val="superscript"/>
              </w:rPr>
              <w:t>(b)</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EP</w:t>
            </w:r>
          </w:p>
        </w:tc>
        <w:tc>
          <w:tcPr>
            <w:tcW w:w="1360" w:type="dxa"/>
            <w:vAlign w:val="bottom"/>
            <w:gridSpan w:val="2"/>
          </w:tcPr>
          <w:p>
            <w:pPr>
              <w:ind w:left="140"/>
              <w:spacing w:after="0" w:line="183" w:lineRule="exact"/>
              <w:rPr>
                <w:sz w:val="20"/>
                <w:szCs w:val="20"/>
                <w:color w:val="auto"/>
              </w:rPr>
            </w:pPr>
            <w:r>
              <w:rPr>
                <w:rFonts w:ascii="Times New Roman" w:cs="Times New Roman" w:eastAsia="Times New Roman" w:hAnsi="Times New Roman"/>
                <w:sz w:val="18"/>
                <w:szCs w:val="18"/>
                <w:color w:val="auto"/>
              </w:rPr>
              <w:t>2944306</w:t>
            </w:r>
          </w:p>
        </w:tc>
        <w:tc>
          <w:tcPr>
            <w:tcW w:w="100" w:type="dxa"/>
            <w:vAlign w:val="bottom"/>
          </w:tcPr>
          <w:p>
            <w:pPr>
              <w:spacing w:after="0"/>
              <w:rPr>
                <w:sz w:val="15"/>
                <w:szCs w:val="15"/>
                <w:color w:val="auto"/>
              </w:rPr>
            </w:pPr>
          </w:p>
        </w:tc>
        <w:tc>
          <w:tcPr>
            <w:tcW w:w="21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Formulation (Supplementary</w:t>
            </w:r>
          </w:p>
        </w:tc>
        <w:tc>
          <w:tcPr>
            <w:tcW w:w="100" w:type="dxa"/>
            <w:vAlign w:val="bottom"/>
          </w:tcPr>
          <w:p>
            <w:pPr>
              <w:spacing w:after="0"/>
              <w:rPr>
                <w:sz w:val="15"/>
                <w:szCs w:val="15"/>
                <w:color w:val="auto"/>
              </w:rPr>
            </w:pPr>
          </w:p>
        </w:tc>
        <w:tc>
          <w:tcPr>
            <w:tcW w:w="25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7"/>
                <w:szCs w:val="17"/>
                <w:color w:val="auto"/>
              </w:rPr>
              <w:t>(May 25, 2028)</w:t>
            </w:r>
            <w:r>
              <w:rPr>
                <w:rFonts w:ascii="Times New Roman" w:cs="Times New Roman" w:eastAsia="Times New Roman" w:hAnsi="Times New Roman"/>
                <w:sz w:val="21"/>
                <w:szCs w:val="21"/>
                <w:color w:val="auto"/>
                <w:vertAlign w:val="superscript"/>
              </w:rPr>
              <w:t>(b)</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Protection Certificate)</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5,216,002</w:t>
            </w:r>
          </w:p>
        </w:tc>
        <w:tc>
          <w:tcPr>
            <w:tcW w:w="100" w:type="dxa"/>
            <w:vAlign w:val="bottom"/>
          </w:tcPr>
          <w:p>
            <w:pPr>
              <w:spacing w:after="0"/>
              <w:rPr>
                <w:sz w:val="17"/>
                <w:szCs w:val="17"/>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tcPr>
          <w:p>
            <w:pPr>
              <w:spacing w:after="0"/>
              <w:rPr>
                <w:sz w:val="17"/>
                <w:szCs w:val="17"/>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27, 2028 – October</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1, 2029</w:t>
            </w:r>
            <w:r>
              <w:rPr>
                <w:rFonts w:ascii="Times New Roman" w:cs="Times New Roman" w:eastAsia="Times New Roman" w:hAnsi="Times New Roman"/>
                <w:sz w:val="21"/>
                <w:szCs w:val="21"/>
                <w:color w:val="auto"/>
                <w:vertAlign w:val="superscript"/>
              </w:rPr>
              <w:t>(d)</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7,733,706</w:t>
            </w:r>
          </w:p>
        </w:tc>
        <w:tc>
          <w:tcPr>
            <w:tcW w:w="10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Dupixent</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dupilumab</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7,608,693</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March 28, 2031</w:t>
            </w:r>
            <w:r>
              <w:rPr>
                <w:rFonts w:ascii="Times New Roman" w:cs="Times New Roman" w:eastAsia="Times New Roman" w:hAnsi="Times New Roman"/>
                <w:sz w:val="23"/>
                <w:szCs w:val="23"/>
                <w:color w:val="auto"/>
                <w:vertAlign w:val="superscript"/>
              </w:rPr>
              <w:t>(e)</w:t>
            </w:r>
          </w:p>
        </w:tc>
        <w:tc>
          <w:tcPr>
            <w:tcW w:w="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8,735,095</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 2027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8,945,559</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17, 2032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9,238,692</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5, 2031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10,435,473</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5, 2031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11,059,896</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5, 2031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11,926,670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5, 2031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8,075,887</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17, 2028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8,337,839</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 2027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9,290,574</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10, 2034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9,574,004</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22, 2033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10,066,017</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21, 2036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10,730,948</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10, 2034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11,421,036</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10, 2034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10,137,193</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18, 2036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10,485,844</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21, 2037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10,059,771</w:t>
            </w: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 2034</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11,214,621</w:t>
            </w: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21, 2036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11,167,004</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21, 2037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11,034,768</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28, 2039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11,292,847</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10, 2039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11,845,800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22, 2033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12,090,201</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3, 2043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12,291,571</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25, 2034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12,398,212</w:t>
            </w: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5, 2042</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6"/>
        </w:trPr>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7"/>
                <w:szCs w:val="17"/>
                <w:color w:val="auto"/>
              </w:rPr>
            </w:pP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Molecule</w:t>
            </w:r>
          </w:p>
        </w:tc>
        <w:tc>
          <w:tcPr>
            <w:tcW w:w="120" w:type="dxa"/>
            <w:vAlign w:val="bottom"/>
          </w:tcPr>
          <w:p>
            <w:pPr>
              <w:spacing w:after="0"/>
              <w:rPr>
                <w:sz w:val="17"/>
                <w:szCs w:val="17"/>
                <w:color w:val="auto"/>
              </w:rPr>
            </w:pPr>
          </w:p>
        </w:tc>
        <w:tc>
          <w:tcPr>
            <w:tcW w:w="12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120" w:type="dxa"/>
            <w:vAlign w:val="bottom"/>
          </w:tcPr>
          <w:p>
            <w:pPr>
              <w:spacing w:after="0"/>
              <w:rPr>
                <w:sz w:val="17"/>
                <w:szCs w:val="17"/>
                <w:color w:val="auto"/>
              </w:rPr>
            </w:pP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100" w:type="dxa"/>
            <w:vAlign w:val="bottom"/>
          </w:tcPr>
          <w:p>
            <w:pPr>
              <w:spacing w:after="0"/>
              <w:rPr>
                <w:sz w:val="17"/>
                <w:szCs w:val="17"/>
                <w:color w:val="auto"/>
              </w:rPr>
            </w:pPr>
          </w:p>
        </w:tc>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120" w:type="dxa"/>
            <w:vAlign w:val="bottom"/>
          </w:tcPr>
          <w:p>
            <w:pPr>
              <w:spacing w:after="0"/>
              <w:rPr>
                <w:sz w:val="17"/>
                <w:szCs w:val="17"/>
                <w:color w:val="auto"/>
              </w:rPr>
            </w:pPr>
          </w:p>
        </w:tc>
        <w:tc>
          <w:tcPr>
            <w:tcW w:w="21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3"/>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(continued)</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2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5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Dupixent</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2356151</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October 27, 2029</w:t>
            </w:r>
            <w:r>
              <w:rPr>
                <w:rFonts w:ascii="Times New Roman" w:cs="Times New Roman" w:eastAsia="Times New Roman" w:hAnsi="Times New Roman"/>
                <w:sz w:val="19"/>
                <w:szCs w:val="19"/>
                <w:color w:val="auto"/>
                <w:vertAlign w:val="superscript"/>
              </w:rPr>
              <w:t>(b)</w:t>
            </w:r>
          </w:p>
        </w:tc>
        <w:tc>
          <w:tcPr>
            <w:tcW w:w="0" w:type="dxa"/>
            <w:vAlign w:val="bottom"/>
          </w:tcPr>
          <w:p>
            <w:pPr>
              <w:spacing w:after="0"/>
              <w:rPr>
                <w:sz w:val="1"/>
                <w:szCs w:val="1"/>
                <w:color w:val="auto"/>
              </w:rPr>
            </w:pPr>
          </w:p>
        </w:tc>
      </w:tr>
      <w:tr>
        <w:trPr>
          <w:trHeight w:val="236"/>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2356151</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(September 28, 2032)</w:t>
            </w: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(Supplementary Protection</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6"/>
                <w:szCs w:val="16"/>
                <w:color w:val="auto"/>
              </w:rPr>
              <w:t>)/(March 28, 2033)</w:t>
            </w:r>
            <w:r>
              <w:rPr>
                <w:rFonts w:ascii="Times New Roman" w:cs="Times New Roman" w:eastAsia="Times New Roman" w:hAnsi="Times New Roman"/>
                <w:sz w:val="20"/>
                <w:szCs w:val="20"/>
                <w:color w:val="auto"/>
                <w:vertAlign w:val="superscript"/>
              </w:rPr>
              <w:t>(c)</w:t>
            </w: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3715372</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27, 2029</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3010539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 2034</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2888281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 2033</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3064511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27, 2029</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3107575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 2035</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3019191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10, 2034</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3703818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29, 2038</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4011915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 2033</w:t>
            </w:r>
          </w:p>
        </w:tc>
        <w:tc>
          <w:tcPr>
            <w:tcW w:w="0" w:type="dxa"/>
            <w:vAlign w:val="bottom"/>
          </w:tcPr>
          <w:p>
            <w:pPr>
              <w:spacing w:after="0"/>
              <w:rPr>
                <w:sz w:val="1"/>
                <w:szCs w:val="1"/>
                <w:color w:val="auto"/>
              </w:rPr>
            </w:pPr>
          </w:p>
        </w:tc>
      </w:tr>
      <w:tr>
        <w:trPr>
          <w:trHeight w:val="225"/>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3515465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21, 2037</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3613432</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 2034</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3973987</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 2035</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4374919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4, 2033</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2624865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5, 2031</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3354280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5, 2031</w:t>
            </w:r>
          </w:p>
        </w:tc>
        <w:tc>
          <w:tcPr>
            <w:tcW w:w="0" w:type="dxa"/>
            <w:vAlign w:val="bottom"/>
          </w:tcPr>
          <w:p>
            <w:pPr>
              <w:spacing w:after="0"/>
              <w:rPr>
                <w:sz w:val="1"/>
                <w:szCs w:val="1"/>
                <w:color w:val="auto"/>
              </w:rPr>
            </w:pPr>
          </w:p>
        </w:tc>
      </w:tr>
      <w:tr>
        <w:trPr>
          <w:trHeight w:val="199"/>
        </w:trPr>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5,291,802</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October 27, 2029 – October</w:t>
            </w:r>
          </w:p>
        </w:tc>
        <w:tc>
          <w:tcPr>
            <w:tcW w:w="0" w:type="dxa"/>
            <w:vAlign w:val="bottom"/>
          </w:tcPr>
          <w:p>
            <w:pPr>
              <w:spacing w:after="0"/>
              <w:rPr>
                <w:sz w:val="1"/>
                <w:szCs w:val="1"/>
                <w:color w:val="auto"/>
              </w:rPr>
            </w:pPr>
          </w:p>
        </w:tc>
      </w:tr>
      <w:tr>
        <w:trPr>
          <w:trHeight w:val="260"/>
        </w:trPr>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line="259" w:lineRule="exact"/>
              <w:rPr>
                <w:sz w:val="20"/>
                <w:szCs w:val="20"/>
                <w:color w:val="auto"/>
              </w:rPr>
            </w:pPr>
            <w:r>
              <w:rPr>
                <w:rFonts w:ascii="Times New Roman" w:cs="Times New Roman" w:eastAsia="Times New Roman" w:hAnsi="Times New Roman"/>
                <w:sz w:val="18"/>
                <w:szCs w:val="18"/>
                <w:color w:val="auto"/>
              </w:rPr>
              <w:t>27, 2034</w:t>
            </w:r>
            <w:r>
              <w:rPr>
                <w:rFonts w:ascii="Times New Roman" w:cs="Times New Roman" w:eastAsia="Times New Roman" w:hAnsi="Times New Roman"/>
                <w:sz w:val="23"/>
                <w:szCs w:val="23"/>
                <w:color w:val="auto"/>
                <w:vertAlign w:val="superscript"/>
              </w:rPr>
              <w:t>(d)</w:t>
            </w: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7,100,731</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27, 2029</w:t>
            </w:r>
          </w:p>
        </w:tc>
        <w:tc>
          <w:tcPr>
            <w:tcW w:w="0" w:type="dxa"/>
            <w:vAlign w:val="bottom"/>
          </w:tcPr>
          <w:p>
            <w:pPr>
              <w:spacing w:after="0"/>
              <w:rPr>
                <w:sz w:val="1"/>
                <w:szCs w:val="1"/>
                <w:color w:val="auto"/>
              </w:rPr>
            </w:pPr>
          </w:p>
        </w:tc>
      </w:tr>
      <w:tr>
        <w:trPr>
          <w:trHeight w:val="221"/>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5,918,246</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5, 2031 – September</w:t>
            </w:r>
          </w:p>
        </w:tc>
        <w:tc>
          <w:tcPr>
            <w:tcW w:w="0" w:type="dxa"/>
            <w:vAlign w:val="bottom"/>
          </w:tcPr>
          <w:p>
            <w:pPr>
              <w:spacing w:after="0"/>
              <w:rPr>
                <w:sz w:val="1"/>
                <w:szCs w:val="1"/>
                <w:color w:val="auto"/>
              </w:rPr>
            </w:pPr>
          </w:p>
        </w:tc>
      </w:tr>
      <w:tr>
        <w:trPr>
          <w:trHeight w:val="260"/>
        </w:trPr>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line="259" w:lineRule="exact"/>
              <w:rPr>
                <w:sz w:val="20"/>
                <w:szCs w:val="20"/>
                <w:color w:val="auto"/>
              </w:rPr>
            </w:pPr>
            <w:r>
              <w:rPr>
                <w:rFonts w:ascii="Times New Roman" w:cs="Times New Roman" w:eastAsia="Times New Roman" w:hAnsi="Times New Roman"/>
                <w:sz w:val="18"/>
                <w:szCs w:val="18"/>
                <w:color w:val="auto"/>
              </w:rPr>
              <w:t>14, 2035</w:t>
            </w:r>
            <w:r>
              <w:rPr>
                <w:rFonts w:ascii="Times New Roman" w:cs="Times New Roman" w:eastAsia="Times New Roman" w:hAnsi="Times New Roman"/>
                <w:sz w:val="23"/>
                <w:szCs w:val="23"/>
                <w:color w:val="auto"/>
                <w:vertAlign w:val="superscript"/>
              </w:rPr>
              <w:t>(d)</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6,231,605</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October 5, 2031 – March 3,</w:t>
            </w: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5"/>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6,396,565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5, 2031 – October 5,</w:t>
            </w: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25"/>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5,844,772</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27, 2029 – February</w:t>
            </w: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22, 2034</w:t>
            </w:r>
          </w:p>
        </w:tc>
        <w:tc>
          <w:tcPr>
            <w:tcW w:w="0" w:type="dxa"/>
            <w:vAlign w:val="bottom"/>
          </w:tcPr>
          <w:p>
            <w:pPr>
              <w:spacing w:after="0"/>
              <w:rPr>
                <w:sz w:val="1"/>
                <w:szCs w:val="1"/>
                <w:color w:val="auto"/>
              </w:rPr>
            </w:pPr>
          </w:p>
        </w:tc>
      </w:tr>
      <w:tr>
        <w:trPr>
          <w:trHeight w:val="221"/>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6,306,588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 2033 – August</w:t>
            </w:r>
          </w:p>
        </w:tc>
        <w:tc>
          <w:tcPr>
            <w:tcW w:w="0" w:type="dxa"/>
            <w:vAlign w:val="bottom"/>
          </w:tcPr>
          <w:p>
            <w:pPr>
              <w:spacing w:after="0"/>
              <w:rPr>
                <w:sz w:val="1"/>
                <w:szCs w:val="1"/>
                <w:color w:val="auto"/>
              </w:rPr>
            </w:pPr>
          </w:p>
        </w:tc>
      </w:tr>
      <w:tr>
        <w:trPr>
          <w:trHeight w:val="260"/>
        </w:trPr>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line="259" w:lineRule="exact"/>
              <w:rPr>
                <w:sz w:val="20"/>
                <w:szCs w:val="20"/>
                <w:color w:val="auto"/>
              </w:rPr>
            </w:pPr>
            <w:r>
              <w:rPr>
                <w:rFonts w:ascii="Times New Roman" w:cs="Times New Roman" w:eastAsia="Times New Roman" w:hAnsi="Times New Roman"/>
                <w:sz w:val="18"/>
                <w:szCs w:val="18"/>
                <w:color w:val="auto"/>
              </w:rPr>
              <w:t>29, 2034</w:t>
            </w:r>
            <w:r>
              <w:rPr>
                <w:rFonts w:ascii="Times New Roman" w:cs="Times New Roman" w:eastAsia="Times New Roman" w:hAnsi="Times New Roman"/>
                <w:sz w:val="23"/>
                <w:szCs w:val="23"/>
                <w:color w:val="auto"/>
                <w:vertAlign w:val="superscript"/>
              </w:rPr>
              <w:t>(d)</w:t>
            </w: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6,353,838</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4, 2033</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6,637,113</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4, 2033</w:t>
            </w:r>
          </w:p>
        </w:tc>
        <w:tc>
          <w:tcPr>
            <w:tcW w:w="0" w:type="dxa"/>
            <w:vAlign w:val="bottom"/>
          </w:tcPr>
          <w:p>
            <w:pPr>
              <w:spacing w:after="0"/>
              <w:rPr>
                <w:sz w:val="1"/>
                <w:szCs w:val="1"/>
                <w:color w:val="auto"/>
              </w:rPr>
            </w:pPr>
          </w:p>
        </w:tc>
      </w:tr>
      <w:tr>
        <w:trPr>
          <w:trHeight w:val="257"/>
        </w:trPr>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6,673,840</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 2035</w:t>
            </w:r>
          </w:p>
        </w:tc>
        <w:tc>
          <w:tcPr>
            <w:tcW w:w="0" w:type="dxa"/>
            <w:vAlign w:val="bottom"/>
          </w:tcPr>
          <w:p>
            <w:pPr>
              <w:spacing w:after="0"/>
              <w:rPr>
                <w:sz w:val="1"/>
                <w:szCs w:val="1"/>
                <w:color w:val="auto"/>
              </w:rPr>
            </w:pPr>
          </w:p>
        </w:tc>
      </w:tr>
      <w:tr>
        <w:trPr>
          <w:trHeight w:val="221"/>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6,463,351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June 20, 2034 – September 2,</w:t>
            </w:r>
          </w:p>
        </w:tc>
        <w:tc>
          <w:tcPr>
            <w:tcW w:w="0" w:type="dxa"/>
            <w:vAlign w:val="bottom"/>
          </w:tcPr>
          <w:p>
            <w:pPr>
              <w:spacing w:after="0"/>
              <w:rPr>
                <w:sz w:val="1"/>
                <w:szCs w:val="1"/>
                <w:color w:val="auto"/>
              </w:rPr>
            </w:pPr>
          </w:p>
        </w:tc>
      </w:tr>
      <w:tr>
        <w:trPr>
          <w:trHeight w:val="260"/>
        </w:trPr>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line="259" w:lineRule="exact"/>
              <w:rPr>
                <w:sz w:val="20"/>
                <w:szCs w:val="20"/>
                <w:color w:val="auto"/>
              </w:rPr>
            </w:pPr>
            <w:r>
              <w:rPr>
                <w:rFonts w:ascii="Times New Roman" w:cs="Times New Roman" w:eastAsia="Times New Roman" w:hAnsi="Times New Roman"/>
                <w:sz w:val="18"/>
                <w:szCs w:val="18"/>
                <w:color w:val="auto"/>
              </w:rPr>
              <w:t>2035</w:t>
            </w:r>
            <w:r>
              <w:rPr>
                <w:rFonts w:ascii="Times New Roman" w:cs="Times New Roman" w:eastAsia="Times New Roman" w:hAnsi="Times New Roman"/>
                <w:sz w:val="23"/>
                <w:szCs w:val="23"/>
                <w:color w:val="auto"/>
                <w:vertAlign w:val="superscript"/>
              </w:rPr>
              <w:t>(d)</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6,640,977</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99"/>
              </w:rPr>
              <w:t>June 20, 2034 – September 6,</w:t>
            </w: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6,861,630</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13, 2035</w:t>
            </w:r>
          </w:p>
        </w:tc>
        <w:tc>
          <w:tcPr>
            <w:tcW w:w="0" w:type="dxa"/>
            <w:vAlign w:val="bottom"/>
          </w:tcPr>
          <w:p>
            <w:pPr>
              <w:spacing w:after="0"/>
              <w:rPr>
                <w:sz w:val="1"/>
                <w:szCs w:val="1"/>
                <w:color w:val="auto"/>
              </w:rPr>
            </w:pPr>
          </w:p>
        </w:tc>
      </w:tr>
      <w:tr>
        <w:trPr>
          <w:trHeight w:val="257"/>
        </w:trPr>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6,893,265</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 2035</w:t>
            </w:r>
          </w:p>
        </w:tc>
        <w:tc>
          <w:tcPr>
            <w:tcW w:w="0" w:type="dxa"/>
            <w:vAlign w:val="bottom"/>
          </w:tcPr>
          <w:p>
            <w:pPr>
              <w:spacing w:after="0"/>
              <w:rPr>
                <w:sz w:val="1"/>
                <w:szCs w:val="1"/>
                <w:color w:val="auto"/>
              </w:rPr>
            </w:pPr>
          </w:p>
        </w:tc>
      </w:tr>
      <w:tr>
        <w:trPr>
          <w:trHeight w:val="257"/>
        </w:trPr>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6,898,421</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 2034</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6,901,545</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4, 2033</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6,923,594</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 2033</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7,164,530</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21, 2037</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7,216,122</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13, 2035</w:t>
            </w:r>
          </w:p>
        </w:tc>
        <w:tc>
          <w:tcPr>
            <w:tcW w:w="0" w:type="dxa"/>
            <w:vAlign w:val="bottom"/>
          </w:tcPr>
          <w:p>
            <w:pPr>
              <w:spacing w:after="0"/>
              <w:rPr>
                <w:sz w:val="1"/>
                <w:szCs w:val="1"/>
                <w:color w:val="auto"/>
              </w:rPr>
            </w:pPr>
          </w:p>
        </w:tc>
      </w:tr>
      <w:tr>
        <w:trPr>
          <w:trHeight w:val="257"/>
        </w:trPr>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7,216,157</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 2033</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7,256,231</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4, 2033</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7,315,545</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29, 2038</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7,343,547</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 2035</w:t>
            </w:r>
          </w:p>
        </w:tc>
        <w:tc>
          <w:tcPr>
            <w:tcW w:w="0" w:type="dxa"/>
            <w:vAlign w:val="bottom"/>
          </w:tcPr>
          <w:p>
            <w:pPr>
              <w:spacing w:after="0"/>
              <w:rPr>
                <w:sz w:val="1"/>
                <w:szCs w:val="1"/>
                <w:color w:val="auto"/>
              </w:rPr>
            </w:pPr>
          </w:p>
        </w:tc>
      </w:tr>
      <w:tr>
        <w:trPr>
          <w:trHeight w:val="27"/>
        </w:trPr>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320" w:top="369" w:right="699" w:bottom="1440" w:gutter="0" w:footer="0" w:header="0"/>
        </w:sectPr>
      </w:pPr>
    </w:p>
    <w:p>
      <w:pPr>
        <w:spacing w:after="0" w:line="36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369" w:right="6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7"/>
                <w:szCs w:val="17"/>
                <w:color w:val="auto"/>
              </w:rPr>
            </w:pPr>
          </w:p>
        </w:tc>
        <w:tc>
          <w:tcPr>
            <w:tcW w:w="1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Molecule</w:t>
            </w: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2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2160" w:type="dxa"/>
            <w:vAlign w:val="bottom"/>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3"/>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(continued)</w:t>
            </w:r>
          </w:p>
        </w:tc>
        <w:tc>
          <w:tcPr>
            <w:tcW w:w="100" w:type="dxa"/>
            <w:vAlign w:val="bottom"/>
          </w:tcPr>
          <w:p>
            <w:pPr>
              <w:spacing w:after="0"/>
              <w:rPr>
                <w:sz w:val="21"/>
                <w:szCs w:val="21"/>
                <w:color w:val="auto"/>
              </w:rPr>
            </w:pPr>
          </w:p>
        </w:tc>
        <w:tc>
          <w:tcPr>
            <w:tcW w:w="1820" w:type="dxa"/>
            <w:vAlign w:val="bottom"/>
            <w:gridSpan w:val="2"/>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26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Dupixent</w:t>
            </w: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JP</w:t>
            </w: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7,609,901</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August 20, 2033</w:t>
            </w:r>
          </w:p>
        </w:tc>
        <w:tc>
          <w:tcPr>
            <w:tcW w:w="0" w:type="dxa"/>
            <w:vAlign w:val="bottom"/>
          </w:tcPr>
          <w:p>
            <w:pPr>
              <w:spacing w:after="0"/>
              <w:rPr>
                <w:sz w:val="1"/>
                <w:szCs w:val="1"/>
                <w:color w:val="auto"/>
              </w:rPr>
            </w:pPr>
          </w:p>
        </w:tc>
      </w:tr>
      <w:tr>
        <w:trPr>
          <w:trHeight w:val="236"/>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7,630,012</w:t>
            </w:r>
          </w:p>
        </w:tc>
        <w:tc>
          <w:tcPr>
            <w:tcW w:w="10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 2035</w:t>
            </w:r>
          </w:p>
        </w:tc>
        <w:tc>
          <w:tcPr>
            <w:tcW w:w="0" w:type="dxa"/>
            <w:vAlign w:val="bottom"/>
          </w:tcPr>
          <w:p>
            <w:pPr>
              <w:spacing w:after="0"/>
              <w:rPr>
                <w:sz w:val="1"/>
                <w:szCs w:val="1"/>
                <w:color w:val="auto"/>
              </w:rPr>
            </w:pPr>
          </w:p>
        </w:tc>
      </w:tr>
      <w:tr>
        <w:trPr>
          <w:trHeight w:val="263"/>
        </w:trPr>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7,736,667</w:t>
            </w:r>
          </w:p>
        </w:tc>
        <w:tc>
          <w:tcPr>
            <w:tcW w:w="1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5, 2040</w:t>
            </w:r>
          </w:p>
        </w:tc>
        <w:tc>
          <w:tcPr>
            <w:tcW w:w="0" w:type="dxa"/>
            <w:vAlign w:val="bottom"/>
          </w:tcPr>
          <w:p>
            <w:pPr>
              <w:spacing w:after="0"/>
              <w:rPr>
                <w:sz w:val="1"/>
                <w:szCs w:val="1"/>
                <w:color w:val="auto"/>
              </w:rPr>
            </w:pPr>
          </w:p>
        </w:tc>
      </w:tr>
      <w:tr>
        <w:trPr>
          <w:trHeight w:val="225"/>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Libtayo</w:t>
            </w:r>
          </w:p>
        </w:tc>
        <w:tc>
          <w:tcPr>
            <w:tcW w:w="100" w:type="dxa"/>
            <w:vAlign w:val="bottom"/>
          </w:tcPr>
          <w:p>
            <w:pPr>
              <w:spacing w:after="0"/>
              <w:rPr>
                <w:sz w:val="19"/>
                <w:szCs w:val="19"/>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cemiplimab</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9,987,500</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18, 2035</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10,737,113</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10, 2035</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11,603,407</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21, 2038</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10,457,725</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2037</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11,292,842</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18, 2038</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11,505,600</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 2038</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11,926,668</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2038</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3097119</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23, 2035</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3606504</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23, 2038</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4249512</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23, 2038</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3455258</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2037</w:t>
            </w: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3932951</w:t>
            </w:r>
          </w:p>
        </w:tc>
        <w:tc>
          <w:tcPr>
            <w:tcW w:w="10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2037</w:t>
            </w:r>
          </w:p>
        </w:tc>
        <w:tc>
          <w:tcPr>
            <w:tcW w:w="0" w:type="dxa"/>
            <w:vAlign w:val="bottom"/>
          </w:tcPr>
          <w:p>
            <w:pPr>
              <w:spacing w:after="0"/>
              <w:rPr>
                <w:sz w:val="1"/>
                <w:szCs w:val="1"/>
                <w:color w:val="auto"/>
              </w:rPr>
            </w:pPr>
          </w:p>
        </w:tc>
      </w:tr>
      <w:tr>
        <w:trPr>
          <w:trHeight w:val="199"/>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JP</w:t>
            </w:r>
          </w:p>
        </w:tc>
        <w:tc>
          <w:tcPr>
            <w:tcW w:w="12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6,425,730</w:t>
            </w:r>
          </w:p>
        </w:tc>
        <w:tc>
          <w:tcPr>
            <w:tcW w:w="100" w:type="dxa"/>
            <w:vAlign w:val="bottom"/>
          </w:tcPr>
          <w:p>
            <w:pPr>
              <w:spacing w:after="0"/>
              <w:rPr>
                <w:sz w:val="17"/>
                <w:szCs w:val="17"/>
                <w:color w:val="auto"/>
              </w:rPr>
            </w:pPr>
          </w:p>
        </w:tc>
        <w:tc>
          <w:tcPr>
            <w:tcW w:w="226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Composition of Matter</w:t>
            </w:r>
          </w:p>
        </w:tc>
        <w:tc>
          <w:tcPr>
            <w:tcW w:w="216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January 23, 2035 – March</w:t>
            </w: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ind w:left="20"/>
              <w:spacing w:after="0" w:line="259" w:lineRule="exact"/>
              <w:rPr>
                <w:sz w:val="20"/>
                <w:szCs w:val="20"/>
                <w:color w:val="auto"/>
              </w:rPr>
            </w:pPr>
            <w:r>
              <w:rPr>
                <w:rFonts w:ascii="Times New Roman" w:cs="Times New Roman" w:eastAsia="Times New Roman" w:hAnsi="Times New Roman"/>
                <w:sz w:val="18"/>
                <w:szCs w:val="18"/>
                <w:color w:val="auto"/>
              </w:rPr>
              <w:t>15, 2039</w:t>
            </w:r>
            <w:r>
              <w:rPr>
                <w:rFonts w:ascii="Times New Roman" w:cs="Times New Roman" w:eastAsia="Times New Roman" w:hAnsi="Times New Roman"/>
                <w:sz w:val="23"/>
                <w:szCs w:val="23"/>
                <w:color w:val="auto"/>
                <w:vertAlign w:val="superscript"/>
              </w:rPr>
              <w:t>(d)</w:t>
            </w:r>
          </w:p>
        </w:tc>
        <w:tc>
          <w:tcPr>
            <w:tcW w:w="0" w:type="dxa"/>
            <w:vAlign w:val="bottom"/>
          </w:tcPr>
          <w:p>
            <w:pPr>
              <w:spacing w:after="0"/>
              <w:rPr>
                <w:sz w:val="1"/>
                <w:szCs w:val="1"/>
                <w:color w:val="auto"/>
              </w:rPr>
            </w:pPr>
          </w:p>
        </w:tc>
      </w:tr>
      <w:tr>
        <w:trPr>
          <w:trHeight w:val="199"/>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JP</w:t>
            </w:r>
          </w:p>
        </w:tc>
        <w:tc>
          <w:tcPr>
            <w:tcW w:w="12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6,711,883</w:t>
            </w:r>
          </w:p>
        </w:tc>
        <w:tc>
          <w:tcPr>
            <w:tcW w:w="100" w:type="dxa"/>
            <w:vAlign w:val="bottom"/>
          </w:tcPr>
          <w:p>
            <w:pPr>
              <w:spacing w:after="0"/>
              <w:rPr>
                <w:sz w:val="17"/>
                <w:szCs w:val="17"/>
                <w:color w:val="auto"/>
              </w:rPr>
            </w:pPr>
          </w:p>
        </w:tc>
        <w:tc>
          <w:tcPr>
            <w:tcW w:w="226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Composition of Matter</w:t>
            </w:r>
          </w:p>
        </w:tc>
        <w:tc>
          <w:tcPr>
            <w:tcW w:w="216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January 23, 2035 – August</w:t>
            </w: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ind w:left="20"/>
              <w:spacing w:after="0" w:line="259" w:lineRule="exact"/>
              <w:rPr>
                <w:sz w:val="20"/>
                <w:szCs w:val="20"/>
                <w:color w:val="auto"/>
              </w:rPr>
            </w:pPr>
            <w:r>
              <w:rPr>
                <w:rFonts w:ascii="Times New Roman" w:cs="Times New Roman" w:eastAsia="Times New Roman" w:hAnsi="Times New Roman"/>
                <w:sz w:val="18"/>
                <w:szCs w:val="18"/>
                <w:color w:val="auto"/>
              </w:rPr>
              <w:t>13, 2037</w:t>
            </w:r>
            <w:r>
              <w:rPr>
                <w:rFonts w:ascii="Times New Roman" w:cs="Times New Roman" w:eastAsia="Times New Roman" w:hAnsi="Times New Roman"/>
                <w:sz w:val="23"/>
                <w:szCs w:val="23"/>
                <w:color w:val="auto"/>
                <w:vertAlign w:val="superscript"/>
              </w:rPr>
              <w:t>(d)</w:t>
            </w:r>
          </w:p>
        </w:tc>
        <w:tc>
          <w:tcPr>
            <w:tcW w:w="0" w:type="dxa"/>
            <w:vAlign w:val="bottom"/>
          </w:tcPr>
          <w:p>
            <w:pPr>
              <w:spacing w:after="0"/>
              <w:rPr>
                <w:sz w:val="1"/>
                <w:szCs w:val="1"/>
                <w:color w:val="auto"/>
              </w:rPr>
            </w:pPr>
          </w:p>
        </w:tc>
      </w:tr>
      <w:tr>
        <w:trPr>
          <w:trHeight w:val="199"/>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JP</w:t>
            </w:r>
          </w:p>
        </w:tc>
        <w:tc>
          <w:tcPr>
            <w:tcW w:w="12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7,174,009</w:t>
            </w:r>
          </w:p>
        </w:tc>
        <w:tc>
          <w:tcPr>
            <w:tcW w:w="100" w:type="dxa"/>
            <w:vAlign w:val="bottom"/>
          </w:tcPr>
          <w:p>
            <w:pPr>
              <w:spacing w:after="0"/>
              <w:rPr>
                <w:sz w:val="17"/>
                <w:szCs w:val="17"/>
                <w:color w:val="auto"/>
              </w:rPr>
            </w:pPr>
          </w:p>
        </w:tc>
        <w:tc>
          <w:tcPr>
            <w:tcW w:w="226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Composition of Matter</w:t>
            </w:r>
          </w:p>
        </w:tc>
        <w:tc>
          <w:tcPr>
            <w:tcW w:w="216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January 23, 2035 – March 9,</w:t>
            </w: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ind w:left="20"/>
              <w:spacing w:after="0" w:line="259" w:lineRule="exact"/>
              <w:rPr>
                <w:sz w:val="20"/>
                <w:szCs w:val="20"/>
                <w:color w:val="auto"/>
              </w:rPr>
            </w:pPr>
            <w:r>
              <w:rPr>
                <w:rFonts w:ascii="Times New Roman" w:cs="Times New Roman" w:eastAsia="Times New Roman" w:hAnsi="Times New Roman"/>
                <w:sz w:val="18"/>
                <w:szCs w:val="18"/>
                <w:color w:val="auto"/>
              </w:rPr>
              <w:t>2035</w:t>
            </w:r>
            <w:r>
              <w:rPr>
                <w:rFonts w:ascii="Times New Roman" w:cs="Times New Roman" w:eastAsia="Times New Roman" w:hAnsi="Times New Roman"/>
                <w:sz w:val="23"/>
                <w:szCs w:val="23"/>
                <w:color w:val="auto"/>
                <w:vertAlign w:val="superscript"/>
              </w:rPr>
              <w:t>(d)</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7,562,606</w:t>
            </w:r>
          </w:p>
        </w:tc>
        <w:tc>
          <w:tcPr>
            <w:tcW w:w="10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23, 2035</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7,229,171</w:t>
            </w:r>
          </w:p>
        </w:tc>
        <w:tc>
          <w:tcPr>
            <w:tcW w:w="100" w:type="dxa"/>
            <w:vAlign w:val="bottom"/>
          </w:tcPr>
          <w:p>
            <w:pPr>
              <w:spacing w:after="0"/>
              <w:rPr>
                <w:sz w:val="20"/>
                <w:szCs w:val="20"/>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23, 2038</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7,240,512</w:t>
            </w:r>
          </w:p>
        </w:tc>
        <w:tc>
          <w:tcPr>
            <w:tcW w:w="10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25, 2041</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7,324,710</w:t>
            </w:r>
          </w:p>
        </w:tc>
        <w:tc>
          <w:tcPr>
            <w:tcW w:w="10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2038</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7,384,949</w:t>
            </w:r>
          </w:p>
        </w:tc>
        <w:tc>
          <w:tcPr>
            <w:tcW w:w="10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2038</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7,656,012</w:t>
            </w:r>
          </w:p>
        </w:tc>
        <w:tc>
          <w:tcPr>
            <w:tcW w:w="10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2038</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580" w:right="440" w:hanging="1"/>
        <w:spacing w:after="0" w:line="200" w:lineRule="auto"/>
        <w:tabs>
          <w:tab w:leader="none" w:pos="75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See Note 16 to our Consolidated Financial Statements for information regarding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and post-grant review petitions filed in the U.S. Patent and Trademark Office and patent infringement proceedings relating to EYLEA</w:t>
      </w:r>
    </w:p>
    <w:p>
      <w:pPr>
        <w:spacing w:after="0" w:line="33" w:lineRule="exact"/>
        <w:rPr>
          <w:rFonts w:ascii="Times New Roman" w:cs="Times New Roman" w:eastAsia="Times New Roman" w:hAnsi="Times New Roman"/>
          <w:sz w:val="23"/>
          <w:szCs w:val="23"/>
          <w:color w:val="auto"/>
          <w:vertAlign w:val="superscript"/>
        </w:rPr>
      </w:pPr>
    </w:p>
    <w:p>
      <w:pPr>
        <w:ind w:left="580" w:right="740" w:hanging="1"/>
        <w:spacing w:after="0" w:line="204" w:lineRule="auto"/>
        <w:tabs>
          <w:tab w:leader="none" w:pos="757"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Supplementary protection certificates ("SPCs") are pending or have been granted in various European countries, extending the original patent terms in those countries, where granted, to the applicable dates indicated in parentheses</w:t>
      </w:r>
    </w:p>
    <w:p>
      <w:pPr>
        <w:spacing w:after="0" w:line="47" w:lineRule="exact"/>
        <w:rPr>
          <w:rFonts w:ascii="Times New Roman" w:cs="Times New Roman" w:eastAsia="Times New Roman" w:hAnsi="Times New Roman"/>
          <w:sz w:val="22"/>
          <w:szCs w:val="22"/>
          <w:color w:val="auto"/>
          <w:vertAlign w:val="superscript"/>
        </w:rPr>
      </w:pPr>
    </w:p>
    <w:p>
      <w:pPr>
        <w:ind w:left="580" w:right="940" w:hanging="1"/>
        <w:spacing w:after="0" w:line="199" w:lineRule="auto"/>
        <w:tabs>
          <w:tab w:leader="none" w:pos="75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SPC term extensions are pending or have been granted in various European countries based on the completion of a pediatric investigation program, extending the term of the SPC in those countries, where granted, an additional 6 months to the applicable dates indicated in parentheses</w:t>
      </w:r>
    </w:p>
    <w:p>
      <w:pPr>
        <w:spacing w:after="0" w:line="19" w:lineRule="exact"/>
        <w:rPr>
          <w:rFonts w:ascii="Times New Roman" w:cs="Times New Roman" w:eastAsia="Times New Roman" w:hAnsi="Times New Roman"/>
          <w:sz w:val="23"/>
          <w:szCs w:val="23"/>
          <w:color w:val="auto"/>
          <w:vertAlign w:val="superscript"/>
        </w:rPr>
      </w:pPr>
    </w:p>
    <w:p>
      <w:pPr>
        <w:ind w:left="580" w:right="440" w:hanging="1"/>
        <w:spacing w:after="0" w:line="207" w:lineRule="auto"/>
        <w:tabs>
          <w:tab w:leader="none" w:pos="757"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patent term extension ("PTE") system in Japan allows for a patent to be extended more than once provided the later approval is directed to a different indication from that of the previous approval. This may result in multiple PTE approvals for a given patent, each with its own expiration date. In this table, date ranges are shown for the expiration of Japanese patents for which multiple PTEs have been granted, with the later date indicating the latest expiring PTE for the corresponding patent.</w:t>
      </w:r>
    </w:p>
    <w:p>
      <w:pPr>
        <w:spacing w:after="0" w:line="48" w:lineRule="exact"/>
        <w:rPr>
          <w:rFonts w:ascii="Times New Roman" w:cs="Times New Roman" w:eastAsia="Times New Roman" w:hAnsi="Times New Roman"/>
          <w:sz w:val="22"/>
          <w:szCs w:val="22"/>
          <w:color w:val="auto"/>
          <w:vertAlign w:val="superscript"/>
        </w:rPr>
      </w:pPr>
    </w:p>
    <w:p>
      <w:pPr>
        <w:ind w:left="580" w:right="800" w:hanging="1"/>
        <w:spacing w:after="0" w:line="206" w:lineRule="auto"/>
        <w:tabs>
          <w:tab w:leader="none" w:pos="754"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 patent term extension has been granted by the U.S. Patent and Trademark Office, extending the original patent term (October 2, 2027), insofar as it covers Dupixent, to March 28, 2031</w:t>
      </w:r>
    </w:p>
    <w:p>
      <w:pPr>
        <w:spacing w:after="0" w:line="2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addition to our patent portfolio, in the United States and certain other countries, our competitive position may be enhanced due to the availability of market exclusivity under relevant law (for additional information regarding market exclusivity, see Part I, Item 1A. "Risk Factors - Risks Related to Intellectual Property and Market Exclusivity - </w:t>
      </w:r>
      <w:r>
        <w:rPr>
          <w:rFonts w:ascii="Times New Roman" w:cs="Times New Roman" w:eastAsia="Times New Roman" w:hAnsi="Times New Roman"/>
          <w:sz w:val="18"/>
          <w:szCs w:val="18"/>
          <w:i w:val="1"/>
          <w:iCs w:val="1"/>
          <w:color w:val="auto"/>
        </w:rPr>
        <w:t>Loss or limitation of patent rights, and regulatory pathways for biosimilar competition, have in the past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reduced and could reduce in the future the duration of market exclusivity for our products</w:t>
      </w:r>
      <w:r>
        <w:rPr>
          <w:rFonts w:ascii="Times New Roman" w:cs="Times New Roman" w:eastAsia="Times New Roman" w:hAnsi="Times New Roman"/>
          <w:sz w:val="18"/>
          <w:szCs w:val="18"/>
          <w:color w:val="auto"/>
        </w:rPr>
        <w:t>"). The effect of expiration of a patent relating to a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also depends upon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are the nonexclusive licensee of a number of additional patents and patent applications. These include a license agreement with Bristol-Myers Squibb, E. R. Squibb &amp; Sons, L.L.C., and Ono Pharmaceutical Co., Ltd. to obtain a license under</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patents owned and/or exclusively licensed by one or more of these parties that includes the right to develop and sell Libtayo. Under the agreement, we paid royalties of 8.0% on worldwide sales of Libtayo through December 31, 2023, and are obligated to pay royalties of 2.5% from January 1, 2024 through December 31, 2026.</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seek to file and maintain trademarks around the world based on commercial activities in most jurisdictions where we have, or desire to have, a business presence for a particular product or service.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 (see Part I, Item 1A. "Risk Factors - Risks Related to Intellectual Property and Market Exclusivity - </w:t>
      </w:r>
      <w:r>
        <w:rPr>
          <w:rFonts w:ascii="Times New Roman" w:cs="Times New Roman" w:eastAsia="Times New Roman" w:hAnsi="Times New Roman"/>
          <w:sz w:val="18"/>
          <w:szCs w:val="18"/>
          <w:i w:val="1"/>
          <w:iCs w:val="1"/>
          <w:color w:val="auto"/>
        </w:rPr>
        <w:t>We may be restricted in our development, manufacturing, and/or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commercialization activities by patents or other proprietary rights of others, and could be subject to awards of damages if we are found to have infringed such patents or rights</w:t>
      </w:r>
      <w:r>
        <w:rPr>
          <w:rFonts w:ascii="Times New Roman" w:cs="Times New Roman" w:eastAsia="Times New Roman" w:hAnsi="Times New Roman"/>
          <w:sz w:val="18"/>
          <w:szCs w:val="18"/>
          <w:color w:val="auto"/>
        </w:rPr>
        <w:t>"; and Note 16 to our Consolidated Financial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Regulation by government authorities in the United States and other countries is a significant factor in the research, development, manufacture, and marketing of our products and our product candidates. A summary of the primary areas of government regulation that are relevant to our business is provided below. For a description of material regulatory risks we face, also refer to Part I, Item 1A. "Risk Factors."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Requirements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activities required before a product candidate may be marketed in the United States or elsewhere begin with preclinical tests. Preclinical tests include laboratory evaluations of, among other things, product chemistry and formulation and toxicological and pharmacological studies in animal species to assess the toxicity and dosing of the product candidate. In the United States, certain preclinical trials must comply with the FDA's Good Laboratory Practice requirements ("GLPs") and the U.S. Department of Agriculture's Animal Welfare Act. The results of these studies must be submitted to the FDA or the relevant regulatory authority outside the United States as part of an IND or other clinical trial application (as applicable), which must be reviewed by the FDA or the relevant government authority before proposed clinical testing can begin in the applicable country or jurisdiction. In the United States, unless the FDA raises concerns, the IND becomes effective 30 days following its receipt by the FDA, and the clinical trial proposed in the IND may begin. The FDA or other regulatory authorities may ask for additional data in order to begin a clinical trial. Rules that are equivalent in scope but which vary in application apply in other countries.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Approval</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our product candidates require regulatory approval by relevant government authorities before they can be commercialized. In particular, human therapeutic products are subject to rigorous preclinical and clinical trials and other pre-market approval requirements by the FDA, European Medicines Agency ("EMA"), and regulatory authorities of other jurisdictions. The structure and substance of the FDA and other countries' pharmaceutical regulatory practices may evolve over time. The ultimate outcome and impact of such developments cannot be predicted.</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Clinical trials involve the administration of a drug or biologic to healthy human volunteers or to patients under the supervision of a qualified investigator. The conduct of clinical trials is subject to extensive regulation, including compliance with the FDA's bioresearch monitoring regulations and Good Clinical Practice requirements ("GCPs"), which establish standards for recruiting for, conducting, recording data from, and reporting the results of, clinical trials, and are intended to assure that the data and reported results are credible, representative, and accurate, and that the rights, safety, and well-being of study participants are protected. Clinical trials must be conducted under protocols that detail the study objectives, parameters for monitoring safety, and the efficacy criteria, if any, to be evaluated. In addition, each clinical trial must be reviewed and approved by, and conducted under the auspices of, an Institutional Review Board ("IRB") for each clinical site within the United States or, where applicable, an Ethics Committee and/or the competent authority for clinical sites outside the United States. Companies sponsoring the clinical trials, investigators, and IRBs/Ethics Committees also must comply with, as applicable, regulations and guidelines for obtaining informed consent from the study patients, following the protocol and investigational plan, adequately monitoring the clinical trial, and timely reporting of adverse events. Foreign studies conducted under an IND must meet the same requirements that apply to studies being conducted in the United States. Data from a foreign study not conducted under an IND generally may be submitted in support of an application for marketing approval if the study was conducted in accordance with GCPs and the FDA is able to validate the data. The sponsor of a clinical trial or the sponsor's designated responsible party may be required to register certain information about the trial and disclose certain results on government or independent registry websites, such as clinicaltrials.gov.</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Typically, clinical testing involves a three-phase process, which may overlap or be subdivided in some cases. Phase 1 trials are usually conducted with a small number of healthy volunteers to determine the early safety profile, metabolism, and pharmacological actions of the product candidate, the side effects associated with increasing doses, and, if possible, to gain early evidence of effectiveness. Although Phase 1 trials are typically conducted in healthy human subjects, in some instances, the trial subjects are patients with the targeted disease or condition. Phase 2 clinical trials are conducted with a relatively small sample of the intended patient population to provide enough data to evaluate the preliminary safety, tolerability, and efficacy of different potential doses of the product candidate. Phase 3 clinical trials are larger trials conducted with patients with the target disease or disorder intended to gather additional information about dosage, safety, and effectiveness necessary to evaluate the drug's or biologic's overall risk-benefit profile. Phase 3 data often form the core basis on which the FDA and comparable foreign regulatory authorities evaluate a product candidate's safety and effectiveness when considering the product application for regulatory approval. If concerns arise about the safety of the product candidate, the FDA or other regulatory authorities can stop clinical trials by placing them on a "clinical hold" pending receipt of additional data, which can result in a delay or termination of a clinical development program. The sponsoring company, the FDA or other regulatory authorities, or the IRB or Ethics Committee and competent authority may suspend or terminate a clinical trial at any time on various grounds, including a finding that the patients are being exposed to an unacceptable health risk.</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results of the preclinical and clinical testing of a drug or biologic product candidate are then submitted to the FDA in the form of an NDA for a drug or a BLA for a biologic for evaluation to determine whether the product candidate may be approved for commercial sale under the Federal Food, Drug, and Cosmetic Act or Public Health Service Act. When an NDA or BLA is submitted, the FDA makes an initial determination as to whether the application is sufficiently complete to be accepted for review. If the application is not, the FDA may refuse to accept the application for filing and request additional information. A refusal to file, which requires resubmission of the NDA or BLA with the requested additional information, delays review of the application. If the application is accepted for review, the FDA reviews the application to determine, among other things, whether a product is safe and effective for its intended use and whether the manufacturing controls are adequate to assure and preserve the product's identity, strength, quality, and purity.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FDA performance goals generally provide for action on an NDA or BLA within 10 months of the 60-day filing date (or within 12 months of the application submission). That deadline can be extended by FDA under certain circumstances, including by the FDA's requests for additional information. The targeted action date can be 6 months after the 60-day filing date (or 8 months after application submission) for product candidates that are granted priority review designation because they are intended to treat serious or life-threatening conditions and demonstrate the potential to address unmet medical needs. The FDA has other programs to expedite development and review of product candidates that address serious or life-threatening conditions.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some applications, the FDA may convene an advisory committee to seek insights and recommendations on issues relevant to approval of the application. Although the FDA is not bound by the recommendation of an advisory committee, the agency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considers such recommendations carefully when making decisions. Before approving a new drug or biologic product, the FDA also requires that the facilities at which the product will be manufactured or advanced through the supply chain be in compliance with current Good Manufacturing Practices, or cGMP, requirements and regulations governing, among other things, the manufacture, shipment, and storage of the product. The FDA will typically inspect such facilities for compliance with these requirements and regulations prior to approving a marketing application. The FDA also can audit the sponsor of the NDA or BLA to determine if the clinical studies were conducted in compliance with current GCPs. After review of an NDA or BLA, the FDA may grant marketing approval, request additional information, or issue a CRL outlining the deficiencies in the submission. The CRL may require additional testing or information, including additional preclinical or clinical data, for the FDA to reconsider the application. Even if such additional information and data are submitted, the FDA may decide that the application still does not meet the standards for approval. Data from clinical trials are not always conclusive and the FDA may interpret data differently than the sponsor. If FDA grants approval, an approval letter authorizes commercial marketing of the product candidate with specific prescribing information for specific indications.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early-stage clinical trials may not predict long-term safety or efficacy of our compounds when they are tested or used more broadly in humans. Additionally, as a condition of approval, the FDA may impose restrictions that could affect the commercial prospects of a product and increase our costs, such as a Risk Evaluation and Mitigation Strategy ("REMS") to mitigate certain specific safety risks, and/or post-approval commitments or requirements to conduct additional clinical trials or non-clinical studies or to conduct surveillance programs to monitor the product's effects.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Approval of a product candidate by comparable regulatory authorities in jurisdictions outside the United States is generally required prior to commencement of marketing of the product in those jurisdictions. The approval procedure varies among jurisdictions and may involve different or additional testing, and the time required to obtain such approval may differ from that required for FDA approval. Approval by a regulatory authority in one jurisdiction does not guarantee approval by comparable regulatory authorities in other jurisdictions. In the European Economic Area ("EEA") (which is comprised of 27 Member States of the EU plus Norway, Iceland, and Liechtenstein), medicinal products can only be commercialized after a related Marketing Authorization has been granted. Marketing authorization for certain drugs and biologics (including medicinal products that are derived from biotechnology processes) that contain a new active substance indicated for the treatment of certain diseases (such as cancer, diabetes, neurodegenerative diseases, or autoimmune and other immune dysfunctions) or that are designated orphan medicines must be obtained through a centralized procedure, which allows a company to submit a single application to the EMA. If a related positive opinion is provided by the EMA, the EC will grant a centralized marketing authorization that is valid in the EEA.</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many jurisdictions, pediatric data or an approved Pediatric Investigation Plan ("PIP"), or a waiver of such studies, is required to have been approved by regulatory authorities prior to submission of a marketing application. In some EU countries, we may also be required to have an approved PIP before we can begin enrolling pediatric patients in a clinical trial. In the United States, under the Pediatric Research Equity Act ("PREA"), certain applications for approval must include an assessment, generally based on clinical study data, of the safety and effectiveness of the subject product in relevant pediatric populations, unless a waiver or deferral is granted. However, a pediatric study plan is not required for orphan products and the timing of the submission is subject to negotiation with FDA, but such plan cannot be submitted later than submission of an application for marketing approval.</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federal, state, and foreign statutes and regulations also govern or influence the research, manufacture, safety, labeling, storage, record keeping, marketing, transport, and other aspects of developing and commercializing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additional information regarding U.S. and foreign regulatory approval processes and requirements, see Part I, Item 1A. "Risk Factors -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and biologic products is costly, time-consuming, and highly uncertain. If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our collaborators do not maintain regulatory approval for our marketed products, or obtain regulatory approval for our product candidates, we will not be able to market or sell them; and if we do not obtain approvals for new indications for our marketed products, we may not be able to realize the full commercial potential of such products. Any of the foregoing may materially and negatively impact our business, prospects, operating results, and financial condition.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Regulation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comparable regulatory authorities in other jurisdictions may also require us to conduct additional clinical trials or to make certain changes related to a product after granting approval of the product. The FDA has the explicit authority to require postmarketing studies (also referred to as post-approval studies) and labeling changes based on new safety information and may impose and enforce a REMS at the time of approval or after the product is on the market. Post-approval modifications to the drug or biologic, such as changes in indications, labeling, or manufacturing processes or facilities, may require a sponsor to develop additional data or conduct additional preclinical studies or clinical trials, to be submitted in a new or supplemental NDA or BLA, which would require FDA approval.</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Following approval, the FDA and comparable regulatory authorities outside the United States regulate the marketing and promotion of our products, which must comply with the Food, Drug, and Cosmetic Act and applicable FDA regulations and standards thereunder and equivalent foreign laws. The review of promotional activities by the FDA and comparable regulatory authorities outside the United States includes, but is not limited to, healthcare provider-directed and direct-to-consumer advertising, communications regarding unapproved uses, industry-sponsored scientific and educational activities, promotional activities involving the Internet, and sales representatives' communications. FDA and comparable foreign regulatory authorities' regulations impose restrictions on manufacturers' communications regarding unapproved uses, but under certain conditions manufacturers may engage in non-promotional, balanced, scientific communication regarding such use. Failure to comply with applicable FDA and comparable foreign regulatory authorities' requirements and restrictions in this area may subject a company to adverse publicity and enforcement action by the FDA, the Department of Justice, or the Office of the Inspector General of the Department of Health and Human Services, as well as state authorities and comparable regulatory authorities outside the United States. This could subject a company to a range of penalties that could have a significant commercial impact, including civil and criminal fines and agreements that materially restrict the manner in which a company promotes or distributes a drug or biologic. See Part I, Item 1A. "Risk Factors - Other Regulatory and Litigation Risks - </w:t>
      </w:r>
      <w:r>
        <w:rPr>
          <w:rFonts w:ascii="Times New Roman" w:cs="Times New Roman" w:eastAsia="Times New Roman" w:hAnsi="Times New Roman"/>
          <w:sz w:val="18"/>
          <w:szCs w:val="18"/>
          <w:i w:val="1"/>
          <w:iCs w:val="1"/>
          <w:color w:val="auto"/>
        </w:rPr>
        <w:t>Our business activities have been, and may in the future be, challenged under U.S. federal or state and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healthcare laws, which may subject us to civil or criminal proceedings, investigations, or penalties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Adverse-event reporting and submission of periodic reports are required following marketing approval. The FDA requires NDA and BLA holders to employ a system for obtaining and reviewing safety information, adverse events, and product complaints associated with each drug or biologic and to submit safety reports to the FDA, with expedited reporting timelines in certain situations. Based on new safety information after approval, the FDA can, among other things, mandate product labeling changes, require new post-marketing studies, impose or modify a REMS for the product, or suspend or withdraw approval of the product. We may be subject to audits by the FDA and other regulatory authorities to determine whether we are complying with the applicable requirements. Rules that are equivalent in scope but which vary in application apply in jurisdictions outside the United States in which we sell products.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holder of an EU marketing authorization for a medicinal product must also comply with the EU's pharmacovigilance legislation. This includes requirements to conduct pharmacovigilance, or the assessment and monitoring of the safety of medicinal products. Marketing authorization holders are required to maintain a Pharmacovigilance System Master File ("PSMF"), which seeks to support and document compliance of the marketing authorization holder with the requirements of EU pharmacovigilance legislation. Marketing authorization holders are also required to have a Qualified Person for Pharmacovigilance ("QPPV"), who, among other things, maintains the PSMF. A QPPV must reside in the EEA and must also prepare pharmacovigilance reports, respond to potential requests from competent authorities concerning pharmacovigilance on a 24-hour basis, and provide competent authorities with any other information that may be relevant to the safety of the medicinal product in accordance with Good Pharmacovigilance Practices.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EC can also require marketing authorization holders to conduct post-authorization safety and/or efficacy studies. A post-authorization safety study ("PASS") is a study that is carried out after a medicinal product has been authorized for marketing to obtain further information on a medicinal product's safety, or to measure the effectiveness of risk-management measures. Such studies may be clinical trials or non-interventional studies. A post-authorization efficacy study ("PAES") is a study that is carried out for complementing available efficacy data in the light of well-reasoned scientific uncertainties on aspects of the evidence of benefits that are to be or only can be addressed post-authorization. The EC may, in particular, impose a PASS and/or PAES on a marketing authorization holder when a marketing authorization is granted subject to conditions. The EC may grant a conditional marketing authorization in the interest of public health, when there is less comprehensive clinical data available than typically would be required, if the EC considers that the benefit of immediate availability may outweigh the risk that the absence of the required clinical data poses.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and our third-party suppliers are required to maintain compliance with cGMP, and are subject to inspections by the FDA or comparable regulatory authorities in other jurisdictions to seek to confirm such compliance. Changes of suppliers or modifications in methods of manufacturing may require amending our application(s) to the FDA or such comparable foreign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regulatory authorities and acceptance of the change by the FDA or such comparable foreign regulatory authorities prior to release of product(s). FDA regulations also require investigation and correction of any deviations from cGMP and impose reporting and documentation requirements upon us and our third-party suppliers. Prescription drug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 We may also be subject to state regulations related to the manufacturing and distribution of our products.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comply with these laws, regulations, and conditions of product approval may lead the FDA and comparable regulatory authorities in other jurisdictions to take regulatory action or seek sanctions, including fines, issuance of warning letters, civil penalties, injunctions, suspension of manufacturing operations, operating restrictions, withdrawal of FDA approval of a product, seizure or recall of products, and criminal prosecution.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and Reimbursement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Sales in the United States of our marketed products are dependent, in large part, on the availability and extent of reimbursement from third-party payors, including private payor healthcare and insurance programs, health maintenance organizations, pharmacy benefit management companies, and government programs such as Medicare and Medicaid. Sales of our marketed products in other countries are dependent, in large part, on coverage and reimbursement mechanisms and programs administered by health authorities in those countries. See Part 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Product reimbursement and coverage policies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practices, pricing regulations and requirements, and our pricing strategy could change due to various factors beyond our control, which may adversely impact our business, prospects, operating results, and financial condition.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participate in, and have certain price reporting obligations to, the Medicaid Drug Rebate program, state Medicaid supplemental rebate program(s), and other governmental pricing programs. We also have obligations to report the average sales price for certain drugs to the Medicare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for our drugs under Medicaid and Part B of the Medicare program.</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Medicaid is a joint federal and state program that is administered by the states for low-income and disabled beneficiaries. Medicaid rebates are based on pricing data reported by us on a monthly and quarterly basis to the Centers for Medicare &amp; Medicaid Services ("CMS"), the federal agency that administers the Medicaid and Medicare programs.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the average manufacturer price increases more than inflation (measured by reference to the Consumer Price Index - Urban).</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If we become aware that our Medicaid reporting for a prior quarter was incorrect, or has changed as a result of recalculation of the pricing data, we are obligated to resubmit the corrected data for up to three years after those data originally were due, which revisions could affect our rebate liability for prior quarters. If we fail to pay the required rebate amount or report pricing data on a timely basis, we may be subject to civil monetary penalties and/or termination of our Medicaid Drug Rebate program agreement, in which case federal payments may not be available under Medicaid or Medicare Part B for our covered outpatient drugs. For additional information regarding risks related to our price reporting and rebate payment obligations, see Part I, Item 1A. "Risk Factors - Other Regulatory and Litigation Risks - </w:t>
      </w:r>
      <w:r>
        <w:rPr>
          <w:rFonts w:ascii="Times New Roman" w:cs="Times New Roman" w:eastAsia="Times New Roman" w:hAnsi="Times New Roman"/>
          <w:sz w:val="18"/>
          <w:szCs w:val="18"/>
          <w:i w:val="1"/>
          <w:iCs w:val="1"/>
          <w:color w:val="auto"/>
        </w:rPr>
        <w:t>If we fail to comply with our reporting and payment obligations under the Medicaid Drug Rebate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program or other governmental pricing programs, we could be subject to additional reimbursement requirements, penalties, sanctions, and fines, which could have a material adverse effect on our business, financial condition, results of operations, and future prospects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healthcare practitioners; are provided in connection with certain durable medical equipment; or are certain oral anti-cancer drugs and certain oral immunosuppressive drugs. Medicare Part B pays for such drugs under a payment methodology based on the average sales price of the drugs. Manufacturers, including us, are required to report average sales price information to CMS on a quarterly basis. The manufacturer-submitted information may be used by CMS to calculate Medicare payment rates. Manufacturers must pay refunds to Medicare for single-source drugs or biological products, or biosimilar biological products, reimbursed under Medicare Part B and packaged in single-dose containers or single-use packages for units of discarded drug reimbursed by Medicare Part B in excess of 10% of total allowed charges under Medicare Part B for that drug. Manufacturers that fail to pay refunds could be subject to civil monetary penalties. Further, the Inflation Reduction Act ("IRA") has established a Medicare Part B inflation rebate scheme under which, generally speaking, manufacturers owe rebates if the average sales price of</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Part B drug increases faster than the pace of inflation. Failure to timely pay a Part B inflation rebate is subject to a civil monetary penalty.</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IRA also created a drug price negotiation program requiring the government to set prices for select high-expenditure drugs covered under Medicare Parts B and D. Starting in 2023 and 2026, the government is authorized to select Part D and Part B drugs, respectively, for inclusion in the drug price negotiation program, with established prices to go into effect for selected Part D drugs in 2026 and for selected Part B drugs in 2028, in each case absent certain disqualifying events. Failure to comply with requirements under the drug price negotiation program is subject to an excise tax and a civil monetary penalty. This or any other legislative change could impact the market conditions for our products. See Part 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Product reimbursement and 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 and practices, pricing regulations and requirements, and our pricing strategy could change due to various factors beyond our control, which may adversely impact our business, prospects, operating results, and financial condition.</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Civil monetary penalties can be applied if we are found to have knowingly submitted any false pricing or other information to the government, if we are found to have made a misrepresentation in the reporting of our average sales price, or if we fail to submit the required data on a timely basis. Such conduct also could be grounds for CMS to terminate our Medicaid drug rebate agreement, in which case federal payments may not be available under Medicaid or Medicare Part B for our covered outpatient drugs.</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(the "340B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 "ceiling price" for the manufacturer's covered outpatient drugs. Covered entities include hospitals that serve a disproportionate share of financially needy patients, community health clinics, and other entities that receive certain types of grants under the Public Health Service Act. The federal Patient Protection and Affordable Care Act (the "PPACA")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HRSA issued a final regulation regarding the calculation of the 340B ceiling price and the imposition of civil monetary penalties on manufacturers that knowingly and intentionally overcharge covered entities. If we are found to have knowingly and intentionally charged 340B covered entities more than the statutorily mandated ceiling price, we could be subject to significant civil monetary penalties and/or such failure also could be grounds for HRSA to terminate our agreement to participate in the 340B program, in which case our covered outpatient drugs would no longer be eligible for federal payment under Medicaid or Medicare Part B. Moreover, HRSA has established an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HRSA has also implemented a price reporting system under which we are required to report our 340B ceiling prices to HRSA on a quarterly basis, which then publishes those prices to 340B covered entities.</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("VA") Federal Supply Schedule ("FSS") pricing program. FSS participation is required for our products to be purchased by the VA, Department of Defense ("DoD"), Coast Guard, and Public Health Service ("PHS"). Prices for innovator drugs purchased by the VA, DoD, Coast Guard, and PHS are subject to a cap (known as the "Federal Ceiling Price") equal to 76% of the annual non-federal average manufacturer price ("non-FAMP") minus, if applicable, an additional discount. The additional discount applies if non-FAMP increases more than inflation (measured by reference to the Consumer Price Index - Urban). We also participate in the Tricare Retail Pharmacy Program, under which we pay quarterly rebates to DoD for prescriptions of our innovator drugs dispensed to Tricare beneficiaries through Tricare Retail network pharmacies. The governing statute provides for civil monetary penalties for failure to provide information timely or for knowing submission of false information to the government.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Medicare Part D provides coverage to enrolled Medicare patients for self-administered drugs (i.e.,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pricing with manufacturers and pharmacies, and may condition formulary placement on the availability of manufacturer discounts. In addition, effective January 1, 2025, the IRA replaced the coverage gap discount program with a new manufacturer discount program under which manufacturers, including us, are required to provide to CMS a 10% discount on covered Part D drugs utilized by Medicare Part D beneficiaries when those beneficiaries are in the initial phase of the Part D benefit design (i.e., the phase during which the beneficiary must pay a copayment or coinsurance amount) and a 20% discount when those beneficiaries are in the catastrophic phase of Part D coverage (i.e., the phase after the beneficiary incurs costs above the initial phase's annual out-of-pocket limit). In addition, the IRA has established a Medicare Part D inflation rebate scheme under which, generally speaking, manufacturers will owe additional rebates if the average manufacturer price of a Part D drug increases faster than the pace of inflation. Failure to timely pay a Part D manufacturer discount program amount or inflation rebate or otherwise comply with obligations under the Medicare Part D inflation rebate scheme is subject to a civil monetary penalty.</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Private payor healthcare and insurance providers, health maintenance organizations, and pharmacy benefit managers in the United States are adopting more aggressive utilization management techniques and are increasingly requiring significant discounts and rebates from manufacturers as a condition to including products on formulary with favorable coverage and copayment/coinsurance. These payors may not cover or adequately reimburse for use of our products or may do so at levels that disadvantage them relative to competitive products.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Outside the United States, within the EU, our products are paid for by a variety of payors, with governments being the primary source of payment. Government health authorities in the EU determine or influence reimbursement of products, and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(i.e., referencing prices in other countries or prices of competitive products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healthcare "fraud and abuse" laws, such as the federal civil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Federal false claims laws prohibit any person from knowingly presenting, or causing to be presented, a false claim for payment of government funds, or knowingly making, or causing to be made, a false statement to get a false claim paid. We are also subject to federal and state transparency laws that require manufacturers to report transfers of value made to certain healthcare professionals and healthcare organizations. We also have similar reporting obligations in other countries based on laws, regulations, and/or industry trade association requirements. See Part I, Item 1A. "Risk Factors - Other Regulatory and Litigation Risks - </w:t>
      </w:r>
      <w:r>
        <w:rPr>
          <w:rFonts w:ascii="Times New Roman" w:cs="Times New Roman" w:eastAsia="Times New Roman" w:hAnsi="Times New Roman"/>
          <w:sz w:val="18"/>
          <w:szCs w:val="18"/>
          <w:i w:val="1"/>
          <w:iCs w:val="1"/>
          <w:color w:val="auto"/>
        </w:rPr>
        <w:t>Our business activities have been, and may in the future be, challenged under U.S. federal or state and foreign healthcare laws,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subject us to civil or criminal proceedings, investigations, or penalties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Foreign Corrupt Practices Act, or FCPA, and similar anti-bribery or anti-corruption laws, regulations or rules of other countries in which we operate, including the U.K. Bribery Act. See Part I, Item 1A. "Risk Factors - Other Regulatory and Litigation Risks - </w:t>
      </w:r>
      <w:r>
        <w:rPr>
          <w:rFonts w:ascii="Times New Roman" w:cs="Times New Roman" w:eastAsia="Times New Roman" w:hAnsi="Times New Roman"/>
          <w:sz w:val="18"/>
          <w:szCs w:val="18"/>
          <w:i w:val="1"/>
          <w:iCs w:val="1"/>
          <w:color w:val="auto"/>
        </w:rPr>
        <w:t>Risks from the improper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conduct of employees, agents, contractors, or collaborators could adversely affect our reputation and our business, prospects, operating results, and financial condition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privacy and data protection laws in the United States and abroad, including health privacy laws, data breach notification laws, consumer protection laws, data localization laws, biometric privacy laws, and genetic privacy laws.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there are numerous federal and state laws and regulations governing data privacy of personal data and the collection, use, disclosure, and protection of health data, genetic data, consumer data, and children's data. At the federal level, most U.S. healthcare providers, including research institutions from which we or our collaborators obtain clinical trial data, are subject to privacy and security regulations promulgated under the Health Insurance Portability and Accountability Act of 1996, the Health Information Technology for Economic and Clinical Health Act, and their implementing regulations (collectively, "HIPAA"). While Regeneron is not directly subject to HIPAA, other than potentially with respect to providing certain employee benefits, we could be subject to criminal penalties if we, our affiliates, or our agents knowingly receive protected health information in a manner that is not permitted under HIPAA. The Federal Trade Commission ("FTC") also sets expectations for taking appropriate steps to safeguard consumers' personal information and for providing a level of privacy or security commensurate to promises made to individuals. Failure to meet these FTC standards may constitute unfair or deceptive acts or practices in violation of Section 5 of the FTC Act. The FTC also has the power to enforce the Health Breach Notification Rule, which imposes notification obligations on companies for breaches of certain health information contained in personal health records. Enforcement by the FTC under the FTC Act and Health Breach Notification Rule can result in civil penalties or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enforcement actions. In addition, at the state level, many state consumer privacy laws recently went into effect and many other consumer privacy laws are expected to go into effect in the near future. These laws include certain transparency and other requirements to protect personal data and grant residents with certain rights regarding their personal data. These laws and regulations are constantly evolving and may impose limitations on our business activities.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Outside the United States, our activities subject us to additional data protection authority oversight and require us to comply with stringent local and regional data privacy laws. Such laws include the EU's General Data Protection Regulations ("GDPR"), which has a wide range of compliance obligations relating to the processing and protection of personal data. Violations of the GDPR carry significant financial penalties for noncompliance. The GDPR also confers a private right of action on data subjects and consumer associations to file complaints with data protection authorities, seek judicial remedies, and obtain compensation for damages resulting from violations of the GDPR. Many other jurisdictions outside the United States have adopted and continue to adopt varying privacy and data protection legislation, the continued emergence of which has increased the costs and complexity of compliance.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foregoing, our present business is, and our future business may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manage our business as one segment which includes all activities related to the discovery, development, and commercialization of medicines for serious diseases. For additional information related to our one segment, see our Consolidated Financial Statements and related notes.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compete in the highly competitive biotechnology and pharmaceuticals industries. Attracting, developing, and retaining skilled and experienced employees in research and development, manufacturing, sales and marketing, and other positions is crucial to our ability to compete effectively. Our ability to recruit and retain such employees depends on a number of factors, including our corporate culture, informed by our values and behaviors (which we call "The Regeneron Way") and our philosophy of "Doing Well by Doing Good"; talent development and career opportunities; and compensation and benefits.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Integrity is a core value at Regeneron. Both the Company and each of our employees have a responsibility to act ethically and with integrity at all times. Our Code of Business Conduct and Ethics brings together Regeneron's key policy principles and establishes the Company's expectations for all of our employees to act in accordance with applicable laws, rules, and regulations.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 Profile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we had 15,410 full-time employees, consisting of 11,961 employed in the United States, 2,149 employed in Ireland, and 1,300 employed in other countries (primarily in the United Kingdom, Japan, and Germany). Of these employees, 2,591 were within our research and preclinical development organization, 2,274 were within our global clinical development and regulatory affairs organization, and 6,717 were within our industrial operations and product supply organization. Company-wide, over 1,800 of our full-time employees hold a Ph.D. and/or M.D. We also supplement our workforce with independent contractors, contingent workers, and temporary workers, as needed. Outside the United States, some of our employees are represented by works councils. Our management considers its relations with our employees to be good.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Culture and Development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employees represent a broad range of backgrounds, just like the people who take our medicines, and bring a wide array of perspectives and experiences that have helped us maintain our leadership position in the biotechnology and pharmaceuticals industries and the global marketplace. Our strategy is rooted in the understanding that a better workplace drives better science and that better science drives a better world. We believe that by fostering an inclusive culture and bringing different voices and perspectives to the discourse, we improve our ability to fulfill our mission to repeatedly bring important medicines to patients with serious diseases. Our employee-led cross-functional resource groups, open to all, help colleagues to connect around common interests and support our culture of inclusion and collaboration. In recent years, we have expanded our mentoring program and inclusive leadership workshops for senior leaders and new managers to increase leadership skills and connection among employees. In addition, in order to better understand our employees' perspectives, we measure inclusion and belonging as part of our annual employee engagement survey.</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invest significant resources to develop talent with the right capabilities to deliver the growth and innovation needed to support our continued success. Our Talent department is dedicated to promoting individual, leader, team, and organizational development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a number of tools and services. We offer a variety of professional development courses for our employees and support employee continuing education, including through educational reimbursement and tuition forgiveness programs. In addition, we continue to invest in our current and future leaders through a number of leadership development courses and programs and feedback and coaching opportunities. In 2025, approximately 25% of job openings were filled by existing employees who were seeking career development opportunities.</w:t>
      </w:r>
    </w:p>
    <w:p>
      <w:pPr>
        <w:spacing w:after="0" w:line="9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continue to invest in the science, engineering, technology, and math ("STEM") talent pipeline with our most significant philanthropic investments in science education, a commitment we call STEM-Fueled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our long-standing collection of programs and partnerships that fuel future scientific innovators to pursue bold ideas and advance world-changing solutions. This commitment includes our $100 million, 10-year commitment to support the Regeneron Science Talent Search ("STS"), the oldest and most prestigious high school science and mathematics competition in the United States, and $34 million, 5-year title sponsorship of the Regeneron International Science and Engineering Fair ("ISEF"), the world's largest global science competition for high school students.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engaging our employees, from their first day and throughout their career, is key to fostering new ideas and driving commitment and productivity. We communicate frequently and transparently with our employees through a variety of communication methods, including video and written communications, company forums and town halls, annual engagement surveys, and pulse surveys.</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Supporting our communities is at the heart of Regeneron's culture and we encourage community involvement to foster employee engagement. We are committed to fostering employee volunteerism and continue to deliver on our global responsibility goal to drive employee volunteer levels above national standards. Employees are encouraged and empowered to support organizations and causes that are important to them including through, among other things, our matching gift program, volunteer-time-off policy, and our annual company-wide service event, </w:t>
      </w:r>
      <w:r>
        <w:rPr>
          <w:rFonts w:ascii="Times New Roman" w:cs="Times New Roman" w:eastAsia="Times New Roman" w:hAnsi="Times New Roman"/>
          <w:sz w:val="18"/>
          <w:szCs w:val="18"/>
          <w:i w:val="1"/>
          <w:iCs w:val="1"/>
          <w:color w:val="auto"/>
        </w:rPr>
        <w:t>Day for Doing Good</w:t>
      </w:r>
      <w:r>
        <w:rPr>
          <w:rFonts w:ascii="Times New Roman" w:cs="Times New Roman" w:eastAsia="Times New Roman" w:hAnsi="Times New Roman"/>
          <w:sz w:val="18"/>
          <w:szCs w:val="18"/>
          <w:color w:val="auto"/>
        </w:rPr>
        <w:t xml:space="preserve">. In 2025, over 7,600 employees volunteered nearly 42,000 hours, including approximately 47% of our employees who volunteered nearly 28,700 hours to approximately 230 nonprofits during our </w:t>
      </w:r>
      <w:r>
        <w:rPr>
          <w:rFonts w:ascii="Times New Roman" w:cs="Times New Roman" w:eastAsia="Times New Roman" w:hAnsi="Times New Roman"/>
          <w:sz w:val="18"/>
          <w:szCs w:val="18"/>
          <w:i w:val="1"/>
          <w:iCs w:val="1"/>
          <w:color w:val="auto"/>
        </w:rPr>
        <w:t>Day for Doing Good</w:t>
      </w:r>
      <w:r>
        <w:rPr>
          <w:rFonts w:ascii="Times New Roman" w:cs="Times New Roman" w:eastAsia="Times New Roman" w:hAnsi="Times New Roman"/>
          <w:sz w:val="18"/>
          <w:szCs w:val="18"/>
          <w:color w:val="auto"/>
        </w:rPr>
        <w:t>. Additionally, through our Matching Gift Program, we matched approximately $2.4 million in employee contributions in 2025, supporting nearly 2,500 charities. In 2025, we were named to the Civic 50 of most community-minded companies in the United States for the ninth consecutive year.</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success of our employee engagement efforts is demonstrated by our employee retention rate of nearly 93% in 2025, as well as the fact that 81% of our employees who responded to our annual engagement survey said Regeneron is a great place to work. Additionally, we have placed in the top five for the past 15 years in </w:t>
      </w:r>
      <w:r>
        <w:rPr>
          <w:rFonts w:ascii="Times New Roman" w:cs="Times New Roman" w:eastAsia="Times New Roman" w:hAnsi="Times New Roman"/>
          <w:sz w:val="18"/>
          <w:szCs w:val="18"/>
          <w:i w:val="1"/>
          <w:iCs w:val="1"/>
          <w:color w:val="auto"/>
        </w:rPr>
        <w:t>Science</w:t>
      </w:r>
      <w:r>
        <w:rPr>
          <w:rFonts w:ascii="Times New Roman" w:cs="Times New Roman" w:eastAsia="Times New Roman" w:hAnsi="Times New Roman"/>
          <w:sz w:val="18"/>
          <w:szCs w:val="18"/>
          <w:color w:val="auto"/>
        </w:rPr>
        <w:t xml:space="preserve"> magazine's annual "Top Employers Survey" of the global biotechnology and pharmaceutical industry.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Wellness, Health, and Safety</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wellbeing of our employees is a primary focus as we believe that the most productive people are those who are at their best, both physically and mentally. We provide several programs related to employee health and wellness, including onsite amenities and programs such as meditation and prayer rooms and fitness centers. We also prioritize mental health initiatives and have taken further action to reduce or remove barriers to quality mental healthcare for our employees and their family members. In addition, we provide support for work-life balance through flex-time, remote working arrangements, child and elder care, and paid parental leave, among others.</w:t>
      </w:r>
    </w:p>
    <w:p>
      <w:pPr>
        <w:spacing w:after="0" w:line="1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Occupational health and safety is critical to our success. We are committed to meeting or exceeding all environmental, health, safety ("EHS") and security regulations and have a range of programs, policies, and procedures to ensure the safety of all people who come to work at Regeneron. In addition, our global responsibility goals included a commitment to focus on workplace injury prevention in our drive toward zero incidents.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committed to rewarding and supporting our employees in order to continue to attract and retain top talent. We believe this commitment supports our core strategy of creating and advancing a high-quality product pipeline and delivering medicines to people in need. Employee engagement, commitment, and achievements are key drivers of pipeline success and therefore our long-term performance. The primary underpinning of our pay philosophy is to award stock-based pay to all eligible employees to ensure that when we deliver for patients and for shareholders, everyone shares in the upside growth. Our practice, therefore, has been to award initial stock-based grants to all new hires, in addition to our comprehensive annual stock-based compensation program. Total employee compensation packages (which vary by country and region) include market-competitive pay (with the opportunity to receive above-market rewards), broad-based grants of stock-based awards, comprehensive healthcare benefits, parental leave, child and elder care support, retirement savings options, and matching contributions in connection with employee savings plans.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or through our Internet website (</w:t>
      </w:r>
      <w:r>
        <w:rPr>
          <w:rFonts w:ascii="Times New Roman" w:cs="Times New Roman" w:eastAsia="Times New Roman" w:hAnsi="Times New Roman"/>
          <w:sz w:val="18"/>
          <w:szCs w:val="18"/>
          <w:i w:val="1"/>
          <w:iCs w:val="1"/>
          <w:color w:val="auto"/>
        </w:rPr>
        <w:t>http://www.regeneron.com</w:t>
      </w:r>
      <w:r>
        <w:rPr>
          <w:rFonts w:ascii="Times New Roman" w:cs="Times New Roman" w:eastAsia="Times New Roman" w:hAnsi="Times New Roman"/>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and other interested parties should note that we use our media and investor relations website (</w:t>
      </w:r>
      <w:r>
        <w:rPr>
          <w:rFonts w:ascii="Times New Roman" w:cs="Times New Roman" w:eastAsia="Times New Roman" w:hAnsi="Times New Roman"/>
          <w:sz w:val="18"/>
          <w:szCs w:val="18"/>
          <w:i w:val="1"/>
          <w:iCs w:val="1"/>
          <w:color w:val="auto"/>
        </w:rPr>
        <w:t>http://investor.regeneron.com</w:t>
      </w:r>
      <w:r>
        <w:rPr>
          <w:rFonts w:ascii="Times New Roman" w:cs="Times New Roman" w:eastAsia="Times New Roman" w:hAnsi="Times New Roman"/>
          <w:sz w:val="18"/>
          <w:szCs w:val="18"/>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114" w:lineRule="exact"/>
        <w:rPr>
          <w:sz w:val="20"/>
          <w:szCs w:val="20"/>
          <w:color w:val="auto"/>
        </w:rPr>
      </w:pPr>
    </w:p>
    <w:p>
      <w:pPr>
        <w:ind w:right="940"/>
        <w:spacing w:after="0" w:line="414" w:lineRule="auto"/>
        <w:rPr>
          <w:sz w:val="20"/>
          <w:szCs w:val="20"/>
          <w:color w:val="auto"/>
        </w:rPr>
      </w:pPr>
      <w:r>
        <w:rPr>
          <w:rFonts w:ascii="Times New Roman" w:cs="Times New Roman" w:eastAsia="Times New Roman" w:hAnsi="Times New Roman"/>
          <w:sz w:val="18"/>
          <w:szCs w:val="18"/>
          <w:color w:val="auto"/>
        </w:rPr>
        <w:t xml:space="preserve">The information contained on our websites and social media channels is not included as a part of, or incorporated by reference into, this report. </w:t>
      </w:r>
      <w:r>
        <w:rPr>
          <w:rFonts w:ascii="Times New Roman" w:cs="Times New Roman" w:eastAsia="Times New Roman" w:hAnsi="Times New Roman"/>
          <w:sz w:val="18"/>
          <w:szCs w:val="18"/>
          <w:b w:val="1"/>
          <w:bCs w:val="1"/>
          <w:color w:val="auto"/>
        </w:rPr>
        <w:t>Item 1A. Risk Factors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10-K, including the full set of risks set forth in this "Risk Factors" section, and in our other filings with the SEC before making an investment decision regarding Regeneron.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Risks</w:t>
      </w:r>
    </w:p>
    <w:p>
      <w:pPr>
        <w:spacing w:after="0" w:line="14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EYLEA HD, EYLEA, and Dupixent.</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products are dependent on the availability and extent of coverage and reimbursement or copay assistance from third-party payors and other third parties, including private payors and government programs such as Medicare and Medicaid.</w:t>
      </w: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reimbursement and coverage policies and practices, pricing regulations and requirements, and our pricing strategy could change due to various factors beyond our control, such as drug price control measures that have been or may be enacted or introduced in the United States by various federal and state authorities.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 is subject to significant competition from products or product candidates that may be superior to, or more established or cost effective than, our products or product candidates, including biosimilars.</w:t>
      </w:r>
    </w:p>
    <w:p>
      <w:pPr>
        <w:ind w:left="6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on which we rely to commercialize some of our marketed products may be unable to continue to successfully commercialize or co-commercialize our products, both in and outside the United States.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Development Risks</w:t>
      </w:r>
    </w:p>
    <w:p>
      <w:pPr>
        <w:spacing w:after="0" w:line="162" w:lineRule="exact"/>
        <w:rPr>
          <w:sz w:val="20"/>
          <w:szCs w:val="20"/>
          <w:color w:val="auto"/>
        </w:rPr>
      </w:pPr>
    </w:p>
    <w:p>
      <w:pPr>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and biologic products is costly, time-consuming, and highly uncertain.</w:t>
      </w:r>
    </w:p>
    <w:p>
      <w:pPr>
        <w:jc w:val="both"/>
        <w:ind w:left="660" w:hanging="328"/>
        <w:spacing w:after="0" w:line="255"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right="2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are intended to be used in combination with drug-delivery devices, which may result in additional regulatory, commercialization, and other risks.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Market Exclusivity Risks</w:t>
      </w:r>
    </w:p>
    <w:p>
      <w:pPr>
        <w:spacing w:after="0" w:line="148" w:lineRule="exact"/>
        <w:rPr>
          <w:sz w:val="20"/>
          <w:szCs w:val="20"/>
          <w:color w:val="auto"/>
        </w:rPr>
      </w:pPr>
    </w:p>
    <w:p>
      <w:pPr>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the confidentiality of our trade secrets, and our patents or other means of defending our intellectual property may be insufficient to protect our proprietary rights.</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6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limitation of patent rights, and regulatory pathways for biosimilar competition, have in the past reduced and could reduce in the future the duration of market exclusivity for our products.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Risks</w:t>
      </w:r>
    </w:p>
    <w:p>
      <w:pPr>
        <w:spacing w:after="0" w:line="162" w:lineRule="exact"/>
        <w:rPr>
          <w:sz w:val="20"/>
          <w:szCs w:val="20"/>
          <w:color w:val="auto"/>
        </w:rPr>
      </w:pPr>
    </w:p>
    <w:p>
      <w:pPr>
        <w:jc w:val="both"/>
        <w:ind w:left="660" w:hanging="328"/>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potential regulatory approvals, our current manufacturing capacity will likely not be sufficient, and our dependence on our collaborators and/or contract manufacturers may increase, to produce adequate quantities of drug material for both commercial and clinical purposes.</w:t>
      </w:r>
    </w:p>
    <w:p>
      <w:pPr>
        <w:spacing w:after="0" w:line="2"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manufacturing capacity and establishing fill/finish capabilities has been and will continue to be costly and we may be unsuccessful in doing so in a timely manner, which could delay or prevent the launch and successful commercialization of our products approved for marketing and could jeopardize our clinical development programs.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jc w:val="both"/>
        <w:ind w:left="660" w:hanging="328"/>
        <w:spacing w:after="0" w:line="253"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or contract 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62"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testing or use of our products harms people, or is perceived to harm them even when such harm is unrelated to our products, we could be subject to costly and damaging product liability claims.</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activities have been, and may in the future be, challenged under U.S. federal or state and foreign healthcare laws, which may subject us to civil or criminal proceedings, investigations, or penalties.</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environmental, health, and safety laws and regulations, including those governing the use of hazardous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policies affecting the healthcare industry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tariffs and other trade restrictions, and other risks associated with our operations outside the United States could adversely affect our business.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personal data we collect, process, and share.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48" w:lineRule="exact"/>
        <w:rPr>
          <w:sz w:val="20"/>
          <w:szCs w:val="20"/>
          <w:color w:val="auto"/>
        </w:rPr>
      </w:pPr>
    </w:p>
    <w:p>
      <w:pPr>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with Sanofi or Bayer or other third parties are terminated or breached, our ability to develop, manufacture, and commercialize certain of our products and product candidates in the time expected, or at all, may be materially harmed.</w:t>
      </w: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and service providers may fail to perform adequately in their efforts to support the development, manufacture, and commercialization of our drug candidates and current and future products.</w:t>
      </w:r>
    </w:p>
    <w:p>
      <w:pPr>
        <w:ind w:left="66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undertaken and may in the future undertake strategic acquisitions, and any difficulties from integrating such acquisitions or failure to realize the expected benefits from such acquisitions could adversely affect our business, operating results, and financial condition.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Our Common Stock</w:t>
      </w:r>
    </w:p>
    <w:p>
      <w:pPr>
        <w:spacing w:after="0" w:line="162" w:lineRule="exact"/>
        <w:rPr>
          <w:sz w:val="20"/>
          <w:szCs w:val="20"/>
          <w:color w:val="auto"/>
        </w:rPr>
      </w:pPr>
    </w:p>
    <w:p>
      <w:pPr>
        <w:ind w:left="660" w:right="2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key personnel and will be harmed if we cannot recruit or retain key members of our senior management team, including leaders in our research, development, manufacturing, and commercial organizations.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outbreaks, epidemics, or pandemics have adversely affected and may in the future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impact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extremely volatile.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may be able to exert substantial influence over matters requiring shareholder approval and over our management.</w:t>
      </w:r>
    </w:p>
    <w:p>
      <w:pPr>
        <w:spacing w:after="0" w:line="125"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154" w:lineRule="exact"/>
        <w:rPr>
          <w:sz w:val="20"/>
          <w:szCs w:val="20"/>
          <w:color w:val="auto"/>
        </w:rPr>
      </w:pPr>
    </w:p>
    <w:p>
      <w:pPr>
        <w:ind w:right="90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Risks Related to Commercialization of Our Marketed Products, Product Candidates, and New Indications for Our Marketed Products </w:t>
      </w:r>
      <w:r>
        <w:rPr>
          <w:rFonts w:ascii="Times New Roman" w:cs="Times New Roman" w:eastAsia="Times New Roman" w:hAnsi="Times New Roman"/>
          <w:sz w:val="18"/>
          <w:szCs w:val="18"/>
          <w:b w:val="1"/>
          <w:bCs w:val="1"/>
          <w:i w:val="1"/>
          <w:iCs w:val="1"/>
          <w:color w:val="auto"/>
        </w:rPr>
        <w:t>We are substantially dependent on the success of EYLEA HD, EYLEA, and Dupixent.</w:t>
      </w: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substantially dependent on the success of EYLEA HD and EYLEA. Net product sales of these products have historically represented a substantial portion of our revenues, and we expect this concentration of our net sales to continue in the future with an increasing dependence on EYLEA HD relative to our historical dependence on EYLEA. For the years ended December 31, 2025 and 2024, our aggregate EYLEA HD and EYLEA net product sales in the United States represented 31% and 42% of our total revenues, respectively. For the year ended December 31, 2025, EYLEA HD U.S. net product sales represented 37% of our aggregate EYLEA HD and EYLEA U.S. net product sales. If we experience difficulty with the commercialization of EYLEA HD or EYLEA in the United States or if Bayer experiences any difficulty with the commercialization of EYLEA HD or EYLEA outside the United States, if EYLEA HD net product sales do not sufficiently offset any sustained decline of EYLEA net product sales in or outside the United States, or if we and Bayer are unable to maintain or obtain marketing approvals of these products (as applicable), we may experience a reduction in revenue and may not be able to stay profitable at the levels we previously achieved or at all, and our business, prospects, operating results, and financial condition may be materially harmed.</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Commercialization of EYLEA HD and EYLEA in the United States and elsewhere is subject to significant competition (as described further below under "</w:t>
      </w:r>
      <w:r>
        <w:rPr>
          <w:rFonts w:ascii="Times New Roman" w:cs="Times New Roman" w:eastAsia="Times New Roman" w:hAnsi="Times New Roman"/>
          <w:sz w:val="18"/>
          <w:szCs w:val="18"/>
          <w:i w:val="1"/>
          <w:iCs w:val="1"/>
          <w:color w:val="auto"/>
        </w:rPr>
        <w:t>The commercial success of our products and product candidates is subject to significant competition</w:t>
      </w:r>
      <w:r>
        <w:rPr>
          <w:rFonts w:ascii="Times New Roman" w:cs="Times New Roman" w:eastAsia="Times New Roman" w:hAnsi="Times New Roman"/>
          <w:sz w:val="18"/>
          <w:szCs w:val="18"/>
          <w:color w:val="auto"/>
        </w:rPr>
        <w:t>"), which we expect to continue to increase in the future. For the year ended December 31, 2025, EYLEA U.S. net product sales declined by 42% compared to the corresponding period in 2024 as a result of competitive pressures and other factors described under Part II, Item 7. "Management's Discussion and Analysis of Financial Condition and Results of Operations – Results of Operations." Following the expiration of the U.S. regulatory exclusivity period for EYLEA in May 2024, several biosimilar versions of EYLEA have been approved by the FDA, and one such product has launched in the United States. EYLEA and/or EYLEA HD net product sales recorded by us are likely to continue to be negatively impacted by biosimilar competition in the United States, including competition from additional biosimilar versions of EYLEA expected to launch in the United States in the second half of 2026, which may have a material adverse impact on our results of operations. In addition, we expect that competition for EYLEA and/or EYLEA HD outside the United States will continue to increase as biosimilar versions of EYLEA (including those already approved but not yet launched) are brought to market in additional countries, which may negatively impact the amount of collaboration revenue we earn from Bayer. While the FDA recently approved EYLEA HD for the treatment of RVO and for an every 4-week dosing regimen across approved indications and we continue to work toward FDA approval of the EYLEA HD pre-filled syringe as discussed under Part I, Item 1. "Business - Programs in Clinical Development - Additional Information - Clinical Development Programs - EYLEA HD," there can be no assurance that such milestones (including potential FDA approval of the EYLEA HD pre-filled syringe) will help accelerate any potential future growth of EYLEA HD net product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The degree to which EYLEA HD net product sales may offset further potential decreases in EYLEA net product sales, resulting from the factors discussed above or otherwise, is uncertain.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are substantially dependent on our share of profits from the commercialization of Dupixent under our collaboration with Sanofi (the "Antibody Collaboration"). For the years ended December 31, 2025 and 2024, Sanofi collaboration revenue (most of which is attributable to our share of profits from the commercialization of Dupixent) represented 41% and 32% of our total revenues, respectively.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may be materially harmed.</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the degree of commercial success of our marketed products will continue to depend on many factors, including the following (as applicable):</w:t>
      </w:r>
    </w:p>
    <w:p>
      <w:pPr>
        <w:spacing w:after="0" w:line="8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our products, including pricing strategy;</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of, and reimbursement or copay assistance for, our marketed products by third-party payors and other third parties,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enacted or introduced in the United States by various federal and state authorities);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HD and EYLEA, the existing and potential new branded and biosimilar competition (discussed further under "</w:t>
      </w:r>
      <w:r>
        <w:rPr>
          <w:rFonts w:ascii="Times New Roman" w:cs="Times New Roman" w:eastAsia="Times New Roman" w:hAnsi="Times New Roman"/>
          <w:sz w:val="18"/>
          <w:szCs w:val="18"/>
          <w:i w:val="1"/>
          <w:iCs w:val="1"/>
          <w:color w:val="auto"/>
        </w:rPr>
        <w:t>The commercial success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products and product candidates is subject to significant competition - </w:t>
      </w:r>
      <w:r>
        <w:rPr>
          <w:rFonts w:ascii="Times New Roman" w:cs="Times New Roman" w:eastAsia="Times New Roman" w:hAnsi="Times New Roman"/>
          <w:sz w:val="18"/>
          <w:szCs w:val="18"/>
          <w:color w:val="auto"/>
        </w:rPr>
        <w:t>Marketed Products" below) and the willingness of retinal specialists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patients to start or continue treatment with such products or to switch from a competitive product to one of our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marketed products seen in a broader patient group (i.e., real-world use);</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healthcare laws and regulations currently being considered or implemented in the United States and globally, including measures requiring the U.S. government in the future to negotiate the prices of certain drugs and price reporting and other disclosure requirements and the potential impact of such requirements on physician prescribing practices and payor coverage;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 effects in connection with the use or development of our products or product candidates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our marketed products with third parties who perform fill/finish and bulk product manufacturing or other steps in the manufacture of such products to ensure that they meet our standards and those of regulatory authorities, including the FDA, which extensively regulate and monitor, and have been increasing their focus on, pharmaceutical manufacturing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our marketed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proceedings relating to EYLEA (described further in Note 16 to our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government proceedings and investigations and other matters described in Note 16 to our Consolidated Financial Statements included in this report (including the civil proceedings initiated or joined by the U.S. Department of Justice and the U.S. Attorney's Office for the District of Massachusetts);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our marketed products is provided in the risk factors below.</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and our collaborators are subject to significant ongoing regulatory obligations and oversight with respect to the products we or they commercialize for the products' currently approved indications in the United States, EU, Japan, and other countries. If we or our collaborators fail to maintain regulatory compliance or satisfy other obligations for such products' currently approved indications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and biologic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is costly, time-consuming, and highly uncertain. If we or our collaborators do not maintain regulatory approval for our marketed products, or obtain regulatory approval for our product candidates, we will not be able to market or sell them; and if we do not obtain approvals for new indications for our marketed products, we may not be able to realize the full commercial potential of such products. Any of the foregoing may materially and negatively impact our business, prospects, operating results, and financial condition.</w:t>
      </w:r>
      <w:r>
        <w:rPr>
          <w:rFonts w:ascii="Times New Roman" w:cs="Times New Roman" w:eastAsia="Times New Roman" w:hAnsi="Times New Roman"/>
          <w:sz w:val="18"/>
          <w:szCs w:val="18"/>
          <w:color w:val="auto"/>
        </w:rPr>
        <w:t>"), the applicable marketing approval may be withdrawn, which would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harm our business, 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Our or our collaborators' or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below.</w:t>
      </w:r>
    </w:p>
    <w:p>
      <w:pPr>
        <w:spacing w:after="0" w:line="1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are dependent on the availability and extent of coverage and reimbursement and copay assistance from third-party payors and other third parties.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our marketed products in the United States are dependent, in large part, on the availability and extent of coverage and reimbursement from third-party payors, including private payor healthcare and insurance programs, health maintenance organizations, pharmacy benefit management companies ("PBMs"), and government programs such as Medicare and Medicaid. Such sales are also impacted by the ability of patients to afford copays and the availability and extent of copay assistance, including copay assistance provided by other third parties (such as not-for-profit patient assistance funds). Sales of our marketed products in other countries are also dependent, in large part, on complex coverage and reimbursement mechanisms and programs in those countries.</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revenues and profitability will be materially adversely affected if such third-party payors and other third parties do not adequately defray or reimburse the cost of our marketed products. If third-party payors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require failure on another type of treatment, or impose other utilization management restrictions before covering a particular drug, particularly with respect to higher-priced drugs. Further, sales of our marketed products (such as EYLEA HD and EYLEA) in the United States may be adversely impacted by the lack of sufficient copay assistance from not-for-profit patient assistance funds. For example, a loss in market share to compounded bevacizumab due to patient affordability constraints impacted U.S. net product sales of EYLEA for the year ended December 31, 2025, as further described under Part II, Item 7. "Management's Discussion and Analysis of Financial Condition and Results of Operations – Results of Operations." If independent not-for-profit patient assistance funds that provide patient copay assistance are unable to support eligible patients, this will likely have a continued negative impact on patient affordability resulting in lower utilization of higher-cost anti-VEGF agents.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currently marketed products and most of our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healthcare systems, our currently marketed products and product candidates are likely to be subject to continued pricing pressures, which may have an adverse impact on our business, prospects, operating results, and financial condition.</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CMS. There is no certainty that we will be able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obtain or maintain the applicable requirements for reimbursement (including relevant formulary coverage, as discussed further below) of our current and future marketed products, which may have a material adverse effect on our business.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PBMs and other managed-care organizations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many countries outside the United States,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of these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limitations on the profitability of the medicinal product placed on the market. In addition, in many countries outside the United States, we or our collaborators must participate in a tender process for public procurement of our products, and any failure to obtain acceptable pricing in the tender process could adversely affect our business. Our results of operations may suffer if we or our collaborators are unable to market our products in countries outside the United States or if coverage and reimbursement for our marketed products in such countries is limited or delayed. As discussed below under "</w:t>
      </w:r>
      <w:r>
        <w:rPr>
          <w:rFonts w:ascii="Times New Roman" w:cs="Times New Roman" w:eastAsia="Times New Roman" w:hAnsi="Times New Roman"/>
          <w:sz w:val="18"/>
          <w:szCs w:val="18"/>
          <w:i w:val="1"/>
          <w:iCs w:val="1"/>
          <w:color w:val="auto"/>
        </w:rPr>
        <w:t>If we are unable to establish sufficient commercial capabilities outside the United States for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we will need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 these and other commercialization-related risks in order for us to successfully maintain and/or further develop sufficient commercial capabilities outside the United States.</w:t>
      </w:r>
    </w:p>
    <w:p>
      <w:pPr>
        <w:spacing w:after="0" w:line="1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reimbursement and coverage policies and practices, pricing regulations and requirements, and our pricing strategy could change due to various factors beyond our control, which may adversely impact our business, prospects, operating results, and financial condition.</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(i.e., requiring the use of less costly medications before more costly medications are approved for coverage). Private payor healthcare and insurance providers, health maintenance organizations, and PBMs are increasingly requiring significant discounts and rebates from manufacturers as a condition to including products on formulary with favorable coverage and copayment/coinsurance. In addition, 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Some states have also enacted or are considering legislation to control the prices and reimbursement of prescription drugs, including by establishing Prescription Drug Affordability Boards (or similar entities) to review high-cost drugs, setting upper payment limits, and/or implementing marketing cost disclosure and transparency measures. Additionally, state Medicaid programs have been increasingly requesting that manufacturers, including Regeneron, pay supplemental rebates and requiring prior authorization by the state program for use of any prescription drug for which supplemental rebates are not being paid. It is likely that federal and state legislatures and health agencies will continue to focus on additional healthcare reform measures in the future that will impose additional constraints on prices and reimbursements for our marketed products.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executive orders, and recently approved or proposed federal and state legislation, regulations,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Notably, in 2022 the U.S. Congress passed the Inflation Reduction Act ("IRA"), which includes, among other items, provisions regarding the following:</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3" w:lineRule="exact"/>
        <w:rPr>
          <w:sz w:val="20"/>
          <w:szCs w:val="20"/>
          <w:color w:val="auto"/>
        </w:rPr>
      </w:pPr>
    </w:p>
    <w:p>
      <w:pPr>
        <w:jc w:val="both"/>
        <w:ind w:left="660" w:hanging="328"/>
        <w:spacing w:after="0" w:line="24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Implementation of a Medicare Drug Price Negotiation Program </w:t>
      </w:r>
      <w:r>
        <w:rPr>
          <w:rFonts w:ascii="Times New Roman" w:cs="Times New Roman" w:eastAsia="Times New Roman" w:hAnsi="Times New Roman"/>
          <w:sz w:val="18"/>
          <w:szCs w:val="18"/>
          <w:color w:val="auto"/>
        </w:rPr>
        <w:t>(the "Medicare Drug Price Negotiation Program"). The Medicare Drug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Negotiation Program requires the government to set prices for select high-expenditure drugs covered under Medicare Parts B and D. Starting in 2023 and 2026, the government is authorized to select Part D and Part B drugs, respectively, for inclusion in the Medicare Drug Price Negotiation Program, with established prices to go into effect for selected Part D drugs in 2026 and for selected Part B drugs in 2028, in each case absent certain disqualifying events.</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Inflation Based Rebates</w:t>
      </w:r>
      <w:r>
        <w:rPr>
          <w:rFonts w:ascii="Times New Roman" w:cs="Times New Roman" w:eastAsia="Times New Roman" w:hAnsi="Times New Roman"/>
          <w:sz w:val="18"/>
          <w:szCs w:val="18"/>
          <w:color w:val="auto"/>
        </w:rPr>
        <w:t>. The IRA includes measures requiring manufacturers to pay rebates where increases to the average sales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average manufacturer price of drugs covered under Medicare Parts B and D, respectively, exceed the rate of inflation.</w:t>
      </w:r>
    </w:p>
    <w:p>
      <w:pPr>
        <w:ind w:left="660" w:right="2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Part D Program Redesign</w:t>
      </w:r>
      <w:r>
        <w:rPr>
          <w:rFonts w:ascii="Times New Roman" w:cs="Times New Roman" w:eastAsia="Times New Roman" w:hAnsi="Times New Roman"/>
          <w:sz w:val="18"/>
          <w:szCs w:val="18"/>
          <w:color w:val="auto"/>
        </w:rPr>
        <w:t>. The IRA implements changes to the Medicare Part D benefits to limit patient out-of-pocket drug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shift program liabilities from patients to other stakeholders, including health plans, manufacturers, and the government.</w:t>
      </w:r>
    </w:p>
    <w:p>
      <w:pPr>
        <w:spacing w:after="0" w:line="1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full extent to which the policy changes described above will ultimately impact reimbursement levels of our marketed products, including those covered under Medicare Part B (such as EYLEA HD and EYLEA), or our product candidates that may be covered under Medicare Part B or Medicare Part D in the future, is currently unclear. In addition, the current U.S. administration is pursuing other measures to reduce the cost of drugs in the United States. For example, in May 2025, an executive order directed the U.S. Department of Health and Human Services ("HHS") and other federal agencies to take certain steps intended to, among other things, reduce the prices of drugs sold in the United States to match the lowest price available for the same drugs in comparably developed nations (commonly referred to as "most-favored-nation" ("MFN") pricing). In July 2025, as a follow-up to this executive order, President Trump sent a letter to several pharmaceutical companies (including Regeneron) requesting that within the next 60 days they, among other matters, provide their existing drugs at MFN rates to Medicaid patients, guarantee MFN pricing for newly launched drugs, and provide for direct-to-consumer and direct-to-business distribution models for high-volume, high-rebate prescription drugs. In addition, a prior executive order from April 2025 directed the HHS to take appropriate steps to, among other things, modify certain provisions of the Medicare Drug Price Negotiation Program, develop and implement a payment model to reduce the price of high-cost prescription drugs and biological products covered by Medicare, accelerate approval of generic and biosimilar products, and facilitate the ability of states to import pharmaceuticals from other countries. In response to these executive orders, in December 2025, the Center for Medicare and Medicaid Innovation proposed two mandatory Medicare payment models that, if enacted into law, would apply to certain drugs covered under Medicare Parts B and D and test whether alternative methodologies for calculating inflationary rebates based on international reference pricing would reduce Medicare spending. It is currently unclear how and to what extent the measures described in this paragraph may be implemented and what impact any such implementation would have on our Company.</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price and marketing cost disclosure and transparency measures, and measures that could expand the applicability of the ceiling price under the federal government's 340B program (see also "Other Regulatory and Litigation Risks - </w:t>
      </w:r>
      <w:r>
        <w:rPr>
          <w:rFonts w:ascii="Times New Roman" w:cs="Times New Roman" w:eastAsia="Times New Roman" w:hAnsi="Times New Roman"/>
          <w:sz w:val="18"/>
          <w:szCs w:val="18"/>
          <w:i w:val="1"/>
          <w:iCs w:val="1"/>
          <w:color w:val="auto"/>
        </w:rPr>
        <w:t>If we fail to comply with our reporting and payment obligations under the Medicaid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Rebate program or other governmental pricing programs, we could be subject to additional reimbursement requirements, penalties, sanctions, and fines, which could have a material adverse effect on our business, financial condition, results of operations, and future prospects</w:t>
      </w:r>
      <w:r>
        <w:rPr>
          <w:rFonts w:ascii="Times New Roman" w:cs="Times New Roman" w:eastAsia="Times New Roman" w:hAnsi="Times New Roman"/>
          <w:sz w:val="18"/>
          <w:szCs w:val="18"/>
          <w:color w:val="auto"/>
        </w:rPr>
        <w:t>."). In some cases,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are designed to encourage importation from other countries and bulk purchasing. A reduction in the availability or extent of reimbursement from U.S. government programs (including as a result of the legislation, proposals, initiatives, and developments described above) could have a material adverse effect on the sales of our marketed products. Economic pressure on state budgets may also have a similar impact.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products and product candidates is subject to significant competition.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substantial competition from pharmaceutical and biotechnology companies. Many of our competitors have substantially greater research, preclinical and clinical product development, and manufacturing capabilities, as well as financial, marketing, and human resources, than we do. Our competitors, regardless of their size, may also enhance their competitive position if they acquire or discover patentable inventions, form collaborative arrangements, or merge with other pharmaceutical or biotechnology companies. There is significant actual and potential future competition for each of our marketed products.</w:t>
      </w:r>
    </w:p>
    <w:p>
      <w:pPr>
        <w:spacing w:after="0" w:line="114"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i w:val="1"/>
          <w:iCs w:val="1"/>
          <w:color w:val="auto"/>
        </w:rPr>
        <w:t xml:space="preserve">EYLEA HD and EYLEA. </w:t>
      </w:r>
      <w:r>
        <w:rPr>
          <w:rFonts w:ascii="Times New Roman" w:cs="Times New Roman" w:eastAsia="Times New Roman" w:hAnsi="Times New Roman"/>
          <w:sz w:val="18"/>
          <w:szCs w:val="18"/>
          <w:color w:val="auto"/>
        </w:rPr>
        <w:t>EYLEA HD and EYLEA face significant competition in the marketplace. For example, each of EYLEA HD and EYLEA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competes in one or more of its approved indications with other VEGF inhibitors. These include Genentech/Roche's Vabysmo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(faricimab-svoa) and Susvimo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ocular implant); Novartis and Genentech/Roche's Lucentis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Novartis' Beovu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(brolucizumab); and a biosimilar version of Lucentis commercialized in the United States by Biogen Inc. In addition, biosimilar versions of EYLEA have been approved and/or launched both in and outside the United States, including Amgen's Pavblu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(aflibercept-ayyh) (launched in the United States in the fourth quarter of 2024). We are aware of</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several other companies developing biosimilar versions of EYLEA, EYLEA HD, and/or other approved anti-VEGF treatments. We expect that biosimilar competition for EYLEA will continue to increase as additional biosimilar versions of EYLEA are launched in the United States and other countries, the timing of which will depend on, among other factors, the outcome of the pending patent litigation proceedings and the settlement terms of the previously pending litigation proceedings described in Note 16 to our Consolidated Financial Statements included in this report and the expiration of the patents protecting EYLEA (including those set forth under Part I - Item 1. "Business - Patents, Trademarks, and Trade Secrets"). Ophthalmologists are also using off-label, third-party repackaged versions of Genentech/Roche's approved VEGF antagonist, bevacizumab, for the treatment of certain of EYLEA HD's and EYLEA's respective indications, and we are aware of another company developing an ophthalmic formulation of such product that has been approved in the EU. In DME and RVO, EYLEA HD and EYLEA also compete with intravitreal implants of corticosteroids. We are also aware of a number of companies working on the development of product candidates and extended delivery devices for the potential treatment of one or more of EYLEA HD's and EYLEA's respective indications, including those that act by blocking VEGF and VEGF receptors (including therapies designed to extend the treatment interval) and/or other targets.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EYLEA HD was launched in August 2023 and entered the highly competitive environment described above. Our success in commercializing EYLEA HD will continue to depend on a number of factors, including the degree of success of our uptake efforts as compared to those of relevant competition, the extent to which we and our collaborators are able to differentiate EYLEA HD from competitive products (such as on the basis of dosing frequency, the method of administration, or the breadth of indications in which the product is approved), the safety and efficacy of EYLEA HD seen in a broader patient group (i.e., real-world use), the extent of payor coverage, reimbursement, and copay assistance, and the applicability of any restrictions imposed by payors, such as step therapy.</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Dupixent</w:t>
      </w:r>
      <w:r>
        <w:rPr>
          <w:rFonts w:ascii="Times New Roman" w:cs="Times New Roman" w:eastAsia="Times New Roman" w:hAnsi="Times New Roman"/>
          <w:sz w:val="18"/>
          <w:szCs w:val="18"/>
          <w:color w:val="auto"/>
        </w:rPr>
        <w:t>. The market for Dupixent's current and potential future indications is also increasingly competitive. There are systemic JAK inhibitors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antibodies against IL-13 and IL-4Ra approved or in development for atopic dermatitis. There is also an antibody against IL-31R approved for atopic dermatitis and prurigo nodularis. In addition, a number of companies are developing antibodies against other targets, including OX40(L), that may compete with Dupixent in atopic dermatitis and other indications (including asthma and/or prurigo nodularis). In asthma, competitors to Dupixent include antibodies against the IL-5 ligand or the IL-5 receptor, immunoglobulin E, or thymic stromal lymphopoietin ("TSLP"); and some of these antibodies are either approved or in development for indications that also compete or may compete in the future with Dupixent in CRSwNP, EoE, COPD, and CSU where approved. There are several other potentially competitive products in development that may compete with Dupixent in asthma, COPD, and potential future indications, including antibodies against the IL-33 ligand or receptor. Dupixent also faces competition from a Bruton tyrosine kinase inhibitor in CSU and may in the future face competition from inhaled products in asthma, COPD, and potential future indications.</w:t>
      </w:r>
    </w:p>
    <w:p>
      <w:pPr>
        <w:spacing w:after="0" w:line="12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i w:val="1"/>
          <w:iCs w:val="1"/>
          <w:color w:val="auto"/>
        </w:rPr>
        <w:t xml:space="preserve">Libtayo. </w:t>
      </w:r>
      <w:r>
        <w:rPr>
          <w:rFonts w:ascii="Times New Roman" w:cs="Times New Roman" w:eastAsia="Times New Roman" w:hAnsi="Times New Roman"/>
          <w:sz w:val="18"/>
          <w:szCs w:val="18"/>
          <w:color w:val="auto"/>
        </w:rPr>
        <w:t>Libtayo also faces significant competition. There are several competitors that are marketing and/or developing antibodies against PD-1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PDL-1 (some of which were approved in the relevant indications and commercialized before Libtayo), including Merck's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 Bristol-Myers Squibb's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(nivolumab), Roche's Tecentriq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(atezolizumab), AstraZeneca's Imfinzi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(durvalumab), and Sun Pharma's Unloxcyt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(cosibelimab). While Libtayo is currently approved for intravenous administration only, certain of these products are also approved or in development for subcutaneous use.</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marketed products. </w:t>
      </w:r>
      <w:r>
        <w:rPr>
          <w:rFonts w:ascii="Times New Roman" w:cs="Times New Roman" w:eastAsia="Times New Roman" w:hAnsi="Times New Roman"/>
          <w:sz w:val="18"/>
          <w:szCs w:val="18"/>
          <w:color w:val="auto"/>
        </w:rPr>
        <w:t>There is also significant actual and potential future competition for other products marketed or otherwise commercialized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our collaborators under our collaboration agreements with them. For example, Lynozyfic faces significant actual and potential future competition from other bispecific antibodies and CAR-T cell therapies targeting BCMA, GPRC5D, and/or other targets that are currently approved or in development for the treatment of relapsed/refractory multiple myeloma. In addition, there are several companies that are marketing and/or developing antibodies or other molecules (such as small interfering RNA molecules, or siRNAs, and oral small molecules) against PCSK9, ANGPTL3 and IL-6 and/or IL-6R, which currently (or, for product candidates in development, may in the future if approved) treat the same conditions as Praluent, Evkeeza, and Kevzara,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Candidates</w:t>
      </w:r>
    </w:p>
    <w:p>
      <w:pPr>
        <w:spacing w:after="0" w:line="1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CAR-T cell, and gene therapy technologies. For example, we are aware of other pharmaceutical and biotechnology companies actively engaged in the research and development of antibody-based products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(including bispecific antibodies, multispecific antibodies, and/or antibody-drug conjugates) and gene therapy-based products against targets that are also the targets of our early- and late-stage product candidates. 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pharmaceutical products, we may not be the first to obtain marketing approval for a product against any particular target, which may have a material adverse effect on our business or future prospects. While we evaluate market opportunities for our product candidates, there can be no assurance that our estimates will accurately reflect the market opportunity at the time of launch or that our product candidates will meet internal or external expectations and be successful commercially due to existing or potential future competition or otherwise.</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increasing competition from Chinese biotechnology and pharmaceutical companies, including Chinese state-owned or state-backed enterprises, with respect to both our marketed products and product candidates. China has become one of the world's leading developers of new drugs, and Chinese companies benefit from a regulatory regime that enables rapid, low-cost clinical trials that facilitate innovation. Furthermore, we compete with other large pharmaceutical companies, many of which have invested significantly in China, in acquiring or licensing Chinese product candidates, and we may not be as successful as our competitors in identifying or accessing such assets.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collaborations with Bayer and Sanofi for commercializing some of our marketed products.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HD and EYLEA in the United States for its currently approved indications, we have no sales, marketing, commercial, or distribution capabilities for EYLEA HD 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for sales, marketing, and distribution of EYLEA HD and EYLEA outside the United States.</w:t>
      </w:r>
    </w:p>
    <w:p>
      <w:pPr>
        <w:spacing w:after="0" w:line="1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under the terms of our Antibody Collaboration, we and Sanofi co-commercialize Dupixent in the United States and, as further discussed below, certain jurisdictions outside the United States. As a result, we rely in part on Sanofi's sales and marketing organization for Dupixent. If we and Sanofi fail to coordinate our sales and marketing efforts effectively, sales of Dupixent may be materially adversely affected. Sanofi also maintains other important responsibilities relating to Dupixent. For example, Sanofi records product sales for Dupixent in the United States and leads negotiations with payors relating to this product. We also rely on Sanofi for sales, marketing, and distribution of Dupixent in many countries outside the United States. While we exercised our option under the Antibody Collaboration to co-commercialize Dupixent in certain jurisdictions outside the United States, we continue to rely in considerable part on Sanofi's sales and marketing organization in such jurisdictions. As described in Note 16 to our Consolidated Financial Statements included in this report, we have sued Sanofi and certain of its affiliated entities (the "Antibody Collaboration Litigation") alleging that the defendants breached certain provisions of the agreement governing the Antibody Collaboration (the "Collaboration Agreement"). These provisions concern Sanofi's obligation to provide Regeneron with full access to material information relating to the commercialization of Dupixent or other products commercialized pursuant to the Collaboration Agreement and Regeneron's audit rights under the Collaboration Agreement. It is not possible to determine what impact (if any) the Antibody Collaboration Litigation may have on the Antibody Collaboration and our business relationship with Sanofi, or whether we will be successful in the Antibody Collaboration Litigation.</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While we have some commercial presence outside the United States, our commercial capabilities outside the United States are still limited and would need to be further developed or outsourced. Therefore, termination of the Bayer collaboration agreement or our Antibody Collaboration with Sanofi would create substantial new and additional risks to the successful commercialization of the applicable products, particularly outside the United States. For additional information regarding our collaborations with Bayer and Sanofi, see "Risks Related to Our Reliance on or Transactions with Third Parties - </w:t>
      </w:r>
      <w:r>
        <w:rPr>
          <w:rFonts w:ascii="Times New Roman" w:cs="Times New Roman" w:eastAsia="Times New Roman" w:hAnsi="Times New Roman"/>
          <w:sz w:val="18"/>
          <w:szCs w:val="18"/>
          <w:i w:val="1"/>
          <w:iCs w:val="1"/>
          <w:color w:val="auto"/>
        </w:rPr>
        <w:t>If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r>
        <w:rPr>
          <w:rFonts w:ascii="Times New Roman" w:cs="Times New Roman" w:eastAsia="Times New Roman" w:hAnsi="Times New Roman"/>
          <w:sz w:val="18"/>
          <w:szCs w:val="18"/>
          <w:color w:val="auto"/>
        </w:rPr>
        <w:t>" below and "Risks Related to Our Reliance on or Transactions with Third Parties -</w:t>
      </w:r>
      <w:r>
        <w:rPr>
          <w:rFonts w:ascii="Times New Roman" w:cs="Times New Roman" w:eastAsia="Times New Roman" w:hAnsi="Times New Roman"/>
          <w:sz w:val="18"/>
          <w:szCs w:val="18"/>
          <w:i w:val="1"/>
          <w:iCs w:val="1"/>
          <w:color w:val="auto"/>
        </w:rPr>
        <w:t xml:space="preserve"> If our Antibody Collaboration with Sanofi is terminated, or Sanofi materially breaches its obligations thereunder, our business, prospects, operating results, and financial condition, and our ability to</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 manufacture, and commercialize certain of our products and product candidates in the time expected, or at all, may be materially harmed</w:t>
      </w:r>
      <w:r>
        <w:rPr>
          <w:rFonts w:ascii="Times New Roman" w:cs="Times New Roman" w:eastAsia="Times New Roman" w:hAnsi="Times New Roman"/>
          <w:sz w:val="18"/>
          <w:szCs w:val="18"/>
          <w:color w:val="auto"/>
        </w:rPr>
        <w:t>" below.</w:t>
      </w:r>
    </w:p>
    <w:p>
      <w:pPr>
        <w:spacing w:after="0" w:line="1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tax rates, or national regulation of prices. Under our arrangement with Bayer, pricing and reimbursement for EYLEA HD and EYLEA outside the United States are the responsibility of Bayer. Similarly, under our Antibody Collaboration with Sanofi, pricing and reimbursement for the products commercialized or co-commercialized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and, as discussed above under "</w:t>
      </w:r>
      <w:r>
        <w:rPr>
          <w:rFonts w:ascii="Times New Roman" w:cs="Times New Roman" w:eastAsia="Times New Roman" w:hAnsi="Times New Roman"/>
          <w:sz w:val="18"/>
          <w:szCs w:val="18"/>
          <w:i w:val="1"/>
          <w:iCs w:val="1"/>
          <w:color w:val="auto"/>
        </w:rPr>
        <w:t>Product reimbursement and coverage policies and practices, pricing regulations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and our pricing strategy could change due to various factors beyond our control, which may adversely impact our business, prospects, operating results, and financial condition,</w:t>
      </w:r>
      <w:r>
        <w:rPr>
          <w:rFonts w:ascii="Times New Roman" w:cs="Times New Roman" w:eastAsia="Times New Roman" w:hAnsi="Times New Roman"/>
          <w:sz w:val="18"/>
          <w:szCs w:val="18"/>
          <w:color w:val="auto"/>
        </w:rPr>
        <w:t>" an executive order from April 2025 directed the Secretary of the HHS to take appropriate steps to facilitate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importation at the state level. If such or other similar proposals were to be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11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the ability of our Company, our collaborators, or other third parties on which we rely (as applicable)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In addition, we may need to further develop or acquire these capabilities as we and/or our collaborators continue to pursue the development of drugs generated by means other than our established "Trap" or </w:t>
      </w:r>
      <w:r>
        <w:rPr>
          <w:rFonts w:ascii="Times New Roman" w:cs="Times New Roman" w:eastAsia="Times New Roman" w:hAnsi="Times New Roman"/>
          <w:sz w:val="18"/>
          <w:szCs w:val="18"/>
          <w:i w:val="1"/>
          <w:iCs w:val="1"/>
          <w:color w:val="auto"/>
        </w:rPr>
        <w:t xml:space="preserve">VelociSuite </w:t>
      </w:r>
      <w:r>
        <w:rPr>
          <w:rFonts w:ascii="Times New Roman" w:cs="Times New Roman" w:eastAsia="Times New Roman" w:hAnsi="Times New Roman"/>
          <w:sz w:val="18"/>
          <w:szCs w:val="18"/>
          <w:color w:val="auto"/>
        </w:rPr>
        <w:t>technologies, such as siRNA gene silencing, genome editing, and targeted viral-based gene delivery and expression. Even if we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marketed products and product candidates are typically delivered either by intravenous infusion or by intravitreal or subcutaneous injections. These methods of administration are generally disfavored by patients when compared to tablet or capsule delivery, which could adversely affect the commercial success of such marketed products or, if they receive marketing approval, product candidates.</w:t>
      </w:r>
    </w:p>
    <w:p>
      <w:pPr>
        <w:spacing w:after="0" w:line="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sell our marketed products for which we record net product sales in the United States to several distributors and specialty pharmacies, as applicable (collectively, "distributor customers"), which generally sell the product directly to healthcare providers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or other pharmacies (as applicable). For the years ended December 31, 2025 and 2024, our product sales to two distributor customers accounted on a combined basis for 77% and 74% of our total gross product revenue, respectively. We expect significant distributor customer concentration to continue for the foreseeable future. Our ability to generate and grow sales of our products will depend, in part, on the extent to which our distributor customers are able to provide adequate distribution of our products to healthcare providers. Although we believe we can find additional distributors, if necessary, our revenue during any period of disruption could suffer and we might incur additional costs. In addition, these distributor customers are responsible for a significant portion of our net trade accounts receivable balances. The loss of any large distributor customer, a significant reduction in sales we make to them, any cancellation of orders they have made with us, or any failure to pay for the products we have shipped to them could adversely affect our results of operations. Commercialization of any of our marketed products may also be adversely impacted by vertical integration of private payor healthcare and insurance programs, health maintenance organizations, and PBMs, or further consolidation among the healthcare providers served or operated by our distributor customers if, for example, one or more consolidated groups of healthcare providers determines not to use (or decides to switch from) such marketed product in favor of a competing product. See also "</w:t>
      </w:r>
      <w:r>
        <w:rPr>
          <w:rFonts w:ascii="Times New Roman" w:cs="Times New Roman" w:eastAsia="Times New Roman" w:hAnsi="Times New Roman"/>
          <w:sz w:val="18"/>
          <w:szCs w:val="18"/>
          <w:i w:val="1"/>
          <w:iCs w:val="1"/>
          <w:color w:val="auto"/>
        </w:rPr>
        <w:t>The commercial success of our products and product candidates is subject to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competition - </w:t>
      </w:r>
      <w:r>
        <w:rPr>
          <w:rFonts w:ascii="Times New Roman" w:cs="Times New Roman" w:eastAsia="Times New Roman" w:hAnsi="Times New Roman"/>
          <w:sz w:val="18"/>
          <w:szCs w:val="18"/>
          <w:color w:val="auto"/>
        </w:rPr>
        <w:t>Marketed Products" above.</w:t>
      </w:r>
    </w:p>
    <w:p>
      <w:pPr>
        <w:spacing w:after="0" w:line="10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sufficient commercial capabilities outside the United States for products we intend to commercialize or co-commercialize outside the United States, our business, prospects, operating results, and financial condition may be adversely affected.</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have made progress with establishing commercial capabilities in certain jurisdictions outside the United States in recent years (primarily in connection with our acquisition of the worldwide rights to Libtayo in 2022 and the exercise of our option under the Antibody Collaboration to co-commercialize Dupixent in certain jurisdictions outside the United States), our commercial capabilities and experience with commercializing products outside the United States (as well as obtaining and/or maintaining regulatory approvals and securing pricing and reimbursement for our products outside the United States) are still somewhat limited. There may be other circumstances in which we need to establish further commercial capabilities outside the United States, including because we decide to commercialize other products independently (such as Lynozyfic and Ordspono, which we recently launched in the EU); we are unable to find an appropriate collaborator; or an existing collaborator decides to opt out or breaches its obligations to us with respect to a particular product.</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commercialize or co-commercialize any products outside the United States beyond what we have done so far, we must build or enhance our sales, marketing, distribution, regulatory, managerial, and other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 successfully develop requisite commercial capabilities outside the United States within an acceptable time frame, without incurring substantial expenses, or at all. These and other difficulties relating to commercializing our products outside the United States may harm our business, prospects, operating results, and financial condition.</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and biologic products is costly, time-consuming, and highly uncertain. If we or our collaborators do not maintain regulatory approval for our marketed products, or obtain regulatory approval for our product candidates, we will not be able to market or sell them; and if we do not obtain approvals for new indications for our marketed products, we may not be able to realize the full commercial potential of such products. Any of the foregoing may materially and negatively impact our business, prospects, operating results, and financial condition.</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or other authorization. If we or our collaborators do not maintain regulatory approval for our marketed products, or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we (which, for purposes of this risk factor, includes our collaborators, unless otherwise stated or required by the context) must obtain and maintain approval from the FDA for each drug and biologic we intend to sell. We must obtain and maintain similar regulatory approvals from comparable foreign regulatory authorities in order to sell drugs and biologics outside the United States. Obtaining FDA or comparable foreign regulatory authority approval for a new drug or biologic or indication is typically a lengthy and expensive process, and approval is highly uncertain. We cannot predict with certainty if or when we might submit for regulatory approval for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in the United States, the FDA may determine that a REMS is necessary to ensure that the benefits of a new product outweigh its risks, and the product can therefore be approved. A REMS may include various elements, ranging from a medication guide or patient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package insert to limitations on who may prescribe or dispense the drug or biologic, depending on what the FDA considers necessary for the safe use of the drug or biologic.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from us an application for review or approve our application, it may require that we conduct additional clinical, preclinical, or manufacturing validation studies or additional analyses of data from existing studies and submit the data before it will reconsider our application. Depending on the extent of these or any other studies or analyses that might be required, approval of any applications that we submit may be delayed significantly, or we may be required to expend considerably more resources. Any such additional studies or analyses, if performed and completed, may not be considered sufficient by the FDA to make our applications approvable. If any of these outcomes occur, we may be forced to delay or abandon applications for approval. For example, in October 2023, the FDA issued a CRL for the sBLA for Dupixent in CSU stating that additional efficacy data were required to support an approval, which delayed by nearly 18 months the FDA's April 2025 approval of Dupixent in this indication.</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for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or product labeling updates for such companion diagnostics, which could negatively impact regulatory approval of our product candidates or may result in increased development costs or delays.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The FDA has the explicit authority to require post-marketing studies (also referred to as post-approval studies), labeling changes based on new safety information, and compliance with FDA-approved REMS.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jurisdictions outside the United States.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and biologics includes standard review and priority review. While the FDA has performance goals that provide for action on NDA and BLA submissions by certain deadlines, the FDA's review goals are subject to change and the duration of the FDA's review depends on a number of factors, including the number and types of other applications that are submitted to the FDA around the same time period or are pending. The FDA's review of our regulatory submissions has in the past been delayed, and may be delayed in the future, due to the FDA's request for additional information or for other reasons, including those beyond our control (such as the 2025 reduction and any future reductions of staffing or other resources at the FDA, as discussed further below).</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functioning of the FDA is affected by a variety of factors, such as shifting government priorities, budgets and funding levels, authorization and payment of user fees, the ability to hire and retain key personnel, as well as other statutory, regulatory, and policy changes impacting HHS, the FDA, or other HHS agencies. U.S. policy changes have recently been implemented at a rapid pace, and additional changes may occur. For example, efforts implemented or commenced in 2025 to reduce the size and budgets of U.S. government agencies, downsize the federal workforce, and restructure parts of the executive branch of the federal government have directly or indirectly impacted agencies that support research and development activities or are otherwise important to our business, including the HHS and the FDA. If legislation, administrative action, or changes in policy prevent the FDA or other regulatory authorities from conducting routine inspections, reviews, or other regulatory activities, it could significantly impact the ability of the FDA to provide feedback on our clinical programs, meet with or engage in other informal interactions with us, and review and process our regulatory submissions (including our pending regulatory submissions) in a timely manner. These developments may also reduce the FDA's capacity to engage in pre-approval or guidance meetings or meetings to negotiate labeling or post-marketing commitments. Furthermore, changes in FDA personnel and policy (such as the 2025 reductions in communication and policymaking roles) may negatively impact the transparency of agency actions, lead to modifications in FDA approval requirements, and alter the FDA's existing guidance pertinent to the development strategy for our products and product candidates. In addition, the U.S. government has shut down multiple times in the recent past and certain regulatory agencies, such as the FDA, had to furlough employees and stop some of their activities. A prolonged government shutdown or a widespread freeze on federal funding could significantly impact the ability of the FDA to timely review and process our regulatory submissions or cause other agencies that support the FDA to slow their work. Any such factors could have a material adverse effect on our business.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believe we meet eligibility requirements, we may apply for various regulatory incentives in the United States, such as breakthrough therapy designation, fast track designation, accelerated approval, priority review, or the Commissioner's National Priority Voucher (CNPV) program, where potentially available, that serve to expedite drug development and/or review, and we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may also seek similar designations elsewhere in the world. Often, regulatory agencies have broad discretion in determining whether or not product candidates qualify for such regulatory incentives and benefits, and we may fail to obtain beneficial regulatory designations from the FDA or other regulatory agencies. Even if obtained, such designations may not result in faster development processes, reviews, or approvals compared to drugs or biologics considered for approval under conventional FDA procedures. In addition, the FDA may later decide that any of our development programs no longer meets the conditions for a beneficial regulatory designation (including due to factors beyond our control, such as intervening competitive developments) or decide that the time period for FDA review or approval will not be shortened. FDA guidance relating to accelerated approval of oncology therapeutics indicates that a confirmatory trial for a particular oncology product candidate should be underway when the related marketing application is submitted to the FDA and also states that the FDA may require that a confirmatory trial for a particular oncology product candidate be well underway, if not fully enrolled, by the time of the accelerated approval action. Application of this guidance and related rules to our product candidates may result in a delay of the FDA review and approval process despite any earlier beneficial regulatory designation such product candidates may have received. For example, in March 2024, the FDA issued CRLs concerning our BLA for odronextamab for the treatment of relapsed/refractory FL and DLBCL due to the enrollment status of confirmatory Phase 3 trials, which, along with the July 2025 CRL discussed below, has delayed any potential FDA approval of odronextamab.</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and comparable foreign regulatory authorities enforce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drugs and biological products and their facilities are subject to payment of substantial user fees and continual review and periodic inspections by the FDA and other regulatory authorities for compliance with cGMP regulations and adherence to any commitments made in the applicable NDA or BLA. These cGMP requirements and regulations are not prescriptive instructions on how to manufacture products, but rather a series of principles that must be observed during manufacturing; as a result, the manner in which such principles are implemented may not be specifically delineated, which can be challenging as the FDA and comparable foreign regulatory authorities increasingly scrutinize compliance with these requirements and regulations. As a result,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We have recently received several CRLs from the FDA for regulatory submissions concerning our products or product candidates due to the FDA's findings from inspections at third-party manufacturers responsible for filling drug product. These include the July 2025 CRL concerning the BLA for odronextamab in relapsed/refractory FL, which has delayed further any potential FDA approval of odronextamab in this indication; and the October 2025 CRL concerning our regulatory application seeking approval of the EYLEA HD pre-filled syringe (as discussed in Part I, Item 1. "Business - Programs in Clinical Development - Additional Information - Clinical Development Programs - EYLEA HD"), which has delayed further any potential FDA approval of the EYLEA HD pre-filled syringe. For additional information, see "Risks Related to Manufacturing and Supply - </w:t>
      </w:r>
      <w:r>
        <w:rPr>
          <w:rFonts w:ascii="Times New Roman" w:cs="Times New Roman" w:eastAsia="Times New Roman" w:hAnsi="Times New Roman"/>
          <w:sz w:val="18"/>
          <w:szCs w:val="18"/>
          <w:i w:val="1"/>
          <w:iCs w:val="1"/>
          <w:color w:val="auto"/>
        </w:rPr>
        <w:t>Our or our collaborators' or contract manufacturers' failure to meet the stringent requirements of governmental regulation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Our business, prospects, operating results, and financial condition may be materially harmed as a result of noncompliance with the requirements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described in this paragraph.</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NDA, BLA, or foreign equivalent is obligated to monitor and report adverse events and any failure of a product to meet the specifications in the application. The holder of an approved NDA, BLA, or foreign equivalent must also submit new or supplemental applications and obtain FDA or other regulatory approval for certain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jurisdictions outside the U.S. grant similar powers to the competent authorities and impose similar obligations on companies.</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and commercial sale and distribution of drugs and biologics in jurisdictions outside the United States. The foreign regulatory approval process is similarly a lengthy and expensive process, the result of which is highly uncertain, and foreign regulatory requirements generally include the risks associated with FDA approval as well as jurisdiction-specific regulations. We and our collaborators must maintain regulatory compliance for the products we or they commercialize in jurisdictions outside the United States. From time to time, we may hold a product's marketing approval in a jurisdiction outside the United States where we have less experience and where our regulatory capabilities are more limited; for example, this is now the case for Libtayo in many jurisdictions outside the United States (including Europe and Japan) due to the transition under the Amended and Restated Immuno-oncology License and Collaboration Agreement with Sanofi. In addition, actions by a regulatory agency in a country or region with respect to a product candidate may have an impact on the approval process for that product candidate in another country or region. Foreign regulatory authorities may ask for additional data in order to begin a clinical study, including Phase 3 clinical trials required to submit an MAA in the EU. In addition, such authorities often have the authority to require post-approval studies, such as a PASS and/or a PAES, which involve various risks similar to those described above. Whether or not we obtain FDA approval for a product in the United States, we must obtain approval of the product by the comparable regulatory authorities in jurisdictions outside the United States before we can market that product or any other product in those jurisdictions.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we are subject to extensive pharmacovigilance reporting and other pharmacovigilance requirements, which may differ in the numerous jurisdictions in which we conduct clinical trials or commercialize a product. Failure to comply with any such requirements may result in the premature closure of the clinical trials and other enforcement actions by the relevant regulatory authorities. For example, if we do not manage to retain a QPPV, to maintain a PSMF, or to comply with other pharmacovigilance obligations in the EEA, our clinical trials may be closed prematurely, our marketing authorization may be suspended, and we may be subject to other enforcement actions by the national competent authorities of the EEA or the EC.</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GLPs or GCPs. Certain of these risks may be exacerbated as we pursue development of drugs generated by means other than our established "Trap" or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such as siRNA gene silencing, genome editing, and targeted viral-based gene delivery and expression. A clinical trial may also fail because the dose(s) of the investigational drug included in the trial were either too low or too high to determine the optimal effect of the investigational drug in the disease setting.</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conducting clinical trials in countries outside the United States presents additional risks, including political and economic risks that are not present in the United States, such as armed conflict and economic embargoes or boycotts. For example, we and our collaborators are currently conducting and may in the future conduct or initiate clinical trials with sites in Russia, Ukraine, and/or Israel. While we currently do not expect the Russia-Ukraine or Hamas-Israel armed conflict or related developments to have a significant impact on our ability to obtain results from clinical trials conducted by us or our collaborators, further escalation (whether in these countries or surrounding areas) may adversely affect our ability to adequately conduct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other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such countries and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surrounding regions. Clinical trial sites may suspend or terminate the trials being conducted and patients could be forced to evacuate or choose to relocate, making them unavailable for initial or further participation in such trials. Alternative sites in these areas may not be available and we may need to find other countries to conduct the relevant trials. Furthermore, military action may prevent the FDA or other regulatory agencies from inspecting clinical sites in these countries. Such interruptions may delay our plans for clinical development and approvals for our product candidates.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an increasing number of our products and product candidates (including Libtayo) are being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research and development activities are conducted at our existing facilities primarily located in Tarrytown, New York. As we continue to expand, we may lease, operate, purchase, or construct additional facilities to expand our research and development capabilities in the future. Expanding our research and laboratory facilities may require significant time and resources. Further, we may be unable to pursue our research and development efforts if the relevant facility were to cease operations due to fire, climate change, natural disasters, acts of war or terrorism, or other disruptions. Any related delays may interfere with our research and development efforts and our business may be adversely impacted.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had been obtained in earlier trials. For example, in May 2025, we and Sanofi announced that one of two Phase 3 trials evaluating itepekimab in adults who were former smokers with inadequately controlled COPD did not meet its primary endpoint, as further described under Part I, Item 1. "Business - Programs in Clinical Development - Additional Information - Clinical Development Programs - Itepekimab." In a number of instances, we have terminated the development of product candidates due to a lack of or only modest effectiveness and/or safety concerns, and clinical trials evaluating our product candidates have failed to meet the relevant endpoints. Moreover, even if we obtain positive results from preclinical testing or clinical trials, we may not achieve the same success in future trials, or the FDA and analogous foreign regulatory authorities may deem the results insufficient for an approval. If concerns arise about the safety of a product candidate or non-compliance with the protocol or applicable regulatory requirements, the FDA or other regulatory authorities can delay or suspend a clinical trial by placing it on a full or partial "clinical hold" pending receipt of additional data or the satisfaction of other conditions. A clinical hold may require us to spend significant resources to address the underlying causes of the clinical hold and may result in a delay in the clinical program, which may be significant. In addition, if we are not able to successfully address such underlying causes or our response is not deemed adequate to lift the clinical hold, the clinical program may have to be terminated. Furthermore, changes in FDA personnel may alter the FDA's advice with respect to our development strategy and lead to delays or rejections of our clinical trial protocols or data. Any such clinical program delays or terminations may adversely affect our business.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or complex clinical programs (including those evaluating combination therapies),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with respect to EYLEA HD and EYLEA, there are many potential safety concerns associated with significant blockade of VEGF, as well as risks inherent in their intravitreal administration. While the safety of EYLEA HD was similar to EYLEA in clinical trials, it is possible that the use of EYLEA HD outside the clinical trial setting in a broader patient group (i.e., real-world use) may yield different outcomes or patient experiences. In addition, there are risks inherent in subcutaneous injections (which are used for administering most of our antibody-based products and product candidates, such as Dupixent) and intravenous administration (which is used for some of our other antibody-based products and product candidates, such as Libtayo). Some of our marketed products, such as Dupixent and Libtayo, are being studied in additional indications, as shown in the table under Part I, Item 1. "Business - Programs in Clinical Development." There is no guarantee that the safety data from these trials will be consistent with the known safety profiles of these products or that regulatory approval of any of these additional indications will be successfully obtained. Commercialization of our other products and potential future commercialization of our product candidates may also be impacted by actions of third parties on which we rely, such as manufacturers of syringes or other devices used in the administration of our products. These and other complications or issues or side effects could harm further development and/or commercialization of our products and product candidates.</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and in the EU, EYLEA HD is approved in the 8 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The FDA has substantial discretion in the approval process and may either refuse to accept an application for substantive review or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may form the opinion after review of an application that the application is insufficient to allow approval of a drug-delivery device. For example, in October 2025, the FDA issued a CRL for the regulatory application seeking approval of the EYLEA HD pre-filled syringe, which has delayed further any potential FDA approval of the EYLEA HD pre-filled syringe. There can be no assurance that FDA approval of the EYLEA HD pre-filled syringe will be obtained in the currently anticipated time frame or at all. See Part I, Item 1. "Business - Programs in Clinical Development - Additional Information - Clinical Development Programs - EYLEA HD" for more information.</w:t>
      </w:r>
    </w:p>
    <w:p>
      <w:pPr>
        <w:spacing w:after="0" w:line="1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subsection, references to our intellectual property (including patents, trademarks, copyrights, and trade secrets) include that of our collaborators and licensees, unless otherwise stated or required by the context.</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Our ability to protect our trade secrets may be impaired by a number of risks and uncertainties, including those discussed under "Other Regulatory and Litigation Risks - </w:t>
      </w:r>
      <w:r>
        <w:rPr>
          <w:rFonts w:ascii="Times New Roman" w:cs="Times New Roman" w:eastAsia="Times New Roman" w:hAnsi="Times New Roman"/>
          <w:sz w:val="18"/>
          <w:szCs w:val="18"/>
          <w:i w:val="1"/>
          <w:iCs w:val="1"/>
          <w:color w:val="auto"/>
        </w:rPr>
        <w:t>The use of social media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platforms could give rise to liability, breaches of data security and privacy laws, or reputational damage</w:t>
      </w:r>
      <w:r>
        <w:rPr>
          <w:rFonts w:ascii="Times New Roman" w:cs="Times New Roman" w:eastAsia="Times New Roman" w:hAnsi="Times New Roman"/>
          <w:sz w:val="18"/>
          <w:szCs w:val="18"/>
          <w:color w:val="auto"/>
        </w:rPr>
        <w:t>," "Other Regulatory and Litigation Risks -</w:t>
      </w:r>
      <w:r>
        <w:rPr>
          <w:rFonts w:ascii="Times New Roman" w:cs="Times New Roman" w:eastAsia="Times New Roman" w:hAnsi="Times New Roman"/>
          <w:sz w:val="18"/>
          <w:szCs w:val="18"/>
          <w:i w:val="1"/>
          <w:iCs w:val="1"/>
          <w:color w:val="auto"/>
        </w:rPr>
        <w:t xml:space="preserve"> There are inherent risks related to our increasing use of artificial intelligence-based solutions</w:t>
      </w:r>
      <w:r>
        <w:rPr>
          <w:rFonts w:ascii="Times New Roman" w:cs="Times New Roman" w:eastAsia="Times New Roman" w:hAnsi="Times New Roman"/>
          <w:sz w:val="18"/>
          <w:szCs w:val="18"/>
          <w:color w:val="auto"/>
        </w:rPr>
        <w:t>," and "Other Risks Related to Our Business -</w:t>
      </w:r>
      <w:r>
        <w:rPr>
          <w:rFonts w:ascii="Times New Roman" w:cs="Times New Roman" w:eastAsia="Times New Roman" w:hAnsi="Times New Roman"/>
          <w:sz w:val="18"/>
          <w:szCs w:val="18"/>
          <w:i w:val="1"/>
          <w:iCs w:val="1"/>
          <w:color w:val="auto"/>
        </w:rPr>
        <w:t xml:space="preserve"> Significant disruptions of information technology systems or breaches of data security could adversely affect our business</w:t>
      </w:r>
      <w:r>
        <w:rPr>
          <w:rFonts w:ascii="Times New Roman" w:cs="Times New Roman" w:eastAsia="Times New Roman" w:hAnsi="Times New Roman"/>
          <w:sz w:val="18"/>
          <w:szCs w:val="18"/>
          <w:color w:val="auto"/>
        </w:rPr>
        <w:t>" below. We will be able to protect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For example, certain of our U.S. patents (including those pertaining to our key products, such as EYLEA HD and EYLEA) have been and may in the future be challenged by parties who file a request for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under the America Invents Act of 2011 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(see Note 16 to our Consolidated Financial Statements included in this report for additional information). Post-grant proceedings are increasingly common in the United States and are costly to defend. In addition, patent applications filed outside the United States may be challenged by other parties, for example, by filing pre-grant third-party observations that argue against patentability or a post-grant opposition. Such opposition proceedings are increasingly common in Europe and are costly to defend. For example, certain of our European patents, including those pertaining to EYLEA and Dupixent, are subject to opposition proceedings before the European Patent Office (the "EPO") and/or patent offices of various European countries (see Note 16 to our Consolidated Financial Statements included in this report for additional information). We have pending patent applications in the United States Patent and Trademark Office (the "USPTO"), the EPO, and the patent offices of other foreign jurisdictions, and it is likely that we will need to defend patents from challenges by others from time to time in the future. Our patent rights may not provide us with a proprietary position or competitive advantages against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competitors. Furthermore, even if the outcome is favorable to us, the enforcement of our intellectual property rights can be extremely expensive and time consuming.</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We cannot be certain that our intellectual property rights related to any current or future product or product candidate or technology would not be eliminated, narrowed, or weakened by any such change or other rulemaking.</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United States' and other government actions related to Russia's invasion of Ukraine may limit or prevent filing, prosecution, and maintenance of patent applications in Russia. These actions could result in abandonment or lapse of our patents or patent applications, resulting in partial or complete loss of patent rights in Russia. Further, a decree was adopted by the Russian government in March 2022, allowing Russian companies and individuals to exploit inventions owned by patent holders from the United States without consent or compensation. Consequently, we are not able to prevent third parties from practicing our inventions in Russia or from selling or importing products made using our inventions in and into Russia.</w:t>
      </w:r>
    </w:p>
    <w:p>
      <w:pPr>
        <w:spacing w:after="0" w:line="11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As a result, if we are unable to prevent third parties from adopting, registering, or using trademarks that infringe, dilute or otherwise violate our trademark rights, our business could be adversely affected.</w:t>
      </w:r>
    </w:p>
    <w:p>
      <w:pPr>
        <w:spacing w:after="0" w:line="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are currently party to patent infringement and other proceedings relating to EYLEA, as described in Note 16 to our Consolidated Financial Statements included in this report.</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product candidates infringe any valid claim in these patents or patent applications, these other parties could initiate lawsuits for patent infringement and assert that their patents are valid and cover our products or our late-stage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For example, in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The failure to obtain any such license could prevent us from developing or commercializing any one or more of our products or product candidates, which could severely harm our business.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other parties may have regulatory exclusivity in the United States or foreign jurisdictions for products relating to targets or conditions we are also pursuing, which could prevent or delay our ability to apply for or obtain regulatory approval for our product candidates in such jurisdictions. For example, under the Orphan Drug Act in the United States, if a product candidate with an orphan drug designation subsequently receives FDA approval for indication(s) within the scope of such designation, the product will be entitled to orphan drug exclusivity for such indication(s), barring the FDA from approving for seven years in such approved indication(s) another sponsor's application for a product candidate considered under the FDA regulations to be the same drug as the previously-approved drug with orphan drug exclusivity. This orphan drug exclusivity does not block approval of competing products intended for the orphan exclusivity-protected indication but containing a different active moiety or principal molecular structure, or containing the same active moiety or principal molecular structure but intended for a different indication. Similarly, in the EU, a designated orphan drug is provided up to 10 years of market exclusivity in the orphan indication, during which time the EMA is generally precluded from accepting a MAA for a similar medicinal product. In both the United States and the EU, if a sponsor can demonstrate that a new product is safer, more effective, or otherwise clinically superior to the original orphan product, orphan exclusivity will not bar approval of the new product.</w:t>
      </w:r>
    </w:p>
    <w:p>
      <w:pPr>
        <w:spacing w:after="0" w:line="12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regulatory pathways for biosimilar competition, have in the past reduced and could reduce in the future the duration of market exclusivity for our products.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or biosimilar versions of a product are approved and marketed, there usually are very substantial and rapid declines in the product's sales.</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the scope and enforceability of our patent rights may vary from country to country. The failure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PPACA, there is an abbreviated path in the United States for regulatory approval of products that are demonstrated to be "biosimilar" or "interchangeable" with an FDA-approved biological product. The PPACA provides a regulatory mechanism that allows for FDA approval of biologics that are similar to innovative biologics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 A number of jurisdictions outside the United States (such as the EU) have also established abbreviated pathways for regulatory approval of biological products that are biosimilar to earlier versions of biological products.</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increased likelihood of generic and biosimilar competition has exacerbated the risk of loss of innovators' market exclusivity. It is also not possible to predict changes in United States regulatory law that might reduce drug or biological product regulatory exclusivity. Due to this risk, and uncertainties regarding patent protection, the length of market exclusivity for any particular product we currently or may in the future commercialize is inherently uncertain. Biosimilar versions of EYLEA have been recently approved and/or launched in the United States, EU, and other jurisdictions, with additional biosimilar versions of EYLEA and/or EYLEA HD in development, as discussed further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 commercial success of our products and product candidates is 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significant competition - </w:t>
      </w:r>
      <w:r>
        <w:rPr>
          <w:rFonts w:ascii="Times New Roman" w:cs="Times New Roman" w:eastAsia="Times New Roman" w:hAnsi="Times New Roman"/>
          <w:sz w:val="18"/>
          <w:szCs w:val="18"/>
          <w:color w:val="auto"/>
        </w:rPr>
        <w:t>Marketed Products" above. As an EYLEA biosimilar has been launched in the United States following the expiration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regulatory exclusivity period for EYLEA (i.e., the period during which no biosimilar product could be approved by the FDA) in May 2024, EYLEA no longer has U.S. market exclusivity. Similarly, as EYLEA biosimilars have also been recently launched in certain jurisdictions outside the United States, EYLEA no longer has market exclusivity in those jurisdictions. In addition, as EYLEA HD does not benefit from regulatory exclusivity in the United States, market exclusivity for EYLEA HD in the United States is based solely on our patent rights pertaining to this product (which are subject to the risks and uncertainties discussed above under "</w:t>
      </w:r>
      <w:r>
        <w:rPr>
          <w:rFonts w:ascii="Times New Roman" w:cs="Times New Roman" w:eastAsia="Times New Roman" w:hAnsi="Times New Roman"/>
          <w:sz w:val="18"/>
          <w:szCs w:val="18"/>
          <w:i w:val="1"/>
          <w:iCs w:val="1"/>
          <w:color w:val="auto"/>
        </w:rPr>
        <w:t>If we cannot protect the confidentiality of our trade secrets, or our patents or other means of defending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 are insufficient to protect our proprietary rights, our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business and competitive position will be harmed.</w:t>
      </w:r>
      <w:r>
        <w:rPr>
          <w:rFonts w:ascii="Times New Roman" w:cs="Times New Roman" w:eastAsia="Times New Roman" w:hAnsi="Times New Roman"/>
          <w:sz w:val="18"/>
          <w:szCs w:val="18"/>
          <w:color w:val="auto"/>
        </w:rPr>
        <w:t>"). Any future loss of market exclusivity for a product would likely negatively affect revenues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sales of that product and thus our financial results and condition and could have a material negative impact on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or if there is greater demand than currently expected for our marketed products. In addition to expanding our internal capacity, we intend to continue to rely on our collaborators and/or contract manufacturers to produce commercial quantities of drug material needed for commercialization of our products.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The COVID-19 pandemic exacerbated, and this or other public health outbreaks, epidemics, or pandemics may in the future further exacerbate, certain of these risks. For example, the impact of having to prioritize certain manufacturing-related resources for our COVID-19 monoclonal antibodies included, among other things, drawing down inventory safety stock levels for certain of our other products (including Dupixent and EYLEA). Depending on the demand for our products and other relevant factors, we may not be able to replenish our inventory safety stock to the levels we deem prudent or supply our products and product candidates in sufficient quantities to satisfy our commercial and development needs. We also currently rely entirely on other parties (such as contract manufacturers) and our collaborators for filling and finishing services, and expect to increase our reliance on other parties and/or our collaborators for bulk product manufacturing in the future. Generally, in order for other parties to perform any step in the manufacturing and supply chain, we must transfer technology to the other party, which can be time consuming and may not be successfully accomplished without considerable cost and expense, or at all. We depend on the parties we have engaged for these purposes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and establishing fill/finish capabilities has been and will continue to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have constructed a fill/finish facility in Rensselaer, New York that is currently undergoing process validation and has yet to be approved for commercial production. In addition, we may need to develop or acquire additional manufacturing capabilities as we and/or our collaborators continue to pursue the development of drugs generated by means other than our established "Trap" or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such as siRNA gene silencing, genome editing, and targeted viral-based gene delivery and expression.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any existing and expanded manufacturing facilities and any fill/finish activities conducted by us, our collaborators, or our contract manufacturers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in a cost-effective manner or in compliance with cGMPs and other regulatory requirements, and we and our collaborators or contract manufacturers may not be able to build or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procure additional capacity in the required timeframe to meet commercial demand for our products (or product candidates if they receive regulatory approval) and to continue to meet the requirements of our clinical programs. This would interfere with our efforts to successfully commercialize our marketed products, and it could also delay or require us to discontinue one or more of our clinical development programs. As a result, our business, prospects, operating results, and financial condition could be materially harmed.</w:t>
      </w:r>
    </w:p>
    <w:p>
      <w:pPr>
        <w:spacing w:after="0" w:line="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or contract manufacturers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contract manufacturers or other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or otherwise authorized for use.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related overhead costs and inefficiencies, as well as similar costs of third-party contract manufacturers that currently, or may in the future, perform services for us. In addition, if we or our collaborators carry excess inventory, it may be necessary to write down or write off such excess inventory or incur an impairment charge with respect to the facility where such product is manufactured, which could adversely affect our operating results. For example, during each of the years ended December 31, 2022 and 2021, we recorded a substantial charge to write down inventory related to REGEN-COV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contract manufacturers, or the facilities of any other party participating in the supply chain, would adversely affect our ability to supply our products.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Bulk drug materials are currently manufactured at our manufacturing facilities in Rensselaer, New York and Limerick, Ireland, as well as at our collaborators' and contract manufacturers' facilities. We and our collaborators and contract manufacturers would be unable to manufacture these materials if the relevant facility were to cease production due to regulatory requirements or actions, business interruptions, labor shortages or disputes, supply chain interruptions or constraints (including with respect to natural gas and other raw materials), contaminations, fire, climate change, natural disasters, acts of war or terrorism, or other problems.</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most of our product candidates are biologics, they require processing steps that are more difficult than those required for many other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have led in the past and could lead in the future to product defects or manufacturing failures, resulting in lot failures, product recalls, product liability claims, and/or insufficient inventory. Also, the complexity of our manufacturing process may make it difficult, time-consuming, and expensive to transfer our technology to our collaborators or contract manufacturers.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public health outbreaks, epidemics, or pandemics or other geopolitical developments, such as the armed conflict between Russia and Ukraine). Regional or single-source dependencies may in some cases accentuate these risks. For example, the pharmaceutical industry generally, and in some instances our Company or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escalation of tariffs or other trade restrictions or the recently enacted BIOSECURE Act. See also "Other Regulatory and Litigation Risks - </w:t>
      </w:r>
      <w:r>
        <w:rPr>
          <w:rFonts w:ascii="Times New Roman" w:cs="Times New Roman" w:eastAsia="Times New Roman" w:hAnsi="Times New Roman"/>
          <w:sz w:val="18"/>
          <w:szCs w:val="18"/>
          <w:i w:val="1"/>
          <w:iCs w:val="1"/>
          <w:color w:val="auto"/>
        </w:rPr>
        <w:t>We face risks associated with tariffs and other trade restrictions, which may have a material adverse impact on our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financial condition</w:t>
      </w:r>
      <w:r>
        <w:rPr>
          <w:rFonts w:ascii="Times New Roman" w:cs="Times New Roman" w:eastAsia="Times New Roman" w:hAnsi="Times New Roman"/>
          <w:sz w:val="18"/>
          <w:szCs w:val="18"/>
          <w:color w:val="auto"/>
        </w:rPr>
        <w:t>" below. In any such circumstances, we may not be able to engage a backup or alternative supplier or service provider in a timely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or at all. This, in turn, could materially and adversely affect our or our collaborators' ability to manufacture or supply marketed products and product candidates or advance our or our collaborators' preclinical research or clinical development programs, which could materially and adversely affect our business and future prospects.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or contract manufacturers are required to substitute for these sources to comply with such regulatory requirements, our clinical development or commercial activities may be delayed or interrupted.</w:t>
      </w:r>
    </w:p>
    <w:p>
      <w:pPr>
        <w:spacing w:after="0" w:line="10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 our collaborators' or contract 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and our collaborators, contract manufacturers,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the relevant application(s) relating to our products or product candidates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In recent years, the FDA issued CRLs to multiple companies (including us, as further discussed in this report or previously disclosed) citing unresolved inspection findings at third-party manufacturers, which prevented the timely approval of such companies' marketing applications. Our inability, or the inability of our collaborators, contract manufacturers, and third-party fill/finish or other service providers, to demonstrate ongoing cGMP compliance has in the past required us, and could in the future require us, to engage in lengthy and expensive remediation efforts, identify and onboard new service providers,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contract manufacturers,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 We recently received several CRLs from the FDA for regulatory submissions concerning our products or product candidates due to the FDA's findings from inspections at third-party manufacturers responsible for filling drug product, as discussed above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and biologic products is costly, time-consuming, and highly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uncertain. If we or our collaborators do not maintain regulatory approval for our marketed products, or obtain regulatory approval for our product candidates, we will not be able to market or sell them; and if we do not obtain approvals for new indications for our marketed products, we may not be able to realize the full commercial potential of such products. Any of the foregoing may materially and negatively impact our business, prospects, operating results, and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Significant noncompliance with the requirements discussed in this paragraph could also result in the imposition of monetary penalties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civil or criminal sanctions and damage our reputation.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The testing, manufacturing, marketing, and sale of drugs for use in people expose us to product liability risk. Any informed consent or waivers obtained from people who enroll in our clinical trials may not protect us from liability or the cost of litigation. From time to time, we are subject to claims by patients that they have been injured by a side effect associated (or alleged to be associated) with one of our products or product candidates. Any such product liability claim, regardless of merit, may be costly and time consuming to investigate and defend and may have a negative impact on our reputation or business, including the degree to which we or our collaborators are able to successfully commercialize the applicable product or, if regulatory approval is obtained, product candidate.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or our collaborators are unable to continue to successfully commercialize our products, our business, prospects,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and financial condition will be materially harmed</w:t>
      </w:r>
      <w:r>
        <w:rPr>
          <w:rFonts w:ascii="Times New Roman" w:cs="Times New Roman" w:eastAsia="Times New Roman" w:hAnsi="Times New Roman"/>
          <w:sz w:val="18"/>
          <w:szCs w:val="18"/>
          <w:color w:val="auto"/>
        </w:rPr>
        <w:t>" above. We may face product liability claims and be found responsible even if injury arises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have been, and may in the future be, challenged under U.S. federal or state and foreign healthcare laws, which may subject us to civil or criminal proceedings, investigations, or penalties.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("DTC") advertising, certain communications regarding unapproved uses, industry-sponsored scientific and educational activities, and sales representatives' communications. The current U.S. administration, HHS, and FDA have recently announced an initiative intended to ensure transparency and accuracy in DTC prescription drug advertisements through a series of reforms that have included and are expected to continue to include FDA rulemaking, additional enforcement action, and expanded regulatory oversight of social media promotional activities. Failure to comply with applicable FDA requirements for advertising and promotional activities (including those that currently apply or may apply in the future to DTC advertising) may subject a company to adverse enforcement action by the FDA, the Department of Justice, or the Office of the Inspector General of HHS, as well as state authorities. This could subject a company to a range of penalties or other consequences that could have a significant commercial impact, including warning letters, civil and criminal fines, and agreements that materially restrict the manner in which a company promotes or distributes a drug. Any such failures could also cause significant reputational harm. The applicable regulations in countries outside the U.S. grant similar powers to the competent authorities and impose similar obligations on companies.</w:t>
      </w:r>
    </w:p>
    <w:p>
      <w:pPr>
        <w:spacing w:after="0" w:line="1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 The majority of states also have statutes or regulations similar to the federal anti-kickback law and false claims laws, which apply to items and services reimbursed under Medicaid and other state programs, or, in several states, apply regardless of the payor.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Sanctions under these federal and state laws may include civil monetary penalties, administrative fines and penalties, damages, exclusion of a manufacturer's products from reimbursement under government programs, criminal fines, and 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16 to our Consolidated Financial Statements included in this report, we are party to civil proceedings initiated or joined by the U.S. Department of Justice and the U.S. Attorney's Office for the District of Massachusetts concerning certain business activities. Any adverse decision, finding, allegation, or exercise of enforcement or regulatory discretion in any such proceedings or investigations could harm our business, prospects, operating results, and financial condition.</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dedicate significant resources to comply with these requirements. In addition, a number of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participate in the Medicaid Drug Rebate program, the Public Health Service's 340B program (which is administered by HRSA), the VA FSS pricing program, the Tricare Retail Pharmacy Program, and other federal and state government pricing programs. Such programs often require us to provide discounts and/or pay rebates to certain government payors and/or private purchasers. See Part I, Item 1, "Business - Government Regulation - Pricing and Reimbursement" for additional information on these programs.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Such interpretation can change and evolve over time. For example,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Civil monetary penalties can be applied if we fail to pay the required rebate,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knowingly and intentionally charged 340B covered entities more than the statutorily mandated ceiling price. CMS could also decide to terminate our Medicaid drug rebate agreement, or HRSA could decide to terminate our 340B program participation agreement, in which case federal payments may not be available under Medicaid or Medicare Part B for our covered outpatient drugs.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operating results. In September 2024, CMS modified the regulations governing the Medicaid Drug Rebate program, which could further increase our costs and the complexity of compliance, impact rebate liabilities, and be time-consuming to implement. Other regulations and coverage expansion by various governmental agencies relating to the Medicaid Drug Rebate program may have a similar impact.</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final regulation issued by HRSA regarding the calculation of the 340B ceiling price and the imposition of civil monetary penalties on manufacturers that knowingly and intentionally overcharge covered entities has affected our obligations and potential liability under the 340B program. We are also required to report the 340B ceiling prices for our covered outpatient drugs to HRSA, which then publishes them to 340B covered entities. There is ongoing litigation involving other parties that may change the number of third-party contract pharmacies that can dispense drugs that manufacturers sell to 340B covered entities. The outcome of this litigation may change the scope of the 340B program in the coming years. Any charge by HRSA that we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have violated the requirements of the program or the regulation could negatively impact our operating results. Moreover, HRSA established an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Further, any future changes to the definition of average manufacturer price and the Medicaid rebate amount under the PPACA or otherwise could affect our 340B ceiling price calculations and negatively impact our results of operations.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obligations to report the average sales price for certain of our drugs to the Medicare program. Statutory or regulatory changes or CMS guidance, including provisions included in the recent CMS calendar year 2026 Medicare Physician Fee Schedule final rule, could affect the average sales price calculations for our products and the resulting Medicare payment rate, and could negatively impact our results of operations.</w:t>
      </w:r>
    </w:p>
    <w:p>
      <w:pPr>
        <w:spacing w:after="0" w:line="68"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requirements under the VA 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could be expensive and time-consuming, and could have a material adverse effect on our business, financial condition, results of operations, and future prospects.</w:t>
      </w:r>
    </w:p>
    <w:p>
      <w:pPr>
        <w:spacing w:after="0" w:line="12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particular, our business activities outside the United States (which have recently expanded and continue to expand due to, in part, our efforts to establish further commercialization and co-commercialization capabilities in certain jurisdictions outside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are subject to regulation under the FCPA.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(including the imposition of monetary penalties), which could exceed our resources or insurance coverage. In addition, if we fail to obtain or maintain required permits and registrations, we may be subject to administrative fines and penalties or other regulatory actions, which could adversely affect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policies affecting the healthcare industry could adversely affect 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U.S. federal, state, and foreign laws and agency regulations and policies could have a materially negative impact on our business.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in April 2023, the European Commission published a proposal to replace the current pharmaceutical legislative framework in the EU. While it is uncertain whether such proposal will be adopted in its current form, there may ultimately be a number of changes to the current regulatory framework in the EU, including a reduction of the data protection and market exclusivity periods provided thereby.</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U.S. federal or state governments could carry out other significant changes in legislation, regulation, or government policy, including with respect to government reimbursement changes or drug price control measures or the PPACA or other healthcare reform laws. As discussed above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Product reimbursement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coverage policies and practices, pricing regulations and requirements, and our pricing strategy could change due to various factors beyond our control, which may adversely impact our business, prospects, operating results, and financial condition</w:t>
      </w:r>
      <w:r>
        <w:rPr>
          <w:rFonts w:ascii="Times New Roman" w:cs="Times New Roman" w:eastAsia="Times New Roman" w:hAnsi="Times New Roman"/>
          <w:sz w:val="18"/>
          <w:szCs w:val="18"/>
          <w:color w:val="auto"/>
        </w:rPr>
        <w:t>," the current U.S. administration is pursuing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various measures to reduce the cost of drugs in the United States, and different or additional measures may be pursued in the future. While it 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 The FDA's ability to timely review and process any submissions we have filed or may file in the future may also be affected by the recent efforts to reduce the size and budgets of U.S. government agencies, downsize the federal workforce, and implement other U.S. policy changes, as discussed above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 for drug and biologic products is costly, time-consuming, and highly uncertain. If we or our collaborators do not maintain regulatory approval for our marketed products, or obtain regulatory approval for our product candidates, we will not be able to market or sell them; and if we do not obtain approvals for new indications for our marketed products, we may not be able to realize the full commercial potential of such products. Any of the foregoing may materially and negatively impact our business, prospects, operating results, and financial condition.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the United States could adversely affect our business.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operations and conduct business in many countries outside the United States and have been significantly expanding the scope of these activities in existing and/or additional countries, including EU countries and Japan. For example, as discussed above, we now have commercial presence in many jurisdictions outside the United States in connection with our commercialization of Libtayo and co-commercialization of Dupixent, and we expect this commercial presence to continue to increase as we expand our commercialization activities for other products outside the United States (including Lynozyfic and Ordspono, which recently launched in the EU). Consequently, we are, and will continue to be, subject to risks related to operating in countries outside the United States, particularly those in which we have not previously established operations, and many of these risks will increase as we expand our activities in such jurisdictions. These risks include:</w:t>
      </w:r>
    </w:p>
    <w:p>
      <w:pPr>
        <w:spacing w:after="0" w:line="121" w:lineRule="exact"/>
        <w:rPr>
          <w:sz w:val="20"/>
          <w:szCs w:val="20"/>
          <w:color w:val="auto"/>
        </w:rPr>
      </w:pPr>
    </w:p>
    <w:p>
      <w:pPr>
        <w:jc w:val="both"/>
        <w:ind w:left="660" w:hanging="328"/>
        <w:spacing w:after="0" w:line="25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 including those with which we and/or our collaborators must comply in order to maintain our marketing authorizations outside the United States, and the cost of compliance with such foreign laws and regulatory requirements;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and industry trade association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collaborators could adversely affect our reputation and our business, prospects, operating results, and financial condition</w:t>
      </w:r>
      <w:r>
        <w:rPr>
          <w:rFonts w:ascii="Times New Roman" w:cs="Times New Roman" w:eastAsia="Times New Roman" w:hAnsi="Times New Roman"/>
          <w:sz w:val="18"/>
          <w:szCs w:val="18"/>
          <w:color w:val="auto"/>
        </w:rPr>
        <w:t>"), as well as labor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laws and regulations;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 including as a result of the Russia-Ukraine or Hamas-Israel armed conflict;</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 (discussed in greater detail below under "</w:t>
      </w:r>
      <w:r>
        <w:rPr>
          <w:rFonts w:ascii="Times New Roman" w:cs="Times New Roman" w:eastAsia="Times New Roman" w:hAnsi="Times New Roman"/>
          <w:sz w:val="18"/>
          <w:szCs w:val="18"/>
          <w:i w:val="1"/>
          <w:iCs w:val="1"/>
          <w:color w:val="auto"/>
        </w:rPr>
        <w:t>We face risks associated with tariffs and other trade restrictions, which may have a material adverse impact on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 and financial condition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large-scale manufacturing operations in Limerick, Ireland and have also established offices in the United Kingdom, Germany, Japan, and other countries outside the United States. Changes impacting our ability to conduct business in the those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tariffs and other trade restrictions, which may have a material adverse impact on our results of operations and financial condition.</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faces risks associated with tariffs and other trade protection measures (including tariffs that have been or may in the future be imposed by the United States or other countries),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United States has recently imposed significant tariffs on imports from other countries, including a baseline tariff of 10% on imports into the United States and higher tariffs on multiple designated countries, such as "reciprocal" tariffs at varying rates. Such tariffs have prompted retaliatory measures from several countries, which may further escalate. Certain of these tariffs have been subsequently paused or modified, and the situation remains fluid. While pharmaceutical products are currently excluded from the baseline and "reciprocal" tariffs imposed by the United States, such tariffs still apply to the raw materials and other products necessary for the manufacture and formulation of our marketed products and product candidates. In addition, the U.S. Department of Commerce has initiated an investigation under Section 232 of the Trade Expansion Act of 1962, as amended, to determine the effects of importing pharmaceuticals and pharmaceutical ingredients on national security. This investigation may lead to the imposition of tariffs on pharmaceutical imports, consistent with the current U.S. administration's stated policy objective of reshoring pharmaceutical manufacturing to the United States. Further, in July 2025, the United States and the EU announced the framework of a trade agreement that generally imposes a 15% tariff on imports from the EU. Under this agreement, pharmaceutical products would not be subject to any future Section 232 investigation duties in excess of this 15% rate. The U.S. Supreme Court is currently considering legal challenges to tariffs imposed under the International Emergency Economic Powers Act, such as the baseline and reciprocal tariffs discussed above. The outcome of this decision could impact trade agreements entered into by the United States and the wider tariff environment in which we operate.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significant risks from the existing tariffs imposed by the United States (such as those discussed above) and potential new tariffs as well as their secondary effects, including other countries' imposition of retaliatory tariffs and non-tariff barriers. Depending on how the existing tariffs are applied and whether additional tariffs are imposed, our products that are manufactured partly or entirely outside of the United States could be subject to tariff duties when they are imported to the United States for further manufacturing, packaging, and/or sale to customers. In addition, like all U.S. importers, our Company could pay more for foreign-sourced inputs, which could adversely affect our operating costs in the United States. Our results of operations and financial condition may be materially adversely affected due to the impact of the foregoing.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income tax in the United States and foreign jurisdictions in which we operate. Significant judgment is required in determining our worldwide tax liabilities, and our effective tax rate is derived from the applicable statutory tax rates and relative earnings in each taxing jurisdiction. We record liabilities for uncertain tax positions that involve significant management judgment as to the application of law.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Consequently, tax assessments or judgments in excess of accrued amounts that we have estimated in preparing our financial statements may materially and adversely affect our reported effective tax rate or our cash flows. Further, other factors may adversely affect our effective tax rate, including changes in the mix of our profitability from country to country, tax effects of stock-based compensation (which depend in part on the price of our stock and, therefore, are beyond our control), and changes in tax laws or regulations. For example, the OECD Pillar Two framework has influenced tax laws in countries in which we operate, including the implementation of minimum taxes. Changes to these or other laws and regulations or their interpretations, including those resulting from the "One Big Beautiful Bill Act" signed into law in July 2025 (as discussed further in Note 15 to our Consolidated Financial Statements included in this report), could materially adversely impact our effective tax rate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personal data we collect, process, and share.</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conduct our business is significantly dependent on the data that we collect, process, and share in discovering, developing, and commercializing drug products. These data are often considered personal data and are therefore regulated by privacy and data protection laws in and outside the United States, including health privacy laws, data breach notification laws, consumer protection laws, data localization laws, biometric privacy laws, and genetic privacy laws. Such laws may apply to our operations and/or those of our collaborators and business partners and may impose restrictions on our collection, use, and dissemination of individuals' health and other personal data, including data that we may receive throughout the clinical trial process, in the course of our research collaborations, from individuals who enroll in our patient assistance programs, from healthcare professionals that interact with us, or from our own employees. Laws and regulations in this area are constantly evolving and are often not interpreted consistently by regulatory authorities, institutional review boards/ethics committees, or clinical trial sites.</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there are numerous federal and state laws and regulations governing data privacy of personal data and the collection, use, disclosure, and protection of health data, genetic data, consumer data, and children's data. At the federal level, most U.S. healthcare providers, including research institutions from which we or our collaborators obtain clinical trial data, are subject to privacy and security regulations promulgated under HIPAA. While Regeneron is not directly subject to HIPAA, other than potentially with respect to providing certain employee benefits, we could be subject to criminal penalties if we, our affiliates, or our agents knowingly receive protected health information in a manner that is not permitted under HIPAA. The FTC also sets expectations for taking appropriate steps to safeguard consumers' personal information and for providing a level of privacy or security commensurate to promises made to individuals. Failure to meet these FTC standards may constitute unfair or deceptive acts or practices in violation of Section 5 of the FTC Act. The FTC also has the power to enforce the Health Breach Notification Rule, which imposes notification obligations on companies for breaches of certain health information contained in personal health records. Enforcement by the FTC under the FTC Act and Health Breach Notification Rule can result in civil penalties or enforcement actions. In addition, at the state level, many state consumer privacy laws recently went into effect and many other consumer privacy laws are expected to go into effect in the near future. These laws include certain transparency and other requirements to protect personal data and grant residents with certain rights regarding their personal data. These laws and regulations are constantly evolving and may impose limitations on our business activities.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Outside the United States, we have operations and conduct business in several countries and have been significantly expanding the scope of these activities in those and/or additional countries, as discussed above under "</w:t>
      </w:r>
      <w:r>
        <w:rPr>
          <w:rFonts w:ascii="Times New Roman" w:cs="Times New Roman" w:eastAsia="Times New Roman" w:hAnsi="Times New Roman"/>
          <w:sz w:val="18"/>
          <w:szCs w:val="18"/>
          <w:i w:val="1"/>
          <w:iCs w:val="1"/>
          <w:color w:val="auto"/>
        </w:rPr>
        <w:t>Risks associated with our operations outside the United States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We also conduct clinical trials in these and many other countries around the world. These activities subject us to additional data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oversight and require us to comply with stringent local and regional data privacy laws. Such laws include the GDPR, which has a wide range of compliance obligations relating to the processing and protection of personal data. Violations of the GDPR carry significant financial penalties for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noncompliance. The GDPR also confers a private right of action on data subjects and consumer associations to file complaints with data protection authorities, seek judicial remedies, and obtain compensation for damages resulting from violations of the GDPR. Many other jurisdictions outside the United States have adopted and continue to adopt varying privacy and data protection legislation, the continued emergence of which has increased the costs and complexity of compliance.</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any of our collaborators fail to comply with applicable federal, state, local, or foreign regulatory requirements, we could be subject to a range of regulatory actions that could result in fines or other penalties or otherwise affect our or any such collaborators' ability to commercialize our products. Any threatened or actual government enforcement action could also generate adverse publicity and could result in additional regulatory oversight.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social media platforms could give rise to liability, breaches of data security and privacy laws, or reputational damage.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social media to communicate about our products and our business. The misuse of social media platforms by our employees or third parties on which we rely in contravention of our social media policy or other legal or contractual requirements may give rise to liability, lead to the loss of trade secrets or other intellectual property, or result in public exposure of sensitive data. Furthermore, negative posts or comments about us or our products in social media could seriously damage our reputation, brand image, and goodwill.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inherent risks related to our increasing use of artificial intelligence-based solutions.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increasingly utilizing artificial intelligence ("AI")-based solutions in various facets of our operations and continue to explore further use cases for AI. The use of AI solutions by our employees or third parties on which we rely may lead to the impermissible use or public disclosure of sensitive data. In the United States and in many jurisdictions outside the United States, new regulations have recently passed or have been proposed to ensure the ethical use, privacy, and security of AI solutions and the data processed thereby. The misuse of AI solutions in contravention of our internal policies, data protection laws, other applicable laws, or contractual requirements may give rise to liability, lead to the loss of trade secrets or other intellectual property, result in reputational harm, or lead to outcomes with unintended biases or other consequences. The misuse of AI solutions could also result in unauthorized access and use of personal data of our employees, clinical trial participants, collaborators, or other third parties. Any of these events could have a material adverse effect on our business, prospects, operating results, and financial condition and could adversely affect the price of our Common Stock.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support from Sanofi to develop, manufacture, and commercialize certain of our products and product candidates. With respect to the products and product candidates that we are co-developing with Sanofi under our Antibody Collaboration (currently consisting of Dupixent, Kevzara, and itepekimab), Sanofi initially funds a significant portion of development expenses incurred in connection with the development of these products and product candidates. In addition, we rely on Sanofi to lead much of the clinical development efforts, assist with or lead efforts to obtain and maintain regulatory approvals, and lead the commercialization efforts for these products and product candidates.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If Sanofi terminates the Antibody Collaboration or fails to comply with its obligations thereunder, our business, prospects, operating results, and financial condition may be materially harmed. We would be required to either expend substantially more resources than we have anticipated to support our development efforts or cut back on such activities. If Sanofi does not perform its obligations with respect to the products and product candidates it is co-developing and/or co-commercializing with us, our ability to develop, manufacture, and commercialize these products and product candidates may be adversely affected. As described in Note 16 to our Consolidated Financial Statements included in this report, we have commenced the Antibody Collaboration Litigation against Sanofi and certain of its affiliated entities. It is not possible to determine what impact (if any) the Antibody Collaboration Litigation may have on the Antibody Collaboration and our business relationship with Sanofi, or whether we will be successful in the Antibody Collaboration Litigation. While we have some commercial presence outside the United States, our commercial capabilities outside the United States are still limited and would need to be further developed or outsourced for products commercialized under our Antibody Collaboration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sufficient commercial capabilities outside the United States for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Antibody Collaboration may create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new and additional risks to the successful development and commercialization of the products and product candidates subject to such collaborations, particularly outside the United States.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rely on Bayer with respect to the commercialization of EYLEA HD and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HD and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HD and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HD and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establish sufficient commercial capabilities outside the United States for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Bayer collaboration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would create substantial new and additional risks to the successful commercialization of EYLEA HD and EYLEA.</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or other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 See also "Risks Related to Manufacturing and Supply - </w:t>
      </w:r>
      <w:r>
        <w:rPr>
          <w:rFonts w:ascii="Times New Roman" w:cs="Times New Roman" w:eastAsia="Times New Roman" w:hAnsi="Times New Roman"/>
          <w:sz w:val="18"/>
          <w:szCs w:val="18"/>
          <w:i w:val="1"/>
          <w:iCs w:val="1"/>
          <w:color w:val="auto"/>
        </w:rPr>
        <w:t>Our or our collaborators' or contract manufacturers' failure to meet the stringent requirements of governmental regulation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undertaken and may in the future undertake strategic acquisitions, and any difficulties from integrating such acquisitions could adversely affect our business, operating results, and financial condition.</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acquire companies, businesses, products, or product candidates that complement or augment our existing business. For example, in May 2022 and September 2023, we completed our acquisition of Checkmate Pharmaceuticals, Inc. and Decibel Therapeutics, Inc., respectively; and in April 2024, we acquired full development and commercialization rights to 2seventy bio, Inc.'s oncology and autoimmune preclinical and clinical stage cell therapy pipeline. The process of proposing, negotiating, completing, and integrating any such acquisition is lengthy and complex. Other companies may compete with us for such acquisitions. In addition, we may not be able to integrate any acquired business successfully or operate any acquired business profitably. Integrating any newly acquired business could be expensive and time consuming. Integration efforts often take a significant amount of time, place a significant strain on managerial, operational, and financial resources, result in a loss of key personnel of the acquired business, and could prove to be more difficult or expensive than we predict. The diversion of our management's attention and any delay or difficulties encountered in connection with any acquisitions we may consummate could result in the disruption of our ongoing business or inconsistencies in standards, controls, systems, practices, policies, and procedures of our Company and the acquired business that could negatively affect our ability to maintain third-party relationships.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we may need to raise additional funds through public or private debt or equity financing to acquire any businesses, products, or product candidates, which may result in dilution for shareholders or the incurrence of indebtedness.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efforts to acquire companies, businesses, products, or product candidates or to enter into other significant transactions, we will conduct business, legal, research and development, regulatory, and financial due diligence with the goal of identifying and evaluating material risks involved in the transaction. Despite our efforts, we ultimately may be unsuccessful in ascertaining or evaluating all such risks and, as a result, might not realize the intended advantages of the transaction. If we fail to realize the expected benefits from acquisitions we have consummated or may consummate in the future, whether as a result of unidentified risks or liabilities, integration difficulties, product development or regulatory setbacks (including those relating to issues that may have arisen before we completed the transaction in question), litigation with current or former employees and other events, our business, operating results, and financial condition could be adversely affected. For any acquired product candidates, we will also need to make certain assumptions about, among other things, development costs, the likelihood of receiving regulatory approval, and the market for any such product candidates. Our assumptions may prove to be incorrect, which could cause us to fail to realize the anticipated benefits of these transactions.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experience significant charges to earnings in connection with our efforts to consummate acquisitions. For transactions that are ultimately not consummated, these charges may include fees and expenses for investment bankers, attorneys, accountants, and other advisors in connection with our efforts. Even if our efforts to consummate a particular transaction are successful, we may incur substantial charges for closure costs associated with elimination of duplicate operations and facilities, acquired in-process research and development charges, or intangible asset impairment charges. In either case, the incurrence of these charges could adversely affect our operating results for particular periods.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or retain leaders in our research, development, manufacturing, and commercial organizations, our business will be harmed.</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and other key members of our senior management team. If we are not able to retain (or for any other reason lose the services of) any of these persons, our business may suffer. In particular, we depend on the services of Leonard S. Schleifer, M.D., Ph.D., our Board co-Chair, President and Chief Executive Officer, and George D. Yancopoulos, M.D., Ph.D., our Board co-Chair,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manufacturing, and commercialization of drugs. We may not be able to continue to attract and retain the qualified personnel necessary to continue to advance our business and achieve our strategic objectives.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could give rise to unidentified or unremedied systems weaknesses or breakdowns and malicious intrusions, which could impact key business processes, including those related to drug manufacturing. We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 We may also be exposed to vulnerabilities due to end-of-life issues impacting hardware or software utilized in our operations.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extortion,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and incidents. For example, in the past we have experienced, and may experience in the future, various types of cybersecurity incidents, including unauthorized access to our IT systems, data security breaches, malware incursions, denial-of-service attacks, phishing campaigns, and other similar disruptions. Similar incidents have been experienced and may in the future be experienced by certain third parties on which we rely. Although we believe, based on an assessment of the relevant facts available to us, that none of these incidents has had a material adverse impact on our operations to date, there can be no assurance that a future incident would not result in material harm to our business, prospects, operating results, and financial condition. There is also the potential that our systems may be directly or indirectly affected as nation-states conduct global cyberwarfare.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nature of some of these attacks, there is a risk that an intrusion may remain undetected for a period of time. While we continue to make investments to improve the protection and resilience of data and information technology, and to oversee and monitor the security measures of our suppliers and/or service providers, there can be no assurance that our efforts will prevent service interruptions or security breaches or that our business continuity and disaster recovery plans will effectively remedy any such issues or other adverse developments in a timely manner or at all. In addition, we depend in part on third-party security measures over which we do not have full control to protect against data security breaches.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or our suppliers and/or service providers fail to maintain or protect our information technology systems and data security effectively and in compliance with U.S. and foreign laws, or fail to anticipate, detect, plan for, or manage disruptions to these systems, we or our suppliers and/or service providers could have difficulty preventing, detecting, or mitigating the impact of such disruptions or security breaches, which could result in disruptions to our operations, legal proceedings, liability under U.S. and foreign laws (including those that protect the privacy of personal information), government investigations, breach of contract claims, and damage to our reputation (in each case in the U.S. or globally), which could have a material adverse effect on our business, prospects, operating results, and financial condition.</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foregoing risks may be exacerbated as we periodically upgrade or enhance our information technology systems. For example, we are in the early stages of a multi-year project to implement a new enterprise resource planning ("ERP") system. Upgrading or implementing new business processes and information technology systems, including our new ERP system, requires the commitment of significant personnel, training, and financial resources, and includes risks to our business operations. If we do not successfully implement our new ERP system or other information technology systems improvements, or if there are delays or difficulties in implementing these systems, we may not realize anticipated productivity improvements or cost efficiencies, and we may experience operational difficulties and challenges in effectively managing our business, any of which could have a material adverse effect on our business, prospects, operating results, and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health outbreaks, epidemics, or pandemics have adversely affected and may in the future adversely affect our business.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previously adversely affected, and actual or threatened public health outbreaks, epidemics, or pandemics may in the future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disruptions in our operations could materially adversely impact our business, prospects, operating results, and financial condition. To the extent a public health outbreak, epidemic, or pandemic adversely affects our business, prospects, operating results, or financial condition, it may also have the effect of heightening many of the other risks described in this "Risk Factors" section.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impact our business.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certain indebtedness and contingent liabilities, including milestone and royalty payment obligations. As of December 31, 2025, we had an aggregate of $2.706 billion of outstanding indebtedness under our senior unsecured notes and the lease financing facility. We may also incur additional debt in the future. Any such indebtedness could:</w:t>
      </w:r>
    </w:p>
    <w:p>
      <w:pPr>
        <w:spacing w:after="0" w:line="10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limit our ability to access capital markets and incur additional debt in the future;</w:t>
      </w:r>
    </w:p>
    <w:p>
      <w:pPr>
        <w:spacing w:after="0" w:line="2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ind w:left="660" w:hanging="328"/>
        <w:spacing w:after="0" w:line="26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from outside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Chinese yuan, and Australian dollar. If the U.S. dollar weakens against a specific foreign currency, assuming all other variables remained constant, our revenues will increase, having a positive impact on net income, but our overall expenses will increase, having a negative impact. Conversely, if the U.S. dollar strengthens against a specific foreign currency, assuming all other variables remained constant, our revenues will decrease, having a negative impact on net income, but our overall expenses will decrease, having a positive impact. Therefore, significant changes in foreign exchange rates can impact our operating results and the financial condition of our Company. For example, as previously reported, the amount of our share of profits we earned in connection with commercialization of antibodies outside the United States was adversely impacted in 2022 by the U.S. dollar strengthening against foreign currencies, including the Japanese yen and the euro.</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we had $3.118 billion in cash and cash equivalents and $16.229 billion in marketable and other securities (including $515.8 million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94" w:lineRule="exact"/>
        <w:rPr>
          <w:sz w:val="20"/>
          <w:szCs w:val="20"/>
          <w:color w:val="auto"/>
        </w:rPr>
      </w:pPr>
    </w:p>
    <w:p>
      <w:pPr>
        <w:jc w:val="both"/>
        <w:ind w:left="660" w:hanging="328"/>
        <w:spacing w:after="0" w:line="25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our marketed products (as recorded by us or our collaborators), in particular EYLEA HD, EYLEA, Dupixent, and Libtayo, our ability and our collaborators' ability to maintain sales of our marketed products in the face of competitive products and to differentiate our marketed products from competitive products, and our overall operating results;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market share for, our marketed products, especially EYLEA HD, EYLEA, Dupixent, and Libtayo;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 sales and net profits underperform, meet, or exceed the expectations of investors or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other major market launch of a biosimilar version of one of our key marketed products (such as EYLEA or EYLEA HD);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EPO and in the USPTO and developments relating to patent litigation and other proceedings and government investigations relating to our Company and operations;</w:t>
      </w: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or product candidates or new indications for our marketed products;</w:t>
      </w: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PBMs) affecting the coverage, reimbursement, copay assistance, or use of any of our marketed products or competitors'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 (i.e.,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or other employees, directors, or significant shareholders (or the expectation of any such sales);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economic, and other policies of the United States or other countries, such as the imposition or threat of tariffs (including tariffs that have been or may in the future be imposed by the United States or other countries), other trade barriers, or protectionist or retaliatory measures taken by the United States or other countries;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market conditions;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public health outbreaks, epidemics, or pandemics on our business;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our Common Stock under any share repurchase program on favorable terms or at all and our ability to continue to declare cash dividends on our Common Stock and Class A Stock;</w:t>
      </w:r>
    </w:p>
    <w:p>
      <w:pPr>
        <w:ind w:left="660" w:right="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8"/>
          <w:szCs w:val="18"/>
          <w:i w:val="1"/>
          <w:iCs w:val="1"/>
          <w:color w:val="auto"/>
        </w:rPr>
        <w:t>Future sales of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our significant shareholders or us may depress our stock price and impair our ability to raise funds in new share offerings</w:t>
      </w:r>
      <w:r>
        <w:rPr>
          <w:rFonts w:ascii="Times New Roman" w:cs="Times New Roman" w:eastAsia="Times New Roman" w:hAnsi="Times New Roman"/>
          <w:sz w:val="18"/>
          <w:szCs w:val="18"/>
          <w:color w:val="auto"/>
        </w:rPr>
        <w:t>" below, a large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is owned by a small number of our principal shareholders. As a result, the public float of our Common Stock (i.e.,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Securities class action litigation is often initiated against companies following periods of volatility in their stock price. For example, in January 2025, a putative class action civil complaint was filed against the Company and certain current and former executive officers of the Company asserting violations of federal securities laws, as further described in Note 16 to our Consolidated Financial Statements included in this report.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December 31, 2025, our five largest shareholders plus Dr. Schleifer, our Chief Executive Officer, beneficially owned approximately 31.7% of our outstanding shares of Common Stock, assuming, in the case of our Chief Executive Officer, the conversion of his Class A Stock into Common Stock and the exercise of all options held by him which are exercisable within 60 days of December 31, 2025.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repurchase shares of our Common Stock or continue to declare cash dividends.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2025, our board of directors authorized our most recent share repurchase program to repurchase up to $3.0 billion of our Common Stock (of which $1.486 billion remained available as of December 31, 2025). In 2025, our board of directors also initiated a quarterly cash dividend program. Any future share repurchases, share repurchase program authorizations, or dividend declarations will depend upon, among other factors, our cash balances and potential future capital requirements, our results of operations and financial condition, the price of our Common Stock on the NASDAQ Global Select Market, and other factors that we may deem relevant. Our share repurchases and dividend payments may change from time to time, and we can provide no assurance that we will repurchase shares of our Common Stock at favorable prices, in particular amounts, or at all, or that we will maintain or increase our quarterly cash dividend payments or declare future cash dividends. A reduction in our share repurchases or reduction in, or elimination of, our quarterly cash dividend payments could have an adverse effect on our stock price.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substantial influence over matters requiring shareholder approval and over our management.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December 31, 2025, holders of Class A Stock held 14.9%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December 31, 2025:</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jc w:val="both"/>
        <w:ind w:left="660" w:hanging="328"/>
        <w:spacing w:after="0" w:line="25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5.2% of our outstanding shares of Common Stock, assuming conversion of their Class A Stock into Common Stock and the exercise of all options and release of all restricted stock units held by such persons which are exercisable or releasable within 60 days of December 31, 2025, and 17.3% of the combined voting power of our outstanding shares of Common Stock and Class A Stock, assuming the exercise of all options and release of all restricted stock units held by such persons which are exercisable or releasable within 60 days of December 31, 2025; and</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31.7% of our outstanding shares of Common Stock, assuming, in the case of our Chief Executive Officer, the conversion of his Class A Stock into Common Stock and the exercise of all options held by him which are exercisable within 60 days of December 31, 2025. In addition, these five shareholders plus our Chief Executive Officer held approximately 40.1% of the combined voting power of our outstanding shares of Common Stock and Class A Stock, assuming the exercise of all options held by our Chief Executive Officer which are exercisable within 60 days of December 31, 2025.</w:t>
      </w:r>
    </w:p>
    <w:p>
      <w:pPr>
        <w:spacing w:after="0" w:line="1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12" w:lineRule="exact"/>
        <w:rPr>
          <w:sz w:val="20"/>
          <w:szCs w:val="20"/>
          <w:color w:val="auto"/>
        </w:rPr>
      </w:pPr>
    </w:p>
    <w:p>
      <w:pPr>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60" w:right="20" w:hanging="328"/>
        <w:spacing w:after="0" w:line="265" w:lineRule="auto"/>
        <w:tabs>
          <w:tab w:leader="none" w:pos="65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staggered board of directors (which, pursuant to an amendment to our certificate of incorporation approved by shareholders in June 2025, will be phased out beginning in 2026 and result in the annual election of all of our directors commencing with the 2028 annual meeting of shareholders);</w:t>
      </w: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5" w:lineRule="auto"/>
        <w:tabs>
          <w:tab w:leader="none" w:pos="65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right="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3"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substantial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influence over matters requiring shareholder approval and over our management.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certain of our current or former collaborators are currently bound by "standstill" provisions under their respective agreements with us. These include the January 2014 amended and restated investor agreement between us and Sanofi, as amended, which contractually prohibits Sanofi from seeking to directly or indirectly exert control of our Company or acquiring more than 30% of our Class A Stock and Common Stock, taken together.</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regularly assess risks from cybersecurity threats; monitor our information systems for potential vulnerabilities; and test those systems pursuant to our cybersecurity policies, processes, and practices, which are integrated into our overall risk management program. To protect our information systems from cybersecurity threats, we use various security tools that are designed to help identify, escalate, investigate, resolve, and recover from security incidents in a timely manner. Our Technology Risk Management Committee, which is comprised of representatives from our business operations and support functions (e.g., legal, finance, internal audit, commercial, privacy), assesses cybersecurity risks based on probability and potential impact to key business systems and processes. Cybersecurity risks that are considered high are incorporated into our overall risk management program. A mitigation plan is developed for each identified high risk, with progress on risk mitigation reported to the Technology Risk Management Committee and tracked as part of our overall risk management program, which is overseen by the Audit Committee of our board of directors.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collaborate with third parties to assess the effectiveness of our cybersecurity prevention and response systems and processes. These include cybersecurity assessors, consultants, and other external cybersecurity experts to assist in the identification, verification, and validation of cybersecurity risks, as well as to support associated mitigation plans when necessary. We have also developed a process to conduct due diligence on third parties with which we work to oversee and identify material risks from cybersecurity threats associated with our use of those third parties' services, including those that perform cybersecurity services.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the Company is not aware of risks from cybersecurity threats, including those resulting from any previous cybersecurity incidents, that have materially affected or are reasonably likely to materially affect our Company, including our business strategy, results of operations, or financial condition. Refer to the risk factor captioned "</w:t>
      </w:r>
      <w:r>
        <w:rPr>
          <w:rFonts w:ascii="Times New Roman" w:cs="Times New Roman" w:eastAsia="Times New Roman" w:hAnsi="Times New Roman"/>
          <w:sz w:val="18"/>
          <w:szCs w:val="18"/>
          <w:i w:val="1"/>
          <w:iCs w:val="1"/>
          <w:color w:val="auto"/>
        </w:rPr>
        <w:t>Significant disruptions of information technology systems or breaches of data security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in Part I, Item 1A. "Risk Factors" for additional information regarding cybersecurity risks and potential related impacts on our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oversees our risk management process, including as it pertains to cybersecurity risks, directly and through its committees. The Audit Committee of the board oversees our risk management program, which focuses on the most significant risks we face in the short-, intermediate-, and long-term timeframe. Audit Committee meetings include discussions of specific risk areas throughout the year, including, among others, those relating to cybersecurity threats, and reports from the Chief Audit Executive on our enterprise risk profile on an annual basis. The Audit Committee reviews our cybersecurity risk profile with management on a periodic basis using key performance and/or risk indicators. These key performance indicators are metrics and measurements designed to assess the effectiveness of our cybersecurity program in the prevention, detection, mitigation, and remediation of cybersecurity incidents.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take a risk-based approach to cybersecurity and have implemented cybersecurity policies throughout our operations that are designed to address cybersecurity threats and incidents. The Company's Chief Information Security Officer ("CISO"), in coordination with the Chief Digital &amp; Technology Officer and the Technology Risk Management Committee, is responsible for the establishment and maintenance of our cybersecurity program, as well as the assessment and management of cybersecurity risks. The current CISO has over 35 years of experience in technology and information security, including operating in the role of the CISO for several large companies in the pharmaceutical and healthcare industries, and possesses the requisite education, skills, experience, and industry certifications expected of an individual assigned to these duties. The CISO provides periodic updates on our cybersecurity risk profile to management's Technology Risk Management Committee and the Audit Committee of our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 our research, development, manufacturing, and administrative activities at our owned and leased facilities. A summary of our significant owned and leased properties is provided below.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5860" w:type="dxa"/>
            <w:vAlign w:val="bottom"/>
            <w:gridSpan w:val="2"/>
            <w:vMerge w:val="restart"/>
          </w:tcPr>
          <w:p>
            <w:pPr>
              <w:ind w:left="2740"/>
              <w:spacing w:after="0"/>
              <w:rPr>
                <w:sz w:val="20"/>
                <w:szCs w:val="20"/>
                <w:color w:val="auto"/>
              </w:rPr>
            </w:pPr>
            <w:r>
              <w:rPr>
                <w:rFonts w:ascii="Times New Roman" w:cs="Times New Roman" w:eastAsia="Times New Roman" w:hAnsi="Times New Roman"/>
                <w:sz w:val="18"/>
                <w:szCs w:val="18"/>
                <w:b w:val="1"/>
                <w:bCs w:val="1"/>
                <w:color w:val="auto"/>
              </w:rPr>
              <w:t>Use</w:t>
            </w:r>
          </w:p>
        </w:tc>
        <w:tc>
          <w:tcPr>
            <w:tcW w:w="1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Leased/Owned</w:t>
            </w:r>
          </w:p>
        </w:tc>
        <w:tc>
          <w:tcPr>
            <w:tcW w:w="0" w:type="dxa"/>
            <w:vAlign w:val="bottom"/>
          </w:tcPr>
          <w:p>
            <w:pPr>
              <w:spacing w:after="0"/>
              <w:rPr>
                <w:sz w:val="1"/>
                <w:szCs w:val="1"/>
                <w:color w:val="auto"/>
              </w:rPr>
            </w:pPr>
          </w:p>
        </w:tc>
      </w:tr>
      <w:tr>
        <w:trPr>
          <w:trHeight w:val="243"/>
        </w:trPr>
        <w:tc>
          <w:tcPr>
            <w:tcW w:w="2380" w:type="dxa"/>
            <w:vAlign w:val="bottom"/>
            <w:gridSpan w:val="2"/>
            <w:vMerge w:val="continue"/>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Square Feet</w:t>
            </w:r>
          </w:p>
        </w:tc>
        <w:tc>
          <w:tcPr>
            <w:tcW w:w="5860" w:type="dxa"/>
            <w:vAlign w:val="bottom"/>
            <w:gridSpan w:val="2"/>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2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Tarrytown, New York</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1,800,000</w:t>
            </w:r>
          </w:p>
        </w:tc>
        <w:tc>
          <w:tcPr>
            <w:tcW w:w="100" w:type="dxa"/>
            <w:vAlign w:val="bottom"/>
            <w:tcBorders>
              <w:top w:val="single" w:sz="8" w:color="CCEEFF"/>
            </w:tcBorders>
            <w:shd w:val="clear" w:color="auto" w:fill="CCEEFF"/>
          </w:tcPr>
          <w:p>
            <w:pPr>
              <w:spacing w:after="0"/>
              <w:rPr>
                <w:sz w:val="14"/>
                <w:szCs w:val="14"/>
                <w:color w:val="auto"/>
              </w:rPr>
            </w:pPr>
          </w:p>
        </w:tc>
        <w:tc>
          <w:tcPr>
            <w:tcW w:w="57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Corporate headquarters, laboratory, and office space</w:t>
            </w: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Leased or</w:t>
            </w: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Owned</w:t>
            </w:r>
            <w:r>
              <w:rPr>
                <w:rFonts w:ascii="Times New Roman" w:cs="Times New Roman" w:eastAsia="Times New Roman" w:hAnsi="Times New Roman"/>
                <w:sz w:val="23"/>
                <w:szCs w:val="23"/>
                <w:color w:val="auto"/>
                <w:vertAlign w:val="superscript"/>
              </w:rPr>
              <w:t>(a)</w:t>
            </w:r>
          </w:p>
        </w:tc>
        <w:tc>
          <w:tcPr>
            <w:tcW w:w="0" w:type="dxa"/>
            <w:vAlign w:val="bottom"/>
          </w:tcPr>
          <w:p>
            <w:pPr>
              <w:spacing w:after="0"/>
              <w:rPr>
                <w:sz w:val="1"/>
                <w:szCs w:val="1"/>
                <w:color w:val="auto"/>
              </w:rPr>
            </w:pPr>
          </w:p>
        </w:tc>
      </w:tr>
      <w:tr>
        <w:trPr>
          <w:trHeight w:val="230"/>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Rensselaer, New York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100" w:type="dxa"/>
            <w:vAlign w:val="bottom"/>
          </w:tcPr>
          <w:p>
            <w:pPr>
              <w:spacing w:after="0"/>
              <w:rPr>
                <w:sz w:val="19"/>
                <w:szCs w:val="19"/>
                <w:color w:val="auto"/>
              </w:rPr>
            </w:pPr>
          </w:p>
        </w:tc>
        <w:tc>
          <w:tcPr>
            <w:tcW w:w="5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Manufacturing, warehouse, laboratory, fill/finish</w:t>
            </w:r>
            <w:r>
              <w:rPr>
                <w:rFonts w:ascii="Times New Roman" w:cs="Times New Roman" w:eastAsia="Times New Roman" w:hAnsi="Times New Roman"/>
                <w:sz w:val="23"/>
                <w:szCs w:val="23"/>
                <w:color w:val="auto"/>
                <w:vertAlign w:val="superscript"/>
              </w:rPr>
              <w:t>(b)</w:t>
            </w:r>
            <w:r>
              <w:rPr>
                <w:rFonts w:ascii="Times New Roman" w:cs="Times New Roman" w:eastAsia="Times New Roman" w:hAnsi="Times New Roman"/>
                <w:sz w:val="18"/>
                <w:szCs w:val="18"/>
                <w:color w:val="auto"/>
              </w:rPr>
              <w:t>, and office space</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Limerick, Ireland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100" w:type="dxa"/>
            <w:vAlign w:val="bottom"/>
            <w:shd w:val="clear" w:color="auto" w:fill="CCEEFF"/>
          </w:tcPr>
          <w:p>
            <w:pPr>
              <w:spacing w:after="0"/>
              <w:rPr>
                <w:sz w:val="19"/>
                <w:szCs w:val="19"/>
                <w:color w:val="auto"/>
              </w:rPr>
            </w:pPr>
          </w:p>
        </w:tc>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warehouse, laboratory, and office space</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bl>
    <w:p>
      <w:pPr>
        <w:spacing w:after="0" w:line="13" w:lineRule="exact"/>
        <w:rPr>
          <w:sz w:val="20"/>
          <w:szCs w:val="20"/>
          <w:color w:val="auto"/>
        </w:rPr>
      </w:pPr>
    </w:p>
    <w:p>
      <w:pPr>
        <w:jc w:val="both"/>
        <w:ind w:left="220" w:right="660" w:firstLine="8"/>
        <w:spacing w:after="0" w:line="206" w:lineRule="auto"/>
        <w:tabs>
          <w:tab w:leader="none" w:pos="394"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 xml:space="preserve">Approximately 1,500,000 square feet is leased pursuant to a lease financing facility and approximately 300,000 square feet is owned. Refer to Part II, Item 7. "Management's Discussion and Analysis of Financial Condition and Results of Operations - Liquidity and Capital Resources - </w:t>
      </w:r>
      <w:r>
        <w:rPr>
          <w:rFonts w:ascii="Times New Roman" w:cs="Times New Roman" w:eastAsia="Times New Roman" w:hAnsi="Times New Roman"/>
          <w:sz w:val="16"/>
          <w:szCs w:val="16"/>
          <w:i w:val="1"/>
          <w:iCs w:val="1"/>
          <w:color w:val="auto"/>
        </w:rPr>
        <w:t>Tarrytown, New York Corporate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Headquarters Lease</w:t>
      </w:r>
      <w:r>
        <w:rPr>
          <w:rFonts w:ascii="Times New Roman" w:cs="Times New Roman" w:eastAsia="Times New Roman" w:hAnsi="Times New Roman"/>
          <w:sz w:val="16"/>
          <w:szCs w:val="16"/>
          <w:color w:val="auto"/>
        </w:rPr>
        <w:t>" for further details regarding the lease financing facility.</w:t>
      </w:r>
    </w:p>
    <w:p>
      <w:pPr>
        <w:spacing w:after="0" w:line="1" w:lineRule="exact"/>
        <w:rPr>
          <w:rFonts w:ascii="Times New Roman" w:cs="Times New Roman" w:eastAsia="Times New Roman" w:hAnsi="Times New Roman"/>
          <w:sz w:val="22"/>
          <w:szCs w:val="22"/>
          <w:color w:val="auto"/>
          <w:vertAlign w:val="superscript"/>
        </w:rPr>
      </w:pPr>
    </w:p>
    <w:p>
      <w:pPr>
        <w:ind w:left="400" w:hanging="172"/>
        <w:spacing w:after="0" w:line="204" w:lineRule="auto"/>
        <w:tabs>
          <w:tab w:leader="none" w:pos="4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Our fill/finish facility in Rensselaer, New York is currently undergoing process validation and has yet to be approved for commercial production</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properties summarized in the table above, we own an approximate 100-acre parcel of land adjacent to our Tarrytown, New York location, which we are in the process of developing, primarily to expand our research and support facilities to accommodate our growth. In 2024, we also acquired an approximate 1,000,000 square foot facility in Saratoga Springs, New York, and we are in the process of designing and developing this property for production support activities and expanding our manufacturing capacity.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16 to our Consolidated Financial Statements included in this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ind w:right="192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Information</w:t>
      </w: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par value $.001 per share, is quoted on The NASDAQ Global Select Market under the symbol "REGN." Our Class A Stock, par value $.001 per share, is not publicly quoted or traded.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22, 2026, there were 150 shareholders of record of our Common Stock and 14 shareholders of record of our Class A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we initiated a quarterly cash dividend program. In January 2026, our board of directors declared a cash dividend of $0.94 per share on our Common Stock and Class A stock, which will be payable to our shareholders in March 2026. We currently intend to continue to pay a quarterly cash dividend, although the amount and timing of any future dividends are subject to authorization by our board of directors and will depend on various factors. Refer to Part II, Item 7. "Management's Discussion and Analysis of Financial Condition and Results of Operations - Liquidity and Capital Resources - Dividends" for further details.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a line graph comparing the cumulative total shareholder return on Regeneron's Common Stock with the cumulative total return of (i) the NASDAQ US Benchmark Pharmaceuticals Total Return Index ("NQ US Pharma TR Index"), and (ii) Standard &amp; Poor's 500 Stock Index ("S&amp;P 500") for the period from December 31, 2020 through December 31, 2025. The comparison assumes that $100 was invested on December 31, 2020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346075</wp:posOffset>
            </wp:positionV>
            <wp:extent cx="5846445" cy="34290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4644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3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12/31/2020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12/31/2021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12/31/2022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12/31/2024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12/31/2025</w:t>
            </w: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159.77</w:t>
            </w: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182.25</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NQ US Pharma TR Index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200.89</w:t>
            </w: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Securities Exchange Act of 1934, as amended, or incorporated by reference into any filing of ours under the Securities Act of 1933, as amended, or the Securities Exchange Act, except as shall be expressly set forth by specific reference in such filing.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reflects shares of Common Stock we repurchased under our share repurchase programs, as well as Common Stock withheld by us for employees to satisfy their tax withholding obligations arising upon the vesting of restricted stock granted under one of our long-term incentive plans, during the three months ended December 31, 2025. Refer to Part II, Item 7. "Management's Discussion and Analysis of Financial Condition and Results of Operations - Liquidity and Capital Resources" for further details of our share repurchase programs.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20" w:type="dxa"/>
            <w:vAlign w:val="bottom"/>
          </w:tcPr>
          <w:p>
            <w:pPr>
              <w:spacing w:after="0"/>
              <w:rPr>
                <w:sz w:val="18"/>
                <w:szCs w:val="18"/>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Shares that May Yet Be</w:t>
            </w: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76"/>
        </w:trPr>
        <w:tc>
          <w:tcPr>
            <w:tcW w:w="21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29"/>
        </w:trPr>
        <w:tc>
          <w:tcPr>
            <w:tcW w:w="2140" w:type="dxa"/>
            <w:vAlign w:val="bottom"/>
            <w:gridSpan w:val="2"/>
            <w:vMerge w:val="continue"/>
          </w:tcPr>
          <w:p>
            <w:pPr>
              <w:spacing w:after="0"/>
              <w:rPr>
                <w:sz w:val="19"/>
                <w:szCs w:val="19"/>
                <w:color w:val="auto"/>
              </w:rPr>
            </w:pPr>
          </w:p>
        </w:tc>
        <w:tc>
          <w:tcPr>
            <w:tcW w:w="18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0" w:type="dxa"/>
            <w:vAlign w:val="bottom"/>
          </w:tcPr>
          <w:p>
            <w:pPr>
              <w:spacing w:after="0"/>
              <w:rPr>
                <w:sz w:val="1"/>
                <w:szCs w:val="1"/>
                <w:color w:val="auto"/>
              </w:rPr>
            </w:pPr>
          </w:p>
        </w:tc>
      </w:tr>
      <w:tr>
        <w:trPr>
          <w:trHeight w:val="223"/>
        </w:trPr>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10/1/2025–10/31/2025</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394,828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592.94</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394,828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0" w:type="dxa"/>
            <w:vAlign w:val="bottom"/>
          </w:tcPr>
          <w:p>
            <w:pPr>
              <w:spacing w:after="0"/>
              <w:rPr>
                <w:sz w:val="1"/>
                <w:szCs w:val="1"/>
                <w:color w:val="auto"/>
              </w:rPr>
            </w:pPr>
          </w:p>
        </w:tc>
      </w:tr>
      <w:tr>
        <w:trPr>
          <w:trHeight w:val="229"/>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11/1/2025–11/30/2025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689.69</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1,697.9</w:t>
            </w:r>
          </w:p>
        </w:tc>
        <w:tc>
          <w:tcPr>
            <w:tcW w:w="0" w:type="dxa"/>
            <w:vAlign w:val="bottom"/>
          </w:tcPr>
          <w:p>
            <w:pPr>
              <w:spacing w:after="0"/>
              <w:rPr>
                <w:sz w:val="1"/>
                <w:szCs w:val="1"/>
                <w:color w:val="auto"/>
              </w:rPr>
            </w:pPr>
          </w:p>
        </w:tc>
      </w:tr>
      <w:tr>
        <w:trPr>
          <w:trHeight w:val="230"/>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12/1/2025–12/31/2025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735.19</w:t>
            </w:r>
          </w:p>
        </w:tc>
        <w:tc>
          <w:tcPr>
            <w:tcW w:w="10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283,758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1,486.0</w:t>
            </w:r>
          </w:p>
        </w:tc>
        <w:tc>
          <w:tcPr>
            <w:tcW w:w="0" w:type="dxa"/>
            <w:vAlign w:val="bottom"/>
          </w:tcPr>
          <w:p>
            <w:pPr>
              <w:spacing w:after="0"/>
              <w:rPr>
                <w:sz w:val="1"/>
                <w:szCs w:val="1"/>
                <w:color w:val="auto"/>
              </w:rPr>
            </w:pPr>
          </w:p>
        </w:tc>
      </w:tr>
      <w:tr>
        <w:trPr>
          <w:trHeight w:val="305"/>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(a)</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1,319,951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680" w:right="520" w:hanging="6"/>
        <w:spacing w:after="0" w:line="202" w:lineRule="auto"/>
        <w:tabs>
          <w:tab w:leader="none" w:pos="85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difference between the total number of shares purchased and the total number of shares purchased as part of publicly announced programs relates to Common Stock withheld by us for employees to satisfy their tax withholding obligations arising upon the vesting of restricted stock granted under one of our long-term incentive plans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related notes included elsewhere in this report. Refer to Part II, Item 7 in our Annual Report on Form 10-K for the fiscal year ended December 31, 2024 (filed with the SEC on February 5, 2025) for additional discussion of our financial condition and results of operations for the year ended December 31, 2023, as well as our financial condition and results of operations for the year ended December 31, 2024 compared to the year ended December 31, 2023.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research and development efforts have led to numerous products that have received marketing approval and approximately 45 product candidates currently in clinical development (including a number of marketed products for which we are investigating additional indications), most of which were homegrown in our laboratories.</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generate profits and to generate positive cash flow from operations over the next several years depends significantly on the success in commercializing our products, including EYLEA HD and Dupixent. We expect to continue to incur substantial expenses related to our research and development activities, and our research and development activities and related costs which are not reimbursed by collaborators are expected to expand and require additional resources. We also expect to incur substantial costs related to the commercialization of our marketed products. Our financial results may fluctuate from quarter to quarter and will depend on, among other factors, the net sales of our products; the scope and progress of our research and development efforts; the timing of certain expenses; the continuation of our collaborations, in particular with Sanofi and Bayer, including our share of collaboration profits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There is uncertainty surrounding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of America ("GAAP") requires management to make estimates and assumptions that affect reported amounts and related disclosures in the financial statements. Critical accounting estimates are those estimates made in accordance with GAAP that involve a significant level of estimation uncertainty and have had or are reasonably likely to have a material impact on our results of operations or financial condition.</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the current assumptions used to estimate amounts reflected in our Consolidated Financial Statements are appropriate. However, if actual experience differs from the assumptions used in estimating amounts reflected in our Consolidated Financial Statements, the resulting changes could have a material adverse effect on our results of operations, and, in certain situations, could have a material adverse effect on our liquidity and financial condition. The critical accounting estimates that impact our Consolidated Financial Statements are described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revenue from product sales at a point in time when our customer is deemed to have obtained control of the product, which generally occurs upon receipt or acceptance by our customer. The amount of revenue we recognize from product sales may vary due to rebates, chargebacks, and discounts provided under governmental and other programs, distribution-related fees, and other sales-related deductions. In order to determine the transaction price, we estimate, utilizing the expected value method, the amount of variable consideration to which we will be entitled. This estimate is based upon contracts with customers, healthcare providers, payors and government agencies, statutorily-defined discounts applicable to government-funded programs, historical experience, estimated payor mix, and other relevant factors. Calculating these provisions involves estimates and judgments. We review our estimates of rebates, chargebacks, and other applicable provisions each period and record any necessary adjustments in the current period's net product sales. Refer to the "Results of Operations - Revenues - Net Product Sales" section below for further details regarding our provisions, and credits/payments, for sales-related deductions.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various collaborative arrangements to research, develop, manufacture, and commercialize products and/or product candidates. Our collaboration agreements may require us to deliver various rights, services, and/or goods across the entire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life cycle of a product or product candidate. In agreements involving multiple goods or services promised to be transferred to our collaborator, we assess, at the inception of the contract, whether each promise represents a separate obligation (i.e., is "distinct"), or whether such promises should be combined as a single unit of account.</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collaborator performs research and development work or commercialization-related activities and the parties share the related costs, we also recognize, as expense (e.g., research and development expense or selling, general and administrative expense, as applicable) in the period when our collaborator incurs such expenses, the portion of the collaborator's expenses that we are obligated to reimburse. Our collaborators provide us with estimated expenses for the most recent fiscal quarter. The estimates are revised, if necessary, in subsequent periods if actual expenses differ from those estimates.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certain of the Company's collaboration agreements, product sales and cost of sales may be recorded by the Company's collaborators as they are deemed to be the principal in the transaction. In arrangements where we:</w:t>
      </w:r>
    </w:p>
    <w:p>
      <w:pPr>
        <w:spacing w:after="0" w:line="94" w:lineRule="exact"/>
        <w:rPr>
          <w:sz w:val="20"/>
          <w:szCs w:val="20"/>
          <w:color w:val="auto"/>
        </w:rPr>
      </w:pPr>
    </w:p>
    <w:p>
      <w:pPr>
        <w:jc w:val="both"/>
        <w:ind w:left="660" w:hanging="328"/>
        <w:spacing w:after="0" w:line="257"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commercial product to our collaborator, we may be reimbursed for our manufacturing costs as commercial product is shipped to the collaborator (however, recognition of such cost reimbursements may be deferred until the product is sold by our collaborator to third-party customers);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in any profits or losses arising from the commercialization of such products, we record our share of the variable consideration, representing net product sales less cost of goods sold and shared commercialization and other expenses, in the period in which such underlying sales occur and costs are incurred by the collaborator;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royalties and/or sales-based milestone payments from our collaborator, we recognize such amounts in the period earned.</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collaborators provide us with estimates of product sales and our share of profits or losses, as applicable, for each quarter. The estimates are revised, if necessary, in subsequent periods if our actual share of profits or losses differ from those estimates.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stock-based compensation expense for equity grants under our long-term incentive plans to employees and non-employee members of our board of directors based on the grant-date fair value of those awards. The grant-date fair value of an award is generally recognized as compensation expense over the award's requisite service period. Stock-based compensation expense also includes an estimate, which is made at the time of grant, of the number of awards that are expected to be forfeited. The forfeiture rate estimate is calculated by considering both historical forfeiture experience and an</w:t>
      </w:r>
    </w:p>
    <w:p>
      <w:pPr>
        <w:spacing w:after="0" w:line="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estimate of expected future forfeitures for currently outstanding unvested awards. This estimate is reviewed at least annually and revised, if necessary, in subsequent periods if actual forfeitures differ from those estimates. The assumptions used in computing the fair value of equity awards reflect our best estimates but involve uncertainties related to market and other conditions, many of which are outside our control. Changes in any of these assumptions may materially affect the fair value of awards granted and the amount of stock-based compensation recognized in future periods.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which is based on our historical practice and expectation of future dividend payments, and (iv) risk-free interest rates, which are based on quoted U.S. Treasury rates for securities with maturities approximating the options' expected lives. Expected volatility is estimated based on actual movements in our stock price over the most recent historical periods equivalent to the options' expected lives. Expected lives are principally based on our historical exercise experience with previously issued employee and board of director option grants.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a Monte Carlo simulation to compute the estimated fair value of performance-based restricted stock units that are subject to vesting based on the Company's attainment of pre-established criteria that include a market condition.</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performance-based restricted stock units that contain a performance condition, we recognize stock-based compensation expense if and when we determine that it is probable the performance condition will be achieved (based on the number of shares expected to be vested and issued). We reassess the probability of achievement at each reporting period and adjust compensation cost, as necessary. If there are any changes in our probability assessment, we recognize a cumulative catch-up adjustment in the period of the change in estimate, with the remaining unrecognized expense recognized prospectively over the remaining requisite service period. If we subsequently determine that the performance criteria are not met or are not expected to be met, any amounts previously recognized as compensation expense are reversed in the period when such determination is made.</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13 to our Consolidated Financial Statements for stock-based compensation expense and related assumptions used in determining the fair value of our awards.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deferred tax assets and liabilities for the expected future tax consequences of events that have been included in the financial statements or tax returns, including deferred tax assets and liabilities for expected amounts of Net CFC Tested Income (“NCTI”) (formerly known as global intangible low-taxed income ("GILTI")) inclusions. Deferred tax assets and liabilities are determined as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 We periodically re-assess the need for a valuation allowance against our deferred tax assets based on all available evidence, including scheduled reversals of deferred tax liabilities, projected future taxable income, tax planning strategies, results of recent operations, and our historical earnings experience by taxing jurisdiction. Significant judgment is required in making this assessment.</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the financial statement effects of a tax position when our assessment is that there is more than a 50% probability that the position will be sustained upon examination by a taxing authority based upon its technical merits. Uncertain tax positions are recorded based upon certain recognition and measurement criteria. Significant judgment is required in making this assessment, and, therefore, we re-evaluate uncertain tax positions and consider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 We adjust the amount of the liability to reflect any subsequent changes in the relevant facts and circumstances surrounding the uncertain tax positions.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capitalize inventory costs associated with our products prior to regulatory approval when, based on management's judgment, future commercialization is considered probable and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periodically analyze our inventory levels to identify inventory that may expire prior to expected sale or has a cost basis in excess of its estimated realizable value. In addition, our products are subject to strict quality control and monitoring which we perform throughout the manufacturing process. If certain batches or units of product no longer meet quality specifications or become obsolete due to expiration, we record a charge to write down such inventory to its estimated realizable value.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make certain judgments to determine whether a transaction should be accounted for as a business combination or as an asset acquisition.</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 business combination, the acquisition method of accounting generally requires that the assets acquired and liabilities assumed be recorded as of the date of the acquisition at their respective fair values. There can be significant judgment involved in determining the estimated fair values of such assets and liabilities. Amounts allocated to acquired in-process research and development are capitalized as indefinite-lived intangible assets. Any excess of the purchase price (consideration transferred) over the fair values of net assets acquired is recorded as goodwill. Contingent consideration obligations are recorded at fair value as of the acquisition date and remeasured each subsequent reporting period until the contingencies have been resolved. The fair value of contingent consideration liabilities is determined using inputs that may include the probability of achieving certain milestones and estimated discount rates.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it is determined that the assets acquired do not meet the definition of a business, or if substantially all of the fair value of the assets acquired are concentrated in a single identifiable asset, then the transaction is accounted for as an asset acquisition rather than a business combination. In an asset acquisition, assets acquired are recorded at cost, goodwill is not recorded, and acquired in-process research and development with no alternative future use is charged to expense.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acquired in a business combination are recorded at fair value, while intangible assets acquired in connection with an asset acquisition are recorded at cost.</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to acquire intangible assets in an asset acquisition may include up-front payments and contingent consideration. With regard to contingent consideration in an asset acquisition, the Company recognizes regulatory milestones upon achievement, royalties in the period in which the underlying sales occur, and sales-based milestones when the milestone is deemed probable by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of being achieved. If contingent consideration is recognized subsequent to the acquisition date in an asset acquisition, the amount of such consideration is recorded as an addition to the cost basis of the intangible asset with a cumulative catch-up adjustment for amortization expense as if the additional amount of consideration had been accrued from the outset of the acquisition.</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Indefinite-lived intangible assets are subject to impairment testing until completion or abandonment of the associated research and development efforts. Definite-lived intangible assets are amortized over the estimated useful lives of the assets based on the pattern in which the economic benefits of the intangible assets are consumed; if that pattern cannot be reliably determined, a straight-line basis is used.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are reviewed for recoverability whenever events or changes in circumstances (e.g., changes in economic, regulatory, or legal conditions) indicate that the carrying amount of the asset may not be recoverable. If an indicator of impairment exists, we compare the projected undiscounted cash flows to be generated by the asset to the intangible asset's carrying amount. If the projected undiscounted cash flows of the intangible asset are less than the carrying amount, the intangible asset is written down to its fair value in the period in which the impairment occurs.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 based on management's judgment, for an estimated loss when the potential loss from claims or legal proceedings is considered probable and the amount can be reasonably estimated. As additional information becomes available, or, based on specific events such as the outcome of litigation or settlement of claims, we reassess the potential liability related to pending claims and litigation, and may change our estimates.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620" w:type="dxa"/>
            <w:vAlign w:val="bottom"/>
          </w:tcPr>
          <w:p>
            <w:pPr>
              <w:spacing w:after="0"/>
              <w:rPr>
                <w:sz w:val="20"/>
                <w:szCs w:val="20"/>
                <w:color w:val="auto"/>
              </w:rPr>
            </w:pPr>
          </w:p>
        </w:tc>
      </w:tr>
      <w:tr>
        <w:trPr>
          <w:trHeight w:val="223"/>
        </w:trPr>
        <w:tc>
          <w:tcPr>
            <w:tcW w:w="1620" w:type="dxa"/>
            <w:vAlign w:val="bottom"/>
          </w:tcPr>
          <w:p>
            <w:pPr>
              <w:spacing w:after="0"/>
              <w:rPr>
                <w:sz w:val="19"/>
                <w:szCs w:val="19"/>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20" w:type="dxa"/>
            <w:vAlign w:val="bottom"/>
          </w:tcPr>
          <w:p>
            <w:pPr>
              <w:spacing w:after="0"/>
              <w:rPr>
                <w:sz w:val="19"/>
                <w:szCs w:val="19"/>
                <w:color w:val="auto"/>
              </w:rPr>
            </w:pPr>
          </w:p>
        </w:tc>
      </w:tr>
      <w:tr>
        <w:trPr>
          <w:trHeight w:val="223"/>
        </w:trPr>
        <w:tc>
          <w:tcPr>
            <w:tcW w:w="162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13,117.2</w:t>
            </w:r>
          </w:p>
        </w:tc>
        <w:tc>
          <w:tcPr>
            <w:tcW w:w="1620" w:type="dxa"/>
            <w:vAlign w:val="bottom"/>
          </w:tcPr>
          <w:p>
            <w:pPr>
              <w:spacing w:after="0"/>
              <w:rPr>
                <w:sz w:val="19"/>
                <w:szCs w:val="19"/>
                <w:color w:val="auto"/>
              </w:rPr>
            </w:pPr>
          </w:p>
        </w:tc>
      </w:tr>
      <w:tr>
        <w:trPr>
          <w:trHeight w:val="230"/>
        </w:trPr>
        <w:tc>
          <w:tcPr>
            <w:tcW w:w="1620" w:type="dxa"/>
            <w:vAlign w:val="bottom"/>
          </w:tcPr>
          <w:p>
            <w:pPr>
              <w:spacing w:after="0"/>
              <w:rPr>
                <w:sz w:val="19"/>
                <w:szCs w:val="19"/>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9,070.1</w:t>
            </w:r>
          </w:p>
        </w:tc>
        <w:tc>
          <w:tcPr>
            <w:tcW w:w="1620" w:type="dxa"/>
            <w:vAlign w:val="bottom"/>
          </w:tcPr>
          <w:p>
            <w:pPr>
              <w:spacing w:after="0"/>
              <w:rPr>
                <w:sz w:val="19"/>
                <w:szCs w:val="19"/>
                <w:color w:val="auto"/>
              </w:rPr>
            </w:pPr>
          </w:p>
        </w:tc>
      </w:tr>
      <w:tr>
        <w:trPr>
          <w:trHeight w:val="223"/>
        </w:trPr>
        <w:tc>
          <w:tcPr>
            <w:tcW w:w="162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4,047.1</w:t>
            </w:r>
          </w:p>
        </w:tc>
        <w:tc>
          <w:tcPr>
            <w:tcW w:w="1620" w:type="dxa"/>
            <w:vAlign w:val="bottom"/>
          </w:tcPr>
          <w:p>
            <w:pPr>
              <w:spacing w:after="0"/>
              <w:rPr>
                <w:sz w:val="19"/>
                <w:szCs w:val="19"/>
                <w:color w:val="auto"/>
              </w:rPr>
            </w:pPr>
          </w:p>
        </w:tc>
      </w:tr>
      <w:tr>
        <w:trPr>
          <w:trHeight w:val="230"/>
        </w:trPr>
        <w:tc>
          <w:tcPr>
            <w:tcW w:w="1620" w:type="dxa"/>
            <w:vAlign w:val="bottom"/>
          </w:tcPr>
          <w:p>
            <w:pPr>
              <w:spacing w:after="0"/>
              <w:rPr>
                <w:sz w:val="19"/>
                <w:szCs w:val="19"/>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620" w:type="dxa"/>
            <w:vAlign w:val="bottom"/>
          </w:tcPr>
          <w:p>
            <w:pPr>
              <w:spacing w:after="0"/>
              <w:rPr>
                <w:sz w:val="19"/>
                <w:szCs w:val="19"/>
                <w:color w:val="auto"/>
              </w:rPr>
            </w:pPr>
          </w:p>
        </w:tc>
      </w:tr>
      <w:tr>
        <w:trPr>
          <w:trHeight w:val="223"/>
        </w:trPr>
        <w:tc>
          <w:tcPr>
            <w:tcW w:w="162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4,199.3</w:t>
            </w:r>
          </w:p>
        </w:tc>
        <w:tc>
          <w:tcPr>
            <w:tcW w:w="1620" w:type="dxa"/>
            <w:vAlign w:val="bottom"/>
          </w:tcPr>
          <w:p>
            <w:pPr>
              <w:spacing w:after="0"/>
              <w:rPr>
                <w:sz w:val="19"/>
                <w:szCs w:val="19"/>
                <w:color w:val="auto"/>
              </w:rPr>
            </w:pPr>
          </w:p>
        </w:tc>
      </w:tr>
      <w:tr>
        <w:trPr>
          <w:trHeight w:val="229"/>
        </w:trPr>
        <w:tc>
          <w:tcPr>
            <w:tcW w:w="1620" w:type="dxa"/>
            <w:vAlign w:val="bottom"/>
          </w:tcPr>
          <w:p>
            <w:pPr>
              <w:spacing w:after="0"/>
              <w:rPr>
                <w:sz w:val="19"/>
                <w:szCs w:val="19"/>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620" w:type="dxa"/>
            <w:vAlign w:val="bottom"/>
          </w:tcPr>
          <w:p>
            <w:pPr>
              <w:spacing w:after="0"/>
              <w:rPr>
                <w:sz w:val="19"/>
                <w:szCs w:val="19"/>
                <w:color w:val="auto"/>
              </w:rPr>
            </w:pPr>
          </w:p>
        </w:tc>
      </w:tr>
      <w:tr>
        <w:trPr>
          <w:trHeight w:val="248"/>
        </w:trPr>
        <w:tc>
          <w:tcPr>
            <w:tcW w:w="16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1620" w:type="dxa"/>
            <w:vAlign w:val="bottom"/>
          </w:tcPr>
          <w:p>
            <w:pPr>
              <w:spacing w:after="0"/>
              <w:rPr>
                <w:sz w:val="21"/>
                <w:szCs w:val="21"/>
                <w:color w:val="auto"/>
              </w:rPr>
            </w:pPr>
          </w:p>
        </w:tc>
      </w:tr>
      <w:tr>
        <w:trPr>
          <w:trHeight w:val="20"/>
        </w:trPr>
        <w:tc>
          <w:tcPr>
            <w:tcW w:w="162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3"/>
        </w:trPr>
        <w:tc>
          <w:tcPr>
            <w:tcW w:w="16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0"/>
        </w:trPr>
        <w:tc>
          <w:tcPr>
            <w:tcW w:w="162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620" w:type="dxa"/>
            <w:vAlign w:val="bottom"/>
          </w:tcPr>
          <w:p>
            <w:pPr>
              <w:spacing w:after="0"/>
              <w:rPr>
                <w:sz w:val="19"/>
                <w:szCs w:val="19"/>
                <w:color w:val="auto"/>
              </w:rPr>
            </w:pPr>
          </w:p>
        </w:tc>
      </w:tr>
      <w:tr>
        <w:trPr>
          <w:trHeight w:val="797"/>
        </w:trPr>
        <w:tc>
          <w:tcPr>
            <w:tcW w:w="1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8"/>
        </w:trPr>
        <w:tc>
          <w:tcPr>
            <w:tcW w:w="16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2"/>
        </w:trPr>
        <w:tc>
          <w:tcPr>
            <w:tcW w:w="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4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 vs. 2023</w:t>
            </w:r>
          </w:p>
        </w:tc>
      </w:tr>
      <w:tr>
        <w:trPr>
          <w:trHeight w:val="209"/>
        </w:trPr>
        <w:tc>
          <w:tcPr>
            <w:tcW w:w="14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1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EYLEA HD - U.S.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1,035.3</w:t>
            </w:r>
          </w:p>
        </w:tc>
      </w:tr>
      <w:tr>
        <w:trPr>
          <w:trHeight w:val="229"/>
        </w:trPr>
        <w:tc>
          <w:tcPr>
            <w:tcW w:w="1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EYLEA - U.S.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w:t>
            </w:r>
          </w:p>
        </w:tc>
      </w:tr>
      <w:tr>
        <w:trPr>
          <w:trHeight w:val="223"/>
        </w:trPr>
        <w:tc>
          <w:tcPr>
            <w:tcW w:w="140" w:type="dxa"/>
            <w:vAlign w:val="bottom"/>
          </w:tcPr>
          <w:p>
            <w:pPr>
              <w:spacing w:after="0"/>
              <w:rPr>
                <w:sz w:val="19"/>
                <w:szCs w:val="19"/>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EYLEA HD and EYLEA - U.S.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29"/>
        </w:trPr>
        <w:tc>
          <w:tcPr>
            <w:tcW w:w="1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Libtayo - U.S.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r>
      <w:tr>
        <w:trPr>
          <w:trHeight w:val="230"/>
        </w:trPr>
        <w:tc>
          <w:tcPr>
            <w:tcW w:w="140" w:type="dxa"/>
            <w:vAlign w:val="bottom"/>
          </w:tcPr>
          <w:p>
            <w:pPr>
              <w:spacing w:after="0"/>
              <w:rPr>
                <w:sz w:val="19"/>
                <w:szCs w:val="19"/>
                <w:color w:val="auto"/>
              </w:rPr>
            </w:pPr>
          </w:p>
        </w:tc>
        <w:tc>
          <w:tcPr>
            <w:tcW w:w="3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Libtayo - ROW</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23"/>
        </w:trPr>
        <w:tc>
          <w:tcPr>
            <w:tcW w:w="140" w:type="dxa"/>
            <w:vAlign w:val="bottom"/>
          </w:tcPr>
          <w:p>
            <w:pPr>
              <w:spacing w:after="0"/>
              <w:rPr>
                <w:sz w:val="19"/>
                <w:szCs w:val="19"/>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Libtayo - Global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r>
      <w:tr>
        <w:trPr>
          <w:trHeight w:val="230"/>
        </w:trPr>
        <w:tc>
          <w:tcPr>
            <w:tcW w:w="1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Praluent - U.S.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9"/>
        </w:trPr>
        <w:tc>
          <w:tcPr>
            <w:tcW w:w="1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Evkeeza - U.S.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9"/>
        </w:trPr>
        <w:tc>
          <w:tcPr>
            <w:tcW w:w="1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Inmazeb - U.S.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1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products - Global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6,309.1</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7,629.2</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7,078.0</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551.2</w:t>
            </w:r>
          </w:p>
        </w:tc>
      </w:tr>
      <w:tr>
        <w:trPr>
          <w:trHeight w:val="257"/>
        </w:trPr>
        <w:tc>
          <w:tcPr>
            <w:tcW w:w="140" w:type="dxa"/>
            <w:vAlign w:val="bottom"/>
          </w:tcPr>
          <w:p>
            <w:pPr>
              <w:spacing w:after="0"/>
              <w:rPr>
                <w:sz w:val="22"/>
                <w:szCs w:val="22"/>
                <w:color w:val="auto"/>
              </w:rPr>
            </w:pPr>
          </w:p>
        </w:tc>
        <w:tc>
          <w:tcPr>
            <w:tcW w:w="37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9"/>
        </w:trPr>
        <w:tc>
          <w:tcPr>
            <w:tcW w:w="1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Sanofi</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r>
      <w:tr>
        <w:trPr>
          <w:trHeight w:val="229"/>
        </w:trPr>
        <w:tc>
          <w:tcPr>
            <w:tcW w:w="1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Bayer</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1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Roche</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29"/>
        </w:trPr>
        <w:tc>
          <w:tcPr>
            <w:tcW w:w="1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9"/>
        </w:trPr>
        <w:tc>
          <w:tcPr>
            <w:tcW w:w="1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3"/>
        </w:trPr>
        <w:tc>
          <w:tcPr>
            <w:tcW w:w="1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13,117.2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1,084.8</w:t>
            </w:r>
          </w:p>
        </w:tc>
      </w:tr>
      <w:tr>
        <w:trPr>
          <w:trHeight w:val="20"/>
        </w:trPr>
        <w:tc>
          <w:tcPr>
            <w:tcW w:w="1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product sales of EYLEA HD increased in 2025 compared to 2024, due to higher sales volumes, partly offset by a lower net selling price. EYLEA HD was approved by the FDA in August 2023.</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 sales of EYLEA decreased in 2025 compared to 2024, due to (i) lower sales volumes as a result of continued competitive pressures (as described below), loss in market share to compounded bevacizumab due to patient affordability constraints, and the continued transition of patients to EYLEA HD, and (ii) a lower net selling price.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EYLEA net product sales have been, and are likely to continue to be, negatively impacted by increased competition from other anti-VEGF products, including biosimilars, as well as the transition of patients from EYLEA to EYLEA HD. The magnitude and duration of such impact is presently unknown. For more information, see Part I, Item 1A. "Risk Factors - Risks Related to Commercialization of Our Marketed Products, Product Candidates, and New Indications for Our Marketed Products - We are substantially dependent on the success of EYLEA HD, EYLEA, and Dupixent" and "The commercial success of our products and product candidates is subject to significant competition - Marketed Products." In addition, if independent not-for-profit patient assistance funds that provide copay assistance are unable to support eligible patients, this will likely have a continued negative impact on patient affordability resulting in lower utilization of higher-cost anti-VEGF agents.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chargebacks, and discounts; distribution-related fees; and other sales-related deductions. The following table summarizes the provisions, and credits/payments, for sales-related deductions: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180" w:type="dxa"/>
            <w:vAlign w:val="bottom"/>
          </w:tcPr>
          <w:p>
            <w:pPr>
              <w:spacing w:after="0"/>
              <w:rPr>
                <w:sz w:val="17"/>
                <w:szCs w:val="17"/>
                <w:color w:val="auto"/>
              </w:rPr>
            </w:pPr>
          </w:p>
        </w:tc>
        <w:tc>
          <w:tcPr>
            <w:tcW w:w="130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120" w:type="dxa"/>
            <w:vAlign w:val="bottom"/>
          </w:tcPr>
          <w:p>
            <w:pPr>
              <w:spacing w:after="0"/>
              <w:rPr>
                <w:sz w:val="17"/>
                <w:szCs w:val="17"/>
                <w:color w:val="auto"/>
              </w:rPr>
            </w:pPr>
          </w:p>
        </w:tc>
        <w:tc>
          <w:tcPr>
            <w:tcW w:w="15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Other Sales-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Chargebacks,</w:t>
            </w: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5"/>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Related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restart"/>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and Discounts</w:t>
            </w:r>
          </w:p>
        </w:tc>
        <w:tc>
          <w:tcPr>
            <w:tcW w:w="180" w:type="dxa"/>
            <w:vAlign w:val="bottom"/>
          </w:tcPr>
          <w:p>
            <w:pPr>
              <w:spacing w:after="0"/>
              <w:rPr>
                <w:sz w:val="19"/>
                <w:szCs w:val="19"/>
                <w:color w:val="auto"/>
              </w:rPr>
            </w:pPr>
          </w:p>
        </w:tc>
        <w:tc>
          <w:tcPr>
            <w:tcW w:w="13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Related Fees</w:t>
            </w:r>
          </w:p>
        </w:tc>
        <w:tc>
          <w:tcPr>
            <w:tcW w:w="120" w:type="dxa"/>
            <w:vAlign w:val="bottom"/>
          </w:tcPr>
          <w:p>
            <w:pPr>
              <w:spacing w:after="0"/>
              <w:rPr>
                <w:sz w:val="19"/>
                <w:szCs w:val="19"/>
                <w:color w:val="auto"/>
              </w:rPr>
            </w:pPr>
          </w:p>
        </w:tc>
        <w:tc>
          <w:tcPr>
            <w:tcW w:w="15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(2,518.5)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(2,989.9)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(3,182.1)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12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0"/>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3,136.5</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Sales-based milestones earned</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4940" w:type="dxa"/>
            <w:vAlign w:val="bottom"/>
            <w:gridSpan w:val="6"/>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613.0</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5,884.0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4,531.4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3,799.5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100" w:right="920" w:firstLine="6"/>
        <w:spacing w:after="0" w:line="204" w:lineRule="auto"/>
        <w:tabs>
          <w:tab w:leader="none" w:pos="127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Corresponding costs incurred by the Company in connection with such manufacturing is recorded within Cost of collaboration and contract manufacturing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net product sales of Dupixent and Kevzara are recorded by Sanofi, and we and Sanofi share profits on such sales.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the commercialization of Dupixent and Kevzara is summarized below:</w:t>
      </w:r>
    </w:p>
    <w:p>
      <w:pPr>
        <w:spacing w:after="0" w:line="289"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Dupixent and Kevzara net product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18,381.</w:t>
            </w:r>
            <w:r>
              <w:rPr>
                <w:rFonts w:ascii="Times New Roman" w:cs="Times New Roman" w:eastAsia="Times New Roman" w:hAnsi="Times New Roman"/>
                <w:sz w:val="18"/>
                <w:szCs w:val="18"/>
                <w:u w:val="single" w:color="auto"/>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14,606.</w:t>
            </w:r>
            <w:r>
              <w:rPr>
                <w:rFonts w:ascii="Times New Roman" w:cs="Times New Roman" w:eastAsia="Times New Roman" w:hAnsi="Times New Roman"/>
                <w:sz w:val="18"/>
                <w:szCs w:val="18"/>
                <w:u w:val="single" w:color="auto"/>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Regeneron's share of collaboration profits in connection with</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3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3,596.3</w:t>
            </w:r>
          </w:p>
        </w:tc>
        <w:tc>
          <w:tcPr>
            <w:tcW w:w="0" w:type="dxa"/>
            <w:vAlign w:val="bottom"/>
          </w:tcPr>
          <w:p>
            <w:pPr>
              <w:spacing w:after="0"/>
              <w:rPr>
                <w:sz w:val="1"/>
                <w:szCs w:val="1"/>
                <w:color w:val="auto"/>
              </w:rPr>
            </w:pPr>
          </w:p>
        </w:tc>
      </w:tr>
      <w:tr>
        <w:trPr>
          <w:trHeight w:val="175"/>
        </w:trPr>
        <w:tc>
          <w:tcPr>
            <w:tcW w:w="5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development expenses incurred by Sanofi in</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accordance with Regeneron's payment obligation</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3,136.5</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share of profits as a percentage of Dupixent and Kevzara</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product sales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520" w:right="1720" w:hanging="2"/>
        <w:spacing w:after="0" w:line="215" w:lineRule="auto"/>
        <w:tabs>
          <w:tab w:leader="none" w:pos="1679"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See "Liquidity and Capital Resources - Additional Funding Requirements" below for additional details on our contingent reimbursement obligation</w:t>
      </w:r>
    </w:p>
    <w:p>
      <w:pPr>
        <w:spacing w:after="0" w:line="2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increase in our share of profits during the year ended December 31, 2025, compared to 2024, was driven by higher profits primarily associated with an increase in Dupixent sales.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12"/>
        </w:trPr>
        <w:tc>
          <w:tcPr>
            <w:tcW w:w="10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3"/>
        </w:trPr>
        <w:tc>
          <w:tcPr>
            <w:tcW w:w="1040" w:type="dxa"/>
            <w:vAlign w:val="bottom"/>
          </w:tcPr>
          <w:p>
            <w:pPr>
              <w:spacing w:after="0"/>
              <w:rPr>
                <w:sz w:val="19"/>
                <w:szCs w:val="19"/>
                <w:color w:val="auto"/>
              </w:rPr>
            </w:pPr>
          </w:p>
        </w:tc>
        <w:tc>
          <w:tcPr>
            <w:tcW w:w="5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1040" w:type="dxa"/>
            <w:vAlign w:val="bottom"/>
          </w:tcPr>
          <w:p>
            <w:pPr>
              <w:spacing w:after="0"/>
              <w:rPr>
                <w:sz w:val="19"/>
                <w:szCs w:val="19"/>
                <w:color w:val="auto"/>
              </w:rPr>
            </w:pPr>
          </w:p>
        </w:tc>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w:t>
            </w:r>
          </w:p>
        </w:tc>
      </w:tr>
      <w:tr>
        <w:trPr>
          <w:trHeight w:val="229"/>
        </w:trPr>
        <w:tc>
          <w:tcPr>
            <w:tcW w:w="1040" w:type="dxa"/>
            <w:vAlign w:val="bottom"/>
          </w:tcPr>
          <w:p>
            <w:pPr>
              <w:spacing w:after="0"/>
              <w:rPr>
                <w:sz w:val="19"/>
                <w:szCs w:val="19"/>
                <w:color w:val="auto"/>
              </w:rPr>
            </w:pPr>
          </w:p>
        </w:tc>
        <w:tc>
          <w:tcPr>
            <w:tcW w:w="53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48"/>
        </w:trPr>
        <w:tc>
          <w:tcPr>
            <w:tcW w:w="1040" w:type="dxa"/>
            <w:vAlign w:val="bottom"/>
          </w:tcPr>
          <w:p>
            <w:pPr>
              <w:spacing w:after="0"/>
              <w:rPr>
                <w:sz w:val="21"/>
                <w:szCs w:val="21"/>
                <w:color w:val="auto"/>
              </w:rPr>
            </w:pPr>
          </w:p>
        </w:tc>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w:t>
            </w:r>
          </w:p>
        </w:tc>
      </w:tr>
      <w:tr>
        <w:trPr>
          <w:trHeight w:val="20"/>
        </w:trPr>
        <w:tc>
          <w:tcPr>
            <w:tcW w:w="1040" w:type="dxa"/>
            <w:vAlign w:val="bottom"/>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380" w:right="1220" w:hanging="4"/>
        <w:spacing w:after="0" w:line="199" w:lineRule="auto"/>
        <w:tabs>
          <w:tab w:leader="none" w:pos="155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Corresponding costs incurred by the Company in connection with such manufacturing is recorded within Cost of collaboration and contract manufacturing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Bayer records net product sales of EYLEA 8 mg and EYLEA outside the United States, and we and Bayer share profits on such sales.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commercialization of EYLEA 8 mg and EYLEA outside the United States is summarized below:</w:t>
      </w:r>
    </w:p>
    <w:p>
      <w:pPr>
        <w:spacing w:after="0" w:line="194"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8 mg and EYLEA net product sales outside the United States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Regeneron's share of collaboration profit from sales outside the United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3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0" w:type="dxa"/>
            <w:vAlign w:val="bottom"/>
          </w:tcPr>
          <w:p>
            <w:pPr>
              <w:spacing w:after="0"/>
              <w:rPr>
                <w:sz w:val="1"/>
                <w:szCs w:val="1"/>
                <w:color w:val="auto"/>
              </w:rPr>
            </w:pPr>
          </w:p>
        </w:tc>
      </w:tr>
      <w:tr>
        <w:trPr>
          <w:trHeight w:val="176"/>
        </w:trPr>
        <w:tc>
          <w:tcPr>
            <w:tcW w:w="5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development expenses incurred by Bayer in</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accordance with Regeneron's payment obligation</w:t>
            </w:r>
            <w:r>
              <w:rPr>
                <w:rFonts w:ascii="Times New Roman" w:cs="Times New Roman" w:eastAsia="Times New Roman" w:hAnsi="Times New Roman"/>
                <w:sz w:val="23"/>
                <w:szCs w:val="23"/>
                <w:color w:val="auto"/>
                <w:vertAlign w:val="superscript"/>
              </w:rPr>
              <w:t>(a)</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share of profits as a percentage of EYLEA 8 mg and</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EYLEA net product sales outside the United States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380" w:right="1840" w:hanging="4"/>
        <w:spacing w:after="0" w:line="199" w:lineRule="auto"/>
        <w:tabs>
          <w:tab w:leader="none" w:pos="155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See "Liquidity and Capital Resources - Additional Funding Requirements" below for additional details on our contingent reimbursement obligation</w:t>
      </w:r>
    </w:p>
    <w:p>
      <w:pPr>
        <w:spacing w:after="0" w:line="2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our share of profits for the year ended December 31, 2025, compared to the same period in 2024, was primarily driven by lower profits associated with a decrease in EYLEA sales outside the United States.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Roche Collaboration Revenue</w:t>
      </w:r>
    </w:p>
    <w:p>
      <w:pPr>
        <w:spacing w:after="0" w:line="15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Under the terms of the Roche collaboration, Roche distributed and recorded net product sales of Ronapreve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outside the United States, and the parties shared gross profits from sales based on a pre-specified formula. In 2023, total Roche collaboration revenue was $211.0 million. Net product sales of Ronapreve outside the United States declined as a result of new variants of the SARS-CoV-2 virus emerging that are not susceptible to the treatment.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Revenue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05"/>
        </w:trPr>
        <w:tc>
          <w:tcPr>
            <w:tcW w:w="10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23"/>
        </w:trPr>
        <w:tc>
          <w:tcPr>
            <w:tcW w:w="1040" w:type="dxa"/>
            <w:vAlign w:val="bottom"/>
          </w:tcPr>
          <w:p>
            <w:pPr>
              <w:spacing w:after="0"/>
              <w:rPr>
                <w:sz w:val="19"/>
                <w:szCs w:val="19"/>
                <w:color w:val="auto"/>
              </w:rPr>
            </w:pPr>
          </w:p>
        </w:tc>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1040" w:type="dxa"/>
            <w:vAlign w:val="bottom"/>
          </w:tcPr>
          <w:p>
            <w:pPr>
              <w:spacing w:after="0"/>
              <w:rPr>
                <w:sz w:val="19"/>
                <w:szCs w:val="19"/>
                <w:color w:val="auto"/>
              </w:rPr>
            </w:pPr>
          </w:p>
        </w:tc>
        <w:tc>
          <w:tcPr>
            <w:tcW w:w="5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Royalties on sales of Novartis' Ilaris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(canakinumab)</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30"/>
        </w:trPr>
        <w:tc>
          <w:tcPr>
            <w:tcW w:w="1040" w:type="dxa"/>
            <w:vAlign w:val="bottom"/>
          </w:tcPr>
          <w:p>
            <w:pPr>
              <w:spacing w:after="0"/>
              <w:rPr>
                <w:sz w:val="19"/>
                <w:szCs w:val="19"/>
                <w:color w:val="auto"/>
              </w:rPr>
            </w:pPr>
          </w:p>
        </w:tc>
        <w:tc>
          <w:tcPr>
            <w:tcW w:w="5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Regeneron's share of profits from sales of ARCALYST</w:t>
            </w:r>
            <w:r>
              <w:rPr>
                <w:rFonts w:ascii="Times New Roman" w:cs="Times New Roman" w:eastAsia="Times New Roman" w:hAnsi="Times New Roman"/>
                <w:sz w:val="23"/>
                <w:szCs w:val="23"/>
                <w:color w:val="auto"/>
                <w:vertAlign w:val="superscript"/>
              </w:rPr>
              <w:t>(b)</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30"/>
        </w:trPr>
        <w:tc>
          <w:tcPr>
            <w:tcW w:w="1040" w:type="dxa"/>
            <w:vAlign w:val="bottom"/>
          </w:tcPr>
          <w:p>
            <w:pPr>
              <w:spacing w:after="0"/>
              <w:rPr>
                <w:sz w:val="19"/>
                <w:szCs w:val="19"/>
                <w:color w:val="auto"/>
              </w:rPr>
            </w:pPr>
          </w:p>
        </w:tc>
        <w:tc>
          <w:tcPr>
            <w:tcW w:w="5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(c)</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r>
      <w:tr>
        <w:trPr>
          <w:trHeight w:val="223"/>
        </w:trPr>
        <w:tc>
          <w:tcPr>
            <w:tcW w:w="104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w:t>
            </w:r>
          </w:p>
        </w:tc>
      </w:tr>
      <w:tr>
        <w:trPr>
          <w:trHeight w:val="20"/>
        </w:trPr>
        <w:tc>
          <w:tcPr>
            <w:tcW w:w="10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380" w:right="1340" w:hanging="4"/>
        <w:spacing w:after="0" w:line="199" w:lineRule="auto"/>
        <w:tabs>
          <w:tab w:leader="none" w:pos="155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connection with our agreement with Novartis, the tiered royalty rates start at 4% and reach 15% after annual sales exceed $1.5 billion</w:t>
      </w:r>
    </w:p>
    <w:p>
      <w:pPr>
        <w:spacing w:after="0" w:line="46" w:lineRule="exact"/>
        <w:rPr>
          <w:rFonts w:ascii="Times New Roman" w:cs="Times New Roman" w:eastAsia="Times New Roman" w:hAnsi="Times New Roman"/>
          <w:sz w:val="23"/>
          <w:szCs w:val="23"/>
          <w:color w:val="auto"/>
          <w:vertAlign w:val="superscript"/>
        </w:rPr>
      </w:pPr>
    </w:p>
    <w:p>
      <w:pPr>
        <w:ind w:left="1380" w:right="1360" w:hanging="4"/>
        <w:spacing w:after="0" w:line="199" w:lineRule="auto"/>
        <w:tabs>
          <w:tab w:leader="none" w:pos="1556"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connection with our license agreement with Kiniksa Pharmaceuticals, Ltd., we are entitled to receive 50% of Kiniksa's profits from sales of ARCALYST</w:t>
      </w:r>
    </w:p>
    <w:p>
      <w:pPr>
        <w:spacing w:after="0" w:line="46" w:lineRule="exact"/>
        <w:rPr>
          <w:rFonts w:ascii="Times New Roman" w:cs="Times New Roman" w:eastAsia="Times New Roman" w:hAnsi="Times New Roman"/>
          <w:sz w:val="23"/>
          <w:szCs w:val="23"/>
          <w:color w:val="auto"/>
          <w:vertAlign w:val="superscript"/>
        </w:rPr>
      </w:pPr>
    </w:p>
    <w:p>
      <w:pPr>
        <w:ind w:left="1380" w:right="1440" w:hanging="4"/>
        <w:spacing w:after="0" w:line="199" w:lineRule="auto"/>
        <w:tabs>
          <w:tab w:leader="none" w:pos="155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Consists primarily of amounts earned in connection with manufacturing product for others; corresponding costs incurred by the Company in connection with such manufacturing is recorded within Cost of collaboration and contract manufacturing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92"/>
        </w:trPr>
        <w:tc>
          <w:tcPr>
            <w:tcW w:w="5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 except headcount data)</w:t>
            </w:r>
          </w:p>
        </w:tc>
        <w:tc>
          <w:tcPr>
            <w:tcW w:w="2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6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 vs. 2023</w:t>
            </w:r>
          </w:p>
        </w:tc>
      </w:tr>
      <w:tr>
        <w:trPr>
          <w:trHeight w:val="223"/>
        </w:trPr>
        <w:tc>
          <w:tcPr>
            <w:tcW w:w="500" w:type="dxa"/>
            <w:vAlign w:val="bottom"/>
          </w:tcPr>
          <w:p>
            <w:pPr>
              <w:spacing w:after="0"/>
              <w:rPr>
                <w:sz w:val="19"/>
                <w:szCs w:val="19"/>
                <w:color w:val="auto"/>
              </w:rPr>
            </w:pPr>
          </w:p>
        </w:tc>
        <w:tc>
          <w:tcPr>
            <w:tcW w:w="37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r>
      <w:tr>
        <w:trPr>
          <w:trHeight w:val="229"/>
        </w:trPr>
        <w:tc>
          <w:tcPr>
            <w:tcW w:w="5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30"/>
        </w:trPr>
        <w:tc>
          <w:tcPr>
            <w:tcW w:w="500" w:type="dxa"/>
            <w:vAlign w:val="bottom"/>
          </w:tcPr>
          <w:p>
            <w:pPr>
              <w:spacing w:after="0"/>
              <w:rPr>
                <w:sz w:val="19"/>
                <w:szCs w:val="19"/>
                <w:color w:val="auto"/>
              </w:rPr>
            </w:pPr>
          </w:p>
        </w:tc>
        <w:tc>
          <w:tcPr>
            <w:tcW w:w="3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r>
      <w:tr>
        <w:trPr>
          <w:trHeight w:val="229"/>
        </w:trPr>
        <w:tc>
          <w:tcPr>
            <w:tcW w:w="5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181"/>
        </w:trPr>
        <w:tc>
          <w:tcPr>
            <w:tcW w:w="500" w:type="dxa"/>
            <w:vAlign w:val="bottom"/>
          </w:tcPr>
          <w:p>
            <w:pPr>
              <w:spacing w:after="0"/>
              <w:rPr>
                <w:sz w:val="15"/>
                <w:szCs w:val="15"/>
                <w:color w:val="auto"/>
              </w:rPr>
            </w:pPr>
          </w:p>
        </w:tc>
        <w:tc>
          <w:tcPr>
            <w:tcW w:w="37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Cost of collaboration and contract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38"/>
        </w:trPr>
        <w:tc>
          <w:tcPr>
            <w:tcW w:w="500" w:type="dxa"/>
            <w:vAlign w:val="bottom"/>
          </w:tcPr>
          <w:p>
            <w:pPr>
              <w:spacing w:after="0"/>
              <w:rPr>
                <w:sz w:val="20"/>
                <w:szCs w:val="20"/>
                <w:color w:val="auto"/>
              </w:rPr>
            </w:pPr>
          </w:p>
        </w:tc>
        <w:tc>
          <w:tcPr>
            <w:tcW w:w="3720" w:type="dxa"/>
            <w:vAlign w:val="bottom"/>
            <w:shd w:val="clear" w:color="auto" w:fill="CCEEFF"/>
          </w:tcPr>
          <w:p>
            <w:pPr>
              <w:ind w:left="160"/>
              <w:spacing w:after="0" w:line="237" w:lineRule="exact"/>
              <w:rPr>
                <w:sz w:val="20"/>
                <w:szCs w:val="20"/>
                <w:color w:val="auto"/>
              </w:rPr>
            </w:pPr>
            <w:r>
              <w:rPr>
                <w:rFonts w:ascii="Times New Roman" w:cs="Times New Roman" w:eastAsia="Times New Roman" w:hAnsi="Times New Roman"/>
                <w:sz w:val="18"/>
                <w:szCs w:val="18"/>
                <w:color w:val="auto"/>
              </w:rPr>
              <w:t>manufacturing</w:t>
            </w:r>
            <w:r>
              <w:rPr>
                <w:rFonts w:ascii="Times New Roman" w:cs="Times New Roman" w:eastAsia="Times New Roman" w:hAnsi="Times New Roman"/>
                <w:sz w:val="23"/>
                <w:szCs w:val="23"/>
                <w:color w:val="auto"/>
                <w:vertAlign w:val="superscript"/>
              </w:rPr>
              <w:t>(b)</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500" w:type="dxa"/>
            <w:vAlign w:val="bottom"/>
          </w:tcPr>
          <w:p>
            <w:pPr>
              <w:spacing w:after="0"/>
              <w:rPr>
                <w:sz w:val="19"/>
                <w:szCs w:val="19"/>
                <w:color w:val="auto"/>
              </w:rPr>
            </w:pPr>
          </w:p>
        </w:tc>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48"/>
        </w:trPr>
        <w:tc>
          <w:tcPr>
            <w:tcW w:w="50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w:t>
            </w:r>
            <w:r>
              <w:rPr>
                <w:rFonts w:ascii="Times New Roman" w:cs="Times New Roman" w:eastAsia="Times New Roman" w:hAnsi="Times New Roman"/>
                <w:sz w:val="18"/>
                <w:szCs w:val="18"/>
                <w:u w:val="single" w:color="auto"/>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w:t>
            </w:r>
            <w:r>
              <w:rPr>
                <w:rFonts w:ascii="Times New Roman" w:cs="Times New Roman" w:eastAsia="Times New Roman" w:hAnsi="Times New Roman"/>
                <w:sz w:val="18"/>
                <w:szCs w:val="18"/>
                <w:u w:val="single" w:color="auto"/>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1,141.2</w:t>
            </w:r>
          </w:p>
        </w:tc>
      </w:tr>
      <w:tr>
        <w:trPr>
          <w:trHeight w:val="20"/>
        </w:trPr>
        <w:tc>
          <w:tcPr>
            <w:tcW w:w="50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50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headcount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r>
    </w:tbl>
    <w:p>
      <w:pPr>
        <w:spacing w:after="0" w:line="40" w:lineRule="exact"/>
        <w:rPr>
          <w:sz w:val="20"/>
          <w:szCs w:val="20"/>
          <w:color w:val="auto"/>
        </w:rPr>
      </w:pPr>
    </w:p>
    <w:p>
      <w:pPr>
        <w:ind w:left="840" w:hanging="173"/>
        <w:spacing w:after="0"/>
        <w:tabs>
          <w:tab w:leader="none" w:pos="84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Includes costs incurred net of any cost reimbursements from collaborators</w:t>
      </w:r>
    </w:p>
    <w:p>
      <w:pPr>
        <w:spacing w:after="0" w:line="64" w:lineRule="exact"/>
        <w:rPr>
          <w:rFonts w:ascii="Times New Roman" w:cs="Times New Roman" w:eastAsia="Times New Roman" w:hAnsi="Times New Roman"/>
          <w:sz w:val="23"/>
          <w:szCs w:val="23"/>
          <w:color w:val="auto"/>
          <w:vertAlign w:val="superscript"/>
        </w:rPr>
      </w:pPr>
    </w:p>
    <w:p>
      <w:pPr>
        <w:ind w:left="840" w:hanging="173"/>
        <w:spacing w:after="0" w:line="182" w:lineRule="auto"/>
        <w:tabs>
          <w:tab w:leader="none" w:pos="840"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costs incurred in connection with manufacturing drug supplies for collaborators and others</w:t>
      </w:r>
    </w:p>
    <w:p>
      <w:pPr>
        <w:spacing w:after="0" w:line="2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in 2025 and 2024 included stock-based compensation expense of $993.7 million and $982.8 million, respectively. As of December 31, 2025, unrecognized stock-based compensation expense related to unvested stock options and unvested restricted stock was $385.8 million and $1.493 billion, respectively. We expect to recognize this stock-based compensation expense related to stock options and restricted stock over weighted-average periods of 1.7 years and 2.3 years, respectively.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summarizes our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drug filling, packaging, and labeling costs. Clinical manufacturing costs also include pre-launch commercial supplies which did not meet the criteria to be capitalized as inventory (see "Critical Accounting Estimates - Inventories" above).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163"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gridSpan w:val="8"/>
          </w:tcPr>
          <w:p>
            <w:pPr>
              <w:ind w:lef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0" w:type="dxa"/>
            <w:vAlign w:val="bottom"/>
          </w:tcPr>
          <w:p>
            <w:pPr>
              <w:spacing w:after="0"/>
              <w:rPr>
                <w:sz w:val="20"/>
                <w:szCs w:val="20"/>
                <w:color w:val="auto"/>
              </w:rPr>
            </w:pPr>
          </w:p>
        </w:tc>
        <w:tc>
          <w:tcPr>
            <w:tcW w:w="264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30"/>
              <w:spacing w:after="0" w:line="223" w:lineRule="exact"/>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3"/>
                <w:szCs w:val="23"/>
                <w:b w:val="1"/>
                <w:bCs w:val="1"/>
                <w:color w:val="auto"/>
                <w:vertAlign w:val="superscript"/>
              </w:rPr>
              <w:t>*</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50"/>
              <w:spacing w:after="0" w:line="223" w:lineRule="exact"/>
              <w:rPr>
                <w:sz w:val="20"/>
                <w:szCs w:val="20"/>
                <w:color w:val="auto"/>
              </w:rPr>
            </w:pP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23"/>
                <w:szCs w:val="23"/>
                <w:b w:val="1"/>
                <w:bCs w:val="1"/>
                <w:color w:val="auto"/>
                <w:vertAlign w:val="superscript"/>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 vs. 2023</w:t>
            </w: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Fianlimab</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29"/>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Lynozyfic (linvoseltamab)</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30"/>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Ordspono (odronextamab)</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9"/>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Itepekimab</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Dupixent (dupilumab)</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EYLEA HD (aflibercept) 8 mg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Libtayo (cemiplimab)</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0"/>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Trevogrumab</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9"/>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Pozelimab/cemdisiran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175"/>
        </w:trPr>
        <w:tc>
          <w:tcPr>
            <w:tcW w:w="43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product candidates in clinical development and</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4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research programs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23"/>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w:t>
            </w:r>
          </w:p>
        </w:tc>
      </w:tr>
      <w:tr>
        <w:trPr>
          <w:trHeight w:val="237"/>
        </w:trPr>
        <w:tc>
          <w:tcPr>
            <w:tcW w:w="4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29"/>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 supplies and other research and development costs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23"/>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w:t>
            </w:r>
          </w:p>
        </w:tc>
      </w:tr>
      <w:tr>
        <w:trPr>
          <w:trHeight w:val="237"/>
        </w:trPr>
        <w:tc>
          <w:tcPr>
            <w:tcW w:w="4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56"/>
        </w:trPr>
        <w:tc>
          <w:tcPr>
            <w:tcW w:w="4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Priority review voucher</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175"/>
        </w:trPr>
        <w:tc>
          <w:tcPr>
            <w:tcW w:w="4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research and development expenses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 collaborators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57"/>
        </w:trPr>
        <w:tc>
          <w:tcPr>
            <w:tcW w:w="43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w:t>
            </w:r>
          </w:p>
        </w:tc>
      </w:tr>
      <w:tr>
        <w:trPr>
          <w:trHeight w:val="20"/>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600" w:hanging="102"/>
        <w:spacing w:after="0"/>
        <w:tabs>
          <w:tab w:leader="none" w:pos="60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200" w:lineRule="exact"/>
        <w:rPr>
          <w:rFonts w:ascii="Times New Roman" w:cs="Times New Roman" w:eastAsia="Times New Roman" w:hAnsi="Times New Roman"/>
          <w:sz w:val="23"/>
          <w:szCs w:val="23"/>
          <w:color w:val="auto"/>
          <w:vertAlign w:val="superscript"/>
        </w:rPr>
      </w:pPr>
    </w:p>
    <w:p>
      <w:pPr>
        <w:spacing w:after="0" w:line="233"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included stock-based compensation expense of $545.4 million and $543.8 million in 2025 and 2024, respectively. Research and development expenses in 2025 included $155.0 million related to an FDA Rare Pediatric Disease Priority Review Voucher ("PRV"). During the fourth quarter of 2025, we made the decision to utilize the PRV for a regulatory submission; this PRV was purchased by us, and capitalized as an intangible asset, in the second quarter of 2025.</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 Item 1A. "Risk Factors." There is also variability in the duration and costs necessary to develop a product candidate,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("IPR&amp;D") Expenses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Acquired IPR&amp;D expenses in 2025 included an $80.0 million up-front payment in connection with our license agreement with Hansoh Pharmaceuticals Group Company Limited.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Acquired IPR&amp;D expenses in 2024 included a $45.0 million development milestone in connection with our collaboration agreement with Sonoma Biotherapeutics,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in 2025, compared to 2024, primarily due to lower charitable contributions to Good Days, an independent non-profit patient assistance organization with a Retinal Vascular and Neovascular Disease Fund (the "Fund"). In July 2025, we launched a matching program for donations made to the Fund and committed to quarterly matching donations through the end of 2025. During the fourth quarter of 2025, we recognized approximately $60 million in connection with matching donations made to the Fund. We have also recently committed to matching donations for up to a total of $200 million during 2026.</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included stock-based compensation expense of $362.9 million and $355.0 million in 2025 and 2024, respectively.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05"/>
        </w:trPr>
        <w:tc>
          <w:tcPr>
            <w:tcW w:w="10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r>
      <w:tr>
        <w:trPr>
          <w:trHeight w:val="223"/>
        </w:trPr>
        <w:tc>
          <w:tcPr>
            <w:tcW w:w="1080" w:type="dxa"/>
            <w:vAlign w:val="bottom"/>
          </w:tcPr>
          <w:p>
            <w:pPr>
              <w:spacing w:after="0"/>
              <w:rPr>
                <w:sz w:val="19"/>
                <w:szCs w:val="19"/>
                <w:color w:val="auto"/>
              </w:rPr>
            </w:pPr>
          </w:p>
        </w:tc>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gross margin on net product sales)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108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932.1</w:t>
            </w:r>
          </w:p>
        </w:tc>
      </w:tr>
      <w:tr>
        <w:trPr>
          <w:trHeight w:val="287"/>
        </w:trPr>
        <w:tc>
          <w:tcPr>
            <w:tcW w:w="10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on net product sales</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r>
    </w:tbl>
    <w:p>
      <w:pPr>
        <w:spacing w:after="0" w:line="9" w:lineRule="exact"/>
        <w:rPr>
          <w:sz w:val="20"/>
          <w:szCs w:val="20"/>
          <w:color w:val="auto"/>
        </w:rPr>
      </w:pPr>
    </w:p>
    <w:p>
      <w:pPr>
        <w:ind w:left="1240" w:right="1740" w:firstLine="8"/>
        <w:spacing w:after="0" w:line="204" w:lineRule="auto"/>
        <w:tabs>
          <w:tab w:leader="none" w:pos="1415"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Gross margin on net product sales represents gross profit expressed as a percentage of total net product sales recorded by the Company. Gross profit is calculated as net product sales (see "Net Product Sales" section above) less cost of goods sold.</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on net product sales decreased in 2025, compared to 2024, partly due to ongoing investments to support our manufacturing operations and higher inventory write-offs and reserves. In addition, gross margin on net product sales decreased due to higher amortization expense associated with our Libtayo intangible asset as each quarter we record additions to the intangible asset related to royalties due to Sanofi.</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Expense</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(income) expense, net, in 2024 reflected a charge of $53.4 million related to the increase in the estimated fair value of the contingent consideration liability recognized in connection with our 2023 acquisition of Decibel Therapeutics, Inc.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92"/>
        </w:trPr>
        <w:tc>
          <w:tcPr>
            <w:tcW w:w="15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r>
      <w:tr>
        <w:trPr>
          <w:trHeight w:val="223"/>
        </w:trPr>
        <w:tc>
          <w:tcPr>
            <w:tcW w:w="1500" w:type="dxa"/>
            <w:vAlign w:val="bottom"/>
          </w:tcPr>
          <w:p>
            <w:pPr>
              <w:spacing w:after="0"/>
              <w:rPr>
                <w:sz w:val="19"/>
                <w:szCs w:val="19"/>
                <w:color w:val="auto"/>
              </w:rPr>
            </w:pPr>
          </w:p>
        </w:tc>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line="223" w:lineRule="exact"/>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3"/>
                <w:szCs w:val="23"/>
                <w:b w:val="1"/>
                <w:bCs w:val="1"/>
                <w:color w:val="auto"/>
                <w:vertAlign w:val="superscript"/>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line="223" w:lineRule="exact"/>
              <w:rPr>
                <w:sz w:val="20"/>
                <w:szCs w:val="20"/>
                <w:color w:val="auto"/>
              </w:rPr>
            </w:pPr>
            <w:r>
              <w:rPr>
                <w:rFonts w:ascii="Times New Roman" w:cs="Times New Roman" w:eastAsia="Times New Roman" w:hAnsi="Times New Roman"/>
                <w:sz w:val="18"/>
                <w:szCs w:val="18"/>
                <w:b w:val="1"/>
                <w:bCs w:val="1"/>
                <w:color w:val="auto"/>
                <w:w w:val="96"/>
              </w:rPr>
              <w:t>2023</w:t>
            </w:r>
            <w:r>
              <w:rPr>
                <w:rFonts w:ascii="Times New Roman" w:cs="Times New Roman" w:eastAsia="Times New Roman" w:hAnsi="Times New Roman"/>
                <w:sz w:val="23"/>
                <w:szCs w:val="23"/>
                <w:b w:val="1"/>
                <w:bCs w:val="1"/>
                <w:color w:val="auto"/>
                <w:w w:val="96"/>
                <w:vertAlign w:val="superscript"/>
              </w:rPr>
              <w:t>*</w:t>
            </w:r>
          </w:p>
        </w:tc>
      </w:tr>
      <w:tr>
        <w:trPr>
          <w:trHeight w:val="223"/>
        </w:trPr>
        <w:tc>
          <w:tcPr>
            <w:tcW w:w="150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on marketable and other securities,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r>
      <w:tr>
        <w:trPr>
          <w:trHeight w:val="229"/>
        </w:trPr>
        <w:tc>
          <w:tcPr>
            <w:tcW w:w="150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r>
      <w:tr>
        <w:trPr>
          <w:trHeight w:val="230"/>
        </w:trPr>
        <w:tc>
          <w:tcPr>
            <w:tcW w:w="150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150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30"/>
        </w:trPr>
        <w:tc>
          <w:tcPr>
            <w:tcW w:w="150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3"/>
        </w:trPr>
        <w:tc>
          <w:tcPr>
            <w:tcW w:w="150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1"/>
        </w:trPr>
        <w:tc>
          <w:tcPr>
            <w:tcW w:w="15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ind w:left="1820" w:hanging="93"/>
        <w:spacing w:after="0" w:line="215" w:lineRule="auto"/>
        <w:tabs>
          <w:tab w:leader="none" w:pos="182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5" w:lineRule="exact"/>
        <w:rPr>
          <w:sz w:val="20"/>
          <w:szCs w:val="20"/>
          <w:color w:val="auto"/>
        </w:rPr>
      </w:pPr>
    </w:p>
    <w:tbl>
      <w:tblPr>
        <w:tblLayout w:type="fixed"/>
        <w:tblInd w:w="178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00" w:type="dxa"/>
            <w:vAlign w:val="bottom"/>
            <w:tcBorders>
              <w:bottom w:val="single" w:sz="8" w:color="auto"/>
            </w:tcBorders>
          </w:tcPr>
          <w:p>
            <w:pPr>
              <w:spacing w:after="0"/>
              <w:rPr>
                <w:sz w:val="20"/>
                <w:szCs w:val="20"/>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effective tax rate)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367.3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245.7</w:t>
            </w: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r>
    </w:tbl>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4, 2025, bill H.R. 1, commonly referred to as the "One Big Beautiful Bill Act" or "OBBBA," was signed into law, with certain provisions effective in 2025 and other provisions becoming effective in 2026. The OBBBA significantly revises U.S. corporate income tax laws by, among other things, restoring the option for immediate expense recognition for U.S.-based research and development expenditures and making permanent the ability to claim first-year bonus depreciation on qualified property. The OBBBA also modifies U.S. taxation on foreign earnings by, among other things, changing the tax rates for global intangible low-taxed income (now known as Net CFC Tested Income) and foreign-derived intangible income (now known as foreign-derived deduction eligible income), modifying the allocation of expenses in calculating foreign tax credits, as well as changing foreign tax credit limitations. As a result of the OBBBA being signed into law, we recognized a charge of $44.5 million in the third quarter of 2025 related to the re-measurement of our U.S. net deferred tax assets.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2025 was positively impacted, compared to the U.S. federal statutory rate, primarily by income earned in foreign jurisdictions with tax rates lower than the U.S. federal statutory rate and federal tax credits for research activities, partially offset by the impact of the OBBBA being signed into law. In addition, our effective tax rate for 2025 was positively impacted by the release of liabilities for uncertain tax positions recognized upon the effective settlement of the IRS audit of our 2017 and 2018 federal income tax returns.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for 2025, compared to 2024, included a lower benefit from stock-based compensation.</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for 2024 was positively impacted, compared to the U.S. federal statutory rate, primarily by stock-based compensation, income earned in foreign jurisdictions with tax rates lower than the U.S. federal statutory rate, and federal tax credits for research activities.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89" w:lineRule="exact"/>
        <w:rPr>
          <w:sz w:val="20"/>
          <w:szCs w:val="20"/>
          <w:color w:val="auto"/>
        </w:rPr>
      </w:pPr>
    </w:p>
    <w:tbl>
      <w:tblPr>
        <w:tblLayout w:type="fixed"/>
        <w:tblInd w:w="134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3"/>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w:t>
            </w:r>
          </w:p>
        </w:tc>
      </w:tr>
      <w:tr>
        <w:trPr>
          <w:trHeight w:val="229"/>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r>
      <w:tr>
        <w:trPr>
          <w:trHeight w:val="230"/>
        </w:trPr>
        <w:tc>
          <w:tcPr>
            <w:tcW w:w="3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10,260.6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1,360.5</w:t>
            </w:r>
          </w:p>
        </w:tc>
      </w:tr>
      <w:tr>
        <w:trPr>
          <w:trHeight w:val="223"/>
        </w:trPr>
        <w:tc>
          <w:tcPr>
            <w:tcW w:w="36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w:t>
            </w:r>
          </w:p>
        </w:tc>
      </w:tr>
      <w:tr>
        <w:trPr>
          <w:trHeight w:val="270"/>
        </w:trPr>
        <w:tc>
          <w:tcPr>
            <w:tcW w:w="3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w:t>
            </w:r>
          </w:p>
        </w:tc>
      </w:tr>
      <w:tr>
        <w:trPr>
          <w:trHeight w:val="229"/>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23"/>
        </w:trPr>
        <w:tc>
          <w:tcPr>
            <w:tcW w:w="36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13,653.5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14,716.6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(1,063.1)</w:t>
            </w: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3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Borrowings and finance lease liabilities: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As of December 31, 2025, we also had borrowing availability of $750.0 million under a revolving credit facility (see further description under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Facility</w:t>
      </w:r>
      <w:r>
        <w:rPr>
          <w:rFonts w:ascii="Times New Roman" w:cs="Times New Roman" w:eastAsia="Times New Roman" w:hAnsi="Times New Roman"/>
          <w:sz w:val="18"/>
          <w:szCs w:val="18"/>
          <w:color w:val="auto"/>
        </w:rPr>
        <w:t>" below).</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40" w:type="dxa"/>
            <w:vAlign w:val="bottom"/>
          </w:tcPr>
          <w:p>
            <w:pPr>
              <w:spacing w:after="0"/>
              <w:rPr>
                <w:sz w:val="19"/>
                <w:szCs w:val="19"/>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2024 vs. 2023</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4,420.5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4,594.0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(173.5)</w:t>
            </w:r>
          </w:p>
        </w:tc>
      </w:tr>
      <w:tr>
        <w:trPr>
          <w:trHeight w:val="23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(2,468.1)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(3,185.1)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717.0</w:t>
            </w:r>
          </w:p>
        </w:tc>
      </w:tr>
      <w:tr>
        <w:trPr>
          <w:trHeight w:val="234"/>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(3,715.4)</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(2,200.5)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(1,790.1)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(410.4)</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Other, net included a $155.0 million charge in connection with a fourth quarter 2025 decision to utilize a PRV for a regulatory submission; such amount was previously capitalized as an intangible asset as described in the "</w:t>
      </w:r>
      <w:r>
        <w:rPr>
          <w:rFonts w:ascii="Times New Roman" w:cs="Times New Roman" w:eastAsia="Times New Roman" w:hAnsi="Times New Roman"/>
          <w:sz w:val="18"/>
          <w:szCs w:val="18"/>
          <w:i w:val="1"/>
          <w:iCs w:val="1"/>
          <w:color w:val="auto"/>
        </w:rPr>
        <w:t>Cash Flows from Investing Activities</w:t>
      </w:r>
      <w:r>
        <w:rPr>
          <w:rFonts w:ascii="Times New Roman" w:cs="Times New Roman" w:eastAsia="Times New Roman" w:hAnsi="Times New Roman"/>
          <w:sz w:val="18"/>
          <w:szCs w:val="18"/>
          <w:color w:val="auto"/>
        </w:rPr>
        <w:t>" section below.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expenditures in 2025 primarily included costs incurred in connection with the expansion of our research, preclinical manufacturing, and support facilities at our Tarrytown, New York corporate headquarters, as well as costs associated with the expansion of our manufacturing facilities. We expect to incur capital expenditures of $1.100 billion to $1.300 billion in 2026, including in connection with the continued expansion of our facilities in Tarrytown, New York and developing our property in Saratoga Springs, New York for production support activities and additional manufacturing capacity. We expect continued significant capital expenditures over the next several years related to these expansion projects.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payments for intangible assets included $155.0 million related to a second quarter 2025 purchase of a PRV from a third party. In addition, payments for intangible assets in 2025, 2024, and 2023 included $160.3 million, $125.7 million, and $207.8 million, respectively, for contingent consideration paid to Sanofi in connection with our acquisition of worldwide rights to Libtayo in 2022.</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Proceeds from issuances of Common Stock, in connection with exercises of employee stock options, were $635.9 million during 2025, compared to $1.465 billion during 2024 and $1.146 billion during 2023. In addition, payments in connection with Common Stock tendered for employee tax obligations were $532.1 million during 2025, compared to $1.029 billion during 2024 and $700.6 million during 2023. For information related to repurchases of Common Stock, see "Share Repurchase Programs" section below.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party to an agreement with a syndicate of lenders (the "Credit Agreement") which provides for a $750.0 million senior unsecured five-year revolving credit facility (the "Credit Facility"). The Credit Agreement includes an option for the Company to elect to increase the commitments under the Credit Facility and/or to enter into one or more tranches of term loans in the aggregate principal amount of up to $500.0 million, subject to the consent of the lenders providing the additional commitments or term loans, as applicable, and certain other conditions. The Credit Agreement also provides a $50.0 million sublimit for letters of credit.</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Proceeds of the loans under the Credit Facility may be used to finance working capital needs, and for general corporate or other lawful purposes, of Regeneron and its subsidiaries. Regeneron Pharmaceuticals, Inc. has guaranteed all obligations under the Credit Facility. The Credit Agreement includes an option for us to elect to extend the maturity date of the Credit Facility beyond December 2027, subject to the consent of the extending lenders and certain other conditions. Amounts borrowed under the Credit Facility may be prepaid, and the commitments under the Credit Facility may be terminated, at any time without premium or penalty.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borrowings outstanding under the Credit Facility as of December 31, 2025.</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contains operating covenants and a maximum total leverage ratio financial covenant. We were in compliance with all covenants of the Credit Agreement as of December 31,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has authorized share repurchase programs, including a share repurchase program for up to $3.0 billion of our Common Stock which was authorized in February 2025. The share repurchase programs permit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programs have no time limit and can be discontinued at any time. There can be no assurance as to the timing or number of shares of any repurchases in the future. As of December 31, 2025, $1.486 billion remained available for share repurchases under our share repurchase programs.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our board of directors declared quarterly cash dividends of $0.88 per share on our Common Stock and Class A Stock. Each quarterly dividend was paid to our shareholders in the quarter in which the dividend was declared.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in January 2026, our board of directors declared a cash dividend of $0.94 per share on our Common Stock and Class A Stock. The dividend will be payable on March 5, 2026 to our shareholders of record as of February 20, 2026.</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intend to continue to pay a quarterly cash dividend on our outstanding Common Stock and Class A Stock. Amounts and timing of any future cash dividends are subject to authorization by our board of directors in its sole discretion, after taking into consideration our financial condition and other relevant factors described under "</w:t>
      </w:r>
      <w:r>
        <w:rPr>
          <w:rFonts w:ascii="Times New Roman" w:cs="Times New Roman" w:eastAsia="Times New Roman" w:hAnsi="Times New Roman"/>
          <w:sz w:val="18"/>
          <w:szCs w:val="18"/>
          <w:i w:val="1"/>
          <w:iCs w:val="1"/>
          <w:color w:val="auto"/>
        </w:rPr>
        <w:t>There can be no assurance that we will continue to repurchase shares of our Common Stock or continue to declare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in Part I, Item 1A. "Risk Factors."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Tarrytown, New York Corporate Headquarters Lease</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lease laboratory and office facilities for our corporate headquarters in Tarrytown, New York (the "Facility") under the Third Amended and Restated Lease and Remedies Agreement (the "Lease") with BA Leasing BSC, LLC, an affiliate of Banc of America Leasing &amp; Capital, LLC ("BAL"), as lessor, and the Third Amended and Restated Participation Agreement (the "Participation Agreement") with Bank of America, N.A., as administrative agent, and a syndicate of lenders (collectively with BAL, the "Participants"), as rent assignees. The Lease, Participation Agreement, and certain related agreements provide for $720.0 million of lease financing (previously advanced by the Participants in March 2017 in connection with the acquisition by BAL of the Facility and our lease of the Facility from BAL), which matures when the term of the Lease expires in March 2027, at which time all amounts outstanding thereunder will become payable in full. We have the option to further extend the maturity date of the Participation Agreement and the term of the Lease for an additional five-year period, subject to the consent of the Participants and certain other conditions. We also have the option to (a) purchase the Facility by paying an amount equal to the outstanding principal amount of the Participants' advances under the Participation Agreement, all accrued and unpaid yield thereon, and all other outstanding amounts under the Participation Agreement, Lease, and certain related documents or (b) sell the Facility to a third party on behalf of BAL.</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Lease, we pay all maintenance, insurance, taxes, and other costs arising out of the use of the Facility. We are also required to make monthly payments of basic rent to satisfy the yield payable to the Participants on their outstanding advances under the Participation Agreement. Such advances accrue yield at a variable rate per annum based on the one-month forward-looking Secured Overnight Financing Rate ("SOFR") term rate, plus a spread adjustment, plus an applicable margin that varies with our debt rating and total leverage ratio.</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agreements governing the Lease financing contain financial and operating covenants. Such financial covenants and certain of the operating covenants are substantially similar to the covenants set forth in our Credit Agreement. We were in compliance with all such covenants as of December 31,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Funding Requirements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required to fund operations will depend on various factors, including the potential regulatory approval and commercialization of our product candidates and the timing thereof and the extent and cost of our research and development programs. We believe that our existing capital resources, borrowing availability under the Credit Facility, funds generated by anticipated product sales, and funding for reimbursement of research and development expenses that we are entitled to receive under our collaboration agreements, will enable us to meet our anticipated operating needs for the foreseeable future.</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continue to incur significant costs in connection with our research and development activities. The amount of funding that will be required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including the size of trials, fees charged for services provided by clinical trial investigators and other third parties, the costs for manufacturing the product candidate for use in the trials, and other expenses.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anticipate continuing to incur substantial commercialization costs for our marketed products. Commercialization costs over the next few years will depend on, among other things, the market potential for product candidates, whether commercialization costs are shared with a collaborator, and regulatory approval of additional product candidates.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expenses related to the filing, prosecution, defense, and enforcement of patents and other intellectual property will be substantial.</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Liabilities for unrecognized tax benefits totaled $1.578 billion as of December 31, 2025. Due to their nature, there is a high degree of uncertainty regarding the period and amounts of potential future cash settlement with tax authorities. See Note 15 to our Consolidated Financial Statements.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collaboration and licensing agreements that may require us to pay (i) amounts contingent upon the occurrence of various future events (e.g., upon the achievement of various development and commercial milestones), which, in the aggregate,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could be significant, and/or (ii) royalties calculated based on a percentage of net product sales. The specific timing of these contingent payments cannot be predicted. See Note 3 to our Consolidated Financial Statements.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Part I, Item 1. "Collaboration, License, and Other Agreements," under our collaborations with Sanofi and Bayer, we and our collaborator share profits in connection with commercialization of drug products. If the applicable collaboration is profitable, we have contingent contractual obligations to reimburse Sanofi and Bayer for a defined percentage (generally 50%) of agreed-upon development expenses funded by Sanofi and Bayer (i.e., "development balance"). These reimbursements are deducted each quarter, in accordance with a formula, from our share of the collaboration profits otherwise payable to us, unless, in the case of Bayer, we elect to reimburse these expenses at a faster rate. As of December 31, 2025, our contingent reimbursement obligation to Sanofi in connection with the development balance was approximately $595 million and our contingent reimbursement obligation to Bayer was approximately $296 million. Therefore, we continue to expect that a portion of our share of profits from sales under our collaborations with Sanofi and Bayer will be used to reimburse our collaborators for these obligations.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Consolidated Financial Statements for a description of recently issued accounting standards.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earnings and cash flows are subject to fluctuations due to changes in interest rates, principally in connection with our investments in marketable securities, which consist primarily of corporate bonds and U.S. treasury securities. We do not believe we are materially exposed to changes in interest rates related to our investments, and we do not currently use interest rate derivative instruments to manage exposure to interest rate changes of our investments. We estimate that a 100 basis point, or 1%, unfavorable change in interest rates would have resulted in a $198.3 million and $163.0 million decrease in the fair value of our investment portfolio as of December 31, 2025 and 2024, respectively.</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addition to our investments in marketable securities, we also have exposure to changes in interest rates in connection with our variable rate Tarrytown, New York lease (as described in Part II, Item 7. "Management's Discussion and Analysis of Financial Condition and Results of Operations - Liquidity and Capital Resources - </w:t>
      </w:r>
      <w:r>
        <w:rPr>
          <w:rFonts w:ascii="Times New Roman" w:cs="Times New Roman" w:eastAsia="Times New Roman" w:hAnsi="Times New Roman"/>
          <w:sz w:val="18"/>
          <w:szCs w:val="18"/>
          <w:i w:val="1"/>
          <w:iCs w:val="1"/>
          <w:color w:val="auto"/>
        </w:rPr>
        <w:t>Tarrytown, New York Corporate Headquarters Lease</w:t>
      </w:r>
      <w:r>
        <w:rPr>
          <w:rFonts w:ascii="Times New Roman" w:cs="Times New Roman" w:eastAsia="Times New Roman" w:hAnsi="Times New Roman"/>
          <w:sz w:val="18"/>
          <w:szCs w:val="18"/>
          <w:color w:val="auto"/>
        </w:rPr>
        <w:t>"). Our interest rate exposure is offset by our investments in marketable securities. We continue to monitor our interest rate risk and may utilize derivative instruments and/or other strategies in the future to further mitigate our interest rate exposure.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Risk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investment policy that includes guidelines on acceptable investment securities, minimum credit quality, maturity parameters, and diversification. Nonetheless, deterioration of the credit quality of an investment security subsequent to purchase may subject us to the risk of not being able to recover the full principal value of the security.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changes in foreign exchange rates of the countries outside the United States where our products are sold or where operating expenses are incurred may impact our operating results and financial condition.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collaborators market certain products outside the United States, and we share in profits with these collaborators from commercialization of products. In addition, pursuant to the applicable terms of the agreements with our collaborators, we also share in certain worldwide development and/or commercialization-related expenses incurred by our collaborators.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incur worldwide development expenses for product candidates we are developing independently, incur expenses outside the United States in connection with our international operations, and record product sales for certain products outside the United States.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sales outside the United States continue to grow, and as we expand our international operations, we will continue to assess and implement strategies, including foreign currency hedging, to mitigate our foreign exchange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Price Risk</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price risk on equity securities included in our investment portfolio. Our investments in equity securities include companies with which we have entered into collaboration and other strategic arrangements. As of December 31, 2025 and 2024, the carrying value of our investments in equity securities was $515.8 million and $1.307 billion, respectively. Changes in the fair value of our equity securities are included in Other income (expense), net on the Statements of Operations.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set forth beginning on page F-1 of this report and is incorporated herein by reference.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or 15d-15(e) under the Securities Exchange Act of 1934, as amended (the "Exchange Act")), as of the end of the period covered by this Annual Report on Form 10-K.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Rules 13a-15(f) or 15d-15(f) under the Exchange Act. Our management conducted an evaluation of the effectiveness of our internal control over financial reporting as of December 31, 2025 using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that evaluation, our management has concluded that our internal control over financial reporting was effective as of December 31, 2025. The effectiveness of the Company's internal control over financial reporting as of December 31, 2025 has been audited by PricewaterhouseCoopers LLP, an independent registered public accounting firm, as stated in their report which appears under Part IV, Item 15.</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or 15d-15(f) under the Exchange Act) during the quarter ended December 31, 2025 that has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disclosed in the table below, during the three months ended December 31, 2025, certain of our directors and/or executive officers adopted plans for trading arrangements intended to satisfy the affirmative defense conditions of Rule 10b5-1(c) of the Exchange Act.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 Plan</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Scheduled End Date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0" w:type="dxa"/>
            <w:vAlign w:val="bottom"/>
          </w:tcPr>
          <w:p>
            <w:pPr>
              <w:spacing w:after="0"/>
              <w:rPr>
                <w:sz w:val="1"/>
                <w:szCs w:val="1"/>
                <w:color w:val="auto"/>
              </w:rPr>
            </w:pPr>
          </w:p>
        </w:tc>
      </w:tr>
      <w:tr>
        <w:trPr>
          <w:trHeight w:val="175"/>
        </w:trPr>
        <w:tc>
          <w:tcPr>
            <w:tcW w:w="25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6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620" w:type="dxa"/>
            <w:vAlign w:val="bottom"/>
            <w:gridSpan w:val="2"/>
            <w:vMerge w:val="continue"/>
          </w:tcPr>
          <w:p>
            <w:pPr>
              <w:spacing w:after="0"/>
              <w:rPr>
                <w:sz w:val="15"/>
                <w:szCs w:val="15"/>
                <w:color w:val="auto"/>
              </w:rPr>
            </w:pPr>
          </w:p>
        </w:tc>
        <w:tc>
          <w:tcPr>
            <w:tcW w:w="18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of Trading</w:t>
            </w:r>
          </w:p>
        </w:tc>
        <w:tc>
          <w:tcPr>
            <w:tcW w:w="2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Securities to Be Sold</w:t>
            </w:r>
          </w:p>
        </w:tc>
        <w:tc>
          <w:tcPr>
            <w:tcW w:w="0" w:type="dxa"/>
            <w:vAlign w:val="bottom"/>
          </w:tcPr>
          <w:p>
            <w:pPr>
              <w:spacing w:after="0"/>
              <w:rPr>
                <w:sz w:val="1"/>
                <w:szCs w:val="1"/>
                <w:color w:val="auto"/>
              </w:rPr>
            </w:pPr>
          </w:p>
        </w:tc>
      </w:tr>
      <w:tr>
        <w:trPr>
          <w:trHeight w:val="243"/>
        </w:trPr>
        <w:tc>
          <w:tcPr>
            <w:tcW w:w="2500" w:type="dxa"/>
            <w:vAlign w:val="bottom"/>
            <w:gridSpan w:val="2"/>
            <w:vMerge w:val="continue"/>
          </w:tcPr>
          <w:p>
            <w:pPr>
              <w:spacing w:after="0"/>
              <w:rPr>
                <w:sz w:val="21"/>
                <w:szCs w:val="21"/>
                <w:color w:val="auto"/>
              </w:rPr>
            </w:pPr>
          </w:p>
        </w:tc>
        <w:tc>
          <w:tcPr>
            <w:tcW w:w="3060" w:type="dxa"/>
            <w:vAlign w:val="bottom"/>
            <w:gridSpan w:val="2"/>
            <w:vMerge w:val="continue"/>
          </w:tcPr>
          <w:p>
            <w:pPr>
              <w:spacing w:after="0"/>
              <w:rPr>
                <w:sz w:val="21"/>
                <w:szCs w:val="21"/>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Adoption</w:t>
            </w:r>
          </w:p>
        </w:tc>
        <w:tc>
          <w:tcPr>
            <w:tcW w:w="184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8"/>
                <w:szCs w:val="18"/>
                <w:b w:val="1"/>
                <w:bCs w:val="1"/>
                <w:color w:val="auto"/>
                <w:w w:val="95"/>
              </w:rPr>
              <w:t>Arrangement</w:t>
            </w:r>
            <w:r>
              <w:rPr>
                <w:rFonts w:ascii="Times New Roman" w:cs="Times New Roman" w:eastAsia="Times New Roman" w:hAnsi="Times New Roman"/>
                <w:sz w:val="23"/>
                <w:szCs w:val="23"/>
                <w:b w:val="1"/>
                <w:bCs w:val="1"/>
                <w:color w:val="auto"/>
                <w:w w:val="95"/>
                <w:vertAlign w:val="superscript"/>
              </w:rPr>
              <w:t>(a)</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the Plan</w:t>
            </w:r>
          </w:p>
        </w:tc>
        <w:tc>
          <w:tcPr>
            <w:tcW w:w="0" w:type="dxa"/>
            <w:vAlign w:val="bottom"/>
          </w:tcPr>
          <w:p>
            <w:pPr>
              <w:spacing w:after="0"/>
              <w:rPr>
                <w:sz w:val="1"/>
                <w:szCs w:val="1"/>
                <w:color w:val="auto"/>
              </w:rPr>
            </w:pP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Pitofsky</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Controller</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11/10/2025</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5/10/2026</w:t>
            </w:r>
          </w:p>
        </w:tc>
        <w:tc>
          <w:tcPr>
            <w:tcW w:w="1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Arthur F. Ryan</w:t>
            </w: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10/31/2025</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1/29/2027</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Huda Y. Zoghbi, M.D.</w:t>
            </w: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11/20/2025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1/3/2027</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360" w:hanging="172"/>
        <w:spacing w:after="0"/>
        <w:tabs>
          <w:tab w:leader="none" w:pos="36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trading arrangement may expire on an earlier date if and when all transactions under the arrangement are completed</w:t>
      </w:r>
    </w:p>
    <w:p>
      <w:pPr>
        <w:spacing w:after="0" w:line="254" w:lineRule="exact"/>
        <w:rPr>
          <w:sz w:val="20"/>
          <w:szCs w:val="20"/>
          <w:color w:val="auto"/>
        </w:rPr>
      </w:pPr>
    </w:p>
    <w:p>
      <w:pPr>
        <w:ind w:right="5280"/>
        <w:spacing w:after="0" w:line="414"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(other than the information set forth in the next paragraph in this Item 10) will be included in our definitive proxy statement with respect to our 2026 Annual Meeting of Shareholders to be filed with the SEC, and is incorporated herein by reference.</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The full text of our code of business conduct and ethics can be found on our website (http://www.regeneron.com) under the "Governance" heading on the "Investors &amp; Media" page. We may satisfy the disclosure requirements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2026 Annual Meeting of Shareholders to be filed with the SEC, and is incorporated herein by reference.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2026 Annual Meeting of Shareholders to be filed with the SEC, and is incorporated herein by reference.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2026 Annual Meeting of Shareholders to be filed with the SEC, and is incorporated herein by reference.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2026 Annual Meeting of Shareholders to be filed with the SEC, and is incorporated herein by reference.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6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i w:val="1"/>
          <w:iCs w:val="1"/>
          <w:color w:val="auto"/>
        </w:rPr>
        <w:t>(a)</w:t>
      </w:r>
      <w:r>
        <w:rPr>
          <w:sz w:val="20"/>
          <w:szCs w:val="20"/>
          <w:color w:val="auto"/>
        </w:rPr>
        <w:tab/>
      </w:r>
      <w:r>
        <w:rPr>
          <w:rFonts w:ascii="Times New Roman" w:cs="Times New Roman" w:eastAsia="Times New Roman" w:hAnsi="Times New Roman"/>
          <w:sz w:val="17"/>
          <w:szCs w:val="17"/>
          <w:i w:val="1"/>
          <w:iCs w:val="1"/>
          <w:color w:val="auto"/>
        </w:rPr>
        <w:t>1. Financial Statements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filed as part of this report are listed on the Index to Financial Statements on page F-1.</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16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regulations of the SEC are not required under the related instructions or are inapplicable and, therefore, have been omitted.</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84"/>
              </w:rPr>
              <w:t>Number</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140" w:type="dxa"/>
            <w:vAlign w:val="bottom"/>
            <w:gridSpan w:val="2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2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Restated Certificate of Incorporation, as amended. (Incorporated by reference from the Form 10-Q for Regeneron Pharmaceuticals, Inc.</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80" w:type="dxa"/>
            <w:vAlign w:val="bottom"/>
            <w:tcBorders>
              <w:top w:val="single" w:sz="8" w:color="0000FF"/>
            </w:tcBorders>
            <w:gridSpan w:val="27"/>
            <w:shd w:val="clear" w:color="auto" w:fill="CCEEFF"/>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(the "Registrant"), for the quarter ended June 30, 2025, filed August 1, 2025.)</w:t>
              </w:r>
            </w:hyperlink>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2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20" w:type="dxa"/>
            <w:vAlign w:val="bottom"/>
            <w:gridSpan w:val="28"/>
          </w:tcPr>
          <w:p>
            <w:pPr>
              <w:spacing w:after="0" w:line="18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Amended and Restated By-Laws. (Incorporated by reference from the Form 8-K for the Registrant filed December 21, 2016.)</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Amendment to the Amended and Restated By-Laws effective June 9, 2023. (Incorporated by reference from the Form 8-K for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860" w:type="dxa"/>
            <w:vAlign w:val="bottom"/>
            <w:tcBorders>
              <w:top w:val="single" w:sz="8" w:color="0000FF"/>
            </w:tcBorders>
            <w:gridSpan w:val="16"/>
            <w:shd w:val="clear" w:color="auto" w:fill="CCEEFF"/>
          </w:tcPr>
          <w:p>
            <w:pPr>
              <w:spacing w:after="0" w:line="16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Registrant filed June 14, 2023.)</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2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2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Description of Securities Registered Pursuant to Section 12 of the Securities Exchange Act of 1934.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2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4.2</w:t>
            </w: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Indenture, dated August 12, 2020, between the Registrant and U.S. Bank National Association. (Incorporated by reference from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840" w:type="dxa"/>
            <w:vAlign w:val="bottom"/>
            <w:tcBorders>
              <w:top w:val="single" w:sz="8" w:color="0000FF"/>
            </w:tcBorders>
            <w:gridSpan w:val="15"/>
            <w:shd w:val="clear" w:color="auto" w:fill="CCEEFF"/>
          </w:tcPr>
          <w:p>
            <w:pPr>
              <w:spacing w:after="0" w:line="16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8-K for the Registrant, filed August 12, 2020.)</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2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4.3</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20" w:type="dxa"/>
            <w:vAlign w:val="bottom"/>
            <w:gridSpan w:val="28"/>
          </w:tcPr>
          <w:p>
            <w:pPr>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First Supplemental Indenture, dated August 12, 2020, between the Registrant and U.S. Bank National Association. (Incorporated by</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reference from the Form 8-K for the Registrant, filed August 12, 2020.)</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2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4.4</w:t>
            </w: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1.750% Senior Note due 2030 (included in Exhibit 4.3).</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2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w w:val="97"/>
              </w:rPr>
              <w:t>4.5</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20" w:type="dxa"/>
            <w:vAlign w:val="bottom"/>
            <w:gridSpan w:val="28"/>
          </w:tcPr>
          <w:p>
            <w:pPr>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2.800% Senior Note due 2050 (included in Exhibit 4.3).</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Regeneron Pharmaceuticals, Inc. 2014 Long-Term Incentive Plan. (Incorporated by reference from the Registration Statement on Form</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0000FF"/>
            </w:tcBorders>
            <w:gridSpan w:val="21"/>
            <w:shd w:val="clear" w:color="auto" w:fill="CCEEFF"/>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S-8 for the Registrant, filed June 16, 2014.)</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gridSpan w:val="3"/>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10.1.1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20" w:type="dxa"/>
            <w:vAlign w:val="bottom"/>
            <w:gridSpan w:val="28"/>
          </w:tcPr>
          <w:p>
            <w:pPr>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Registrant's executive officers under the Regeneron Pharmaceuticals, Inc. 2014 Long-Term Incentive Plan (revised). (Incorporated by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9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reference from the Form 8-K for the Registrant, filed November 19, 2015.)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10.1.2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0000FF"/>
            </w:tcBorders>
            <w:gridSpan w:val="23"/>
            <w:shd w:val="clear" w:color="auto" w:fill="CCEEFF"/>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Registrant's non-employee directors under the Regeneron Pharmaceuticals, Inc. 2014 Long-Term Incentive Plan (revised). (Incorporated</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gridSpan w:val="3"/>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by reference from the Form 10-K for the Registrant, for the year ended December 31, 2015, filed February 11, 2016.)</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10.2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20" w:type="dxa"/>
            <w:vAlign w:val="bottom"/>
            <w:gridSpan w:val="28"/>
          </w:tcPr>
          <w:p>
            <w:pPr>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Amended and Restated Regeneron Pharmaceuticals, Inc. 2014 Long-Term Incentive Plan. (Incorporated by reference from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4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Registration Statement on Form S-8 for the Registrant, filed June 12, 2017.)</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10.2.1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0000FF"/>
            </w:tcBorders>
            <w:gridSpan w:val="23"/>
            <w:shd w:val="clear" w:color="auto" w:fill="CCEEFF"/>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Registrant's executive officers under the Amended and Restated Regeneron Pharmaceuticals, Inc. 2014 Long-Term Incentive Plan.</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gridSpan w:val="3"/>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(Incorporated by reference from the Form 10-K for the Registrant, for the year ended December 31, 2017, filed February 8, 2018.)</w:t>
              </w:r>
            </w:hyperlink>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gridSpan w:val="3"/>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10.2.2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20" w:type="dxa"/>
            <w:vAlign w:val="bottom"/>
            <w:gridSpan w:val="28"/>
          </w:tcPr>
          <w:p>
            <w:pPr>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Registrant's non-employee directors under the Amended and Restated Regeneron Pharmaceuticals, Inc. 2014 Long-Term Incentive Plan.</w:t>
              </w:r>
            </w:hyperlink>
          </w:p>
        </w:tc>
        <w:tc>
          <w:tcPr>
            <w:tcW w:w="20" w:type="dxa"/>
            <w:vAlign w:val="bottom"/>
            <w:tcBorders>
              <w:bottom w:val="single" w:sz="8" w:color="0000FF"/>
            </w:tcBorders>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40" w:type="dxa"/>
            <w:vAlign w:val="bottom"/>
            <w:gridSpan w:val="25"/>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(Incorporated by reference from the Form 10-K for the Registrant, for the year ended December 31, 2017, filed February 8, 2018.)</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10.2.3 +</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20" w:type="dxa"/>
            <w:vAlign w:val="bottom"/>
            <w:tcBorders>
              <w:right w:val="single" w:sz="8" w:color="CCEEFF"/>
            </w:tcBorders>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020" w:type="dxa"/>
            <w:vAlign w:val="bottom"/>
            <w:tcBorders>
              <w:top w:val="single" w:sz="8" w:color="0000FF"/>
              <w:bottom w:val="single" w:sz="8" w:color="0000FF"/>
            </w:tcBorders>
            <w:gridSpan w:val="24"/>
            <w:shd w:val="clear" w:color="auto" w:fill="CCEEFF"/>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Registrant's executive officers under the Amended and Restated Regeneron Pharmaceuticals, Inc. 2014 Long-Term Incentive Plan</w:t>
              </w:r>
            </w:hyperlink>
          </w:p>
        </w:tc>
        <w:tc>
          <w:tcPr>
            <w:tcW w:w="100" w:type="dxa"/>
            <w:vAlign w:val="bottom"/>
            <w:tcBorders>
              <w:top w:val="single" w:sz="8" w:color="CCEEFF"/>
              <w:bottom w:val="single" w:sz="8" w:color="0000FF"/>
              <w:right w:val="single" w:sz="8" w:color="CCEEFF"/>
            </w:tcBorders>
            <w:gridSpan w:val="4"/>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120" w:type="dxa"/>
            <w:vAlign w:val="bottom"/>
            <w:tcBorders>
              <w:bottom w:val="single" w:sz="8" w:color="0000FF"/>
              <w:right w:val="single" w:sz="8" w:color="CCEEFF"/>
            </w:tcBorders>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(revised 2018). (Incorporated by reference from the Form 10-K for the Registrant, for the year ended December 31, 2018, filed February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7, 2019.)</w:t>
              </w:r>
            </w:hyperlink>
          </w:p>
        </w:tc>
        <w:tc>
          <w:tcPr>
            <w:tcW w:w="1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10.2.4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20" w:type="dxa"/>
            <w:vAlign w:val="bottom"/>
            <w:gridSpan w:val="28"/>
          </w:tcPr>
          <w:p>
            <w:pPr>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Registrant's non-employee directors under the Amended and Restated Regeneron Pharmaceuticals, Inc. 2014 Long-Term Incentive Plan</w:t>
              </w:r>
            </w:hyperlink>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9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(revised 2018). (Incorporated by reference from the Form 10-K for the Registrant, for the year ended December 31, 2018, filed February</w:t>
              </w:r>
            </w:hyperlink>
          </w:p>
        </w:tc>
        <w:tc>
          <w:tcPr>
            <w:tcW w:w="2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7, 2019.)</w:t>
              </w:r>
            </w:hyperlink>
          </w:p>
        </w:tc>
        <w:tc>
          <w:tcPr>
            <w:tcW w:w="13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2"/>
        </w:trPr>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2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10.2.5 +</w:t>
            </w:r>
          </w:p>
        </w:tc>
        <w:tc>
          <w:tcPr>
            <w:tcW w:w="10200" w:type="dxa"/>
            <w:vAlign w:val="bottom"/>
            <w:gridSpan w:val="27"/>
            <w:shd w:val="clear" w:color="auto" w:fill="CCEEFF"/>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restricted stock unit award agreement and related notice of grant for use in connection with the grant of restricted stock units to</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10160" w:type="dxa"/>
            <w:vAlign w:val="bottom"/>
            <w:tcBorders>
              <w:top w:val="single" w:sz="8" w:color="0000FF"/>
            </w:tcBorders>
            <w:gridSpan w:val="25"/>
            <w:shd w:val="clear" w:color="auto" w:fill="CCEEFF"/>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the Registrant's non-employee directors under the Amended and Restated Regeneron Pharmaceuticals, Inc. 2014 Long-Term Incentive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9800" w:type="dxa"/>
            <w:vAlign w:val="bottom"/>
            <w:tcBorders>
              <w:top w:val="single" w:sz="8" w:color="0000FF"/>
              <w:bottom w:val="single" w:sz="8" w:color="0000FF"/>
            </w:tcBorders>
            <w:gridSpan w:val="8"/>
            <w:shd w:val="clear" w:color="auto" w:fill="CCEEFF"/>
          </w:tcPr>
          <w:p>
            <w:pPr>
              <w:spacing w:after="0" w:line="169"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Plan. (Incorporated by reference from the Form 10-K for the Registrant, for the year ended December 31, 2018, filed February 7, 2019.)</w:t>
              </w:r>
            </w:hyperlink>
          </w:p>
        </w:tc>
        <w:tc>
          <w:tcPr>
            <w:tcW w:w="32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10.2.6 +</w:t>
            </w:r>
          </w:p>
        </w:tc>
        <w:tc>
          <w:tcPr>
            <w:tcW w:w="10200" w:type="dxa"/>
            <w:vAlign w:val="bottom"/>
            <w:gridSpan w:val="27"/>
          </w:tcPr>
          <w:p>
            <w:pPr>
              <w:spacing w:after="0" w:line="18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5"/>
        </w:trPr>
        <w:tc>
          <w:tcPr>
            <w:tcW w:w="110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Registrant's executive officers under the Amended and Restated Regeneron Pharmaceuticals, Inc. 2014 Long-Term Incentive Plan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10180" w:type="dxa"/>
            <w:vAlign w:val="bottom"/>
            <w:tcBorders>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(revised 2019). (Incorporated by reference from the Form 10-K for the Registrant, for the year ended December 31, 2019, filed February</w:t>
              </w:r>
            </w:hyperlink>
          </w:p>
        </w:tc>
        <w:tc>
          <w:tcPr>
            <w:tcW w:w="20" w:type="dxa"/>
            <w:vAlign w:val="bottom"/>
            <w:tcBorders>
              <w:bottom w:val="single" w:sz="8" w:color="0000FF"/>
            </w:tcBorders>
          </w:tcPr>
          <w:p>
            <w:pPr>
              <w:spacing w:after="0"/>
              <w:rPr>
                <w:sz w:val="14"/>
                <w:szCs w:val="14"/>
                <w:color w:val="auto"/>
              </w:rPr>
            </w:pPr>
          </w:p>
        </w:tc>
      </w:tr>
      <w:tr>
        <w:trPr>
          <w:trHeight w:val="156"/>
        </w:trPr>
        <w:tc>
          <w:tcPr>
            <w:tcW w:w="1100" w:type="dxa"/>
            <w:vAlign w:val="bottom"/>
          </w:tcPr>
          <w:p>
            <w:pPr>
              <w:spacing w:after="0"/>
              <w:rPr>
                <w:sz w:val="13"/>
                <w:szCs w:val="13"/>
                <w:color w:val="auto"/>
              </w:rPr>
            </w:pPr>
          </w:p>
        </w:tc>
        <w:tc>
          <w:tcPr>
            <w:tcW w:w="740" w:type="dxa"/>
            <w:vAlign w:val="bottom"/>
            <w:gridSpan w:val="2"/>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7, 2020.)</w:t>
              </w:r>
            </w:hyperlink>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10.2.7 +</w:t>
            </w:r>
          </w:p>
        </w:tc>
        <w:tc>
          <w:tcPr>
            <w:tcW w:w="1020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Registrant's non-employee directors under the Amended and Restated Regeneron Pharmaceuticals, Inc. 2014 Long-Term Incentive Plan</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169"/>
        </w:trPr>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9920" w:type="dxa"/>
            <w:vAlign w:val="bottom"/>
            <w:tcBorders>
              <w:top w:val="single" w:sz="8" w:color="0000FF"/>
              <w:bottom w:val="single" w:sz="8" w:color="0000FF"/>
            </w:tcBorders>
            <w:gridSpan w:val="13"/>
            <w:shd w:val="clear" w:color="auto" w:fill="CCEEFF"/>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(revised 2019). (Incorporated by reference from the Form 10-K for the Registrant, for the year ended December 31, 2019, filed February</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60" w:type="dxa"/>
            <w:vAlign w:val="bottom"/>
            <w:tcBorders>
              <w:top w:val="single" w:sz="8" w:color="CCEEFF"/>
              <w:bottom w:val="single" w:sz="8" w:color="0000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60" w:type="dxa"/>
            <w:vAlign w:val="bottom"/>
            <w:tcBorders>
              <w:top w:val="single" w:sz="8" w:color="CCEEFF"/>
              <w:bottom w:val="single" w:sz="8" w:color="0000FF"/>
            </w:tcBorders>
            <w:gridSpan w:val="3"/>
            <w:shd w:val="clear" w:color="auto" w:fill="CCEEFF"/>
          </w:tcPr>
          <w:p>
            <w:pPr>
              <w:spacing w:after="0"/>
              <w:rPr>
                <w:sz w:val="14"/>
                <w:szCs w:val="14"/>
                <w:color w:val="auto"/>
              </w:rPr>
            </w:pPr>
          </w:p>
        </w:tc>
      </w:tr>
      <w:tr>
        <w:trPr>
          <w:trHeight w:val="156"/>
        </w:trPr>
        <w:tc>
          <w:tcPr>
            <w:tcW w:w="1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7, 2020.)</w:t>
              </w:r>
            </w:hyperlink>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10.2.8 +</w:t>
            </w:r>
          </w:p>
        </w:tc>
        <w:tc>
          <w:tcPr>
            <w:tcW w:w="10200" w:type="dxa"/>
            <w:vAlign w:val="bottom"/>
            <w:gridSpan w:val="27"/>
          </w:tcPr>
          <w:p>
            <w:pPr>
              <w:spacing w:after="0" w:line="18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restricted stock unit award agreement and related notice of grant for use in connection with the grant of restricted stock units to</w:t>
              </w:r>
            </w:hyperlink>
          </w:p>
        </w:tc>
      </w:tr>
      <w:tr>
        <w:trPr>
          <w:trHeight w:val="156"/>
        </w:trPr>
        <w:tc>
          <w:tcPr>
            <w:tcW w:w="1100" w:type="dxa"/>
            <w:vAlign w:val="bottom"/>
          </w:tcPr>
          <w:p>
            <w:pPr>
              <w:spacing w:after="0"/>
              <w:rPr>
                <w:sz w:val="13"/>
                <w:szCs w:val="13"/>
                <w:color w:val="auto"/>
              </w:rPr>
            </w:pPr>
          </w:p>
        </w:tc>
        <w:tc>
          <w:tcPr>
            <w:tcW w:w="101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the Registrant's non-employee directors under the Amended and Restated Regeneron Pharmaceuticals, Inc. 2014 Long-Term Incentive</w:t>
              </w:r>
            </w:hyperlink>
          </w:p>
        </w:tc>
        <w:tc>
          <w:tcPr>
            <w:tcW w:w="40" w:type="dxa"/>
            <w:vAlign w:val="bottom"/>
            <w:gridSpan w:val="2"/>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101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Plan (revised 2019). (Incorporated by reference from the Form 10-K for the Registrant, for the year ended December 31, 2019, filed</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100" w:type="dxa"/>
            <w:vAlign w:val="bottom"/>
          </w:tcPr>
          <w:p>
            <w:pPr>
              <w:spacing w:after="0"/>
              <w:rPr>
                <w:sz w:val="13"/>
                <w:szCs w:val="13"/>
                <w:color w:val="auto"/>
              </w:rPr>
            </w:pPr>
          </w:p>
        </w:tc>
        <w:tc>
          <w:tcPr>
            <w:tcW w:w="100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February 7, 2020.)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
        </w:trPr>
        <w:tc>
          <w:tcPr>
            <w:tcW w:w="11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 +</w:t>
            </w:r>
          </w:p>
        </w:tc>
        <w:tc>
          <w:tcPr>
            <w:tcW w:w="1020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Second Amended and Restated Regeneron Pharmaceuticals, Inc. 2014 Long-Term Incentive Plan. (Incorporated by reference from the</w:t>
              </w:r>
            </w:hyperlink>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5480" w:type="dxa"/>
            <w:vAlign w:val="bottom"/>
            <w:tcBorders>
              <w:top w:val="single" w:sz="8" w:color="0000FF"/>
              <w:bottom w:val="single" w:sz="8" w:color="0000FF"/>
            </w:tcBorders>
            <w:gridSpan w:val="6"/>
            <w:shd w:val="clear" w:color="auto" w:fill="CCEEFF"/>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Registration Statement on Form S-8 for the Registrant, filed June 16, 2020.)</w:t>
              </w:r>
            </w:hyperlink>
          </w:p>
        </w:tc>
        <w:tc>
          <w:tcPr>
            <w:tcW w:w="4660" w:type="dxa"/>
            <w:vAlign w:val="bottom"/>
            <w:tcBorders>
              <w:top w:val="single" w:sz="8" w:color="0000FF"/>
              <w:bottom w:val="single" w:sz="8" w:color="CCEEFF"/>
            </w:tcBorders>
            <w:gridSpan w:val="18"/>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10.3.1 +</w:t>
            </w:r>
          </w:p>
        </w:tc>
        <w:tc>
          <w:tcPr>
            <w:tcW w:w="10200" w:type="dxa"/>
            <w:vAlign w:val="bottom"/>
            <w:gridSpan w:val="27"/>
          </w:tcPr>
          <w:p>
            <w:pPr>
              <w:spacing w:after="0" w:line="18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6"/>
        </w:trPr>
        <w:tc>
          <w:tcPr>
            <w:tcW w:w="1100" w:type="dxa"/>
            <w:vAlign w:val="bottom"/>
          </w:tcPr>
          <w:p>
            <w:pPr>
              <w:spacing w:after="0"/>
              <w:rPr>
                <w:sz w:val="13"/>
                <w:szCs w:val="13"/>
                <w:color w:val="auto"/>
              </w:rPr>
            </w:pPr>
          </w:p>
        </w:tc>
        <w:tc>
          <w:tcPr>
            <w:tcW w:w="100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Registrant's executive officers under the Second Amended and Restated Regeneron Pharmaceuticals, Inc. 2014 Long-Term Incentive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996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Plan. (Incorporated by reference from the Form 10-K for the Registrant, for the year ended December 31, 2020, filed February 8,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1"/>
        </w:trPr>
        <w:tc>
          <w:tcPr>
            <w:tcW w:w="11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2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7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10.3.2 +</w:t>
            </w:r>
          </w:p>
        </w:tc>
        <w:tc>
          <w:tcPr>
            <w:tcW w:w="1020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restricted stock award agreement and related notice of grant for use in connection with the grant of restricted stock awards to</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10100" w:type="dxa"/>
            <w:vAlign w:val="bottom"/>
            <w:tcBorders>
              <w:top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the Registrant's executive officers under the Second Amended and Restated Regeneron Pharmaceuticals, Inc. 2014 Long-Term Incentive</w:t>
              </w:r>
            </w:hyperlink>
          </w:p>
        </w:tc>
        <w:tc>
          <w:tcPr>
            <w:tcW w:w="100" w:type="dxa"/>
            <w:vAlign w:val="bottom"/>
            <w:tcBorders>
              <w:top w:val="single" w:sz="8" w:color="CCEEFF"/>
            </w:tcBorders>
            <w:gridSpan w:val="5"/>
            <w:shd w:val="clear" w:color="auto" w:fill="CCEEFF"/>
          </w:tcPr>
          <w:p>
            <w:pPr>
              <w:spacing w:after="0"/>
              <w:rPr>
                <w:sz w:val="13"/>
                <w:szCs w:val="13"/>
                <w:color w:val="auto"/>
              </w:rPr>
            </w:pPr>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9800" w:type="dxa"/>
            <w:vAlign w:val="bottom"/>
            <w:tcBorders>
              <w:top w:val="single" w:sz="8" w:color="0000FF"/>
              <w:bottom w:val="single" w:sz="8" w:color="0000FF"/>
            </w:tcBorders>
            <w:gridSpan w:val="8"/>
            <w:shd w:val="clear" w:color="auto" w:fill="CCEEFF"/>
          </w:tcPr>
          <w:p>
            <w:pPr>
              <w:spacing w:after="0" w:line="169"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Plan. (Incorporated by reference from the Form 10-K for the Registrant, for the year ended December 31, 2020, filed February 8, 2021.)</w:t>
              </w:r>
            </w:hyperlink>
          </w:p>
        </w:tc>
        <w:tc>
          <w:tcPr>
            <w:tcW w:w="6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6"/>
            <w:shd w:val="clear" w:color="auto" w:fill="CCEEFF"/>
          </w:tcPr>
          <w:p>
            <w:pPr>
              <w:spacing w:after="0"/>
              <w:rPr>
                <w:sz w:val="16"/>
                <w:szCs w:val="16"/>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10.3.3 +</w:t>
            </w:r>
          </w:p>
        </w:tc>
        <w:tc>
          <w:tcPr>
            <w:tcW w:w="10200" w:type="dxa"/>
            <w:vAlign w:val="bottom"/>
            <w:gridSpan w:val="27"/>
          </w:tcPr>
          <w:p>
            <w:pPr>
              <w:spacing w:after="0" w:line="18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5"/>
        </w:trPr>
        <w:tc>
          <w:tcPr>
            <w:tcW w:w="1100" w:type="dxa"/>
            <w:vAlign w:val="bottom"/>
          </w:tcPr>
          <w:p>
            <w:pPr>
              <w:spacing w:after="0"/>
              <w:rPr>
                <w:sz w:val="13"/>
                <w:szCs w:val="13"/>
                <w:color w:val="auto"/>
              </w:rPr>
            </w:pPr>
          </w:p>
        </w:tc>
        <w:tc>
          <w:tcPr>
            <w:tcW w:w="100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Registrant's non-employee directors under the Second Amended and Restated Regeneron Pharmaceuticals, Inc. 2014 Long-Term</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1014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Incentive Plan. (Incorporated by reference from the Form 10-K for the Registrant, for the year ended December 31, 2020, filed February</w:t>
              </w:r>
            </w:hyperlink>
          </w:p>
        </w:tc>
        <w:tc>
          <w:tcPr>
            <w:tcW w:w="60" w:type="dxa"/>
            <w:vAlign w:val="bottom"/>
            <w:gridSpan w:val="3"/>
          </w:tcPr>
          <w:p>
            <w:pPr>
              <w:spacing w:after="0"/>
              <w:rPr>
                <w:sz w:val="14"/>
                <w:szCs w:val="14"/>
                <w:color w:val="auto"/>
              </w:rPr>
            </w:pPr>
          </w:p>
        </w:tc>
      </w:tr>
      <w:tr>
        <w:trPr>
          <w:trHeight w:val="155"/>
        </w:trPr>
        <w:tc>
          <w:tcPr>
            <w:tcW w:w="1100" w:type="dxa"/>
            <w:vAlign w:val="bottom"/>
          </w:tcPr>
          <w:p>
            <w:pPr>
              <w:spacing w:after="0"/>
              <w:rPr>
                <w:sz w:val="13"/>
                <w:szCs w:val="13"/>
                <w:color w:val="auto"/>
              </w:rPr>
            </w:pPr>
          </w:p>
        </w:tc>
        <w:tc>
          <w:tcPr>
            <w:tcW w:w="74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8, 2021.)</w:t>
              </w:r>
            </w:hyperlink>
          </w:p>
        </w:tc>
        <w:tc>
          <w:tcPr>
            <w:tcW w:w="6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32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37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1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10.3.4 +</w:t>
            </w:r>
          </w:p>
        </w:tc>
        <w:tc>
          <w:tcPr>
            <w:tcW w:w="1020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restricted stock unit award agreement and related notice of grant for use in connection with the grant of restricted stock units to</w:t>
              </w:r>
            </w:hyperlink>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10160" w:type="dxa"/>
            <w:vAlign w:val="bottom"/>
            <w:tcBorders>
              <w:top w:val="single" w:sz="8" w:color="0000FF"/>
            </w:tcBorders>
            <w:gridSpan w:val="25"/>
            <w:shd w:val="clear" w:color="auto" w:fill="CCEEFF"/>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the Registrant's non-employee directors under the Second Amended and Restated Regeneron Pharmaceuticals, Inc. 2014 Long-Term</w:t>
              </w:r>
            </w:hyperlink>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69"/>
        </w:trPr>
        <w:tc>
          <w:tcPr>
            <w:tcW w:w="110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0000FF"/>
            </w:tcBorders>
            <w:gridSpan w:val="17"/>
            <w:shd w:val="clear" w:color="auto" w:fill="CCEEFF"/>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Incentive Plan. (Incorporated by reference from the Form 10-K for the Registrant, for the year ended December 31, 2020, filed February</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120" w:type="dxa"/>
            <w:vAlign w:val="bottom"/>
            <w:tcBorders>
              <w:top w:val="single" w:sz="8" w:color="CCEEFF"/>
            </w:tcBorders>
            <w:gridSpan w:val="6"/>
            <w:shd w:val="clear" w:color="auto" w:fill="CCEEFF"/>
          </w:tcPr>
          <w:p>
            <w:pPr>
              <w:spacing w:after="0"/>
              <w:rPr>
                <w:sz w:val="14"/>
                <w:szCs w:val="14"/>
                <w:color w:val="auto"/>
              </w:rPr>
            </w:pPr>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8, 2021.)</w:t>
              </w:r>
            </w:hyperlink>
          </w:p>
        </w:tc>
        <w:tc>
          <w:tcPr>
            <w:tcW w:w="60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760" w:type="dxa"/>
            <w:vAlign w:val="bottom"/>
            <w:tcBorders>
              <w:top w:val="single" w:sz="8" w:color="0000FF"/>
            </w:tcBorders>
            <w:shd w:val="clear" w:color="auto" w:fill="CCEEFF"/>
          </w:tcPr>
          <w:p>
            <w:pPr>
              <w:spacing w:after="0"/>
              <w:rPr>
                <w:sz w:val="13"/>
                <w:szCs w:val="13"/>
                <w:color w:val="auto"/>
              </w:rPr>
            </w:pPr>
          </w:p>
        </w:tc>
        <w:tc>
          <w:tcPr>
            <w:tcW w:w="326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37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10.3.5 +</w:t>
            </w:r>
          </w:p>
        </w:tc>
        <w:tc>
          <w:tcPr>
            <w:tcW w:w="10200" w:type="dxa"/>
            <w:vAlign w:val="bottom"/>
            <w:gridSpan w:val="27"/>
          </w:tcPr>
          <w:p>
            <w:pPr>
              <w:spacing w:after="0" w:line="18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performance restricted stock unit award agreement and related notice of grant for use in connection with the grant of</w:t>
              </w:r>
            </w:hyperlink>
          </w:p>
        </w:tc>
      </w:tr>
      <w:tr>
        <w:trPr>
          <w:trHeight w:val="155"/>
        </w:trPr>
        <w:tc>
          <w:tcPr>
            <w:tcW w:w="1100" w:type="dxa"/>
            <w:vAlign w:val="bottom"/>
          </w:tcPr>
          <w:p>
            <w:pPr>
              <w:spacing w:after="0"/>
              <w:rPr>
                <w:sz w:val="13"/>
                <w:szCs w:val="13"/>
                <w:color w:val="auto"/>
              </w:rPr>
            </w:pPr>
          </w:p>
        </w:tc>
        <w:tc>
          <w:tcPr>
            <w:tcW w:w="99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performance restricted stock units to Leonard S. Schleifer, M.D., Ph.D. and George D. Yancopoulos, M.D., Ph.D. under the Second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984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Amended and Restated Regeneron Pharmaceuticals, Inc. 2014 Long-Term Incentive Plan. (Incorporated by reference from the Form 10-</w:t>
              </w:r>
            </w:hyperlink>
          </w:p>
        </w:tc>
        <w:tc>
          <w:tcPr>
            <w:tcW w:w="40" w:type="dxa"/>
            <w:vAlign w:val="bottom"/>
            <w:tcBorders>
              <w:bottom w:val="single" w:sz="8" w:color="0000FF"/>
            </w:tcBorders>
            <w:gridSpan w:val="2"/>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100" w:type="dxa"/>
            <w:vAlign w:val="bottom"/>
            <w:tcBorders>
              <w:bottom w:val="single" w:sz="8" w:color="0000FF"/>
            </w:tcBorders>
            <w:gridSpan w:val="5"/>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155"/>
        </w:trPr>
        <w:tc>
          <w:tcPr>
            <w:tcW w:w="1100" w:type="dxa"/>
            <w:vAlign w:val="bottom"/>
          </w:tcPr>
          <w:p>
            <w:pPr>
              <w:spacing w:after="0"/>
              <w:rPr>
                <w:sz w:val="13"/>
                <w:szCs w:val="13"/>
                <w:color w:val="auto"/>
              </w:rPr>
            </w:pPr>
          </w:p>
        </w:tc>
        <w:tc>
          <w:tcPr>
            <w:tcW w:w="10080" w:type="dxa"/>
            <w:vAlign w:val="bottom"/>
            <w:gridSpan w:val="21"/>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K for the Registrant, for the year ended December 31, 2020, filed February 8, 2021.)</w:t>
              </w:r>
            </w:hyperlink>
          </w:p>
        </w:tc>
        <w:tc>
          <w:tcPr>
            <w:tcW w:w="120" w:type="dxa"/>
            <w:vAlign w:val="bottom"/>
            <w:gridSpan w:val="6"/>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2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10.3.6 +</w:t>
            </w:r>
          </w:p>
        </w:tc>
        <w:tc>
          <w:tcPr>
            <w:tcW w:w="1020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Registrant's executive officers under the Second Amended and Restated Regeneron Pharmaceuticals, Inc. 2014 Long-Term Incentive</w:t>
              </w:r>
            </w:hyperlink>
          </w:p>
        </w:tc>
        <w:tc>
          <w:tcPr>
            <w:tcW w:w="160" w:type="dxa"/>
            <w:vAlign w:val="bottom"/>
            <w:tcBorders>
              <w:top w:val="single" w:sz="8" w:color="CCEEFF"/>
            </w:tcBorders>
            <w:gridSpan w:val="8"/>
            <w:shd w:val="clear" w:color="auto" w:fill="CCEEFF"/>
          </w:tcPr>
          <w:p>
            <w:pPr>
              <w:spacing w:after="0"/>
              <w:rPr>
                <w:sz w:val="13"/>
                <w:szCs w:val="13"/>
                <w:color w:val="auto"/>
              </w:rPr>
            </w:pPr>
          </w:p>
        </w:tc>
      </w:tr>
      <w:tr>
        <w:trPr>
          <w:trHeight w:val="169"/>
        </w:trPr>
        <w:tc>
          <w:tcPr>
            <w:tcW w:w="1100" w:type="dxa"/>
            <w:vAlign w:val="bottom"/>
            <w:tcBorders>
              <w:top w:val="single" w:sz="8" w:color="CCEEFF"/>
            </w:tcBorders>
            <w:shd w:val="clear" w:color="auto" w:fill="CCEEFF"/>
          </w:tcPr>
          <w:p>
            <w:pPr>
              <w:spacing w:after="0"/>
              <w:rPr>
                <w:sz w:val="14"/>
                <w:szCs w:val="14"/>
                <w:color w:val="auto"/>
              </w:rPr>
            </w:pPr>
          </w:p>
        </w:tc>
        <w:tc>
          <w:tcPr>
            <w:tcW w:w="9980" w:type="dxa"/>
            <w:vAlign w:val="bottom"/>
            <w:tcBorders>
              <w:top w:val="single" w:sz="8" w:color="0000FF"/>
            </w:tcBorders>
            <w:gridSpan w:val="16"/>
            <w:shd w:val="clear" w:color="auto" w:fill="CCEEFF"/>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Plan (revised 2023). (Incorporated by reference from the Form 10-K for the Registrant, for the year ended December 31, 2023, filed</w:t>
              </w:r>
            </w:hyperlink>
          </w:p>
        </w:tc>
        <w:tc>
          <w:tcPr>
            <w:tcW w:w="220" w:type="dxa"/>
            <w:vAlign w:val="bottom"/>
            <w:tcBorders>
              <w:top w:val="single" w:sz="8" w:color="CCEEFF"/>
            </w:tcBorders>
            <w:gridSpan w:val="11"/>
            <w:shd w:val="clear" w:color="auto" w:fill="CCEEFF"/>
          </w:tcPr>
          <w:p>
            <w:pPr>
              <w:spacing w:after="0"/>
              <w:rPr>
                <w:sz w:val="14"/>
                <w:szCs w:val="14"/>
                <w:color w:val="auto"/>
              </w:rPr>
            </w:pPr>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February 5, 2024.)</w:t>
              </w:r>
            </w:hyperlink>
          </w:p>
        </w:tc>
        <w:tc>
          <w:tcPr>
            <w:tcW w:w="180" w:type="dxa"/>
            <w:vAlign w:val="bottom"/>
            <w:tcBorders>
              <w:top w:val="single" w:sz="8" w:color="CCEEFF"/>
            </w:tcBorders>
            <w:gridSpan w:val="9"/>
            <w:shd w:val="clear" w:color="auto" w:fill="CCEEFF"/>
          </w:tcPr>
          <w:p>
            <w:pPr>
              <w:spacing w:after="0"/>
              <w:rPr>
                <w:sz w:val="13"/>
                <w:szCs w:val="13"/>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10.3.7 +</w:t>
            </w:r>
          </w:p>
        </w:tc>
        <w:tc>
          <w:tcPr>
            <w:tcW w:w="10200" w:type="dxa"/>
            <w:vAlign w:val="bottom"/>
            <w:gridSpan w:val="27"/>
          </w:tcPr>
          <w:p>
            <w:pPr>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restricted stock award agreement and related notice of grant for use in connection with the grant of restricted stock awards to</w:t>
              </w:r>
            </w:hyperlink>
          </w:p>
        </w:tc>
      </w:tr>
      <w:tr>
        <w:trPr>
          <w:trHeight w:val="156"/>
        </w:trPr>
        <w:tc>
          <w:tcPr>
            <w:tcW w:w="1100" w:type="dxa"/>
            <w:vAlign w:val="bottom"/>
          </w:tcPr>
          <w:p>
            <w:pPr>
              <w:spacing w:after="0"/>
              <w:rPr>
                <w:sz w:val="13"/>
                <w:szCs w:val="13"/>
                <w:color w:val="auto"/>
              </w:rPr>
            </w:pPr>
          </w:p>
        </w:tc>
        <w:tc>
          <w:tcPr>
            <w:tcW w:w="101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the Registrant's executive officers under the Second Amended and Restated Regeneron Pharmaceuticals, Inc. 2014 Long-Term Incentive</w:t>
              </w:r>
            </w:hyperlink>
          </w:p>
        </w:tc>
        <w:tc>
          <w:tcPr>
            <w:tcW w:w="100" w:type="dxa"/>
            <w:vAlign w:val="bottom"/>
            <w:gridSpan w:val="5"/>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988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Plan (revised 2023). (Incorporated by reference from the Form 10-K for the Registrant, for the year ended December 31, 2023, filed</w:t>
              </w:r>
            </w:hyperlink>
          </w:p>
        </w:tc>
        <w:tc>
          <w:tcPr>
            <w:tcW w:w="60" w:type="dxa"/>
            <w:vAlign w:val="bottom"/>
            <w:gridSpan w:val="3"/>
          </w:tcPr>
          <w:p>
            <w:pPr>
              <w:spacing w:after="0"/>
              <w:rPr>
                <w:sz w:val="14"/>
                <w:szCs w:val="14"/>
                <w:color w:val="auto"/>
              </w:rPr>
            </w:pPr>
          </w:p>
        </w:tc>
        <w:tc>
          <w:tcPr>
            <w:tcW w:w="260" w:type="dxa"/>
            <w:vAlign w:val="bottom"/>
            <w:gridSpan w:val="13"/>
          </w:tcPr>
          <w:p>
            <w:pPr>
              <w:spacing w:after="0"/>
              <w:rPr>
                <w:sz w:val="14"/>
                <w:szCs w:val="14"/>
                <w:color w:val="auto"/>
              </w:rPr>
            </w:pPr>
          </w:p>
        </w:tc>
      </w:tr>
      <w:tr>
        <w:trPr>
          <w:trHeight w:val="155"/>
        </w:trPr>
        <w:tc>
          <w:tcPr>
            <w:tcW w:w="1100" w:type="dxa"/>
            <w:vAlign w:val="bottom"/>
          </w:tcPr>
          <w:p>
            <w:pPr>
              <w:spacing w:after="0"/>
              <w:rPr>
                <w:sz w:val="13"/>
                <w:szCs w:val="13"/>
                <w:color w:val="auto"/>
              </w:rPr>
            </w:pPr>
          </w:p>
        </w:tc>
        <w:tc>
          <w:tcPr>
            <w:tcW w:w="100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February 5, 2024.)</w:t>
              </w:r>
            </w:hyperlink>
          </w:p>
        </w:tc>
        <w:tc>
          <w:tcPr>
            <w:tcW w:w="180" w:type="dxa"/>
            <w:vAlign w:val="bottom"/>
            <w:gridSpan w:val="9"/>
          </w:tcPr>
          <w:p>
            <w:pPr>
              <w:spacing w:after="0"/>
              <w:rPr>
                <w:sz w:val="13"/>
                <w:szCs w:val="13"/>
                <w:color w:val="auto"/>
              </w:rPr>
            </w:pPr>
          </w:p>
        </w:tc>
      </w:tr>
      <w:tr>
        <w:trPr>
          <w:trHeight w:val="21"/>
        </w:trPr>
        <w:tc>
          <w:tcPr>
            <w:tcW w:w="11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10.3.8 +</w:t>
            </w:r>
          </w:p>
        </w:tc>
        <w:tc>
          <w:tcPr>
            <w:tcW w:w="102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1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Registrant's executive officers under the Second Amended and Restated Regeneron Pharmaceuticals, Inc. 2014 Long-Term Incentive</w:t>
            </w:r>
          </w:p>
        </w:tc>
        <w:tc>
          <w:tcPr>
            <w:tcW w:w="160" w:type="dxa"/>
            <w:vAlign w:val="bottom"/>
            <w:tcBorders>
              <w:top w:val="single" w:sz="8" w:color="CCEEFF"/>
            </w:tcBorders>
            <w:gridSpan w:val="8"/>
            <w:shd w:val="clear" w:color="auto" w:fill="CCEEFF"/>
          </w:tcPr>
          <w:p>
            <w:pPr>
              <w:spacing w:after="0"/>
              <w:rPr>
                <w:sz w:val="13"/>
                <w:szCs w:val="13"/>
                <w:color w:val="auto"/>
              </w:rPr>
            </w:pPr>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0000FF"/>
              <w:bottom w:val="single" w:sz="8" w:color="0000FF"/>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8"/>
              </w:rPr>
              <w:t>Plan (revised 2025).</w:t>
            </w:r>
          </w:p>
        </w:tc>
        <w:tc>
          <w:tcPr>
            <w:tcW w:w="850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240" w:type="dxa"/>
            <w:vAlign w:val="bottom"/>
            <w:tcBorders>
              <w:top w:val="single" w:sz="8" w:color="CCEEFF"/>
              <w:bottom w:val="single" w:sz="8" w:color="CCEEFF"/>
            </w:tcBorders>
            <w:gridSpan w:val="12"/>
            <w:shd w:val="clear" w:color="auto" w:fill="CCEEFF"/>
          </w:tcPr>
          <w:p>
            <w:pPr>
              <w:spacing w:after="0"/>
              <w:rPr>
                <w:sz w:val="16"/>
                <w:szCs w:val="16"/>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10.3.9 +</w:t>
            </w:r>
          </w:p>
        </w:tc>
        <w:tc>
          <w:tcPr>
            <w:tcW w:w="102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Form of restricted stock award agreement and related notice of grant for use in connection with the grant of restricted stock awards to</w:t>
            </w:r>
          </w:p>
        </w:tc>
      </w:tr>
      <w:tr>
        <w:trPr>
          <w:trHeight w:val="155"/>
        </w:trPr>
        <w:tc>
          <w:tcPr>
            <w:tcW w:w="1100" w:type="dxa"/>
            <w:vAlign w:val="bottom"/>
          </w:tcPr>
          <w:p>
            <w:pPr>
              <w:spacing w:after="0"/>
              <w:rPr>
                <w:sz w:val="13"/>
                <w:szCs w:val="13"/>
                <w:color w:val="auto"/>
              </w:rPr>
            </w:pPr>
          </w:p>
        </w:tc>
        <w:tc>
          <w:tcPr>
            <w:tcW w:w="10100" w:type="dxa"/>
            <w:vAlign w:val="bottom"/>
            <w:tcBorders>
              <w:top w:val="single" w:sz="8" w:color="0000FF"/>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the Registrant's executive officers under the Second Amended and Restated Regeneron Pharmaceuticals, Inc. 2014 Long-Term Incentive</w:t>
            </w:r>
          </w:p>
        </w:tc>
        <w:tc>
          <w:tcPr>
            <w:tcW w:w="100" w:type="dxa"/>
            <w:vAlign w:val="bottom"/>
            <w:gridSpan w:val="5"/>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986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Plan (revised 2025).</w:t>
            </w:r>
          </w:p>
        </w:tc>
        <w:tc>
          <w:tcPr>
            <w:tcW w:w="80" w:type="dxa"/>
            <w:vAlign w:val="bottom"/>
            <w:gridSpan w:val="4"/>
          </w:tcPr>
          <w:p>
            <w:pPr>
              <w:spacing w:after="0"/>
              <w:rPr>
                <w:sz w:val="14"/>
                <w:szCs w:val="14"/>
                <w:color w:val="auto"/>
              </w:rPr>
            </w:pPr>
          </w:p>
        </w:tc>
        <w:tc>
          <w:tcPr>
            <w:tcW w:w="260" w:type="dxa"/>
            <w:vAlign w:val="bottom"/>
            <w:gridSpan w:val="13"/>
          </w:tcPr>
          <w:p>
            <w:pPr>
              <w:spacing w:after="0"/>
              <w:rPr>
                <w:sz w:val="14"/>
                <w:szCs w:val="14"/>
                <w:color w:val="auto"/>
              </w:rPr>
            </w:pPr>
          </w:p>
        </w:tc>
      </w:tr>
      <w:tr>
        <w:trPr>
          <w:trHeight w:val="21"/>
        </w:trPr>
        <w:tc>
          <w:tcPr>
            <w:tcW w:w="11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10.3.10 +</w:t>
            </w:r>
          </w:p>
        </w:tc>
        <w:tc>
          <w:tcPr>
            <w:tcW w:w="102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Form of restricted stock unit award agreement and related notice of grant for use in connection with the grant of restricted stock units to</w:t>
            </w:r>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10160" w:type="dxa"/>
            <w:vAlign w:val="bottom"/>
            <w:tcBorders>
              <w:top w:val="single" w:sz="8" w:color="0000FF"/>
            </w:tcBorders>
            <w:gridSpan w:val="2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the Registrant's non-employee directors under the Second Amended and Restated Regeneron Pharmaceuticals, Inc. 2014 Long-Term</w:t>
            </w: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220" w:type="dxa"/>
            <w:vAlign w:val="bottom"/>
            <w:tcBorders>
              <w:top w:val="single" w:sz="8" w:color="0000FF"/>
              <w:bottom w:val="single" w:sz="8" w:color="0000FF"/>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9"/>
              </w:rPr>
              <w:t>Incentive Plan. (revised 2025).</w:t>
            </w:r>
          </w:p>
        </w:tc>
        <w:tc>
          <w:tcPr>
            <w:tcW w:w="778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200" w:type="dxa"/>
            <w:vAlign w:val="bottom"/>
            <w:tcBorders>
              <w:top w:val="single" w:sz="8" w:color="CCEEFF"/>
              <w:bottom w:val="single" w:sz="8" w:color="CCEEFF"/>
            </w:tcBorders>
            <w:gridSpan w:val="10"/>
            <w:shd w:val="clear" w:color="auto" w:fill="CCEEFF"/>
          </w:tcPr>
          <w:p>
            <w:pPr>
              <w:spacing w:after="0"/>
              <w:rPr>
                <w:sz w:val="16"/>
                <w:szCs w:val="16"/>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 +</w:t>
            </w:r>
          </w:p>
        </w:tc>
        <w:tc>
          <w:tcPr>
            <w:tcW w:w="10200" w:type="dxa"/>
            <w:vAlign w:val="bottom"/>
            <w:gridSpan w:val="27"/>
          </w:tcPr>
          <w:p>
            <w:pPr>
              <w:spacing w:after="0" w:line="18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Amended and Restated Employment Agreement, dated as of November 14, 2008, between the Registrant and Leonard S. Schleifer,</w:t>
              </w:r>
            </w:hyperlink>
          </w:p>
        </w:tc>
      </w:tr>
      <w:tr>
        <w:trPr>
          <w:trHeight w:val="155"/>
        </w:trPr>
        <w:tc>
          <w:tcPr>
            <w:tcW w:w="1100" w:type="dxa"/>
            <w:vAlign w:val="bottom"/>
          </w:tcPr>
          <w:p>
            <w:pPr>
              <w:spacing w:after="0"/>
              <w:rPr>
                <w:sz w:val="13"/>
                <w:szCs w:val="13"/>
                <w:color w:val="auto"/>
              </w:rPr>
            </w:pPr>
          </w:p>
        </w:tc>
        <w:tc>
          <w:tcPr>
            <w:tcW w:w="99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M.D., Ph.D. (Incorporated by reference from the Form 10-K for the Registrant, for the year ended December 31, 2008, filed February</w:t>
              </w:r>
            </w:hyperlink>
          </w:p>
        </w:tc>
        <w:tc>
          <w:tcPr>
            <w:tcW w:w="260" w:type="dxa"/>
            <w:vAlign w:val="bottom"/>
            <w:gridSpan w:val="13"/>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7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7"/>
              </w:rPr>
            </w:pPr>
            <w:hyperlink r:id="rId141">
              <w:r>
                <w:rPr>
                  <w:rFonts w:ascii="Times New Roman" w:cs="Times New Roman" w:eastAsia="Times New Roman" w:hAnsi="Times New Roman"/>
                  <w:sz w:val="18"/>
                  <w:szCs w:val="18"/>
                  <w:color w:val="0000FF"/>
                  <w:w w:val="97"/>
                </w:rPr>
                <w:t>26, 2009.)</w:t>
              </w:r>
            </w:hyperlink>
          </w:p>
        </w:tc>
        <w:tc>
          <w:tcPr>
            <w:tcW w:w="6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32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37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 +</w:t>
            </w:r>
          </w:p>
        </w:tc>
        <w:tc>
          <w:tcPr>
            <w:tcW w:w="10200" w:type="dxa"/>
            <w:vAlign w:val="bottom"/>
            <w:gridSpan w:val="27"/>
          </w:tcPr>
          <w:p>
            <w:pPr>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Waiver and Consent, dated as of April 14, 2023, pursuant to the Amended and Restated Employment Agreement, dated as of November</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-120650</wp:posOffset>
            </wp:positionV>
            <wp:extent cx="6960870" cy="3771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6960870" cy="377190"/>
                    </a:xfrm>
                    <a:prstGeom prst="rect">
                      <a:avLst/>
                    </a:prstGeom>
                    <a:noFill/>
                  </pic:spPr>
                </pic:pic>
              </a:graphicData>
            </a:graphic>
          </wp:anchor>
        </w:drawing>
      </w:r>
    </w:p>
    <w:p>
      <w:pPr>
        <w:ind w:left="1240" w:right="20"/>
        <w:spacing w:after="0" w:line="233"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14, 2008, between the Registrant and Leonard S. Schleifer, M.D., Ph.D. (Incorporated by reference from the Form 10-Q for the</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Registrant, for the quarter ended June 30, 2023, filed August 3, 2023.)</w:t>
        </w:r>
      </w:hyperlink>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9" w:right="47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4"/>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1"/>
        </w:trPr>
        <w:tc>
          <w:tcPr>
            <w:tcW w:w="1160" w:type="dxa"/>
            <w:vAlign w:val="bottom"/>
            <w:tcBorders>
              <w:top w:val="single" w:sz="8" w:color="0000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tcPr>
          <w:p>
            <w:pPr>
              <w:spacing w:after="0"/>
              <w:rPr>
                <w:sz w:val="24"/>
                <w:szCs w:val="24"/>
                <w:color w:val="auto"/>
              </w:rPr>
            </w:pPr>
          </w:p>
        </w:tc>
        <w:tc>
          <w:tcPr>
            <w:tcW w:w="10380" w:type="dxa"/>
            <w:vAlign w:val="bottom"/>
            <w:gridSpan w:val="46"/>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Regeneron Pharmaceuticals, Inc. Change in Control Severance Plan, amended and restated effective as of November 14, 2008.</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18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(Incorporated by reference from the Form 10-K for the Registrant, for the year ended December 31, 2008, filed February 26, 2009.)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308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10.6 +</w:t>
            </w:r>
          </w:p>
        </w:tc>
        <w:tc>
          <w:tcPr>
            <w:tcW w:w="80" w:type="dxa"/>
            <w:vAlign w:val="bottom"/>
            <w:shd w:val="clear" w:color="auto" w:fill="CCEEFF"/>
          </w:tcPr>
          <w:p>
            <w:pPr>
              <w:spacing w:after="0"/>
              <w:rPr>
                <w:sz w:val="16"/>
                <w:szCs w:val="16"/>
                <w:color w:val="auto"/>
              </w:rPr>
            </w:pPr>
          </w:p>
        </w:tc>
        <w:tc>
          <w:tcPr>
            <w:tcW w:w="10380" w:type="dxa"/>
            <w:vAlign w:val="bottom"/>
            <w:gridSpan w:val="46"/>
            <w:shd w:val="clear" w:color="auto" w:fill="CCEEFF"/>
          </w:tcPr>
          <w:p>
            <w:pPr>
              <w:spacing w:after="0" w:line="18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Regeneron Pharmaceuticals, Inc. Cash Incentive Bonus Plan. (Incorporated by reference from the Form 8-K for the Registrant, filed</w:t>
              </w:r>
            </w:hyperlink>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0000FF"/>
              <w:bottom w:val="single" w:sz="8" w:color="0000FF"/>
            </w:tcBorders>
            <w:shd w:val="clear" w:color="auto" w:fill="CCEEFF"/>
          </w:tcPr>
          <w:p>
            <w:pPr>
              <w:spacing w:after="0" w:line="15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June 17, 2015.)</w:t>
              </w:r>
            </w:hyperlink>
          </w:p>
        </w:tc>
        <w:tc>
          <w:tcPr>
            <w:tcW w:w="9220" w:type="dxa"/>
            <w:vAlign w:val="bottom"/>
            <w:tcBorders>
              <w:top w:val="single" w:sz="8" w:color="0000FF"/>
              <w:bottom w:val="single" w:sz="8" w:color="CCEEFF"/>
            </w:tcBorders>
            <w:gridSpan w:val="4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10.6.1 +</w:t>
            </w:r>
          </w:p>
        </w:tc>
        <w:tc>
          <w:tcPr>
            <w:tcW w:w="80" w:type="dxa"/>
            <w:vAlign w:val="bottom"/>
          </w:tcPr>
          <w:p>
            <w:pPr>
              <w:spacing w:after="0"/>
              <w:rPr>
                <w:sz w:val="16"/>
                <w:szCs w:val="16"/>
                <w:color w:val="auto"/>
              </w:rPr>
            </w:pPr>
          </w:p>
        </w:tc>
        <w:tc>
          <w:tcPr>
            <w:tcW w:w="10380" w:type="dxa"/>
            <w:vAlign w:val="bottom"/>
            <w:gridSpan w:val="46"/>
          </w:tcPr>
          <w:p>
            <w:pPr>
              <w:spacing w:after="0" w:line="18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First Amendment to Cash Incentive Bonus Plan. (Incorporated by reference from the Form 10-Q for the Registrant, for the quarter</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ended March 31, 2023, filed May 4,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6"/>
                <w:szCs w:val="16"/>
                <w:color w:val="auto"/>
              </w:rPr>
            </w:pPr>
          </w:p>
        </w:tc>
        <w:tc>
          <w:tcPr>
            <w:tcW w:w="10380" w:type="dxa"/>
            <w:vAlign w:val="bottom"/>
            <w:gridSpan w:val="46"/>
            <w:shd w:val="clear" w:color="auto" w:fill="CCEEFF"/>
          </w:tcPr>
          <w:p>
            <w:pPr>
              <w:spacing w:after="0" w:line="18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IL-1 Antibody Termination Agreement by and between Novartis Pharma AG, Novartis Pharmaceuticals Corporation and the Registrant,</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960" w:type="dxa"/>
            <w:vAlign w:val="bottom"/>
            <w:tcBorders>
              <w:top w:val="single" w:sz="8" w:color="0000FF"/>
              <w:bottom w:val="single" w:sz="8" w:color="0000FF"/>
            </w:tcBorders>
            <w:gridSpan w:val="25"/>
            <w:shd w:val="clear" w:color="auto" w:fill="CCEEFF"/>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dated as of June 8, 2009. (Incorporated by reference from the Form 10-Q for the Registrant, for the quarter ended June 30, 2009, filed</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0000FF"/>
            </w:tcBorders>
            <w:gridSpan w:val="2"/>
            <w:shd w:val="clear" w:color="auto" w:fill="CCEEFF"/>
          </w:tcPr>
          <w:p>
            <w:pPr>
              <w:spacing w:after="0" w:line="169"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August 4, 2009.)</w:t>
              </w:r>
            </w:hyperlink>
          </w:p>
        </w:tc>
        <w:tc>
          <w:tcPr>
            <w:tcW w:w="8880" w:type="dxa"/>
            <w:vAlign w:val="bottom"/>
            <w:tcBorders>
              <w:bottom w:val="single" w:sz="8" w:color="CCEEFF"/>
            </w:tcBorders>
            <w:gridSpan w:val="30"/>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6"/>
                <w:szCs w:val="16"/>
                <w:color w:val="auto"/>
              </w:rPr>
            </w:pPr>
          </w:p>
        </w:tc>
        <w:tc>
          <w:tcPr>
            <w:tcW w:w="10380" w:type="dxa"/>
            <w:vAlign w:val="bottom"/>
            <w:gridSpan w:val="46"/>
          </w:tcPr>
          <w:p>
            <w:pPr>
              <w:spacing w:after="0" w:line="18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License and Collaboration Agreement, dated as of October 18, 2006, by and between Bayer HealthCare LLC and the Registrant.</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(Incorporated by reference from the Form 10-Q for the Registrant, for the quarter ended September 30, 2006, filed November 6, 2006.)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308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10.8.1**</w:t>
            </w:r>
          </w:p>
        </w:tc>
        <w:tc>
          <w:tcPr>
            <w:tcW w:w="80" w:type="dxa"/>
            <w:vAlign w:val="bottom"/>
            <w:shd w:val="clear" w:color="auto" w:fill="CCEEFF"/>
          </w:tcPr>
          <w:p>
            <w:pPr>
              <w:spacing w:after="0"/>
              <w:rPr>
                <w:sz w:val="16"/>
                <w:szCs w:val="16"/>
                <w:color w:val="auto"/>
              </w:rPr>
            </w:pPr>
          </w:p>
        </w:tc>
        <w:tc>
          <w:tcPr>
            <w:tcW w:w="10380" w:type="dxa"/>
            <w:vAlign w:val="bottom"/>
            <w:gridSpan w:val="46"/>
            <w:shd w:val="clear" w:color="auto" w:fill="CCEEFF"/>
          </w:tcPr>
          <w:p>
            <w:pPr>
              <w:spacing w:after="0" w:line="18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Restated Amendment Agreement, dated December 30, 2014 and entered into effective as of May 7, 2012, by and between Bayer</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900" w:type="dxa"/>
            <w:vAlign w:val="bottom"/>
            <w:tcBorders>
              <w:top w:val="single" w:sz="8" w:color="0000FF"/>
              <w:bottom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HealthCare LLC and the Registrant. (Incorporated by reference from the Form 10-K for the Registrant, for the year ended December 31,</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0" w:type="dxa"/>
            <w:vAlign w:val="bottom"/>
            <w:gridSpan w:val="37"/>
            <w:shd w:val="clear" w:color="auto" w:fill="CCEEFF"/>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2024, filed February 5, 2025.)</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10.8.2**</w:t>
            </w:r>
          </w:p>
        </w:tc>
        <w:tc>
          <w:tcPr>
            <w:tcW w:w="80" w:type="dxa"/>
            <w:vAlign w:val="bottom"/>
          </w:tcPr>
          <w:p>
            <w:pPr>
              <w:spacing w:after="0"/>
              <w:rPr>
                <w:sz w:val="16"/>
                <w:szCs w:val="16"/>
                <w:color w:val="auto"/>
              </w:rPr>
            </w:pPr>
          </w:p>
        </w:tc>
        <w:tc>
          <w:tcPr>
            <w:tcW w:w="10380" w:type="dxa"/>
            <w:vAlign w:val="bottom"/>
            <w:gridSpan w:val="46"/>
          </w:tcPr>
          <w:p>
            <w:pPr>
              <w:spacing w:after="0" w:line="18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Second Amendment Agreement, dated December 19, 2019, by and between Bayer HealthCare LLC and the Registrant. (Incorporated by</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reference from the Form 10-K for the Registrant, for the year ended December 31, 2019, filed February 7,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308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6"/>
                <w:szCs w:val="16"/>
                <w:color w:val="auto"/>
              </w:rPr>
            </w:pPr>
          </w:p>
        </w:tc>
        <w:tc>
          <w:tcPr>
            <w:tcW w:w="10380" w:type="dxa"/>
            <w:vAlign w:val="bottom"/>
            <w:gridSpan w:val="46"/>
            <w:shd w:val="clear" w:color="auto" w:fill="CCEEFF"/>
          </w:tcPr>
          <w:p>
            <w:pPr>
              <w:spacing w:after="0" w:line="18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Amended and Restated License and Collaboration Agreement, dated as of November 10, 2009, by and among Aventis Pharmaceuticals</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29"/>
            <w:shd w:val="clear" w:color="auto" w:fill="CCEEFF"/>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Inc., sanofi-aventis Amerique du Nord, and the Registrant. (Incorporated by reference from the Form 10-K/A for the Registrant, for the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0000FF"/>
            </w:tcBorders>
            <w:gridSpan w:val="27"/>
            <w:shd w:val="clear" w:color="auto" w:fill="CCEEFF"/>
          </w:tcPr>
          <w:p>
            <w:pPr>
              <w:spacing w:after="0" w:line="16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year ended December 31, 2009, filed June 2, 2010.)</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10.9.1**</w:t>
            </w:r>
          </w:p>
        </w:tc>
        <w:tc>
          <w:tcPr>
            <w:tcW w:w="80" w:type="dxa"/>
            <w:vAlign w:val="bottom"/>
          </w:tcPr>
          <w:p>
            <w:pPr>
              <w:spacing w:after="0"/>
              <w:rPr>
                <w:sz w:val="16"/>
                <w:szCs w:val="16"/>
                <w:color w:val="auto"/>
              </w:rPr>
            </w:pPr>
          </w:p>
        </w:tc>
        <w:tc>
          <w:tcPr>
            <w:tcW w:w="10380" w:type="dxa"/>
            <w:vAlign w:val="bottom"/>
            <w:gridSpan w:val="46"/>
          </w:tcPr>
          <w:p>
            <w:pPr>
              <w:spacing w:after="0" w:line="18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First Amendment to Amended and Restated License and Collaboration Agreement by and between the Registrant and Aventis</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1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Pharmaceuticals Inc., dated May 1, 2013. (Incorporated by reference from the Form 10-Q for the Registrant, for the quarter ended June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9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30, 2023, filed August 3, 2023.)</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10.9.2*</w:t>
            </w:r>
          </w:p>
        </w:tc>
        <w:tc>
          <w:tcPr>
            <w:tcW w:w="80" w:type="dxa"/>
            <w:vAlign w:val="bottom"/>
            <w:shd w:val="clear" w:color="auto" w:fill="CCEEFF"/>
          </w:tcPr>
          <w:p>
            <w:pPr>
              <w:spacing w:after="0"/>
              <w:rPr>
                <w:sz w:val="16"/>
                <w:szCs w:val="16"/>
                <w:color w:val="auto"/>
              </w:rPr>
            </w:pPr>
          </w:p>
        </w:tc>
        <w:tc>
          <w:tcPr>
            <w:tcW w:w="10380" w:type="dxa"/>
            <w:vAlign w:val="bottom"/>
            <w:gridSpan w:val="46"/>
            <w:shd w:val="clear" w:color="auto" w:fill="CCEEFF"/>
          </w:tcPr>
          <w:p>
            <w:pPr>
              <w:spacing w:after="0" w:line="18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Amendment No. 2 to Amended and Restated License and Collaboration Agreement, dated July 27, 2015 and entered into effective as of</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100" w:type="dxa"/>
            <w:vAlign w:val="bottom"/>
            <w:tcBorders>
              <w:top w:val="single" w:sz="8" w:color="0000FF"/>
            </w:tcBorders>
            <w:gridSpan w:val="32"/>
            <w:shd w:val="clear" w:color="auto" w:fill="CCEEFF"/>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July 1, 2015, by and between the Registrant and Sanofi Biotechnology SAS, as successor-in-interest to Aventis Pharmaceuticals, Inc.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40" w:type="dxa"/>
            <w:vAlign w:val="bottom"/>
            <w:tcBorders>
              <w:top w:val="single" w:sz="8" w:color="0000FF"/>
            </w:tcBorders>
            <w:gridSpan w:val="19"/>
            <w:shd w:val="clear" w:color="auto" w:fill="CCEEFF"/>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(Incorporated by reference from the Form 10-Q for the Registrant, for the quarter ended June 30, 2025, filed August 1, 2025.)</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30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10.9.3**</w:t>
            </w:r>
          </w:p>
        </w:tc>
        <w:tc>
          <w:tcPr>
            <w:tcW w:w="80" w:type="dxa"/>
            <w:vAlign w:val="bottom"/>
          </w:tcPr>
          <w:p>
            <w:pPr>
              <w:spacing w:after="0"/>
              <w:rPr>
                <w:sz w:val="16"/>
                <w:szCs w:val="16"/>
                <w:color w:val="auto"/>
              </w:rPr>
            </w:pPr>
          </w:p>
        </w:tc>
        <w:tc>
          <w:tcPr>
            <w:tcW w:w="10380" w:type="dxa"/>
            <w:vAlign w:val="bottom"/>
            <w:gridSpan w:val="46"/>
          </w:tcPr>
          <w:p>
            <w:pPr>
              <w:spacing w:after="0" w:line="18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Third Amendment to Amended and Restated License and Collaboration Agreement, dated as of April 5, 2020, and effective as of April</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300" w:type="dxa"/>
            <w:vAlign w:val="bottom"/>
            <w:tcBorders>
              <w:top w:val="single" w:sz="8" w:color="0000FF"/>
              <w:bottom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1, 2020, by and between the Registrant, Sanofi Biotechnology SAS, and Sanofi. (Incorporated by reference from the Form 10-Q for the</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320" w:type="dxa"/>
            <w:vAlign w:val="bottom"/>
            <w:gridSpan w:val="43"/>
          </w:tcPr>
          <w:p>
            <w:pPr>
              <w:spacing w:after="0" w:line="16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Registrant, for the quarter ended June 30, 2020, filed August 5, 2020.)</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10.9.4**</w:t>
            </w:r>
          </w:p>
        </w:tc>
        <w:tc>
          <w:tcPr>
            <w:tcW w:w="80" w:type="dxa"/>
            <w:vAlign w:val="bottom"/>
            <w:shd w:val="clear" w:color="auto" w:fill="CCEEFF"/>
          </w:tcPr>
          <w:p>
            <w:pPr>
              <w:spacing w:after="0"/>
              <w:rPr>
                <w:sz w:val="16"/>
                <w:szCs w:val="16"/>
                <w:color w:val="auto"/>
              </w:rPr>
            </w:pPr>
          </w:p>
        </w:tc>
        <w:tc>
          <w:tcPr>
            <w:tcW w:w="10380" w:type="dxa"/>
            <w:vAlign w:val="bottom"/>
            <w:gridSpan w:val="46"/>
            <w:shd w:val="clear" w:color="auto" w:fill="CCEEFF"/>
          </w:tcPr>
          <w:p>
            <w:pPr>
              <w:spacing w:after="0" w:line="18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Fourth Amendment to Amended and Restated License and Collaboration Agreement, dated as of October 6, 2021, by and between the</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120" w:type="dxa"/>
            <w:vAlign w:val="bottom"/>
            <w:tcBorders>
              <w:top w:val="single" w:sz="8" w:color="0000FF"/>
              <w:bottom w:val="single" w:sz="8" w:color="0000FF"/>
            </w:tcBorders>
            <w:gridSpan w:val="33"/>
            <w:shd w:val="clear" w:color="auto" w:fill="CCEEFF"/>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Registrant, Sanofi Biotechnology SAS, and Sanofi. (Incorporated by reference from the Form 10-K for the Registrant, for the year</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700" w:type="dxa"/>
            <w:vAlign w:val="bottom"/>
            <w:tcBorders>
              <w:bottom w:val="single" w:sz="8" w:color="0000FF"/>
            </w:tcBorders>
            <w:gridSpan w:val="11"/>
            <w:shd w:val="clear" w:color="auto" w:fill="CCEEFF"/>
          </w:tcPr>
          <w:p>
            <w:pPr>
              <w:spacing w:after="0" w:line="169"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ended December 31, 2021, filed February 7, 2022.)</w:t>
              </w:r>
            </w:hyperlink>
          </w:p>
        </w:tc>
        <w:tc>
          <w:tcPr>
            <w:tcW w:w="6560" w:type="dxa"/>
            <w:vAlign w:val="bottom"/>
            <w:tcBorders>
              <w:bottom w:val="single" w:sz="8" w:color="CCEEFF"/>
            </w:tcBorders>
            <w:gridSpan w:val="29"/>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gridSpan w:val="4"/>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10.9.5**</w:t>
            </w:r>
          </w:p>
        </w:tc>
        <w:tc>
          <w:tcPr>
            <w:tcW w:w="80" w:type="dxa"/>
            <w:vAlign w:val="bottom"/>
          </w:tcPr>
          <w:p>
            <w:pPr>
              <w:spacing w:after="0"/>
              <w:rPr>
                <w:sz w:val="16"/>
                <w:szCs w:val="16"/>
                <w:color w:val="auto"/>
              </w:rPr>
            </w:pPr>
          </w:p>
        </w:tc>
        <w:tc>
          <w:tcPr>
            <w:tcW w:w="10380" w:type="dxa"/>
            <w:vAlign w:val="bottom"/>
            <w:gridSpan w:val="46"/>
          </w:tcPr>
          <w:p>
            <w:pPr>
              <w:spacing w:after="0" w:line="18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Fifth Amendment to Amended and Restated License and Collaboration Agreement, dated as of June 1, 2022, by and between the</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9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Registrant, Sanofi Biotechnology SAS, and Sanofi. (Incorporated by reference from the Form 10-Q for the Registrant, for the quarter</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16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ended June 30, 2022, filed August 3, 2022.)</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80" w:type="dxa"/>
            <w:vAlign w:val="bottom"/>
            <w:shd w:val="clear" w:color="auto" w:fill="CCEEFF"/>
          </w:tcPr>
          <w:p>
            <w:pPr>
              <w:spacing w:after="0"/>
              <w:rPr>
                <w:sz w:val="16"/>
                <w:szCs w:val="16"/>
                <w:color w:val="auto"/>
              </w:rPr>
            </w:pPr>
          </w:p>
        </w:tc>
        <w:tc>
          <w:tcPr>
            <w:tcW w:w="10380" w:type="dxa"/>
            <w:vAlign w:val="bottom"/>
            <w:gridSpan w:val="46"/>
            <w:shd w:val="clear" w:color="auto" w:fill="CCEEFF"/>
          </w:tcPr>
          <w:p>
            <w:pPr>
              <w:spacing w:after="0" w:line="18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Praluent Cross License &amp; Commercialization Agreement, dated as of April 5, 2020, and effective as of April 1, 2020, by and between</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360" w:type="dxa"/>
            <w:vAlign w:val="bottom"/>
            <w:tcBorders>
              <w:top w:val="single" w:sz="8" w:color="0000FF"/>
            </w:tcBorders>
            <w:gridSpan w:val="45"/>
            <w:shd w:val="clear" w:color="auto" w:fill="CCEEFF"/>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the Registrant and Sanofi Biotechnology SAS. (Incorporated by reference from the Form 10-Q for the Registrant, for the quarter ended</w:t>
              </w:r>
            </w:hyperlink>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80" w:type="dxa"/>
            <w:vAlign w:val="bottom"/>
            <w:tcBorders>
              <w:top w:val="single" w:sz="8" w:color="0000FF"/>
              <w:bottom w:val="single" w:sz="8" w:color="0000FF"/>
            </w:tcBorders>
            <w:gridSpan w:val="8"/>
            <w:shd w:val="clear" w:color="auto" w:fill="CCEEFF"/>
          </w:tcPr>
          <w:p>
            <w:pPr>
              <w:spacing w:after="0" w:line="169"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June 30, 2020, filed August 5, 2020.)</w:t>
              </w:r>
            </w:hyperlink>
          </w:p>
        </w:tc>
        <w:tc>
          <w:tcPr>
            <w:tcW w:w="7460" w:type="dxa"/>
            <w:vAlign w:val="bottom"/>
            <w:tcBorders>
              <w:top w:val="single" w:sz="8" w:color="0000FF"/>
              <w:bottom w:val="single" w:sz="8" w:color="CCEEFF"/>
            </w:tcBorders>
            <w:gridSpan w:val="26"/>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6"/>
                <w:szCs w:val="16"/>
                <w:color w:val="auto"/>
              </w:rPr>
            </w:pPr>
          </w:p>
        </w:tc>
        <w:tc>
          <w:tcPr>
            <w:tcW w:w="10380" w:type="dxa"/>
            <w:vAlign w:val="bottom"/>
            <w:gridSpan w:val="46"/>
          </w:tcPr>
          <w:p>
            <w:pPr>
              <w:spacing w:after="0" w:line="18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Amended and Restated Investor Agreement, dated as of January 11, 2014, by and among Sanofi, sanofi-aventis US LLC, Aventis</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9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Pharmaceuticals Inc., sanofi-aventis Amerique du Nord, and the Registrant. (Incorporated by reference from the Form 8-K for the</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Registrant, filed January 13, 2014.)</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10.11.1</w:t>
            </w:r>
          </w:p>
        </w:tc>
        <w:tc>
          <w:tcPr>
            <w:tcW w:w="80" w:type="dxa"/>
            <w:vAlign w:val="bottom"/>
            <w:shd w:val="clear" w:color="auto" w:fill="CCEEFF"/>
          </w:tcPr>
          <w:p>
            <w:pPr>
              <w:spacing w:after="0"/>
              <w:rPr>
                <w:sz w:val="16"/>
                <w:szCs w:val="16"/>
                <w:color w:val="auto"/>
              </w:rPr>
            </w:pPr>
          </w:p>
        </w:tc>
        <w:tc>
          <w:tcPr>
            <w:tcW w:w="10380" w:type="dxa"/>
            <w:vAlign w:val="bottom"/>
            <w:gridSpan w:val="46"/>
            <w:shd w:val="clear" w:color="auto" w:fill="CCEEFF"/>
          </w:tcPr>
          <w:p>
            <w:pPr>
              <w:spacing w:after="0" w:line="18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Amendment to the Amended and Restated Investor Agreement, dated as of May 25, 2020, by and among the Registrant, Sanofi, Sanofi-</w:t>
              </w:r>
            </w:hyperlink>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020" w:type="dxa"/>
            <w:vAlign w:val="bottom"/>
            <w:tcBorders>
              <w:top w:val="single" w:sz="8" w:color="0000FF"/>
              <w:bottom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Aventis US LLC, and Aventisub LLC. (Incorporated by reference from the Form 8-K for the Registrant, filed May 29, 2020.)</w:t>
              </w:r>
            </w:hyperlink>
          </w:p>
        </w:tc>
        <w:tc>
          <w:tcPr>
            <w:tcW w:w="1260" w:type="dxa"/>
            <w:vAlign w:val="bottom"/>
            <w:tcBorders>
              <w:top w:val="single" w:sz="8" w:color="0000FF"/>
              <w:bottom w:val="single" w:sz="8" w:color="CCEEFF"/>
            </w:tcBorders>
            <w:gridSpan w:val="26"/>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6"/>
                <w:szCs w:val="16"/>
                <w:color w:val="auto"/>
              </w:rPr>
            </w:pPr>
          </w:p>
        </w:tc>
        <w:tc>
          <w:tcPr>
            <w:tcW w:w="10380" w:type="dxa"/>
            <w:vAlign w:val="bottom"/>
            <w:gridSpan w:val="46"/>
          </w:tcPr>
          <w:p>
            <w:pPr>
              <w:spacing w:after="0" w:line="18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Credit Agreement, dated as of December 19, 2022, by and among the Registrant, as a borrower and guarantor, certain direct subsidiaries</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of the Registrant, as the initial subsidiary borrowers, the lenders and issuing banks party thereto, and JPMorgan Chase Bank, N.A., as</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940" w:type="dxa"/>
            <w:vAlign w:val="bottom"/>
            <w:tcBorders>
              <w:top w:val="single" w:sz="8" w:color="0000FF"/>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administrative agent, swingline lender, and an issuing bank. (Incorporated by reference from the Form 8-K for the Registrant, filed</w:t>
              </w:r>
            </w:hyperlink>
          </w:p>
        </w:tc>
        <w:tc>
          <w:tcPr>
            <w:tcW w:w="120" w:type="dxa"/>
            <w:vAlign w:val="bottom"/>
            <w:tcBorders>
              <w:bottom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60" w:type="dxa"/>
            <w:vAlign w:val="bottom"/>
            <w:gridSpan w:val="30"/>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December 20, 2022.)</w:t>
              </w:r>
            </w:hyperlink>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80" w:type="dxa"/>
            <w:vAlign w:val="bottom"/>
            <w:shd w:val="clear" w:color="auto" w:fill="CCEEFF"/>
          </w:tcPr>
          <w:p>
            <w:pPr>
              <w:spacing w:after="0"/>
              <w:rPr>
                <w:sz w:val="16"/>
                <w:szCs w:val="16"/>
                <w:color w:val="auto"/>
              </w:rPr>
            </w:pPr>
          </w:p>
        </w:tc>
        <w:tc>
          <w:tcPr>
            <w:tcW w:w="10380" w:type="dxa"/>
            <w:vAlign w:val="bottom"/>
            <w:gridSpan w:val="46"/>
            <w:shd w:val="clear" w:color="auto" w:fill="CCEEFF"/>
          </w:tcPr>
          <w:p>
            <w:pPr>
              <w:spacing w:after="0" w:line="18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Amended and Restated Immuno-oncology License and Collaboration Agreement, dated as of June 1, 2022, by and between the</w:t>
              </w:r>
            </w:hyperlink>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240" w:type="dxa"/>
            <w:vAlign w:val="bottom"/>
            <w:tcBorders>
              <w:top w:val="single" w:sz="8" w:color="0000FF"/>
            </w:tcBorders>
            <w:gridSpan w:val="39"/>
            <w:shd w:val="clear" w:color="auto" w:fill="CCEEFF"/>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Registrant and Sanofi Biotechnology SAS. (Incorporated by reference from the Form 10-Q for the Registrant, for the quarter ended June</w:t>
              </w:r>
            </w:hyperlink>
          </w:p>
        </w:tc>
        <w:tc>
          <w:tcPr>
            <w:tcW w:w="140" w:type="dxa"/>
            <w:vAlign w:val="bottom"/>
            <w:tcBorders>
              <w:top w:val="single" w:sz="8" w:color="CCEEFF"/>
            </w:tcBorders>
            <w:gridSpan w:val="7"/>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20" w:type="dxa"/>
            <w:vAlign w:val="bottom"/>
            <w:tcBorders>
              <w:top w:val="single" w:sz="8" w:color="0000FF"/>
            </w:tcBorders>
            <w:gridSpan w:val="38"/>
            <w:shd w:val="clear" w:color="auto" w:fill="CCEEFF"/>
          </w:tcPr>
          <w:p>
            <w:pPr>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30, 2022, filed August 3, 2022.)</w:t>
              </w:r>
            </w:hyperlink>
          </w:p>
        </w:tc>
        <w:tc>
          <w:tcPr>
            <w:tcW w:w="160" w:type="dxa"/>
            <w:vAlign w:val="bottom"/>
            <w:tcBorders>
              <w:top w:val="single" w:sz="8" w:color="CCEEFF"/>
            </w:tcBorders>
            <w:gridSpan w:val="8"/>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6"/>
                <w:szCs w:val="16"/>
                <w:color w:val="auto"/>
              </w:rPr>
            </w:pPr>
          </w:p>
        </w:tc>
        <w:tc>
          <w:tcPr>
            <w:tcW w:w="10380" w:type="dxa"/>
            <w:vAlign w:val="bottom"/>
            <w:gridSpan w:val="46"/>
          </w:tcPr>
          <w:p>
            <w:pPr>
              <w:spacing w:after="0" w:line="18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Purchase Agreement, dated as of December 30, 2016, by and among BMR-Landmark at Eastview LLC and BMR-Landmark at</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Eastview IV LLC and the Registrant. (Incorporated by reference from the Form 10-K for the Registrant, for the year ended December</w:t>
              </w:r>
            </w:hyperlink>
          </w:p>
        </w:tc>
        <w:tc>
          <w:tcPr>
            <w:tcW w:w="30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31, 2016, filed February 9, 2017.)</w:t>
              </w:r>
            </w:hyperlink>
          </w:p>
        </w:tc>
        <w:tc>
          <w:tcPr>
            <w:tcW w:w="7440" w:type="dxa"/>
            <w:vAlign w:val="bottom"/>
            <w:tcBorders>
              <w:top w:val="single" w:sz="8" w:color="0000FF"/>
            </w:tcBorders>
            <w:gridSpan w:val="15"/>
          </w:tcPr>
          <w:p>
            <w:pPr>
              <w:spacing w:after="0"/>
              <w:rPr>
                <w:sz w:val="14"/>
                <w:szCs w:val="14"/>
                <w:color w:val="auto"/>
              </w:rPr>
            </w:pPr>
          </w:p>
        </w:tc>
        <w:tc>
          <w:tcPr>
            <w:tcW w:w="500" w:type="dxa"/>
            <w:vAlign w:val="bottom"/>
            <w:gridSpan w:val="25"/>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18"/>
                <w:szCs w:val="18"/>
                <w:color w:val="auto"/>
              </w:rPr>
            </w:pPr>
          </w:p>
        </w:tc>
        <w:tc>
          <w:tcPr>
            <w:tcW w:w="10380" w:type="dxa"/>
            <w:vAlign w:val="bottom"/>
            <w:gridSpan w:val="46"/>
          </w:tcPr>
          <w:p>
            <w:pPr>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Third Amended and Restated Participation Agreement, dated as of March 27, 2023, by and among Old Saw Mill Holdings LLC, as</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-120650</wp:posOffset>
            </wp:positionV>
            <wp:extent cx="6960870" cy="3771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5">
                      <a:extLst>
                        <a:ext uri="{28A0092B-C50C-407E-A947-70E740481C1C}"/>
                      </a:extLst>
                    </a:blip>
                    <a:srcRect/>
                    <a:stretch>
                      <a:fillRect/>
                    </a:stretch>
                  </pic:blipFill>
                  <pic:spPr bwMode="auto">
                    <a:xfrm>
                      <a:off x="0" y="0"/>
                      <a:ext cx="6960870" cy="377190"/>
                    </a:xfrm>
                    <a:prstGeom prst="rect">
                      <a:avLst/>
                    </a:prstGeom>
                    <a:noFill/>
                  </pic:spPr>
                </pic:pic>
              </a:graphicData>
            </a:graphic>
          </wp:anchor>
        </w:drawing>
      </w:r>
    </w:p>
    <w:p>
      <w:pPr>
        <w:ind w:left="1240" w:right="20"/>
        <w:spacing w:after="0" w:line="233"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lessee, Bank of America, N.A., as administrative agent, BA Leasing BSC, LLC, as lessor, and the rent assignees party thereto from time</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to time. (Incorporated by reference from the Form 8-K for the Registrant, filed March 29, 2023.)</w:t>
        </w:r>
      </w:hyperlink>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1" w:right="47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1"/>
        </w:trPr>
        <w:tc>
          <w:tcPr>
            <w:tcW w:w="1160" w:type="dxa"/>
            <w:vAlign w:val="bottom"/>
            <w:tcBorders>
              <w:top w:val="single" w:sz="8" w:color="0000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Third Amended and Restated Lease and Remedies Agreement, dated as of March 27, 2023, between Old Saw Mill Holdings LLC, as</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lessee, and BA Leasing BSC, LLC, as lessor. (Incorporated by reference from the Form 8-K for the Registrant, filed March 29,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4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80" w:type="dxa"/>
            <w:vAlign w:val="bottom"/>
            <w:shd w:val="clear" w:color="auto" w:fill="CCEEFF"/>
          </w:tcPr>
          <w:p>
            <w:pPr>
              <w:spacing w:after="0"/>
              <w:rPr>
                <w:sz w:val="16"/>
                <w:szCs w:val="16"/>
                <w:color w:val="auto"/>
              </w:rPr>
            </w:pPr>
          </w:p>
        </w:tc>
        <w:tc>
          <w:tcPr>
            <w:tcW w:w="996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Third Amended and Restated Guaranty, dated as of March 27, 2023, made by the Registrant, Regeneron Healthcare Solutions, Inc., and</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900" w:type="dxa"/>
            <w:vAlign w:val="bottom"/>
            <w:tcBorders>
              <w:top w:val="single" w:sz="8" w:color="0000FF"/>
              <w:bottom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Regeneron Genetics Center LLC, as guarantors. (Incorporated by reference from the Form 8-K for the Registrant, filed March 29,</w:t>
              </w:r>
            </w:hyperlink>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0000FF"/>
            </w:tcBorders>
            <w:shd w:val="clear" w:color="auto" w:fill="CCEEFF"/>
          </w:tcPr>
          <w:p>
            <w:pPr>
              <w:spacing w:after="0" w:line="169" w:lineRule="exact"/>
              <w:rPr>
                <w:rFonts w:ascii="Times New Roman" w:cs="Times New Roman" w:eastAsia="Times New Roman" w:hAnsi="Times New Roman"/>
                <w:sz w:val="18"/>
                <w:szCs w:val="18"/>
                <w:color w:val="0000FF"/>
                <w:w w:val="94"/>
              </w:rPr>
            </w:pPr>
            <w:hyperlink r:id="rId168">
              <w:r>
                <w:rPr>
                  <w:rFonts w:ascii="Times New Roman" w:cs="Times New Roman" w:eastAsia="Times New Roman" w:hAnsi="Times New Roman"/>
                  <w:sz w:val="18"/>
                  <w:szCs w:val="18"/>
                  <w:color w:val="0000FF"/>
                  <w:w w:val="94"/>
                </w:rPr>
                <w:t>2023.</w:t>
              </w:r>
              <w:r>
                <w:rPr>
                  <w:rFonts w:ascii="Times New Roman" w:cs="Times New Roman" w:eastAsia="Times New Roman" w:hAnsi="Times New Roman"/>
                  <w:sz w:val="18"/>
                  <w:szCs w:val="18"/>
                  <w:u w:val="single" w:color="auto"/>
                  <w:color w:val="0000FF"/>
                  <w:w w:val="94"/>
                </w:rPr>
                <w:t>)</w:t>
              </w:r>
            </w:hyperlink>
          </w:p>
        </w:tc>
        <w:tc>
          <w:tcPr>
            <w:tcW w:w="8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2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80" w:type="dxa"/>
            <w:vAlign w:val="bottom"/>
            <w:tcBorders>
              <w:top w:val="single" w:sz="8" w:color="CCEEFF"/>
            </w:tcBorders>
          </w:tcPr>
          <w:p>
            <w:pPr>
              <w:spacing w:after="0"/>
              <w:rPr>
                <w:sz w:val="16"/>
                <w:szCs w:val="16"/>
                <w:color w:val="auto"/>
              </w:rPr>
            </w:pPr>
          </w:p>
        </w:tc>
        <w:tc>
          <w:tcPr>
            <w:tcW w:w="9960" w:type="dxa"/>
            <w:vAlign w:val="bottom"/>
            <w:tcBorders>
              <w:top w:val="single" w:sz="8" w:color="CCEEFF"/>
            </w:tcBorders>
            <w:gridSpan w:val="20"/>
          </w:tcPr>
          <w:p>
            <w:pPr>
              <w:spacing w:after="0" w:line="18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Master Agreement, dated as of April 8, 2019, by and between the Registrant and Alnylam Pharmaceuticals, Inc. (Incorporated by</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reference from the Form 10-Q for the Registrant, for the quarter ended June 30, 2019, filed August 6, 2019.)</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4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vMerge w:val="continue"/>
          </w:tcPr>
          <w:p>
            <w:pPr>
              <w:spacing w:after="0"/>
              <w:rPr>
                <w:sz w:val="18"/>
                <w:szCs w:val="18"/>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10.18.1**</w:t>
            </w:r>
          </w:p>
        </w:tc>
        <w:tc>
          <w:tcPr>
            <w:tcW w:w="80" w:type="dxa"/>
            <w:vAlign w:val="bottom"/>
            <w:shd w:val="clear" w:color="auto" w:fill="CCEEFF"/>
          </w:tcPr>
          <w:p>
            <w:pPr>
              <w:spacing w:after="0"/>
              <w:rPr>
                <w:sz w:val="18"/>
                <w:szCs w:val="18"/>
                <w:color w:val="auto"/>
              </w:rPr>
            </w:pPr>
          </w:p>
        </w:tc>
        <w:tc>
          <w:tcPr>
            <w:tcW w:w="996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Co-Co Collaboration Agreement (Exhibit B to Master Agreement contained in Exhibit 10.18).</w:t>
              </w:r>
            </w:hyperlink>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10.18.2**</w:t>
            </w:r>
          </w:p>
        </w:tc>
        <w:tc>
          <w:tcPr>
            <w:tcW w:w="80" w:type="dxa"/>
            <w:vAlign w:val="bottom"/>
            <w:tcBorders>
              <w:top w:val="single" w:sz="8" w:color="CCEEFF"/>
            </w:tcBorders>
          </w:tcPr>
          <w:p>
            <w:pPr>
              <w:spacing w:after="0"/>
              <w:rPr>
                <w:sz w:val="16"/>
                <w:szCs w:val="16"/>
                <w:color w:val="auto"/>
              </w:rPr>
            </w:pPr>
          </w:p>
        </w:tc>
        <w:tc>
          <w:tcPr>
            <w:tcW w:w="7420" w:type="dxa"/>
            <w:vAlign w:val="bottom"/>
            <w:tcBorders>
              <w:top w:val="single" w:sz="8" w:color="0000FF"/>
            </w:tcBorders>
            <w:gridSpan w:val="7"/>
          </w:tcPr>
          <w:p>
            <w:pPr>
              <w:spacing w:after="0" w:line="18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of License Agreement (Exhibit C to Master Agreement contained in Exhibit 10.18).</w:t>
              </w:r>
            </w:hyperlink>
          </w:p>
        </w:tc>
        <w:tc>
          <w:tcPr>
            <w:tcW w:w="2540" w:type="dxa"/>
            <w:vAlign w:val="bottom"/>
            <w:tcBorders>
              <w:top w:val="single" w:sz="8" w:color="CCEEFF"/>
            </w:tcBorders>
            <w:gridSpan w:val="13"/>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10.18.3**</w:t>
            </w:r>
          </w:p>
        </w:tc>
        <w:tc>
          <w:tcPr>
            <w:tcW w:w="80" w:type="dxa"/>
            <w:vAlign w:val="bottom"/>
            <w:shd w:val="clear" w:color="auto" w:fill="CCEEFF"/>
          </w:tcPr>
          <w:p>
            <w:pPr>
              <w:spacing w:after="0"/>
              <w:rPr>
                <w:sz w:val="16"/>
                <w:szCs w:val="16"/>
                <w:color w:val="auto"/>
              </w:rPr>
            </w:pPr>
          </w:p>
        </w:tc>
        <w:tc>
          <w:tcPr>
            <w:tcW w:w="996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Amendment No. 1 to Master Agreement, dated as of April 10, 2023, by and between the Registrant and Alnylam Pharmaceuticals, Inc.</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(Incorporated by reference from the Form 10-Q for the Registrant, for the quarter ended June 30, 2023, filed August 3, 2023.)</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0" w:type="dxa"/>
            <w:vAlign w:val="bottom"/>
            <w:vMerge w:val="restart"/>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42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10.18.4**</w:t>
            </w:r>
          </w:p>
        </w:tc>
        <w:tc>
          <w:tcPr>
            <w:tcW w:w="80" w:type="dxa"/>
            <w:vAlign w:val="bottom"/>
          </w:tcPr>
          <w:p>
            <w:pPr>
              <w:spacing w:after="0"/>
              <w:rPr>
                <w:sz w:val="16"/>
                <w:szCs w:val="16"/>
                <w:color w:val="auto"/>
              </w:rPr>
            </w:pPr>
          </w:p>
        </w:tc>
        <w:tc>
          <w:tcPr>
            <w:tcW w:w="9960" w:type="dxa"/>
            <w:vAlign w:val="bottom"/>
            <w:gridSpan w:val="20"/>
          </w:tcPr>
          <w:p>
            <w:pPr>
              <w:spacing w:after="0" w:line="18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Amendment No. 2 to Master Agreement, dated as of March 7, 2024, by and between the Registrant and Alnylam Pharmaceuticals, Inc.</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(Incorporated by reference from the Form 10-Q for the Registrant, for the quarter ended March 31, 2024, filed May 2, 2024.)</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4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10.18.5**</w:t>
            </w:r>
          </w:p>
        </w:tc>
        <w:tc>
          <w:tcPr>
            <w:tcW w:w="80" w:type="dxa"/>
            <w:vAlign w:val="bottom"/>
            <w:shd w:val="clear" w:color="auto" w:fill="CCEEFF"/>
          </w:tcPr>
          <w:p>
            <w:pPr>
              <w:spacing w:after="0"/>
              <w:rPr>
                <w:sz w:val="16"/>
                <w:szCs w:val="16"/>
                <w:color w:val="auto"/>
              </w:rPr>
            </w:pPr>
          </w:p>
        </w:tc>
        <w:tc>
          <w:tcPr>
            <w:tcW w:w="996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Amendment No. 3 to Master Agreement, dated as of August 1, 2024, by and between the Registrant and Alnylam Pharmaceuticals, Inc.</w:t>
              </w:r>
            </w:hyperlink>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640" w:type="dxa"/>
            <w:vAlign w:val="bottom"/>
            <w:tcBorders>
              <w:top w:val="single" w:sz="8" w:color="0000FF"/>
              <w:bottom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(Incorporated by reference from the Form 10-Q for the Registrant, for the quarter ended September 30, 2024, filed October 31, 2024.)</w:t>
              </w:r>
            </w:hyperlink>
          </w:p>
        </w:tc>
        <w:tc>
          <w:tcPr>
            <w:tcW w:w="30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6"/>
                <w:szCs w:val="16"/>
                <w:color w:val="auto"/>
              </w:rPr>
            </w:pPr>
          </w:p>
        </w:tc>
        <w:tc>
          <w:tcPr>
            <w:tcW w:w="9960" w:type="dxa"/>
            <w:vAlign w:val="bottom"/>
            <w:gridSpan w:val="20"/>
          </w:tcPr>
          <w:p>
            <w:pPr>
              <w:spacing w:after="0" w:line="18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Insider Trading Policy. (Incorporated by reference from the Form 10-K for the Registrant, for the year ended December 31, 2024, filed</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9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February 5, 2025.)</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4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6"/>
                <w:szCs w:val="16"/>
                <w:color w:val="auto"/>
              </w:rPr>
            </w:pPr>
          </w:p>
        </w:tc>
        <w:tc>
          <w:tcPr>
            <w:tcW w:w="996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Subsidiaries of the Registrant.</w:t>
            </w: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6"/>
                <w:szCs w:val="16"/>
                <w:color w:val="auto"/>
              </w:rPr>
            </w:pPr>
          </w:p>
        </w:tc>
        <w:tc>
          <w:tcPr>
            <w:tcW w:w="996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vMerge w:val="continue"/>
          </w:tcPr>
          <w:p>
            <w:pPr>
              <w:spacing w:after="0"/>
              <w:rPr>
                <w:sz w:val="18"/>
                <w:szCs w:val="18"/>
                <w:color w:val="auto"/>
              </w:rPr>
            </w:pPr>
          </w:p>
        </w:tc>
        <w:tc>
          <w:tcPr>
            <w:tcW w:w="10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24.1</w:t>
            </w:r>
          </w:p>
        </w:tc>
        <w:tc>
          <w:tcPr>
            <w:tcW w:w="80" w:type="dxa"/>
            <w:vAlign w:val="bottom"/>
            <w:tcBorders>
              <w:bottom w:val="single" w:sz="8" w:color="CCEEFF"/>
            </w:tcBorders>
            <w:shd w:val="clear" w:color="auto" w:fill="CCEEFF"/>
          </w:tcPr>
          <w:p>
            <w:pPr>
              <w:spacing w:after="0"/>
              <w:rPr>
                <w:sz w:val="18"/>
                <w:szCs w:val="18"/>
                <w:color w:val="auto"/>
              </w:rPr>
            </w:pPr>
          </w:p>
        </w:tc>
        <w:tc>
          <w:tcPr>
            <w:tcW w:w="644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Power of Attorney (included on the signature page of this Annual Report on Form 10-K).</w:t>
            </w:r>
          </w:p>
        </w:tc>
        <w:tc>
          <w:tcPr>
            <w:tcW w:w="3520" w:type="dxa"/>
            <w:vAlign w:val="bottom"/>
            <w:tcBorders>
              <w:bottom w:val="single" w:sz="8" w:color="CCEEFF"/>
            </w:tcBorders>
            <w:gridSpan w:val="16"/>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6"/>
                <w:szCs w:val="16"/>
                <w:color w:val="auto"/>
              </w:rPr>
            </w:pPr>
          </w:p>
        </w:tc>
        <w:tc>
          <w:tcPr>
            <w:tcW w:w="996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 13a-14(a) under the Securities Exchange Act of 1934.</w:t>
            </w:r>
          </w:p>
        </w:tc>
        <w:tc>
          <w:tcPr>
            <w:tcW w:w="0" w:type="dxa"/>
            <w:vAlign w:val="bottom"/>
          </w:tcPr>
          <w:p>
            <w:pPr>
              <w:spacing w:after="0"/>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 w:type="dxa"/>
            <w:vAlign w:val="bottom"/>
            <w:vMerge w:val="continue"/>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16"/>
                <w:szCs w:val="16"/>
                <w:color w:val="auto"/>
              </w:rPr>
            </w:pPr>
          </w:p>
        </w:tc>
        <w:tc>
          <w:tcPr>
            <w:tcW w:w="996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13a-14(a) under the Securities Exchange Act of 1934.</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40" w:hanging="1079"/>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14605</wp:posOffset>
            </wp:positionV>
            <wp:extent cx="6960870" cy="265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6">
                      <a:extLst>
                        <a:ext uri="{28A0092B-C50C-407E-A947-70E740481C1C}"/>
                      </a:extLst>
                    </a:blip>
                    <a:srcRect/>
                    <a:stretch>
                      <a:fillRect/>
                    </a:stretch>
                  </pic:blipFill>
                  <pic:spPr bwMode="auto">
                    <a:xfrm>
                      <a:off x="0" y="0"/>
                      <a:ext cx="6960870" cy="265430"/>
                    </a:xfrm>
                    <a:prstGeom prst="rect">
                      <a:avLst/>
                    </a:prstGeom>
                    <a:noFill/>
                  </pic:spPr>
                </pic:pic>
              </a:graphicData>
            </a:graphic>
          </wp:anchor>
        </w:drawing>
      </w:r>
    </w:p>
    <w:p>
      <w:pPr>
        <w:spacing w:after="0" w:line="3" w:lineRule="exact"/>
        <w:rPr>
          <w:sz w:val="20"/>
          <w:szCs w:val="20"/>
          <w:color w:val="auto"/>
        </w:rPr>
      </w:pPr>
    </w:p>
    <w:p>
      <w:pPr>
        <w:ind w:left="1240" w:right="20" w:hanging="1079"/>
        <w:spacing w:after="0" w:line="234" w:lineRule="auto"/>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97.1</w:t>
      </w:r>
      <w:r>
        <w:rPr>
          <w:sz w:val="20"/>
          <w:szCs w:val="20"/>
          <w:color w:val="auto"/>
        </w:rPr>
        <w:tab/>
      </w:r>
      <w:hyperlink r:id="rId177">
        <w:r>
          <w:rPr>
            <w:rFonts w:ascii="Times New Roman" w:cs="Times New Roman" w:eastAsia="Times New Roman" w:hAnsi="Times New Roman"/>
            <w:sz w:val="18"/>
            <w:szCs w:val="18"/>
            <w:u w:val="single" w:color="auto"/>
            <w:color w:val="0000FF"/>
          </w:rPr>
          <w:t>Clawback Policy. (Incorporated by reference from the Form 10-K for the Registrant, for the year ended December 31, 2023, filed</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February 5, 2024.)</w:t>
        </w:r>
      </w:hyperlink>
    </w:p>
    <w:p>
      <w:pPr>
        <w:spacing w:after="0" w:line="10" w:lineRule="exact"/>
        <w:rPr>
          <w:sz w:val="20"/>
          <w:szCs w:val="20"/>
          <w:color w:val="auto"/>
        </w:rPr>
      </w:pPr>
    </w:p>
    <w:p>
      <w:pPr>
        <w:jc w:val="both"/>
        <w:ind w:left="1240" w:right="20" w:hanging="1079"/>
        <w:spacing w:after="0" w:line="220" w:lineRule="auto"/>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 XBRL"): (i) the Registrant's Consolidated Balance Sheets as of December 31, 2025 and 2024; (ii) the Registrant's Consolidated Statements of Operations and Comprehensive Income for the years ended December 31, 2025, 2024, and 2023; (iii) the Registrant's Consolidated Statements of Stockholders’ Equity for the years ended December 31, 2025, 2024, and 2023; (iv) the Registrant's Consolidated Statements of Cash Flows for the years ended December 31, 2025, 2024, and 2023; and (v) the notes to the Registrant's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0</wp:posOffset>
            </wp:positionV>
            <wp:extent cx="696087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8">
                      <a:extLst>
                        <a:ext uri="{28A0092B-C50C-407E-A947-70E740481C1C}"/>
                      </a:extLst>
                    </a:blip>
                    <a:srcRect/>
                    <a:stretch>
                      <a:fillRect/>
                    </a:stretch>
                  </pic:blipFill>
                  <pic:spPr bwMode="auto">
                    <a:xfrm>
                      <a:off x="0" y="0"/>
                      <a:ext cx="6960870" cy="146050"/>
                    </a:xfrm>
                    <a:prstGeom prst="rect">
                      <a:avLst/>
                    </a:prstGeom>
                    <a:noFill/>
                  </pic:spPr>
                </pic:pic>
              </a:graphicData>
            </a:graphic>
          </wp:anchor>
        </w:drawing>
      </w:r>
    </w:p>
    <w:p>
      <w:pPr>
        <w:ind w:left="1240" w:hanging="1079"/>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w:t>
      </w:r>
    </w:p>
    <w:p>
      <w:pPr>
        <w:spacing w:after="0" w:line="216" w:lineRule="exact"/>
        <w:rPr>
          <w:rFonts w:ascii="Times New Roman" w:cs="Times New Roman" w:eastAsia="Times New Roman" w:hAnsi="Times New Roman"/>
          <w:sz w:val="18"/>
          <w:szCs w:val="18"/>
          <w:color w:val="auto"/>
        </w:rPr>
      </w:pPr>
    </w:p>
    <w:p>
      <w:pPr>
        <w:ind w:left="1920" w:right="1020" w:hanging="94"/>
        <w:spacing w:after="0" w:line="2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Portions of this document have been omitted and filed separately with the SEC pursuant to requests for confidential treatment pursuant to Rule 24b-2</w:t>
      </w:r>
    </w:p>
    <w:p>
      <w:pPr>
        <w:spacing w:after="0" w:line="6" w:lineRule="exact"/>
        <w:rPr>
          <w:rFonts w:ascii="Times New Roman" w:cs="Times New Roman" w:eastAsia="Times New Roman" w:hAnsi="Times New Roman"/>
          <w:sz w:val="18"/>
          <w:szCs w:val="18"/>
          <w:color w:val="auto"/>
        </w:rPr>
      </w:pPr>
    </w:p>
    <w:p>
      <w:pPr>
        <w:jc w:val="both"/>
        <w:ind w:left="1920" w:right="1040" w:hanging="143"/>
        <w:spacing w:after="0"/>
        <w:tabs>
          <w:tab w:leader="none" w:pos="1920" w:val="left"/>
        </w:tabs>
        <w:numPr>
          <w:ilvl w:val="1"/>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Certain confidential portions of this Exhibit were omitted in accordance with Item 601(b)(10) of Regulation S-K. The Registrant agrees to furnish supplementally a copy of all confidential portions of this Exhibit that were omitted to the SEC upon its request.</w:t>
      </w:r>
    </w:p>
    <w:p>
      <w:pPr>
        <w:spacing w:after="0" w:line="126" w:lineRule="exact"/>
        <w:rPr>
          <w:rFonts w:ascii="Times New Roman" w:cs="Times New Roman" w:eastAsia="Times New Roman" w:hAnsi="Times New Roman"/>
          <w:sz w:val="21"/>
          <w:szCs w:val="21"/>
          <w:color w:val="auto"/>
          <w:vertAlign w:val="superscript"/>
        </w:rPr>
      </w:pPr>
    </w:p>
    <w:p>
      <w:pPr>
        <w:jc w:val="both"/>
        <w:ind w:left="1920" w:right="1040" w:hanging="202"/>
        <w:spacing w:after="0" w:line="328" w:lineRule="auto"/>
        <w:tabs>
          <w:tab w:leader="none" w:pos="1920" w:val="left"/>
        </w:tabs>
        <w:numPr>
          <w:ilvl w:val="1"/>
          <w:numId w:val="4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Certain of the exhibits and/or schedules to this Exhibit have been omitted in accordance with Item 601(a)(5) of Regulation S-K. The Registrant agrees to furnish supplementally a copy of all omitted exhibits and schedules of this Exhibit to the SEC upon its request.</w:t>
      </w:r>
    </w:p>
    <w:p>
      <w:pPr>
        <w:spacing w:after="0" w:line="6" w:lineRule="exact"/>
        <w:rPr>
          <w:sz w:val="20"/>
          <w:szCs w:val="20"/>
          <w:color w:val="auto"/>
        </w:rPr>
      </w:pPr>
    </w:p>
    <w:p>
      <w:pPr>
        <w:ind w:left="1920" w:hanging="128"/>
        <w:spacing w:after="0"/>
        <w:tabs>
          <w:tab w:leader="none" w:pos="1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Indicates a management contract or compensatory plan or arrangement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1"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REGENERON PHARMACEUTICALS, INC.</w:t>
            </w:r>
          </w:p>
        </w:tc>
      </w:tr>
      <w:tr>
        <w:trPr>
          <w:trHeight w:val="47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4, 2026</w:t>
            </w: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LEONARD S. SCHLEIFER</w:t>
            </w: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5"/>
        </w:trPr>
        <w:tc>
          <w:tcPr>
            <w:tcW w:w="58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Leonard S. Schleifer, M.D., Ph.D.</w:t>
            </w:r>
          </w:p>
        </w:tc>
      </w:tr>
      <w:tr>
        <w:trPr>
          <w:trHeight w:val="234"/>
        </w:trPr>
        <w:tc>
          <w:tcPr>
            <w:tcW w:w="5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Leonard S. Schleifer and Christopher Fenimore, and each of them, his or her true and lawful attorney-in-fact and agent, with the full power of substitution and resubstitution, for him or her and in his or her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3700" w:type="dxa"/>
            <w:vAlign w:val="bottom"/>
            <w:gridSpan w:val="3"/>
          </w:tcPr>
          <w:p>
            <w:pPr>
              <w:ind w:left="14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00" w:type="dxa"/>
            <w:vAlign w:val="bottom"/>
          </w:tcPr>
          <w:p>
            <w:pPr>
              <w:spacing w:after="0"/>
              <w:rPr>
                <w:sz w:val="17"/>
                <w:szCs w:val="17"/>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880" w:type="dxa"/>
            <w:vAlign w:val="bottom"/>
          </w:tcPr>
          <w:p>
            <w:pPr>
              <w:spacing w:after="0"/>
              <w:rPr>
                <w:sz w:val="17"/>
                <w:szCs w:val="17"/>
                <w:color w:val="auto"/>
              </w:rPr>
            </w:pPr>
          </w:p>
        </w:tc>
        <w:tc>
          <w:tcPr>
            <w:tcW w:w="16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140" w:type="dxa"/>
            <w:vAlign w:val="bottom"/>
            <w:gridSpan w:val="3"/>
          </w:tcPr>
          <w:p>
            <w:pPr>
              <w:ind w:left="300"/>
              <w:spacing w:after="0" w:line="196" w:lineRule="exact"/>
              <w:rPr>
                <w:sz w:val="20"/>
                <w:szCs w:val="20"/>
                <w:color w:val="auto"/>
              </w:rPr>
            </w:pPr>
            <w:r>
              <w:rPr>
                <w:rFonts w:ascii="Times New Roman" w:cs="Times New Roman" w:eastAsia="Times New Roman" w:hAnsi="Times New Roman"/>
                <w:sz w:val="18"/>
                <w:szCs w:val="18"/>
                <w:i w:val="1"/>
                <w:iCs w:val="1"/>
                <w:color w:val="auto"/>
              </w:rPr>
              <w:t>Board co-Chair, President and Chief Executive</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LEONARD S. SCHLEIFER</w:t>
            </w:r>
          </w:p>
        </w:tc>
        <w:tc>
          <w:tcPr>
            <w:tcW w:w="4140" w:type="dxa"/>
            <w:vAlign w:val="bottom"/>
            <w:gridSpan w:val="3"/>
          </w:tcPr>
          <w:p>
            <w:pPr>
              <w:ind w:left="300"/>
              <w:spacing w:after="0"/>
              <w:rPr>
                <w:sz w:val="20"/>
                <w:szCs w:val="20"/>
                <w:color w:val="auto"/>
              </w:rPr>
            </w:pPr>
            <w:r>
              <w:rPr>
                <w:rFonts w:ascii="Times New Roman" w:cs="Times New Roman" w:eastAsia="Times New Roman" w:hAnsi="Times New Roman"/>
                <w:sz w:val="18"/>
                <w:szCs w:val="18"/>
                <w:i w:val="1"/>
                <w:iCs w:val="1"/>
                <w:color w:val="auto"/>
              </w:rPr>
              <w:t>Officer (Principal Executive Officer)</w:t>
            </w: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4, 2026</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Executive Vice President, Finance and Chief</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14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CHRISTOPHER FENIMORE</w:t>
            </w:r>
          </w:p>
        </w:tc>
        <w:tc>
          <w:tcPr>
            <w:tcW w:w="4140" w:type="dxa"/>
            <w:vAlign w:val="bottom"/>
            <w:gridSpan w:val="3"/>
          </w:tcPr>
          <w:p>
            <w:pPr>
              <w:ind w:left="300"/>
              <w:spacing w:after="0"/>
              <w:rPr>
                <w:sz w:val="20"/>
                <w:szCs w:val="20"/>
                <w:color w:val="auto"/>
              </w:rPr>
            </w:pPr>
            <w:r>
              <w:rPr>
                <w:rFonts w:ascii="Times New Roman" w:cs="Times New Roman" w:eastAsia="Times New Roman" w:hAnsi="Times New Roman"/>
                <w:sz w:val="18"/>
                <w:szCs w:val="18"/>
                <w:i w:val="1"/>
                <w:iCs w:val="1"/>
                <w:color w:val="auto"/>
              </w:rPr>
              <w:t>Financial Officer (Principal Financial Officer)</w:t>
            </w: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4, 2026</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Christopher Fenimore</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Senior Vice President, Controller (Principal</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14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JASON PITOFSKY</w:t>
            </w:r>
          </w:p>
        </w:tc>
        <w:tc>
          <w:tcPr>
            <w:tcW w:w="4140" w:type="dxa"/>
            <w:vAlign w:val="bottom"/>
            <w:gridSpan w:val="3"/>
          </w:tcPr>
          <w:p>
            <w:pPr>
              <w:ind w:left="30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4, 2026</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Jason Pitofsky</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Board co-Chair, President and Chief Scientific</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14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GEORGE D. YANCOPOULOS</w:t>
            </w:r>
          </w:p>
        </w:tc>
        <w:tc>
          <w:tcPr>
            <w:tcW w:w="4140" w:type="dxa"/>
            <w:vAlign w:val="bottom"/>
            <w:gridSpan w:val="3"/>
          </w:tcPr>
          <w:p>
            <w:pPr>
              <w:ind w:left="30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4, 2026</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George D. Yancopoulos, M.D., Ph.D.</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BONNIE L. BASSLER</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4, 2026</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Bonnie L. Bassler, Ph.D.</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MICHAEL S. BROWN</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4, 2026</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Michael S. Brown, M.D.</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N. ANTHONY COLES</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4, 2026</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 Anthony Coles, M.D.</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JOSEPH L. GOLDSTEIN</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4, 2026</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Joseph L. Goldstein, M.D.</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KATHRYN GUARINI</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4, 2026</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Kathryn Guarini, Ph.D.</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CHRISTINE A. POON</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4, 2026</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Christine A. Poon</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ARTHUR F. RYAN</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4, 2026</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Arthur F. Ryan</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DAVID P. SCHENKEIN</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4, 2026</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David P. Schenkein, M.D.</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GEORGE L. SING</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4, 2026</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George L. Sing</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CRAIG B. THOMPSON</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4, 2026</w:t>
            </w:r>
          </w:p>
        </w:tc>
        <w:tc>
          <w:tcPr>
            <w:tcW w:w="0" w:type="dxa"/>
            <w:vAlign w:val="bottom"/>
          </w:tcPr>
          <w:p>
            <w:pPr>
              <w:spacing w:after="0"/>
              <w:rPr>
                <w:sz w:val="1"/>
                <w:szCs w:val="1"/>
                <w:color w:val="auto"/>
              </w:rPr>
            </w:pPr>
          </w:p>
        </w:tc>
      </w:tr>
      <w:tr>
        <w:trPr>
          <w:trHeight w:val="218"/>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Craig B. Thompson, M.D.</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HUDA Y. ZOGHBI</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4, 2026</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Huda Y. Zoghbi, M.D.</w:t>
            </w:r>
          </w:p>
        </w:tc>
        <w:tc>
          <w:tcPr>
            <w:tcW w:w="2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 Numbers</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5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2940" w:type="dxa"/>
            <w:vAlign w:val="bottom"/>
            <w:gridSpan w:val="4"/>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5"/>
            <w:shd w:val="clear" w:color="auto" w:fill="CCEEFF"/>
          </w:tcPr>
          <w:p>
            <w:pPr>
              <w:jc w:val="center"/>
              <w:ind w:right="540"/>
              <w:spacing w:after="0" w:line="189" w:lineRule="exact"/>
              <w:rPr>
                <w:sz w:val="20"/>
                <w:szCs w:val="20"/>
                <w:color w:val="auto"/>
              </w:rPr>
            </w:pPr>
            <w:r>
              <w:rPr>
                <w:rFonts w:ascii="Times New Roman" w:cs="Times New Roman" w:eastAsia="Times New Roman" w:hAnsi="Times New Roman"/>
                <w:sz w:val="18"/>
                <w:szCs w:val="18"/>
                <w:color w:val="0000FF"/>
                <w:w w:val="95"/>
              </w:rPr>
              <w:t>F-2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8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December 31, 2025 and 2024</w:t>
            </w:r>
          </w:p>
        </w:tc>
        <w:tc>
          <w:tcPr>
            <w:tcW w:w="2940" w:type="dxa"/>
            <w:vAlign w:val="bottom"/>
            <w:gridSpan w:val="4"/>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5"/>
          </w:tcPr>
          <w:p>
            <w:pPr>
              <w:jc w:val="center"/>
              <w:ind w:right="540"/>
              <w:spacing w:after="0" w:line="189" w:lineRule="exact"/>
              <w:rPr>
                <w:sz w:val="20"/>
                <w:szCs w:val="20"/>
                <w:color w:val="auto"/>
              </w:rPr>
            </w:pPr>
            <w:r>
              <w:rPr>
                <w:rFonts w:ascii="Times New Roman" w:cs="Times New Roman" w:eastAsia="Times New Roman" w:hAnsi="Times New Roman"/>
                <w:sz w:val="18"/>
                <w:szCs w:val="18"/>
                <w:color w:val="0000FF"/>
                <w:w w:val="95"/>
              </w:rPr>
              <w:t>F-4</w:t>
            </w: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8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4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Income for the Years Ended December 31, 2025, 2024,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5"/>
            <w:shd w:val="clear" w:color="auto" w:fill="CCEEFF"/>
          </w:tcPr>
          <w:p>
            <w:pPr>
              <w:jc w:val="center"/>
              <w:ind w:right="540"/>
              <w:spacing w:after="0" w:line="189" w:lineRule="exact"/>
              <w:rPr>
                <w:sz w:val="20"/>
                <w:szCs w:val="20"/>
                <w:color w:val="auto"/>
              </w:rPr>
            </w:pPr>
            <w:r>
              <w:rPr>
                <w:rFonts w:ascii="Times New Roman" w:cs="Times New Roman" w:eastAsia="Times New Roman" w:hAnsi="Times New Roman"/>
                <w:sz w:val="18"/>
                <w:szCs w:val="18"/>
                <w:color w:val="0000FF"/>
                <w:w w:val="95"/>
              </w:rPr>
              <w:t>F-5</w:t>
            </w: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8300" w:type="dxa"/>
            <w:vAlign w:val="bottom"/>
            <w:tcBorders>
              <w:top w:val="single" w:sz="8" w:color="0000FF"/>
            </w:tcBorders>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and 2023</w:t>
            </w: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0000FF"/>
              <w:right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4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2025, 2024, and 2023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5"/>
          </w:tcPr>
          <w:p>
            <w:pPr>
              <w:jc w:val="center"/>
              <w:ind w:right="540"/>
              <w:spacing w:after="0" w:line="189" w:lineRule="exact"/>
              <w:rPr>
                <w:sz w:val="20"/>
                <w:szCs w:val="20"/>
                <w:color w:val="auto"/>
              </w:rPr>
            </w:pPr>
            <w:r>
              <w:rPr>
                <w:rFonts w:ascii="Times New Roman" w:cs="Times New Roman" w:eastAsia="Times New Roman" w:hAnsi="Times New Roman"/>
                <w:sz w:val="18"/>
                <w:szCs w:val="18"/>
                <w:color w:val="0000FF"/>
                <w:w w:val="95"/>
              </w:rPr>
              <w:t>F-6</w:t>
            </w: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48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4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gridSpan w:val="5"/>
            <w:shd w:val="clear" w:color="auto" w:fill="CCEEFF"/>
          </w:tcPr>
          <w:p>
            <w:pPr>
              <w:jc w:val="center"/>
              <w:ind w:right="540"/>
              <w:spacing w:after="0" w:line="189" w:lineRule="exact"/>
              <w:rPr>
                <w:sz w:val="20"/>
                <w:szCs w:val="20"/>
                <w:color w:val="auto"/>
              </w:rPr>
            </w:pPr>
            <w:r>
              <w:rPr>
                <w:rFonts w:ascii="Times New Roman" w:cs="Times New Roman" w:eastAsia="Times New Roman" w:hAnsi="Times New Roman"/>
                <w:sz w:val="18"/>
                <w:szCs w:val="18"/>
                <w:color w:val="0000FF"/>
                <w:w w:val="95"/>
              </w:rPr>
              <w:t>F-8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48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80" w:type="dxa"/>
            <w:vAlign w:val="bottom"/>
            <w:gridSpan w:val="3"/>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6"/>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0000FF"/>
                <w:w w:val="99"/>
              </w:rPr>
              <w:t>F-9 to F-39</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369" w:right="9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Regeneron Pharmaceuticals,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Regeneron Pharmaceuticals, Inc. and its subsidiaries (the "Company") as of December 31, 2025 and 2024, and the related consolidated statements of operations and comprehensive income,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Reserves for Uncertain Tax Positions</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described in Notes 1 and 15 to the consolidated financial statements, the Company's reserves for uncertain tax positions were $1,577.9 million as of December 31, 2025. Certain reserves for uncertain tax positions represent a significant portion of the consolidated balance. The Company recognizes the financial statement effects of a tax position when management's assessment is that there is more than a 50% probability that the position will be sustained upon examination by a taxing authority based upon its technical merits. Uncertain tax positions are recorded based upon certain recognition and measurement criteria. Management re-evaluates uncertain tax positions and considers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 The Company adjusts the amount of the liability to reflect any subsequent changes in the relevant facts and circumstances surrounding the uncertain tax positions.</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certain reserves for uncertain tax positions is a critical audit matter are (i) the significant judgment by management when determining certain reserves for uncertain tax positions; (ii) a high degree of auditor judgment, subjectivity, and effort in performing procedures and evaluating management's determination of certain reserves for uncertain tax positions; (iii) the assessment and evaluation of audit evidence available to support certain reserves for uncertain tax positions is complex; and (iv) the audit effort involved the use of professionals with specialized skill and knowledge.</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recognition of reserves for uncertain tax positions. These procedures also included, among others (i) testing the information used in the calculation of certain reserves for uncertain tax positions, such as international and federal filing positions, and the related final tax returns; (ii) testing the calculation of certain reserves for uncertain tax positions; and (iii) evaluating management's assessment of the technical merits of the tax positions and estimates of the amount of tax benefits expected to be sustained, as well as the likelihood of the possible outcomes, for certain reserves for uncertain tax positions. Professionals with specialized skill and knowledge were used to assist in evaluating the technical merits and the tax benefits expected to be sustained and the application of relevant tax laws.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2026</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80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579"/>
        </w:trPr>
        <w:tc>
          <w:tcPr>
            <w:tcW w:w="1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684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4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4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23"/>
        </w:trPr>
        <w:tc>
          <w:tcPr>
            <w:tcW w:w="120" w:type="dxa"/>
            <w:vAlign w:val="bottom"/>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68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1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40" w:type="dxa"/>
            <w:vAlign w:val="bottom"/>
            <w:shd w:val="clear" w:color="auto" w:fill="CCEEFF"/>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2,488.2</w:t>
            </w: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6,524.3</w:t>
            </w:r>
          </w:p>
        </w:tc>
      </w:tr>
      <w:tr>
        <w:trPr>
          <w:trHeight w:val="229"/>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6,211.9</w:t>
            </w: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3,087.3</w:t>
            </w:r>
          </w:p>
        </w:tc>
      </w:tr>
      <w:tr>
        <w:trPr>
          <w:trHeight w:val="229"/>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23"/>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18,660.9</w:t>
            </w:r>
          </w:p>
        </w:tc>
      </w:tr>
      <w:tr>
        <w:trPr>
          <w:trHeight w:val="203"/>
        </w:trPr>
        <w:tc>
          <w:tcPr>
            <w:tcW w:w="120" w:type="dxa"/>
            <w:vAlign w:val="bottom"/>
          </w:tcPr>
          <w:p>
            <w:pPr>
              <w:spacing w:after="0"/>
              <w:rPr>
                <w:sz w:val="17"/>
                <w:szCs w:val="17"/>
                <w:color w:val="auto"/>
              </w:rPr>
            </w:pPr>
          </w:p>
        </w:tc>
        <w:tc>
          <w:tcPr>
            <w:tcW w:w="7880" w:type="dxa"/>
            <w:vAlign w:val="bottom"/>
            <w:gridSpan w:val="2"/>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8,900.1</w:t>
            </w:r>
          </w:p>
        </w:tc>
      </w:tr>
      <w:tr>
        <w:trPr>
          <w:trHeight w:val="229"/>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4,599.7</w:t>
            </w: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1,148.6</w:t>
            </w:r>
          </w:p>
        </w:tc>
      </w:tr>
      <w:tr>
        <w:trPr>
          <w:trHeight w:val="229"/>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w:t>
            </w:r>
          </w:p>
        </w:tc>
      </w:tr>
      <w:tr>
        <w:trPr>
          <w:trHeight w:val="230"/>
        </w:trPr>
        <w:tc>
          <w:tcPr>
            <w:tcW w:w="120" w:type="dxa"/>
            <w:vAlign w:val="bottom"/>
          </w:tcPr>
          <w:p>
            <w:pPr>
              <w:spacing w:after="0"/>
              <w:rPr>
                <w:sz w:val="19"/>
                <w:szCs w:val="19"/>
                <w:color w:val="auto"/>
              </w:rPr>
            </w:pPr>
          </w:p>
        </w:tc>
        <w:tc>
          <w:tcPr>
            <w:tcW w:w="78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w:t>
            </w:r>
          </w:p>
        </w:tc>
      </w:tr>
      <w:tr>
        <w:trPr>
          <w:trHeight w:val="248"/>
        </w:trPr>
        <w:tc>
          <w:tcPr>
            <w:tcW w:w="1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37,759.4</w:t>
            </w:r>
          </w:p>
        </w:tc>
      </w:tr>
      <w:tr>
        <w:trPr>
          <w:trHeight w:val="20"/>
        </w:trPr>
        <w:tc>
          <w:tcPr>
            <w:tcW w:w="1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29"/>
        </w:trPr>
        <w:tc>
          <w:tcPr>
            <w:tcW w:w="12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40" w:type="dxa"/>
            <w:vAlign w:val="bottom"/>
            <w:shd w:val="clear" w:color="auto" w:fill="CCEEFF"/>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w:t>
            </w: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2,527.1</w:t>
            </w: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r>
      <w:tr>
        <w:trPr>
          <w:trHeight w:val="223"/>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3,944.3</w:t>
            </w:r>
          </w:p>
        </w:tc>
      </w:tr>
      <w:tr>
        <w:trPr>
          <w:trHeight w:val="216"/>
        </w:trPr>
        <w:tc>
          <w:tcPr>
            <w:tcW w:w="120" w:type="dxa"/>
            <w:vAlign w:val="bottom"/>
          </w:tcPr>
          <w:p>
            <w:pPr>
              <w:spacing w:after="0"/>
              <w:rPr>
                <w:sz w:val="18"/>
                <w:szCs w:val="18"/>
                <w:color w:val="auto"/>
              </w:rPr>
            </w:pPr>
          </w:p>
        </w:tc>
        <w:tc>
          <w:tcPr>
            <w:tcW w:w="78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1,984.4</w:t>
            </w: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1,571.4</w:t>
            </w:r>
          </w:p>
        </w:tc>
      </w:tr>
      <w:tr>
        <w:trPr>
          <w:trHeight w:val="223"/>
        </w:trPr>
        <w:tc>
          <w:tcPr>
            <w:tcW w:w="120" w:type="dxa"/>
            <w:vAlign w:val="bottom"/>
          </w:tcPr>
          <w:p>
            <w:pPr>
              <w:spacing w:after="0"/>
              <w:rPr>
                <w:sz w:val="19"/>
                <w:szCs w:val="19"/>
                <w:color w:val="auto"/>
              </w:rPr>
            </w:pPr>
          </w:p>
        </w:tc>
        <w:tc>
          <w:tcPr>
            <w:tcW w:w="7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9,301.8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8,405.8</w:t>
            </w:r>
          </w:p>
        </w:tc>
      </w:tr>
      <w:tr>
        <w:trPr>
          <w:trHeight w:val="196"/>
        </w:trPr>
        <w:tc>
          <w:tcPr>
            <w:tcW w:w="1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78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par value $.01 per share; 30.0 shares authorized; shares issued and outstanding - none</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120" w:type="dxa"/>
            <w:vAlign w:val="bottom"/>
          </w:tcPr>
          <w:p>
            <w:pPr>
              <w:spacing w:after="0"/>
              <w:rPr>
                <w:sz w:val="15"/>
                <w:szCs w:val="15"/>
                <w:color w:val="auto"/>
              </w:rPr>
            </w:pPr>
          </w:p>
        </w:tc>
        <w:tc>
          <w:tcPr>
            <w:tcW w:w="788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A Stock, convertible, par value $.001 per share; 40.0 shares authorized; shares issued and</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7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outstanding - 1.8 in 2025 and 2024</w:t>
            </w:r>
          </w:p>
        </w:tc>
        <w:tc>
          <w:tcPr>
            <w:tcW w:w="3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120" w:type="dxa"/>
            <w:vAlign w:val="bottom"/>
          </w:tcPr>
          <w:p>
            <w:pPr>
              <w:spacing w:after="0"/>
              <w:rPr>
                <w:sz w:val="15"/>
                <w:szCs w:val="15"/>
                <w:color w:val="auto"/>
              </w:rPr>
            </w:pPr>
          </w:p>
        </w:tc>
        <w:tc>
          <w:tcPr>
            <w:tcW w:w="788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320.0 shares authorized; shares issued - 137.6 in 2025 and</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120" w:type="dxa"/>
            <w:vAlign w:val="bottom"/>
          </w:tcPr>
          <w:p>
            <w:pPr>
              <w:spacing w:after="0"/>
              <w:rPr>
                <w:sz w:val="21"/>
                <w:szCs w:val="21"/>
                <w:color w:val="auto"/>
              </w:rPr>
            </w:pPr>
          </w:p>
        </w:tc>
        <w:tc>
          <w:tcPr>
            <w:tcW w:w="7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136.0 in 2024</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12,855.9</w:t>
            </w: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31,672.9</w:t>
            </w:r>
          </w:p>
        </w:tc>
      </w:tr>
      <w:tr>
        <w:trPr>
          <w:trHeight w:val="230"/>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1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at cost; 33.7 shares in 2025 and 28.2 shares in 2024</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(18,612.8)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(15,167.4)</w:t>
            </w:r>
          </w:p>
        </w:tc>
      </w:tr>
      <w:tr>
        <w:trPr>
          <w:trHeight w:val="223"/>
        </w:trPr>
        <w:tc>
          <w:tcPr>
            <w:tcW w:w="120" w:type="dxa"/>
            <w:vAlign w:val="bottom"/>
          </w:tcPr>
          <w:p>
            <w:pPr>
              <w:spacing w:after="0"/>
              <w:rPr>
                <w:sz w:val="19"/>
                <w:szCs w:val="19"/>
                <w:color w:val="auto"/>
              </w:rPr>
            </w:pPr>
          </w:p>
        </w:tc>
        <w:tc>
          <w:tcPr>
            <w:tcW w:w="7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31,256.9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29,353.6</w:t>
            </w:r>
          </w:p>
        </w:tc>
      </w:tr>
      <w:tr>
        <w:trPr>
          <w:trHeight w:val="248"/>
        </w:trPr>
        <w:tc>
          <w:tcPr>
            <w:tcW w:w="1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37,759.4</w:t>
            </w:r>
          </w:p>
        </w:tc>
      </w:tr>
      <w:tr>
        <w:trPr>
          <w:trHeight w:val="20"/>
        </w:trPr>
        <w:tc>
          <w:tcPr>
            <w:tcW w:w="1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19685</wp:posOffset>
            </wp:positionV>
            <wp:extent cx="69862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6">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45720</wp:posOffset>
            </wp:positionV>
            <wp:extent cx="69862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1" w:right="4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4"/>
        </w:trPr>
        <w:tc>
          <w:tcPr>
            <w:tcW w:w="4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79"/>
        </w:trPr>
        <w:tc>
          <w:tcPr>
            <w:tcW w:w="1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6720" w:type="dxa"/>
            <w:vAlign w:val="bottom"/>
            <w:gridSpan w:val="5"/>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gridSpan w:val="8"/>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AND COMPREHENSIVE INCOME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78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r>
      <w:tr>
        <w:trPr>
          <w:trHeight w:val="223"/>
        </w:trPr>
        <w:tc>
          <w:tcPr>
            <w:tcW w:w="120" w:type="dxa"/>
            <w:vAlign w:val="bottom"/>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120" w:type="dxa"/>
            <w:vAlign w:val="bottom"/>
          </w:tcPr>
          <w:p>
            <w:pPr>
              <w:spacing w:after="0"/>
              <w:rPr>
                <w:sz w:val="18"/>
                <w:szCs w:val="18"/>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product sales</w:t>
            </w:r>
          </w:p>
        </w:tc>
        <w:tc>
          <w:tcPr>
            <w:tcW w:w="2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7,078.0</w:t>
            </w: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Collaboration revenue</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5,503.1</w:t>
            </w:r>
          </w:p>
        </w:tc>
      </w:tr>
      <w:tr>
        <w:trPr>
          <w:trHeight w:val="229"/>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revenue</w:t>
            </w:r>
          </w:p>
        </w:tc>
        <w:tc>
          <w:tcPr>
            <w:tcW w:w="2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r>
      <w:tr>
        <w:trPr>
          <w:trHeight w:val="223"/>
        </w:trPr>
        <w:tc>
          <w:tcPr>
            <w:tcW w:w="120" w:type="dxa"/>
            <w:vAlign w:val="bottom"/>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13,117.2</w:t>
            </w:r>
          </w:p>
        </w:tc>
      </w:tr>
      <w:tr>
        <w:trPr>
          <w:trHeight w:val="196"/>
        </w:trPr>
        <w:tc>
          <w:tcPr>
            <w:tcW w:w="1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4,439.0</w:t>
            </w: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w:t>
            </w: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w:t>
            </w:r>
          </w:p>
        </w:tc>
      </w:tr>
      <w:tr>
        <w:trPr>
          <w:trHeight w:val="229"/>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2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r>
      <w:tr>
        <w:trPr>
          <w:trHeight w:val="230"/>
        </w:trPr>
        <w:tc>
          <w:tcPr>
            <w:tcW w:w="120" w:type="dxa"/>
            <w:vAlign w:val="bottom"/>
          </w:tcPr>
          <w:p>
            <w:pPr>
              <w:spacing w:after="0"/>
              <w:rPr>
                <w:sz w:val="19"/>
                <w:szCs w:val="19"/>
                <w:color w:val="auto"/>
              </w:rPr>
            </w:pPr>
          </w:p>
        </w:tc>
        <w:tc>
          <w:tcPr>
            <w:tcW w:w="39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12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9,070.1</w:t>
            </w:r>
          </w:p>
        </w:tc>
      </w:tr>
      <w:tr>
        <w:trPr>
          <w:trHeight w:val="196"/>
        </w:trPr>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4,047.1</w:t>
            </w:r>
          </w:p>
        </w:tc>
      </w:tr>
      <w:tr>
        <w:trPr>
          <w:trHeight w:val="196"/>
        </w:trPr>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29"/>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3"/>
        </w:trPr>
        <w:tc>
          <w:tcPr>
            <w:tcW w:w="120" w:type="dxa"/>
            <w:vAlign w:val="bottom"/>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196"/>
        </w:trPr>
        <w:tc>
          <w:tcPr>
            <w:tcW w:w="1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4,199.3</w:t>
            </w:r>
          </w:p>
        </w:tc>
      </w:tr>
      <w:tr>
        <w:trPr>
          <w:trHeight w:val="216"/>
        </w:trPr>
        <w:tc>
          <w:tcPr>
            <w:tcW w:w="120" w:type="dxa"/>
            <w:vAlign w:val="bottom"/>
          </w:tcPr>
          <w:p>
            <w:pPr>
              <w:spacing w:after="0"/>
              <w:rPr>
                <w:sz w:val="18"/>
                <w:szCs w:val="18"/>
                <w:color w:val="auto"/>
              </w:rPr>
            </w:pPr>
          </w:p>
        </w:tc>
        <w:tc>
          <w:tcPr>
            <w:tcW w:w="3980" w:type="dxa"/>
            <w:vAlign w:val="bottom"/>
            <w:gridSpan w:val="2"/>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3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196"/>
        </w:trPr>
        <w:tc>
          <w:tcPr>
            <w:tcW w:w="1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3,953.6</w:t>
            </w:r>
          </w:p>
        </w:tc>
      </w:tr>
      <w:tr>
        <w:trPr>
          <w:trHeight w:val="20"/>
        </w:trPr>
        <w:tc>
          <w:tcPr>
            <w:tcW w:w="120" w:type="dxa"/>
            <w:vAlign w:val="bottom"/>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r>
      <w:tr>
        <w:trPr>
          <w:trHeight w:val="216"/>
        </w:trPr>
        <w:tc>
          <w:tcPr>
            <w:tcW w:w="120" w:type="dxa"/>
            <w:vAlign w:val="bottom"/>
          </w:tcPr>
          <w:p>
            <w:pPr>
              <w:spacing w:after="0"/>
              <w:rPr>
                <w:sz w:val="18"/>
                <w:szCs w:val="18"/>
                <w:color w:val="auto"/>
              </w:rPr>
            </w:pPr>
          </w:p>
        </w:tc>
        <w:tc>
          <w:tcPr>
            <w:tcW w:w="3980" w:type="dxa"/>
            <w:vAlign w:val="bottom"/>
            <w:gridSpan w:val="2"/>
          </w:tcPr>
          <w:p>
            <w:pPr>
              <w:spacing w:after="0"/>
              <w:rPr>
                <w:sz w:val="18"/>
                <w:szCs w:val="18"/>
                <w:color w:val="auto"/>
              </w:rPr>
            </w:pP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29"/>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120" w:type="dxa"/>
            <w:vAlign w:val="bottom"/>
          </w:tcPr>
          <w:p>
            <w:pPr>
              <w:spacing w:after="0"/>
              <w:rPr>
                <w:sz w:val="18"/>
                <w:szCs w:val="18"/>
                <w:color w:val="auto"/>
              </w:rPr>
            </w:pPr>
          </w:p>
        </w:tc>
        <w:tc>
          <w:tcPr>
            <w:tcW w:w="3980" w:type="dxa"/>
            <w:vAlign w:val="bottom"/>
            <w:gridSpan w:val="2"/>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w:t>
            </w:r>
          </w:p>
        </w:tc>
      </w:tr>
      <w:tr>
        <w:trPr>
          <w:trHeight w:val="230"/>
        </w:trPr>
        <w:tc>
          <w:tcPr>
            <w:tcW w:w="1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on debt securities</w:t>
            </w:r>
          </w:p>
        </w:tc>
        <w:tc>
          <w:tcPr>
            <w:tcW w:w="2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30"/>
        </w:trPr>
        <w:tc>
          <w:tcPr>
            <w:tcW w:w="120" w:type="dxa"/>
            <w:vAlign w:val="bottom"/>
          </w:tcPr>
          <w:p>
            <w:pPr>
              <w:spacing w:after="0"/>
              <w:rPr>
                <w:sz w:val="19"/>
                <w:szCs w:val="19"/>
                <w:color w:val="auto"/>
              </w:rPr>
            </w:pPr>
          </w:p>
        </w:tc>
        <w:tc>
          <w:tcPr>
            <w:tcW w:w="39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Gain (loss) on foreign currency translation</w:t>
            </w:r>
          </w:p>
        </w:tc>
        <w:tc>
          <w:tcPr>
            <w:tcW w:w="2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12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4,111.5</w:t>
            </w:r>
          </w:p>
        </w:tc>
      </w:tr>
      <w:tr>
        <w:trPr>
          <w:trHeight w:val="20"/>
        </w:trPr>
        <w:tc>
          <w:tcPr>
            <w:tcW w:w="1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19685</wp:posOffset>
            </wp:positionV>
            <wp:extent cx="69780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9">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45720</wp:posOffset>
            </wp:positionV>
            <wp:extent cx="69780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0">
                      <a:extLst>
                        <a:ext uri="{28A0092B-C50C-407E-A947-70E740481C1C}"/>
                      </a:extLst>
                    </a:blip>
                    <a:srcRect/>
                    <a:stretch>
                      <a:fillRect/>
                    </a:stretch>
                  </pic:blipFill>
                  <pic:spPr bwMode="auto">
                    <a:xfrm>
                      <a:off x="0" y="0"/>
                      <a:ext cx="6978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1" w:right="4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4"/>
        </w:trPr>
        <w:tc>
          <w:tcPr>
            <w:tcW w:w="24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9"/>
        </w:trPr>
        <w:tc>
          <w:tcPr>
            <w:tcW w:w="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11"/>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80" w:type="dxa"/>
            <w:vAlign w:val="bottom"/>
            <w:gridSpan w:val="1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gridSpan w:val="4"/>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Class A Stock</w:t>
            </w:r>
          </w:p>
        </w:tc>
        <w:tc>
          <w:tcPr>
            <w:tcW w:w="80" w:type="dxa"/>
            <w:vAlign w:val="bottom"/>
            <w:vMerge w:val="restart"/>
          </w:tcPr>
          <w:p>
            <w:pPr>
              <w:spacing w:after="0"/>
              <w:rPr>
                <w:sz w:val="15"/>
                <w:szCs w:val="15"/>
                <w:color w:val="auto"/>
              </w:rPr>
            </w:pPr>
          </w:p>
        </w:tc>
        <w:tc>
          <w:tcPr>
            <w:tcW w:w="13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56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vMerge w:val="restart"/>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2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38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940" w:type="dxa"/>
            <w:vAlign w:val="bottom"/>
            <w:gridSpan w:val="2"/>
            <w:vMerge w:val="restart"/>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900" w:type="dxa"/>
            <w:vAlign w:val="bottom"/>
            <w:gridSpan w:val="2"/>
            <w:vMerge w:val="restart"/>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vMerge w:val="restart"/>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56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10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66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0.1</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9,949.3</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$23,306.7</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$(10,353.3)</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22,664.0</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34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for equity awards granted</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34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under long-term incentive</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8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plans</w:t>
            </w:r>
          </w:p>
        </w:tc>
        <w:tc>
          <w:tcPr>
            <w:tcW w:w="5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tendered upon</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34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exercise of stock options</w:t>
            </w: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34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and vesting of restricted</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stock for employee tax</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Issuance/distribution of</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34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Common Stock for 401(k)</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Savings Plan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Repurchases of Common</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charges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11,354.0</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27,260.3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(12,560.4)</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25,973.1</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34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for equity awards granted</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34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under long-term incentive</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1,454.6</w:t>
            </w:r>
          </w:p>
        </w:tc>
        <w:tc>
          <w:tcPr>
            <w:tcW w:w="8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1,454.6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plans</w:t>
            </w:r>
          </w:p>
        </w:tc>
        <w:tc>
          <w:tcPr>
            <w:tcW w:w="5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tendered upon</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34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exercise of stock options</w:t>
            </w: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34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and vesting of restricted</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stock for employee tax</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Issuance/distribution of</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34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Common Stock for 401(k)</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Savings Plan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Repurchases of Common</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charges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4,412.6</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12,855.9</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31,672.9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(15,167.4)</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29,353.6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36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84"/>
        </w:trPr>
        <w:tc>
          <w:tcPr>
            <w:tcW w:w="24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2"/>
        </w:trPr>
        <w:tc>
          <w:tcPr>
            <w:tcW w:w="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6680" w:type="dxa"/>
            <w:vAlign w:val="bottom"/>
            <w:gridSpan w:val="17"/>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STOCKHOLDERS' EQUITY </w:t>
            </w:r>
            <w:r>
              <w:rPr>
                <w:rFonts w:ascii="Times New Roman" w:cs="Times New Roman" w:eastAsia="Times New Roman" w:hAnsi="Times New Roman"/>
                <w:sz w:val="18"/>
                <w:szCs w:val="18"/>
                <w:b w:val="1"/>
                <w:bCs w:val="1"/>
                <w:i w:val="1"/>
                <w:iCs w:val="1"/>
                <w:color w:val="auto"/>
              </w:rPr>
              <w:t>(continued)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Class A Stock</w:t>
            </w:r>
          </w:p>
        </w:tc>
        <w:tc>
          <w:tcPr>
            <w:tcW w:w="80" w:type="dxa"/>
            <w:vAlign w:val="bottom"/>
            <w:vMerge w:val="restart"/>
          </w:tcPr>
          <w:p>
            <w:pPr>
              <w:spacing w:after="0"/>
              <w:rPr>
                <w:sz w:val="15"/>
                <w:szCs w:val="15"/>
                <w:color w:val="auto"/>
              </w:rPr>
            </w:pPr>
          </w:p>
        </w:tc>
        <w:tc>
          <w:tcPr>
            <w:tcW w:w="13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56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vMerge w:val="restart"/>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38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90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56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34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Issuance of Common Stock</w:t>
            </w: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34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for equity awards granted</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34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under long-term incentive</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plans</w:t>
            </w:r>
          </w:p>
        </w:tc>
        <w:tc>
          <w:tcPr>
            <w:tcW w:w="640" w:type="dxa"/>
            <w:vAlign w:val="bottom"/>
            <w:gridSpan w:val="2"/>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Common Stock tendered upon</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34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exercise of stock options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34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and vesting of restricted</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4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stock for employee tax</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Issuance/distribution of</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34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Common Stock for 401(k)</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Savings Plan</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Repurchases of Common</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(3,456.2)</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(3,456.2)</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charges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4,504.9</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of tax</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2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w:t>
            </w:r>
            <w:r>
              <w:rPr>
                <w:rFonts w:ascii="Times New Roman" w:cs="Times New Roman" w:eastAsia="Times New Roman" w:hAnsi="Times New Roman"/>
                <w:sz w:val="18"/>
                <w:szCs w:val="18"/>
                <w:u w:val="single" w:color="auto"/>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$ 13,995.0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35,797.1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(18,612.8)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31,256.9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19685</wp:posOffset>
            </wp:positionV>
            <wp:extent cx="70548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3">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45720</wp:posOffset>
            </wp:positionV>
            <wp:extent cx="70548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4">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7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579"/>
        </w:trPr>
        <w:tc>
          <w:tcPr>
            <w:tcW w:w="1160" w:type="dxa"/>
            <w:vAlign w:val="bottom"/>
            <w:tcBorders>
              <w:top w:val="single" w:sz="8" w:color="0000FF"/>
            </w:tcBorders>
          </w:tcPr>
          <w:p>
            <w:pPr>
              <w:spacing w:after="0"/>
              <w:rPr>
                <w:sz w:val="24"/>
                <w:szCs w:val="24"/>
                <w:color w:val="auto"/>
              </w:rPr>
            </w:pPr>
          </w:p>
        </w:tc>
        <w:tc>
          <w:tcPr>
            <w:tcW w:w="6380" w:type="dxa"/>
            <w:vAlign w:val="bottom"/>
            <w:gridSpan w:val="2"/>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744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608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51"/>
        </w:trPr>
        <w:tc>
          <w:tcPr>
            <w:tcW w:w="11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r>
      <w:tr>
        <w:trPr>
          <w:trHeight w:val="223"/>
        </w:trPr>
        <w:tc>
          <w:tcPr>
            <w:tcW w:w="1160" w:type="dxa"/>
            <w:vAlign w:val="bottom"/>
            <w:tcBorders>
              <w:bottom w:val="single" w:sz="8" w:color="CCEEFF"/>
            </w:tcBorders>
          </w:tcPr>
          <w:p>
            <w:pPr>
              <w:spacing w:after="0"/>
              <w:rPr>
                <w:sz w:val="19"/>
                <w:szCs w:val="19"/>
                <w:color w:val="auto"/>
              </w:rPr>
            </w:pPr>
          </w:p>
        </w:tc>
        <w:tc>
          <w:tcPr>
            <w:tcW w:w="60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7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3,953.6</w:t>
            </w:r>
          </w:p>
        </w:tc>
      </w:tr>
      <w:tr>
        <w:trPr>
          <w:trHeight w:val="230"/>
        </w:trPr>
        <w:tc>
          <w:tcPr>
            <w:tcW w:w="7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2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r>
      <w:tr>
        <w:trPr>
          <w:trHeight w:val="229"/>
        </w:trPr>
        <w:tc>
          <w:tcPr>
            <w:tcW w:w="72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w:t>
            </w:r>
          </w:p>
        </w:tc>
      </w:tr>
      <w:tr>
        <w:trPr>
          <w:trHeight w:val="230"/>
        </w:trPr>
        <w:tc>
          <w:tcPr>
            <w:tcW w:w="72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(Gains) losses on marketable and other securities,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r>
      <w:tr>
        <w:trPr>
          <w:trHeight w:val="229"/>
        </w:trPr>
        <w:tc>
          <w:tcPr>
            <w:tcW w:w="72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2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r>
      <w:tr>
        <w:trPr>
          <w:trHeight w:val="229"/>
        </w:trPr>
        <w:tc>
          <w:tcPr>
            <w:tcW w:w="72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Decrease (increase) in accounts receivable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r>
      <w:tr>
        <w:trPr>
          <w:trHeight w:val="230"/>
        </w:trPr>
        <w:tc>
          <w:tcPr>
            <w:tcW w:w="7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inventories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29"/>
        </w:trPr>
        <w:tc>
          <w:tcPr>
            <w:tcW w:w="7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29"/>
        </w:trPr>
        <w:tc>
          <w:tcPr>
            <w:tcW w:w="7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increase in deferred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30"/>
        </w:trPr>
        <w:tc>
          <w:tcPr>
            <w:tcW w:w="72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liabilities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598.6</w:t>
            </w:r>
          </w:p>
        </w:tc>
      </w:tr>
      <w:tr>
        <w:trPr>
          <w:trHeight w:val="223"/>
        </w:trPr>
        <w:tc>
          <w:tcPr>
            <w:tcW w:w="7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adjustments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r>
      <w:tr>
        <w:trPr>
          <w:trHeight w:val="223"/>
        </w:trPr>
        <w:tc>
          <w:tcPr>
            <w:tcW w:w="7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4,594.0</w:t>
            </w:r>
          </w:p>
        </w:tc>
      </w:tr>
      <w:tr>
        <w:trPr>
          <w:trHeight w:val="196"/>
        </w:trPr>
        <w:tc>
          <w:tcPr>
            <w:tcW w:w="1160" w:type="dxa"/>
            <w:vAlign w:val="bottom"/>
            <w:shd w:val="clear" w:color="auto" w:fill="CCEEFF"/>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marketable and other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(11,646.0)</w:t>
            </w:r>
          </w:p>
        </w:tc>
      </w:tr>
      <w:tr>
        <w:trPr>
          <w:trHeight w:val="230"/>
        </w:trPr>
        <w:tc>
          <w:tcPr>
            <w:tcW w:w="7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or maturities of marketable and other securities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9,442.2</w:t>
            </w:r>
          </w:p>
        </w:tc>
      </w:tr>
      <w:tr>
        <w:trPr>
          <w:trHeight w:val="229"/>
        </w:trPr>
        <w:tc>
          <w:tcPr>
            <w:tcW w:w="7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r>
      <w:tr>
        <w:trPr>
          <w:trHeight w:val="230"/>
        </w:trPr>
        <w:tc>
          <w:tcPr>
            <w:tcW w:w="7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intangible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30"/>
        </w:trPr>
        <w:tc>
          <w:tcPr>
            <w:tcW w:w="7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23"/>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(3,185.1)</w:t>
            </w:r>
          </w:p>
        </w:tc>
      </w:tr>
      <w:tr>
        <w:trPr>
          <w:trHeight w:val="196"/>
        </w:trPr>
        <w:tc>
          <w:tcPr>
            <w:tcW w:w="116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r>
      <w:tr>
        <w:trPr>
          <w:trHeight w:val="230"/>
        </w:trPr>
        <w:tc>
          <w:tcPr>
            <w:tcW w:w="7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w:t>
            </w:r>
          </w:p>
        </w:tc>
      </w:tr>
      <w:tr>
        <w:trPr>
          <w:trHeight w:val="229"/>
        </w:trPr>
        <w:tc>
          <w:tcPr>
            <w:tcW w:w="7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(2,235.0)</w:t>
            </w:r>
          </w:p>
        </w:tc>
      </w:tr>
      <w:tr>
        <w:trPr>
          <w:trHeight w:val="230"/>
        </w:trPr>
        <w:tc>
          <w:tcPr>
            <w:tcW w:w="7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w:t>
            </w:r>
          </w:p>
        </w:tc>
      </w:tr>
      <w:tr>
        <w:trPr>
          <w:trHeight w:val="196"/>
        </w:trPr>
        <w:tc>
          <w:tcPr>
            <w:tcW w:w="116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72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w:t>
            </w:r>
          </w:p>
        </w:tc>
      </w:tr>
      <w:tr>
        <w:trPr>
          <w:trHeight w:val="216"/>
        </w:trPr>
        <w:tc>
          <w:tcPr>
            <w:tcW w:w="72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3,119.4</w:t>
            </w:r>
          </w:p>
        </w:tc>
      </w:tr>
      <w:tr>
        <w:trPr>
          <w:trHeight w:val="196"/>
        </w:trPr>
        <w:tc>
          <w:tcPr>
            <w:tcW w:w="116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4"/>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2,737.8</w:t>
            </w:r>
          </w:p>
        </w:tc>
      </w:tr>
      <w:tr>
        <w:trPr>
          <w:trHeight w:val="20"/>
        </w:trPr>
        <w:tc>
          <w:tcPr>
            <w:tcW w:w="72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4"/>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Overview and 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Regeneron Pharmaceuticals, Inc. and its subsidiaries ("Regeneron," "Company," "we," "us," and "our") is a fully integrated biotechnology company that invents, develops, manufactures, and commercializes medicines for people with serious diseases. The Company's products and product candidates in development are designed to help patients with eye diseases, allergic and inflammatory diseases, cancer, cardiovascular and metabolic diseases, neurological diseases, hematologic conditions, infectious diseases, and rare diseases. The Company's research and development efforts have led to numerous products that have received marketing approval. The Company is a party to collaboration and license agreements to develop and commercialize, as applicable, certain products and product candidates (see Note 3).</w:t>
      </w:r>
    </w:p>
    <w:p>
      <w:pPr>
        <w:spacing w:after="0" w:line="10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Company's business is subject to certain risks including, but not limited to, uncertainties relating to conducting research activities, product development, obtaining regulatory approvals, competition, and obtaining and enforcing patents.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Regeneron and its wholly-owned subsidiaries. Intercompany balances and transactions are eliminated in consolidation.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expose the Company to concentrations of credit risk consist of cash, cash equivalents, and certain investments. In accordance with the Company's policies, the Company mandates asset diversification and monitors exposure with its counterparties.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receivables from customers (see Note 2) and collaborators (see Note 3) may subject the Company to credit risk. The Company has contractual payment terms with each of its customers and collaborators, and the Company monitors their financial performance and credit worthiness so that it can properly assess and respond to any changes in their credit profile.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debt instruments with a maturity of three months or less when purchased to be cash equivalents. The carrying amount reported in the Consolidated Balance Sheet for cash and cash equivalents approximates its fair value.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Equity Securities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an investment policy that includes guidelines on acceptable investment securities, minimum credit quality, maturity parameters, and diversification. The Company invests its cash primarily in debt securities. The Company classifies its investments in debt securities as available-for-sale, with such investments carried at fair value and unrealized gains and losses included in accumulated other comprehensive income (loss). Realized gains and losses on available-for-sale debt securities are included in other income (expense), net. The Company reviews its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has investments in equity securities that are carried at fair value, with changes in fair value recognized within other income (expense), net. The Company has elected to measure certain equity investments it holds that do not have readily determinable fair values at cost less impairment, if any, and adjusts for observable price changes in orderly transactions for identical or similar investments of the same issuer within other income (expense), net.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trade accounts receivable arise from product sales and represent amounts due from its customers. In addition, the Company records accounts receivable arising from its collaboration and licensing agreements. The Company provides allowances against receivables for estimated losses, if any, that may result from a counterparty's inability to pay. Amounts determined to be uncollectible are written-off against the allowance.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Company determines the cost of inventory using the first-in, first-out, or FIFO, method.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capitalizes inventory costs associated with the Company's products prior to regulatory approval when, based on management's judgment, future commercialization is considered probable and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analyzes its inventory levels to identify inventory that may expire prior to expected sale or has a cost basis in excess of its estimated realizable value. In addition, the Company's products are subject to strict quality control and monitoring which the Company performs throughout the manufacturing process. If certain batches or units of product no longer meet quality specifications or become obsolete due to expiration, the Company records a charge to write down such inventory to its estimated realizable value.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plant, and equipment are stated at cost, net of accumulated depreciation. Depreciation is calculated on a straight-line basis over the estimated useful lives of the assets. Leasehold improvements are amortized over the shorter of the estimated useful lives of the assets or the remaining lease term. Costs of construction of certain long-lived assets include capitalized interest, which is amortized over the estimated useful life of the related asset.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within income from operations. The estimated useful lives of property, plant, and equipment are as follows:</w:t>
      </w:r>
    </w:p>
    <w:p>
      <w:pPr>
        <w:spacing w:after="0" w:line="260" w:lineRule="exact"/>
        <w:rPr>
          <w:sz w:val="20"/>
          <w:szCs w:val="20"/>
          <w:color w:val="auto"/>
        </w:rPr>
      </w:pPr>
    </w:p>
    <w:tbl>
      <w:tblPr>
        <w:tblLayout w:type="fixed"/>
        <w:tblInd w:w="3520" w:type="dxa"/>
        <w:tblCellMar>
          <w:top w:w="0" w:type="dxa"/>
          <w:left w:w="0" w:type="dxa"/>
          <w:bottom w:w="0" w:type="dxa"/>
          <w:right w:w="0" w:type="dxa"/>
        </w:tblCellMar>
      </w:tblPr>
      <w:tr>
        <w:trPr>
          <w:trHeight w:val="23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10–50 years</w:t>
            </w: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Laboratory and other equipment</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3–10 years</w:t>
            </w:r>
          </w:p>
        </w:tc>
      </w:tr>
      <w:tr>
        <w:trPr>
          <w:trHeight w:val="23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considering whether there is an identified asset and the contract conveys the right to control its use. Leases with an initial term of 12 months or less are not recorded on the balance sheet. The Company includes options to extend or terminate a lease when determining the lease term if it is reasonably certain that it will exercise that option. The Company accounts for lease components (e.g., rental payments) separately from non-lease components (e.g., common area maintenance costs).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liabilities are recognized at the lease commencement date based on the present value of the remaining lease payments, discounted using the rate implicit in the lease. For leases where an implicit rate is not readily determinable, the Company uses its incremental borrowing rate based on information available at the lease commencement date. Lease expense for operating leases is recognized on a straight-line basis over the expected lease term.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makes a determination whether a transaction should be accounted for as a business combination or as an asset acquisition.</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 business combination, the acquisition method of accounting generally requires that the assets acquired and liabilities assumed be recorded as of the date of the acquisition at their respective fair values. Amounts allocated to acquired in-process research and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development are capitalized as indefinite-lived intangible assets. Any excess of the purchase price (consideration transferred) over the fair values of net assets acquired is recorded as goodwill. Contingent consideration obligations are recorded at fair value as of the acquisition date and remeasured each subsequent reporting period until the contingencies have been resolved, with any changes in fair value recorded in Other operating (income) expense, net.</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it is determined that the assets acquired do not meet the definition of a business, or if substantially all of the fair value of the assets acquired are concentrated in a single identifiable asset, then the transaction is accounted for as an asset acquisition rather than a business combination. In an asset acquisition, assets acquired are recorded at cost, goodwill is not recognized, and acquired in-process research and development with no alternative future use is charged to expense.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acquired in a business combination are recorded at fair value, while intangible assets acquired in connection with an asset acquisition are recorded at cost.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Payments to acquire intangible assets in an asset acquisition may include up-front payments and contingent consideration. With regard to contingent consideration in an asset acquisition, the Company recognizes regulatory milestones upon achievement, royalties in the period in which the underlying sales occur, and sales-based milestones when the milestone is deemed probable by the Company of being achieved. If contingent consideration is recognized subsequent to the acquisition date in an asset acquisition, the amount of such consideration is recorded as an addition to the cost basis of the intangible asset with a cumulative catch-up adjustment for amortization expense as if the additional amount of consideration had been accrued from the outset of the acquisition.</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Indefinite-lived intangible assets are subject to impairment testing until completion or abandonment of the associated research and development efforts. Definite-lived intangible assets are amortized to Cost of goods sold over the estimated useful lives of the assets based on the pattern in which the economic benefits of the intangible assets are consumed; if that pattern cannot be reliably determined, a straight-line basis is used.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are reviewed for recoverability whenever events or changes in circumstances indicate that the carrying amount of the asset may not be recoverable. If an indicator of impairment exists, the Company compares the projected undiscounted cash flows to be generated by the asset to the intangible asset's carrying amount. If the projected undiscounted cash flows of the intangible asset are less than the carrying amount, an impairment loss is recognized within operating expenses and the intangible asset is written down to its fair value in the period in which the impairment occurs.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Company's customer is deemed to have obtained control of the product, which generally occurs upon receipt or acceptance by its customer.</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 of revenue the Company recognizes from product sales may vary due to rebates, chargebacks, discounts, distribution-related fees, and other sales-related deductions. In order to determine the transaction price, the Company estimates, utilizing the expected value method, the amount of variable consideration to which the Company will be entitled. This estimate is based upon contracts with customers, healthcare providers, payors, and government agencies, statutorily-defined discounts applicable to government-funded programs, historical experience, estimated payor mix, and other relevant factors. The Company reviews its estimates of rebates, chargebacks, and other applicable provisions each period and records any necessary adjustments in the current period's net product sales.</w:t>
      </w:r>
    </w:p>
    <w:p>
      <w:pPr>
        <w:spacing w:after="0" w:line="104" w:lineRule="exact"/>
        <w:rPr>
          <w:sz w:val="20"/>
          <w:szCs w:val="20"/>
          <w:color w:val="auto"/>
        </w:rPr>
      </w:pPr>
    </w:p>
    <w:p>
      <w:pPr>
        <w:jc w:val="both"/>
        <w:ind w:left="660" w:hanging="328"/>
        <w:spacing w:after="0" w:line="257"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Rebates: </w:t>
      </w:r>
      <w:r>
        <w:rPr>
          <w:rFonts w:ascii="Times New Roman" w:cs="Times New Roman" w:eastAsia="Times New Roman" w:hAnsi="Times New Roman"/>
          <w:sz w:val="18"/>
          <w:szCs w:val="18"/>
          <w:color w:val="auto"/>
        </w:rPr>
        <w:t>The Company's rebates include amounts paid to managed care organizations, group purchasing organizations, state Medicaid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Medicare Part D program, and other rebate programs. Outside the United States, the Company's rebates are generally contractual or legislatively mandated. The Company estimates reductions to product sales for each type of rebate and records an allowance for rebates in the same period in which the related product sales are recognized. The Company's liability for rebates consists of estimates for claims related to the current and prior periods that have not been paid and estimates for claims that will be made related to product that exists in the distribution channel at the end of the period.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7" w:lineRule="exact"/>
        <w:rPr>
          <w:sz w:val="20"/>
          <w:szCs w:val="20"/>
          <w:color w:val="auto"/>
        </w:rPr>
      </w:pPr>
    </w:p>
    <w:p>
      <w:pPr>
        <w:jc w:val="both"/>
        <w:ind w:left="660" w:hanging="328"/>
        <w:spacing w:after="0" w:line="253"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Chargebacks and Discounts: </w:t>
      </w:r>
      <w:r>
        <w:rPr>
          <w:rFonts w:ascii="Times New Roman" w:cs="Times New Roman" w:eastAsia="Times New Roman" w:hAnsi="Times New Roman"/>
          <w:sz w:val="18"/>
          <w:szCs w:val="18"/>
          <w:color w:val="auto"/>
        </w:rPr>
        <w:t>The Company's reserves related to discounted pricing to eligible physicians, Veterans' Administration ("VA"),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Services, and others (collectively, "qualified healthcare providers") represent the Company's estimated obligations resulting from contractual commitments to sell products to qualified healthcare providers at prices lower than the list prices the Company charges to its customers (e.g., distributors and specialty pharmacies). The Company's customers charge the Company for the difference between what they pay for the products and the discounted selling price to the qualified healthcare providers. The Company estimates reductions to product sales for each type of chargeback and records an allowance for chargebacks in the same period that the related product sales are recognized. The Company's reserve for chargebacks consists of amounts for which it expects to issue credit based on expected sales by its customers to qualified healthcare providers and chargebacks that customers have claimed but for which the Company has not yet issued credit.</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Distribution-Related Fees: </w:t>
      </w:r>
      <w:r>
        <w:rPr>
          <w:rFonts w:ascii="Times New Roman" w:cs="Times New Roman" w:eastAsia="Times New Roman" w:hAnsi="Times New Roman"/>
          <w:sz w:val="18"/>
          <w:szCs w:val="18"/>
          <w:color w:val="auto"/>
        </w:rPr>
        <w:t>The Company has written contracts with its customers that include terms for distribution-related fees.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and records distribution and related fees due to its customers generally based on gross sales.</w:t>
      </w:r>
    </w:p>
    <w:p>
      <w:pPr>
        <w:jc w:val="both"/>
        <w:ind w:left="660" w:hanging="328"/>
        <w:spacing w:after="0" w:line="251" w:lineRule="auto"/>
        <w:tabs>
          <w:tab w:leader="none" w:pos="65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Sales-Related Deductions</w:t>
      </w:r>
      <w:r>
        <w:rPr>
          <w:rFonts w:ascii="Times New Roman" w:cs="Times New Roman" w:eastAsia="Times New Roman" w:hAnsi="Times New Roman"/>
          <w:sz w:val="18"/>
          <w:szCs w:val="18"/>
          <w:color w:val="auto"/>
        </w:rPr>
        <w:t>: The Company's other sales-related deductions include copay assistance programs and product returns.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estimates and records other sales-related deductions generally based on gross sales, written contracts, and other relevant factors. Consistent with industry practice, the Company generally offers its customers a limited right to return product purchased directly from the Company, which is principally based upon the product's expiration date. Product returned is generally not resalable given the nature of the Company's products and method of administration. The Company develops estimates for product returns based upon historical experience, shelf life of the product, and other relevant factors. The Company monitors product supply levels in the distribution channel, as well as sales by its customers, using product-specific data provided by its customers. If necessary, the Company's estimates of product returns may be adjusted in the future based on actual returns experience, known or expected changes in the marketplace, or other factors.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Arrangements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collaborative arrangements to research, develop, manufacture, and commercialize products and/or product candidates. Although each of these arrangements is unique in nature, such arrangements involve a joint operating activity where both parties are active participants in the activities of the collaboration and exposed to significant risks and rewards dependent on the commercial success of the activities.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arrangements where the Company does not deem its collaborator to be its customer, payments to and from its collaborator are presented in the Company's statement of operations based on the nature of Regeneron's business operations, the nature of the arrangement, including the contractual terms, and the nature of the payments. In general, the presentation of such amounts is summarized below.</w:t>
      </w:r>
    </w:p>
    <w:p>
      <w:pPr>
        <w:spacing w:after="0" w:line="145" w:lineRule="exact"/>
        <w:rPr>
          <w:sz w:val="20"/>
          <w:szCs w:val="20"/>
          <w:color w:val="auto"/>
        </w:rPr>
      </w:pPr>
    </w:p>
    <w:tbl>
      <w:tblPr>
        <w:tblLayout w:type="fixed"/>
        <w:tblInd w:w="620" w:type="dxa"/>
        <w:tblCellMar>
          <w:top w:w="0" w:type="dxa"/>
          <w:left w:w="0" w:type="dxa"/>
          <w:bottom w:w="0" w:type="dxa"/>
          <w:right w:w="0" w:type="dxa"/>
        </w:tblCellMar>
      </w:tblPr>
      <w:tr>
        <w:trPr>
          <w:trHeight w:val="238"/>
        </w:trPr>
        <w:tc>
          <w:tcPr>
            <w:tcW w:w="558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Nature/Type of Payment</w:t>
            </w:r>
          </w:p>
        </w:tc>
        <w:tc>
          <w:tcPr>
            <w:tcW w:w="444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Statement of Operations Presentation</w:t>
            </w:r>
          </w:p>
        </w:tc>
      </w:tr>
      <w:tr>
        <w:trPr>
          <w:trHeight w:val="169"/>
        </w:trPr>
        <w:tc>
          <w:tcPr>
            <w:tcW w:w="54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Regeneron's share of profits or losses in connection with</w:t>
            </w:r>
          </w:p>
        </w:tc>
        <w:tc>
          <w:tcPr>
            <w:tcW w:w="120" w:type="dxa"/>
            <w:vAlign w:val="bottom"/>
            <w:tcBorders>
              <w:top w:val="single" w:sz="8" w:color="CCEEFF"/>
            </w:tcBorders>
            <w:shd w:val="clear" w:color="auto" w:fill="CCEEFF"/>
          </w:tcPr>
          <w:p>
            <w:pPr>
              <w:spacing w:after="0"/>
              <w:rPr>
                <w:sz w:val="14"/>
                <w:szCs w:val="14"/>
                <w:color w:val="auto"/>
              </w:rPr>
            </w:pPr>
          </w:p>
        </w:tc>
        <w:tc>
          <w:tcPr>
            <w:tcW w:w="444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Collaboration revenue</w:t>
            </w:r>
          </w:p>
        </w:tc>
      </w:tr>
      <w:tr>
        <w:trPr>
          <w:trHeight w:val="243"/>
        </w:trPr>
        <w:tc>
          <w:tcPr>
            <w:tcW w:w="5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commercialization of products</w:t>
            </w:r>
          </w:p>
        </w:tc>
        <w:tc>
          <w:tcPr>
            <w:tcW w:w="4440" w:type="dxa"/>
            <w:vAlign w:val="bottom"/>
            <w:shd w:val="clear" w:color="auto" w:fill="CCEEFF"/>
          </w:tcPr>
          <w:p>
            <w:pPr>
              <w:spacing w:after="0"/>
              <w:rPr>
                <w:sz w:val="21"/>
                <w:szCs w:val="21"/>
                <w:color w:val="auto"/>
              </w:rPr>
            </w:pPr>
          </w:p>
        </w:tc>
      </w:tr>
      <w:tr>
        <w:trPr>
          <w:trHeight w:val="23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Reimbursement for manufacturing of commercial supplies</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revenue</w:t>
            </w:r>
          </w:p>
        </w:tc>
      </w:tr>
      <w:tr>
        <w:trPr>
          <w:trHeight w:val="23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 and/or sales-based milestones earned</w:t>
            </w: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r>
      <w:tr>
        <w:trPr>
          <w:trHeight w:val="22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Reimbursement of Regeneron's research and development expenses</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Reduction to Research and development expense</w:t>
            </w:r>
          </w:p>
        </w:tc>
      </w:tr>
      <w:tr>
        <w:trPr>
          <w:trHeight w:val="176"/>
        </w:trPr>
        <w:tc>
          <w:tcPr>
            <w:tcW w:w="55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collaborator's research and</w:t>
            </w:r>
          </w:p>
        </w:tc>
        <w:tc>
          <w:tcPr>
            <w:tcW w:w="4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Research and development expense</w:t>
            </w:r>
          </w:p>
        </w:tc>
      </w:tr>
      <w:tr>
        <w:trPr>
          <w:trHeight w:val="243"/>
        </w:trPr>
        <w:tc>
          <w:tcPr>
            <w:tcW w:w="5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 expenses</w:t>
            </w:r>
          </w:p>
        </w:tc>
        <w:tc>
          <w:tcPr>
            <w:tcW w:w="4440" w:type="dxa"/>
            <w:vAlign w:val="bottom"/>
            <w:shd w:val="clear" w:color="auto" w:fill="CCEEFF"/>
          </w:tcPr>
          <w:p>
            <w:pPr>
              <w:spacing w:after="0"/>
              <w:rPr>
                <w:sz w:val="21"/>
                <w:szCs w:val="21"/>
                <w:color w:val="auto"/>
              </w:rPr>
            </w:pPr>
          </w:p>
        </w:tc>
      </w:tr>
      <w:tr>
        <w:trPr>
          <w:trHeight w:val="23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Reimbursement of Regeneron's commercialization-related expenses</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Reduction to Selling, general, and administrative expense</w:t>
            </w:r>
          </w:p>
        </w:tc>
      </w:tr>
      <w:tr>
        <w:trPr>
          <w:trHeight w:val="175"/>
        </w:trPr>
        <w:tc>
          <w:tcPr>
            <w:tcW w:w="55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obligation to pay collaborator for its share of gross profits</w:t>
            </w:r>
          </w:p>
        </w:tc>
        <w:tc>
          <w:tcPr>
            <w:tcW w:w="4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Cost of goods sold</w:t>
            </w:r>
          </w:p>
        </w:tc>
      </w:tr>
      <w:tr>
        <w:trPr>
          <w:trHeight w:val="243"/>
        </w:trPr>
        <w:tc>
          <w:tcPr>
            <w:tcW w:w="5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when Regeneron is deemed to be the principal</w:t>
            </w:r>
          </w:p>
        </w:tc>
        <w:tc>
          <w:tcPr>
            <w:tcW w:w="4440" w:type="dxa"/>
            <w:vAlign w:val="bottom"/>
            <w:shd w:val="clear" w:color="auto" w:fill="CCEEFF"/>
          </w:tcPr>
          <w:p>
            <w:pPr>
              <w:spacing w:after="0"/>
              <w:rPr>
                <w:sz w:val="21"/>
                <w:szCs w:val="2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agreements involving multiple goods or services promised to be transferred to the Company's collaborator, the Company assesses, at the inception of the contract, whether each promise represents a separate obligation (i.e., is "distinct"), or whether such promises should be combined as a single unit of account.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the Company is entitled to reimbursement of all or a portion of the expenses (e.g., research and development expenses) that it incurs under a collaboration, it records those reimbursable amounts in the period in which such costs are incurred.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the Company enters into an arrangement with another party to fund its research and development expenses, the Company considers whether the costs that it may be obligated to repay represent a liability within the scope of Accounting Standards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Codification ("ASC") 730-20,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If the Company concludes that such funding does not represent a substantive and genuine transfer of risk, a liability is recorded.</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Company's collaborator performs research and development work or commercialization-related activities and the parties share the related costs, the Company also recognizes, as expense (e.g., research and development expense or selling, general, and administrative expense, as applicable) in the period when its collaborator incurs such expenses, the portion of the collaborator's expenses that the Company is obligated to reimburse. The Company's collaborators provide the Company with estimated expenses for the most recent fiscal quarter. The estimates are revised, if necessary, in subsequent periods if actual expenses differ from those estimates.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certain of the Company's collaboration agreements, product sales and cost of sales may be recorded by the Company's collaborators as they are deemed to be the principal in the transaction. In arrangements where the Company:</w:t>
      </w:r>
    </w:p>
    <w:p>
      <w:pPr>
        <w:spacing w:after="0" w:line="94" w:lineRule="exact"/>
        <w:rPr>
          <w:sz w:val="20"/>
          <w:szCs w:val="20"/>
          <w:color w:val="auto"/>
        </w:rPr>
      </w:pPr>
    </w:p>
    <w:p>
      <w:pPr>
        <w:jc w:val="both"/>
        <w:ind w:left="660" w:hanging="328"/>
        <w:spacing w:after="0" w:line="257"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supplies commercial product to its collaborator, the Company may be reimbursed for its manufacturing costs as commercial product is shipped to the collaborator (however, recognition of such cost reimbursements may be deferred until the product is sold by the Company's collaborator to third-party customers);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in any profits or losses arising from the commercialization of such products, the Company records its share of the variable consideration, representing net product sales less cost of goods sold and shared commercialization and other expenses, in the period in which such underlying sales occur and costs are incurred by the collaborator;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receives royalties and/or sales-based milestone payments from its collaborator, the Company recognizes such amounts in the period earned.</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collaborators provide it with estimates of product sales and the Company's share of profits or losses, as applicable, for each quarter. The estimates are revised, if necessary, in subsequent periods if the Company's actual share of profits or losses differ from those estimates.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include costs attributable to the conduct of research and development programs, including the cost of salaries, payroll taxes, employee benefits, materials, supplies, depreciation on and maintenance of research equipment, costs related to research collaboration and licensing agreements, clinical trial expenses, the cost of services provided by outside contractors, including services related to the Company's clinical trials, the cost of manufacturing drug for use in research and development, amounts that the Company is obligated to reimburse to collaborators for research and development expenses that they incur, and the allocable portions of facility costs. Costs associated with research and development are expensed as incurred.</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each clinical trial that the Company conducts, certain clinical trial costs are expensed immediately, while others are expensed over time based on the expected total number of patients in the trial, the rate at which patients enter and remain in the trial, and/or the period over which clinical investigators, contract research organizations ("CROs"), or other third-party service providers are expected to provide services. In the event of early termination of a clinical trial, the Company accrues and recognizes expenses in an amount based on its estimate of the remaining noncancelable obligations associated with the winding-down of the clinical trial, including any applicable penalties.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("IPR&amp;D") Expenses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Acquired IPR&amp;D expenses may include in-process research and development acquired in connection with asset acquisitions, as well as up-front, opt-in, development milestone payments, and premiums paid on equity securities related to collaboration and licensing agreements.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equity grants under the Company's long-term incentive plans (including stock options, restricted stock awards, and restricted stock units (both time-based and performance-based)) to employees and non-employee members of the Company's board of directors based on the grant-date fair value of those awards. The grant-date fair value of an award is generally recognized as compensation expense over the award's requisite service period. Stock-based compensation expense also includes an estimate, which is made at the time of grant, of the number of awards that are expected to be forfeited. The forfeiture rate estimate is calculated by considering both historical forfeiture experience and an estimate of expected future forfeitures for currently outstanding unvested awards. This estimate is reviewed at least annually and revised, if necessary, in subsequent periods if actual forfeitures differ from those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model to compute the estimated fair value of stock option awards. Additionally, the Company uses a Monte Carlo simulation to compute the estimated fair value of performance-based restricted stock units that are subject to vesting based on the Company’s attainment of pre-established criteria that include a market condition.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performance-based restricted stock units that contain a performance condition, the Company recognizes stock-based compensation expense if and when the Company determines that it is probable the performance condition will be achieved (based on the number of shares expected to be vested and issued). The Company reassesses the probability of achievement at each reporting period and adjusts compensation cost, as necessary. If there are any changes in the Company's probability assessment, the Company recognizes a cumulative catch-up adjustment in the period of the change in estimate, with the remaining unrecognized expense recognized prospectively over the remaining requisite service period. If the Company subsequently determines that the performance criteria are not met or are not expected to be met, any amounts previously recognized as compensation expense are reversed in the period when such determination is made.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provision for income taxes includes U.S. federal, state, local, and foreign taxes. Income taxes are accounted for under the liability method. Deferred tax assets and liabilities are recognized for the expected future tax consequences of events that have been included in the financial statements or tax returns, including deferred tax assets and liabilities for expected amounts of Net CFC Tested Income (“NCTI”) (formerly known as global intangible low-taxed income ("GILTI")) inclusions. Deferred tax assets and liabilities are determined as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the financial statement effects of a tax position when management's assessment is that there is more than a 50% probability that the position will be sustained upon examination by a taxing authority based upon its technical merits. Uncertain tax positions are recorded based upon certain recognition and measurement criteria. The Company re-evaluates uncertain tax positions and considers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 The Company adjusts the amount of the liability to reflect any subsequent changes in the relevant facts and circumstances surrounding the uncertain tax positions. The Company recognizes interest and penalties related to income tax matters in income tax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 Share Data</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Basic net income per share excludes restricted stock until vested. Diluted net income per share includes the potential dilutive effect of common stock equivalents as if such securities were converted or exercised during the period, when the effect is dilutive. Common stock equivalents include outstanding stock options and unvested restricted stock under the Company's long-term incentive plans, which are included under the treasury stock method when dilutive.</w:t>
      </w:r>
    </w:p>
    <w:p>
      <w:pPr>
        <w:sectPr>
          <w:pgSz w:w="11900" w:h="16838" w:orient="portrait"/>
          <w:cols w:equalWidth="0" w:num="1">
            <w:col w:w="11240"/>
          </w:cols>
          <w:pgMar w:left="320" w:top="369" w:right="339" w:bottom="1440" w:gutter="0" w:footer="0" w:header="0"/>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387"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b w:val="1"/>
          <w:bCs w:val="1"/>
          <w:color w:val="auto"/>
        </w:rPr>
        <w:t>Standard/Description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06285" cy="6172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4">
                      <a:extLst>
                        <a:ext uri="{28A0092B-C50C-407E-A947-70E740481C1C}"/>
                      </a:extLst>
                    </a:blip>
                    <a:srcRect/>
                    <a:stretch>
                      <a:fillRect/>
                    </a:stretch>
                  </pic:blipFill>
                  <pic:spPr bwMode="auto">
                    <a:xfrm>
                      <a:off x="0" y="0"/>
                      <a:ext cx="7106285" cy="617220"/>
                    </a:xfrm>
                    <a:prstGeom prst="rect">
                      <a:avLst/>
                    </a:prstGeom>
                    <a:noFill/>
                  </pic:spPr>
                </pic:pic>
              </a:graphicData>
            </a:graphic>
          </wp:anchor>
        </w:drawing>
      </w:r>
    </w:p>
    <w:p>
      <w:pPr>
        <w:spacing w:after="0" w:line="20" w:lineRule="exact"/>
        <w:rPr>
          <w:sz w:val="20"/>
          <w:szCs w:val="20"/>
          <w:color w:val="auto"/>
        </w:rPr>
      </w:pPr>
    </w:p>
    <w:p>
      <w:pPr>
        <w:ind w:left="180" w:right="320" w:hanging="161"/>
        <w:spacing w:after="0" w:line="216" w:lineRule="auto"/>
        <w:rPr>
          <w:sz w:val="20"/>
          <w:szCs w:val="20"/>
          <w:color w:val="auto"/>
        </w:rPr>
      </w:pPr>
      <w:r>
        <w:rPr>
          <w:rFonts w:ascii="Times New Roman" w:cs="Times New Roman" w:eastAsia="Times New Roman" w:hAnsi="Times New Roman"/>
          <w:sz w:val="18"/>
          <w:szCs w:val="18"/>
          <w:color w:val="auto"/>
        </w:rPr>
        <w:t xml:space="preserve">ASU 2023-09: In December 2023, the FASB issued amended guidance related to improvements to </w:t>
      </w:r>
      <w:r>
        <w:rPr>
          <w:rFonts w:ascii="Times New Roman" w:cs="Times New Roman" w:eastAsia="Times New Roman" w:hAnsi="Times New Roman"/>
          <w:sz w:val="18"/>
          <w:szCs w:val="18"/>
          <w:b w:val="1"/>
          <w:bCs w:val="1"/>
          <w:color w:val="auto"/>
        </w:rPr>
        <w:t>income tax disclosures</w:t>
      </w:r>
      <w:r>
        <w:rPr>
          <w:rFonts w:ascii="Times New Roman" w:cs="Times New Roman" w:eastAsia="Times New Roman" w:hAnsi="Times New Roman"/>
          <w:sz w:val="18"/>
          <w:szCs w:val="18"/>
          <w:color w:val="auto"/>
        </w:rPr>
        <w:t>. The amendments require annually (i) enhanced disclosures in connection with an entity's</w:t>
      </w:r>
    </w:p>
    <w:p>
      <w:pPr>
        <w:spacing w:after="0" w:line="1" w:lineRule="exact"/>
        <w:rPr>
          <w:sz w:val="20"/>
          <w:szCs w:val="20"/>
          <w:color w:val="auto"/>
        </w:rPr>
      </w:pPr>
    </w:p>
    <w:p>
      <w:pPr>
        <w:ind w:left="180"/>
        <w:spacing w:after="0" w:line="226" w:lineRule="auto"/>
        <w:rPr>
          <w:sz w:val="20"/>
          <w:szCs w:val="20"/>
          <w:color w:val="auto"/>
        </w:rPr>
      </w:pPr>
      <w:r>
        <w:rPr>
          <w:rFonts w:ascii="Times New Roman" w:cs="Times New Roman" w:eastAsia="Times New Roman" w:hAnsi="Times New Roman"/>
          <w:sz w:val="18"/>
          <w:szCs w:val="18"/>
          <w:color w:val="auto"/>
        </w:rPr>
        <w:t>effective tax rate reconciliation and (ii) income taxes paid disaggregated by jurisdiction.</w:t>
      </w:r>
    </w:p>
    <w:p>
      <w:pPr>
        <w:spacing w:after="0" w:line="9" w:lineRule="exact"/>
        <w:rPr>
          <w:sz w:val="20"/>
          <w:szCs w:val="20"/>
          <w:color w:val="auto"/>
        </w:rPr>
      </w:pPr>
    </w:p>
    <w:p>
      <w:pPr>
        <w:ind w:left="180" w:right="260" w:hanging="161"/>
        <w:spacing w:after="0" w:line="229" w:lineRule="auto"/>
        <w:rPr>
          <w:sz w:val="20"/>
          <w:szCs w:val="20"/>
          <w:color w:val="auto"/>
        </w:rPr>
      </w:pPr>
      <w:r>
        <w:rPr>
          <w:rFonts w:ascii="Times New Roman" w:cs="Times New Roman" w:eastAsia="Times New Roman" w:hAnsi="Times New Roman"/>
          <w:sz w:val="17"/>
          <w:szCs w:val="17"/>
          <w:color w:val="auto"/>
        </w:rPr>
        <w:t xml:space="preserve">ASU 2024-03: In November 2024, the FASB issued new guidance which requires disclosure of </w:t>
      </w:r>
      <w:r>
        <w:rPr>
          <w:rFonts w:ascii="Times New Roman" w:cs="Times New Roman" w:eastAsia="Times New Roman" w:hAnsi="Times New Roman"/>
          <w:sz w:val="17"/>
          <w:szCs w:val="17"/>
          <w:b w:val="1"/>
          <w:bCs w:val="1"/>
          <w:color w:val="auto"/>
        </w:rPr>
        <w:t>disaggregated income statement expense</w:t>
      </w:r>
      <w:r>
        <w:rPr>
          <w:rFonts w:ascii="Times New Roman" w:cs="Times New Roman" w:eastAsia="Times New Roman" w:hAnsi="Times New Roman"/>
          <w:sz w:val="17"/>
          <w:szCs w:val="17"/>
          <w:color w:val="auto"/>
        </w:rPr>
        <w:t xml:space="preserve"> information about specific categories (including purchases of inventory,</w:t>
      </w:r>
    </w:p>
    <w:p>
      <w:pPr>
        <w:ind w:left="180"/>
        <w:spacing w:after="0" w:line="226" w:lineRule="auto"/>
        <w:rPr>
          <w:sz w:val="20"/>
          <w:szCs w:val="20"/>
          <w:color w:val="auto"/>
        </w:rPr>
      </w:pPr>
      <w:r>
        <w:rPr>
          <w:rFonts w:ascii="Times New Roman" w:cs="Times New Roman" w:eastAsia="Times New Roman" w:hAnsi="Times New Roman"/>
          <w:sz w:val="18"/>
          <w:szCs w:val="18"/>
          <w:color w:val="auto"/>
        </w:rPr>
        <w:t>employee compensation, depreciation, and intangible asset amortization) in the notes to financial statements.</w:t>
      </w:r>
    </w:p>
    <w:p>
      <w:pPr>
        <w:spacing w:after="0" w:line="9" w:lineRule="exact"/>
        <w:rPr>
          <w:sz w:val="20"/>
          <w:szCs w:val="20"/>
          <w:color w:val="auto"/>
        </w:rPr>
      </w:pPr>
    </w:p>
    <w:p>
      <w:pPr>
        <w:ind w:left="180" w:right="100" w:hanging="161"/>
        <w:spacing w:after="0" w:line="216" w:lineRule="auto"/>
        <w:rPr>
          <w:sz w:val="20"/>
          <w:szCs w:val="20"/>
          <w:color w:val="auto"/>
        </w:rPr>
      </w:pPr>
      <w:r>
        <w:rPr>
          <w:rFonts w:ascii="Times New Roman" w:cs="Times New Roman" w:eastAsia="Times New Roman" w:hAnsi="Times New Roman"/>
          <w:sz w:val="18"/>
          <w:szCs w:val="18"/>
          <w:color w:val="auto"/>
        </w:rPr>
        <w:t xml:space="preserve">ASU 2025-06: In September 2025, the FASB issued new guidance to modernize the accounting for </w:t>
      </w:r>
      <w:r>
        <w:rPr>
          <w:rFonts w:ascii="Times New Roman" w:cs="Times New Roman" w:eastAsia="Times New Roman" w:hAnsi="Times New Roman"/>
          <w:sz w:val="18"/>
          <w:szCs w:val="18"/>
          <w:b w:val="1"/>
          <w:bCs w:val="1"/>
          <w:color w:val="auto"/>
        </w:rPr>
        <w:t>software costs</w:t>
      </w:r>
      <w:r>
        <w:rPr>
          <w:rFonts w:ascii="Times New Roman" w:cs="Times New Roman" w:eastAsia="Times New Roman" w:hAnsi="Times New Roman"/>
          <w:sz w:val="18"/>
          <w:szCs w:val="18"/>
          <w:color w:val="auto"/>
        </w:rPr>
        <w:t xml:space="preserve"> by updating the criteria as to when entities are required to start capitalizing internal-use software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06285" cy="4883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5">
                      <a:extLst>
                        <a:ext uri="{28A0092B-C50C-407E-A947-70E740481C1C}"/>
                      </a:extLst>
                    </a:blip>
                    <a:srcRect/>
                    <a:stretch>
                      <a:fillRect/>
                    </a:stretch>
                  </pic:blipFill>
                  <pic:spPr bwMode="auto">
                    <a:xfrm>
                      <a:off x="0" y="0"/>
                      <a:ext cx="7106285" cy="4883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removing all references to software development "projects stages").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Impact of Adoption on the Company's</w:t>
            </w:r>
          </w:p>
        </w:tc>
        <w:tc>
          <w:tcPr>
            <w:tcW w:w="0" w:type="dxa"/>
            <w:vAlign w:val="bottom"/>
          </w:tcPr>
          <w:p>
            <w:pPr>
              <w:spacing w:after="0"/>
              <w:rPr>
                <w:sz w:val="1"/>
                <w:szCs w:val="1"/>
                <w:color w:val="auto"/>
              </w:rPr>
            </w:pPr>
          </w:p>
        </w:tc>
      </w:tr>
      <w:tr>
        <w:trPr>
          <w:trHeight w:val="243"/>
        </w:trPr>
        <w:tc>
          <w:tcPr>
            <w:tcW w:w="2320" w:type="dxa"/>
            <w:vAlign w:val="bottom"/>
            <w:gridSpan w:val="2"/>
            <w:vMerge w:val="continue"/>
          </w:tcPr>
          <w:p>
            <w:pPr>
              <w:spacing w:after="0"/>
              <w:rPr>
                <w:sz w:val="21"/>
                <w:szCs w:val="21"/>
                <w:color w:val="auto"/>
              </w:rPr>
            </w:pPr>
          </w:p>
        </w:tc>
        <w:tc>
          <w:tcPr>
            <w:tcW w:w="314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0" w:type="dxa"/>
            <w:vAlign w:val="bottom"/>
          </w:tcPr>
          <w:p>
            <w:pPr>
              <w:spacing w:after="0"/>
              <w:rPr>
                <w:sz w:val="1"/>
                <w:szCs w:val="1"/>
                <w:color w:val="auto"/>
              </w:rPr>
            </w:pPr>
          </w:p>
        </w:tc>
      </w:tr>
      <w:tr>
        <w:trPr>
          <w:trHeight w:val="228"/>
        </w:trPr>
        <w:tc>
          <w:tcPr>
            <w:tcW w:w="2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January 1, 2025</w:t>
            </w:r>
          </w:p>
        </w:tc>
        <w:tc>
          <w:tcPr>
            <w:tcW w:w="100" w:type="dxa"/>
            <w:vAlign w:val="bottom"/>
          </w:tcPr>
          <w:p>
            <w:pPr>
              <w:spacing w:after="0"/>
              <w:rPr>
                <w:sz w:val="19"/>
                <w:szCs w:val="19"/>
                <w:color w:val="auto"/>
              </w:rPr>
            </w:pPr>
          </w:p>
        </w:tc>
        <w:tc>
          <w:tcPr>
            <w:tcW w:w="3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Adopted prospectively; see Note 15</w:t>
            </w:r>
          </w:p>
        </w:tc>
        <w:tc>
          <w:tcPr>
            <w:tcW w:w="0" w:type="dxa"/>
            <w:vAlign w:val="bottom"/>
          </w:tcPr>
          <w:p>
            <w:pPr>
              <w:spacing w:after="0"/>
              <w:rPr>
                <w:sz w:val="1"/>
                <w:szCs w:val="1"/>
                <w:color w:val="auto"/>
              </w:rPr>
            </w:pPr>
          </w:p>
        </w:tc>
      </w:tr>
      <w:tr>
        <w:trPr>
          <w:trHeight w:val="90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 2027 for annual</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Currently evaluating impact</w:t>
            </w:r>
          </w:p>
        </w:tc>
        <w:tc>
          <w:tcPr>
            <w:tcW w:w="0" w:type="dxa"/>
            <w:vAlign w:val="bottom"/>
          </w:tcPr>
          <w:p>
            <w:pPr>
              <w:spacing w:after="0"/>
              <w:rPr>
                <w:sz w:val="1"/>
                <w:szCs w:val="1"/>
                <w:color w:val="auto"/>
              </w:rPr>
            </w:pPr>
          </w:p>
        </w:tc>
      </w:tr>
      <w:tr>
        <w:trPr>
          <w:trHeight w:val="176"/>
        </w:trPr>
        <w:tc>
          <w:tcPr>
            <w:tcW w:w="23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reporting periods and</w:t>
            </w:r>
          </w:p>
        </w:tc>
        <w:tc>
          <w:tcPr>
            <w:tcW w:w="3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2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January 1, 2028 for interim</w:t>
            </w: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reporting periods</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 2028</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Early adopted January 1, 2026; no</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impact expected</w:t>
            </w:r>
          </w:p>
        </w:tc>
        <w:tc>
          <w:tcPr>
            <w:tcW w:w="0" w:type="dxa"/>
            <w:vAlign w:val="bottom"/>
          </w:tcPr>
          <w:p>
            <w:pPr>
              <w:spacing w:after="0"/>
              <w:rPr>
                <w:sz w:val="1"/>
                <w:szCs w:val="1"/>
                <w:color w:val="auto"/>
              </w:rPr>
            </w:pPr>
          </w:p>
        </w:tc>
      </w:tr>
    </w:tbl>
    <w:p>
      <w:pPr>
        <w:spacing w:after="0" w:line="552" w:lineRule="exact"/>
        <w:rPr>
          <w:sz w:val="20"/>
          <w:szCs w:val="20"/>
          <w:color w:val="auto"/>
        </w:rPr>
      </w:pPr>
    </w:p>
    <w:p>
      <w:pPr>
        <w:sectPr>
          <w:pgSz w:w="11900" w:h="16838" w:orient="portrait"/>
          <w:cols w:equalWidth="0" w:num="2">
            <w:col w:w="5620" w:space="120"/>
            <w:col w:w="5500"/>
          </w:cols>
          <w:pgMar w:left="320" w:top="3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consist of the following:</w:t>
      </w:r>
    </w:p>
    <w:p>
      <w:pPr>
        <w:spacing w:after="0" w:line="289"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w:t>
            </w:r>
          </w:p>
        </w:tc>
        <w:tc>
          <w:tcPr>
            <w:tcW w:w="1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29"/>
        </w:trPr>
        <w:tc>
          <w:tcPr>
            <w:tcW w:w="2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p>
        </w:tc>
        <w:tc>
          <w:tcPr>
            <w:tcW w:w="1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5,719.6</w:t>
            </w:r>
          </w:p>
        </w:tc>
      </w:tr>
      <w:tr>
        <w:trPr>
          <w:trHeight w:val="223"/>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EYLEA HD and EYLEA</w:t>
            </w:r>
          </w:p>
        </w:tc>
        <w:tc>
          <w:tcPr>
            <w:tcW w:w="1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5,885.4</w:t>
            </w:r>
          </w:p>
        </w:tc>
      </w:tr>
      <w:tr>
        <w:trPr>
          <w:trHeight w:val="229"/>
        </w:trPr>
        <w:tc>
          <w:tcPr>
            <w:tcW w:w="2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p>
        </w:tc>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Libtayo</w:t>
            </w:r>
          </w:p>
        </w:tc>
        <w:tc>
          <w:tcPr>
            <w:tcW w:w="1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r>
      <w:tr>
        <w:trPr>
          <w:trHeight w:val="223"/>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Libtayo</w:t>
            </w:r>
          </w:p>
        </w:tc>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Global</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w:t>
            </w:r>
          </w:p>
        </w:tc>
      </w:tr>
      <w:tr>
        <w:trPr>
          <w:trHeight w:val="229"/>
        </w:trPr>
        <w:tc>
          <w:tcPr>
            <w:tcW w:w="2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w:t>
            </w:r>
          </w:p>
        </w:tc>
        <w:tc>
          <w:tcPr>
            <w:tcW w:w="1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r>
      <w:tr>
        <w:trPr>
          <w:trHeight w:val="230"/>
        </w:trPr>
        <w:tc>
          <w:tcPr>
            <w:tcW w:w="2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p>
        </w:tc>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29"/>
        </w:trPr>
        <w:tc>
          <w:tcPr>
            <w:tcW w:w="2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Inmazeb</w:t>
            </w:r>
            <w:r>
              <w:rPr>
                <w:rFonts w:ascii="Times New Roman" w:cs="Times New Roman" w:eastAsia="Times New Roman" w:hAnsi="Times New Roman"/>
                <w:sz w:val="23"/>
                <w:szCs w:val="23"/>
                <w:color w:val="auto"/>
                <w:vertAlign w:val="superscript"/>
              </w:rPr>
              <w:t>®</w:t>
            </w:r>
          </w:p>
        </w:tc>
        <w:tc>
          <w:tcPr>
            <w:tcW w:w="1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products</w:t>
            </w:r>
          </w:p>
        </w:tc>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Global</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68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7,078.0</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$3.458 billion and $4.278 billion, respectively, of trade accounts receivable that were recorded within Accounts receivable, net. As of December 31, 2025 and 2024, two individual customers accounted for 87% and 79%, respectively, of the Company's net trade accounts receivable balances.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product sales to certain customers that each accounted for more than 10% of total gross product revenue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 Sales to each of these customers as a percentage of the Company's total gross product revenue are as follows:</w:t>
      </w:r>
    </w:p>
    <w:p>
      <w:pPr>
        <w:spacing w:after="0" w:line="2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2720" w:type="dxa"/>
        <w:tblCellMar>
          <w:top w:w="0" w:type="dxa"/>
          <w:left w:w="0" w:type="dxa"/>
          <w:bottom w:w="0" w:type="dxa"/>
          <w:right w:w="0" w:type="dxa"/>
        </w:tblCellMar>
      </w:tblPr>
      <w:tr>
        <w:trPr>
          <w:trHeight w:val="223"/>
        </w:trPr>
        <w:tc>
          <w:tcPr>
            <w:tcW w:w="198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50 %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4"/>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27 %</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bl>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chargebacks, and discounts, distribution-related fees, and other sales-related deductions. Accruals for chargebacks and discounts are recorded as a direct reduction to accounts receivable. Accruals for rebates, distribution-related fees, and other sales-related deductions are recorded within accrued liabilities. The following table summarizes the provisions, and credits/payments, for sales-related deductions:</w:t>
      </w:r>
    </w:p>
    <w:p>
      <w:pPr>
        <w:spacing w:after="0" w:line="220"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180" w:type="dxa"/>
            <w:vAlign w:val="bottom"/>
          </w:tcPr>
          <w:p>
            <w:pPr>
              <w:spacing w:after="0"/>
              <w:rPr>
                <w:sz w:val="18"/>
                <w:szCs w:val="18"/>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Other Sales-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5"/>
                <w:szCs w:val="15"/>
                <w:color w:val="auto"/>
              </w:rPr>
            </w:pPr>
          </w:p>
        </w:tc>
        <w:tc>
          <w:tcPr>
            <w:tcW w:w="14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rPr>
              <w:t>Chargebacks,</w:t>
            </w:r>
          </w:p>
        </w:tc>
        <w:tc>
          <w:tcPr>
            <w:tcW w:w="1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Related</w:t>
            </w:r>
          </w:p>
        </w:tc>
        <w:tc>
          <w:tcPr>
            <w:tcW w:w="320" w:type="dxa"/>
            <w:vAlign w:val="bottom"/>
          </w:tcPr>
          <w:p>
            <w:pPr>
              <w:spacing w:after="0"/>
              <w:rPr>
                <w:sz w:val="15"/>
                <w:szCs w:val="15"/>
                <w:color w:val="auto"/>
              </w:rPr>
            </w:pPr>
          </w:p>
        </w:tc>
        <w:tc>
          <w:tcPr>
            <w:tcW w:w="11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8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and Discounts</w:t>
            </w:r>
          </w:p>
        </w:tc>
        <w:tc>
          <w:tcPr>
            <w:tcW w:w="18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Related Fees</w:t>
            </w:r>
          </w:p>
        </w:tc>
        <w:tc>
          <w:tcPr>
            <w:tcW w:w="200" w:type="dxa"/>
            <w:vAlign w:val="bottom"/>
          </w:tcPr>
          <w:p>
            <w:pPr>
              <w:spacing w:after="0"/>
              <w:rPr>
                <w:sz w:val="21"/>
                <w:szCs w:val="21"/>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2,669.0</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(2,518.5)</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3,053.0</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(2,989.9)</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3,292.5</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(3,182.1)</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License, and Other Agreements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Sanofi</w:t>
      </w:r>
    </w:p>
    <w:p>
      <w:pPr>
        <w:spacing w:after="0" w:line="16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The Company is party to a global, strategic collaboration with Sanofi to research, develop, and commercialize fully human monoclonal antibodies, which currently consists of Dupixent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(dupilumab), 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and itepekimab</w:t>
      </w:r>
      <w:r>
        <w:rPr>
          <w:rFonts w:ascii="Times New Roman" w:cs="Times New Roman" w:eastAsia="Times New Roman" w:hAnsi="Times New Roman"/>
          <w:sz w:val="21"/>
          <w:szCs w:val="21"/>
          <w:i w:val="1"/>
          <w:iCs w:val="1"/>
          <w:color w:val="auto"/>
        </w:rPr>
        <w:t>.</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Sanofi is generally responsible for funding 80% to 100% of agreed-upon development expenses as incurred. The Company is obligated to reimburse Sanofi for 30% to 50% of development expenses that were funded by Sanofi (i.e., "development balance") based on the Company's share of collaboration profits. The Company is required to apply 20% of its share of profits from the collaboration each calendar quarter to reimburse Sanofi for these development expenses. The Company's contingent reimbursement obligation to Sanofi in connection with the development balance was approximately $595 million as of December 31, 2025.</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Sanofi leads commercialization activities for products under the collaboration, subject to the Company's right to co-commercialize such products. The Company co-commercializes Dupixent in the United States and in certain countries outside the United States. The Company supplies certain commercial bulk product to Sanofi. The parties equally share profits from sales within the United States. The parties share profits outside the United States on a sliding scale based on sales starting at 65% (Sanofi)/35% (Regeneron) and ending at 55% (Sanofi)/45% (Regeneron).</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profit sharing, the Company was entitled to receive sales milestone payments from Sanofi. During the year ended December 31, 2023, the Company earned the final $50.0 million sales-based milestone from Sanofi upon aggregate annual sales of antibodies outside the United States exceeding $3.0 billion on a rolling twelve-month basis.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Sanofi collaboration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27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r>
      <w:tr>
        <w:trPr>
          <w:trHeight w:val="237"/>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7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3,136.5</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Sales-based milestones earned</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175"/>
        </w:trPr>
        <w:tc>
          <w:tcPr>
            <w:tcW w:w="4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commercial</w:t>
            </w:r>
          </w:p>
        </w:tc>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supplies</w:t>
            </w:r>
          </w:p>
        </w:tc>
        <w:tc>
          <w:tcPr>
            <w:tcW w:w="2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r>
      <w:tr>
        <w:trPr>
          <w:trHeight w:val="175"/>
        </w:trPr>
        <w:tc>
          <w:tcPr>
            <w:tcW w:w="4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Sanofi R&amp;D</w:t>
            </w:r>
          </w:p>
        </w:tc>
        <w:tc>
          <w:tcPr>
            <w:tcW w:w="2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(R&amp;D expense)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net of reimbursement of R&amp;D expenses</w:t>
            </w:r>
          </w:p>
        </w:tc>
        <w:tc>
          <w:tcPr>
            <w:tcW w:w="2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175"/>
        </w:trPr>
        <w:tc>
          <w:tcPr>
            <w:tcW w:w="4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commercialization-related</w:t>
            </w:r>
          </w:p>
        </w:tc>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Reduction of SG&amp;A expense</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Sanofi collaboration:</w:t>
      </w:r>
    </w:p>
    <w:p>
      <w:pPr>
        <w:spacing w:after="0" w:line="194" w:lineRule="exact"/>
        <w:rPr>
          <w:sz w:val="20"/>
          <w:szCs w:val="20"/>
          <w:color w:val="auto"/>
        </w:rPr>
      </w:pPr>
    </w:p>
    <w:tbl>
      <w:tblPr>
        <w:tblLayout w:type="fixed"/>
        <w:tblInd w:w="254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w:t>
            </w: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a license and collaboration agreement with Bayer for the global development and commercialization of EYLEA 8 mg (aflibercept 8 mg) and EYLEA (aflibercept) outside the United States. The parties generally share equally agreed-upon development expenses as incurred. The Company is also obligated to use commercially reasonable efforts to supply clinical and commercial bulk product to Bayer.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Bayer is responsible for commercialization activities outside the United States, and the companies share equally in profits from such sales. Within the United States, the Company is responsible for commercialization and retains profits from such sales. The Company is obligated to reimburse Bayer out of the Company's share of the collaboration profits for 50% of the agreed-upon development expenses that Bayer has incurred in accordance with a formula based on the amount of development expenses that Bayer has incurred and the Company's share of the collaboration profits, or at a faster rate at the Company's option; the Company's contingent reimbursement obligation to Bayer was approximately $296 million as of December 31, 2025.</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Bayer collaboration are as follows:</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r>
      <w:tr>
        <w:trPr>
          <w:trHeight w:val="23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w:t>
            </w:r>
          </w:p>
        </w:tc>
      </w:tr>
      <w:tr>
        <w:trPr>
          <w:trHeight w:val="175"/>
        </w:trPr>
        <w:tc>
          <w:tcPr>
            <w:tcW w:w="4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commercial</w:t>
            </w:r>
          </w:p>
        </w:tc>
        <w:tc>
          <w:tcPr>
            <w:tcW w:w="25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supplies</w:t>
            </w:r>
          </w:p>
        </w:tc>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Bayer R&amp;D</w:t>
            </w:r>
          </w:p>
        </w:tc>
        <w:tc>
          <w:tcPr>
            <w:tcW w:w="25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(R&amp;D expense)</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net of reimbursement of R&amp;D expenses</w:t>
            </w:r>
          </w:p>
        </w:tc>
        <w:tc>
          <w:tcPr>
            <w:tcW w:w="2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Bayer collaboration:</w:t>
      </w:r>
    </w:p>
    <w:p>
      <w:pPr>
        <w:spacing w:after="0" w:line="194" w:lineRule="exact"/>
        <w:rPr>
          <w:sz w:val="20"/>
          <w:szCs w:val="20"/>
          <w:color w:val="auto"/>
        </w:rPr>
      </w:pPr>
    </w:p>
    <w:tbl>
      <w:tblPr>
        <w:tblLayout w:type="fixed"/>
        <w:tblInd w:w="254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Other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collaboration and license agreements discussed above, the Company has collaboration and license agreements that are not individually significant to its operating results or financial condition at this time. Pursuant to the terms of those agreements, the Company may (i) incur, and/or get reimbursed for, research and development expenses, and/or (ii) be required to pay, and/or may receive, additional amounts contingent upon the occurrence of various future events (e.g., upon the achievement of development and commercial milestones), which in the aggregate could be significant.</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the Company's collaboration agreement with Tessera Therapeutics, Inc. to develop and commercialize TSRA-196 (Tessera's investigational program for the treatment of alpha-1 antitrypsin deficiency ("AATD")) became effective. Under the terms of the agreement, the Company made aggregate payments of $150.0 million in January 2026, consisting of an up-front payment and the purchase of Tessera preferred stock. The portion related to the up-front payment will be recorded to Acquired IPR&amp;D expense in the first quarter of 2026.</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Acquired IPR&amp;D Expenses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to Acquired IPR&amp;D expense an $80.0 million up-front payment in connection with its license agreement with Hansoh Pharmaceuticals Group Company Limited to acquire development and commercial rights outside mainland China, Hong Kong, and Macau for HS-20094 (a dual GLP-1/GIP receptor agonist currently in Phase 3 clinical development in China).</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to Acquired IPR&amp;D expense a $45.0 million development milestone in connection with its collaboration agreement with Sonoma Biotherapeutics, Inc.</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to Acquired IPR&amp;D expense a $100.0 million development milestone in connection with its collaboration agreement with Alnylam Pharmaceuticals, Inc., a $45.0 million up-front payment in connection with its collaboration agreement with Sonoma, and a $30.0 million extension payment under its collaboration agreement with Intellia Therapeutics, Inc.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Royalties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also in-licensed patent and/or technology pursuant to agreements which contain provisions that require the Company to pay royalties, as defined, at rates that range from 0.5% to 12.5%, in the event the Company sells or licenses any proprietary products developed under the respective agreements. For the years ended December 31, 2025, 2024, and 2023, the Company recorded royalty expense (net of reimbursements from collaborators, as applicable) of $81.3 million, $82.9 million, and $117.6 million, respectively, based on product sales under various licensing agreements.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Marketable securities as of December 31, 2025 and 2024 consist of both available-for-sale debt securities of investment grade issuers (see below and Note 5) as well as equity securities of publicly traded companies (see Note 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debt securities:</w:t>
      </w:r>
    </w:p>
    <w:p>
      <w:pPr>
        <w:spacing w:after="0" w:line="194"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20" w:type="dxa"/>
            <w:vAlign w:val="bottom"/>
          </w:tcPr>
          <w:p>
            <w:pPr>
              <w:spacing w:after="0"/>
              <w:rPr>
                <w:sz w:val="20"/>
                <w:szCs w:val="20"/>
                <w:color w:val="auto"/>
              </w:rPr>
            </w:pPr>
          </w:p>
        </w:tc>
        <w:tc>
          <w:tcPr>
            <w:tcW w:w="23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183"/>
        </w:trPr>
        <w:tc>
          <w:tcPr>
            <w:tcW w:w="20" w:type="dxa"/>
            <w:vAlign w:val="bottom"/>
          </w:tcPr>
          <w:p>
            <w:pPr>
              <w:spacing w:after="0"/>
              <w:rPr>
                <w:sz w:val="15"/>
                <w:szCs w:val="15"/>
                <w:color w:val="auto"/>
              </w:rPr>
            </w:pPr>
          </w:p>
        </w:tc>
        <w:tc>
          <w:tcPr>
            <w:tcW w:w="5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40" w:type="dxa"/>
            <w:vAlign w:val="bottom"/>
          </w:tcPr>
          <w:p>
            <w:pPr>
              <w:spacing w:after="0"/>
              <w:rPr>
                <w:sz w:val="15"/>
                <w:szCs w:val="15"/>
                <w:color w:val="auto"/>
              </w:rPr>
            </w:pPr>
          </w:p>
        </w:tc>
        <w:tc>
          <w:tcPr>
            <w:tcW w:w="116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Cost Basis</w:t>
            </w: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10,219.5</w:t>
            </w:r>
          </w:p>
        </w:tc>
      </w:tr>
      <w:tr>
        <w:trPr>
          <w:trHeight w:val="229"/>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4,367.3</w:t>
            </w: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r>
      <w:tr>
        <w:trPr>
          <w:trHeight w:val="229"/>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29"/>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30"/>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40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15,713.4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4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8,226.9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8,220.6</w:t>
            </w: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r>
      <w:tr>
        <w:trPr>
          <w:trHeight w:val="229"/>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r>
      <w:tr>
        <w:trPr>
          <w:trHeight w:val="229"/>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29"/>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14,338.0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14,329.1</w:t>
            </w: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investments in available-for-sale debt securities based on their contractual maturity dates. The available-for-sale debt securities as of December 31, 2025 mature at various dates through December 2032. The fair values of available-for-sale debt securities by contractual maturity consist of the following:</w:t>
      </w:r>
    </w:p>
    <w:p>
      <w:pPr>
        <w:spacing w:after="0" w:line="145" w:lineRule="exact"/>
        <w:rPr>
          <w:sz w:val="20"/>
          <w:szCs w:val="20"/>
          <w:color w:val="auto"/>
        </w:rPr>
      </w:pPr>
    </w:p>
    <w:tbl>
      <w:tblPr>
        <w:tblLayout w:type="fixed"/>
        <w:tblInd w:w="192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6,524.3</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7,804.8</w:t>
            </w:r>
          </w:p>
        </w:tc>
      </w:tr>
      <w:tr>
        <w:trPr>
          <w:trHeight w:val="23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after five years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15,713.4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14,329.1</w:t>
            </w: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(loss) into Other income (expense), net related to realized gains/losses on sales of available-for-sale debt securities; such amounts were not material for the years ended December 31, 2025, 2024, and 2023.</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interest income of $716.8 million, $711.4 million, and $495.9 million for the years ended December 31, 2025, 2024, and 2023, respectively, in Other income (expense), net.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assets and liabilities which are measured at fair value on a recurring basis. The following fair value hierarchy is used to classify assets and liabilities, based on inputs to valuation techniques utilized to measure fair value:</w:t>
      </w:r>
    </w:p>
    <w:p>
      <w:pPr>
        <w:spacing w:after="0" w:line="94"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other unobservable inputs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Reporting Date</w:t>
            </w:r>
          </w:p>
        </w:tc>
      </w:tr>
      <w:tr>
        <w:trPr>
          <w:trHeight w:val="183"/>
        </w:trPr>
        <w:tc>
          <w:tcPr>
            <w:tcW w:w="20" w:type="dxa"/>
            <w:vAlign w:val="bottom"/>
          </w:tcPr>
          <w:p>
            <w:pPr>
              <w:spacing w:after="0"/>
              <w:rPr>
                <w:sz w:val="15"/>
                <w:szCs w:val="15"/>
                <w:color w:val="auto"/>
              </w:rPr>
            </w:pPr>
          </w:p>
        </w:tc>
        <w:tc>
          <w:tcPr>
            <w:tcW w:w="48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20" w:type="dxa"/>
            <w:vAlign w:val="bottom"/>
          </w:tcPr>
          <w:p>
            <w:pPr>
              <w:spacing w:after="0"/>
              <w:rPr>
                <w:sz w:val="15"/>
                <w:szCs w:val="15"/>
                <w:color w:val="auto"/>
              </w:rPr>
            </w:pPr>
          </w:p>
        </w:tc>
        <w:tc>
          <w:tcPr>
            <w:tcW w:w="140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Pr>
          <w:p>
            <w:pPr>
              <w:spacing w:after="0"/>
              <w:rPr>
                <w:sz w:val="15"/>
                <w:szCs w:val="15"/>
                <w:color w:val="auto"/>
              </w:rPr>
            </w:pPr>
          </w:p>
        </w:tc>
        <w:tc>
          <w:tcPr>
            <w:tcW w:w="134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5"/>
                <w:szCs w:val="15"/>
                <w:color w:val="auto"/>
              </w:rPr>
            </w:pPr>
          </w:p>
        </w:tc>
        <w:tc>
          <w:tcPr>
            <w:tcW w:w="1320" w:type="dxa"/>
            <w:vAlign w:val="bottom"/>
            <w:gridSpan w:val="2"/>
          </w:tcPr>
          <w:p>
            <w:pPr>
              <w:jc w:val="center"/>
              <w:ind w:right="400"/>
              <w:spacing w:after="0" w:line="182" w:lineRule="exact"/>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5"/>
                <w:szCs w:val="15"/>
                <w:color w:val="auto"/>
              </w:rPr>
            </w:pPr>
          </w:p>
        </w:tc>
        <w:tc>
          <w:tcPr>
            <w:tcW w:w="122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Sovereign bonds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8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0"/>
        </w:trPr>
        <w:tc>
          <w:tcPr>
            <w:tcW w:w="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2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48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Sovereign bonds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8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bl>
    <w:p>
      <w:pPr>
        <w:spacing w:after="0" w:line="49" w:lineRule="exact"/>
        <w:rPr>
          <w:sz w:val="20"/>
          <w:szCs w:val="20"/>
          <w:color w:val="auto"/>
        </w:rPr>
      </w:pPr>
    </w:p>
    <w:p>
      <w:pPr>
        <w:ind w:left="180" w:right="160" w:firstLine="8"/>
        <w:spacing w:after="0"/>
        <w:tabs>
          <w:tab w:leader="none" w:pos="339" w:val="left"/>
        </w:tabs>
        <w:numPr>
          <w:ilvl w:val="0"/>
          <w:numId w:val="4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equity securities of $33.3 million and $43.2 million as of December 31, 2025 and 2024, respectively, that are subject to transfer restrictions expiring in April 2026</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investments summarized in the table above, the Company classified the following investments within Other noncurrent assets:</w:t>
      </w:r>
    </w:p>
    <w:p>
      <w:pPr>
        <w:spacing w:after="0" w:line="158" w:lineRule="exact"/>
        <w:rPr>
          <w:sz w:val="20"/>
          <w:szCs w:val="20"/>
          <w:color w:val="auto"/>
        </w:rPr>
      </w:pPr>
    </w:p>
    <w:p>
      <w:pPr>
        <w:ind w:left="6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and 2024, $334.0 million and $159.8 million, respectively, of equity securities that do not have a readily determinable fair value. The change in carrying value of such investments was a result of additional purchases.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jc w:val="both"/>
        <w:ind w:left="66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and 2024, equity securities held through ownership interest in an investment fund of $147.5 million and $52.0 million, respectively, which are measured at fair value based on Level 3 inputs. The change in carrying value was primarily the result of additional purchases by the fund.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Other income (expense), net, related to the Company's investments in public equity securities consist of the following:</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ind w:left="10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(losses) recognized during the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gains recognized on investments sold during the period</w:t>
            </w:r>
          </w:p>
        </w:tc>
        <w:tc>
          <w:tcPr>
            <w:tcW w:w="340" w:type="dxa"/>
            <w:vAlign w:val="bottom"/>
          </w:tcPr>
          <w:p>
            <w:pPr>
              <w:spacing w:after="0"/>
              <w:rPr>
                <w:sz w:val="19"/>
                <w:szCs w:val="19"/>
                <w:color w:val="auto"/>
              </w:rPr>
            </w:pPr>
          </w:p>
        </w:tc>
        <w:tc>
          <w:tcPr>
            <w:tcW w:w="1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966.2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64"/>
        </w:trPr>
        <w:tc>
          <w:tcPr>
            <w:tcW w:w="510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Net unrealized gains (losses) recognized on investments still held as</w:t>
            </w: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0" w:type="dxa"/>
            <w:vAlign w:val="bottom"/>
          </w:tcPr>
          <w:p>
            <w:pPr>
              <w:spacing w:after="0"/>
              <w:rPr>
                <w:sz w:val="1"/>
                <w:szCs w:val="1"/>
                <w:color w:val="auto"/>
              </w:rPr>
            </w:pPr>
          </w:p>
        </w:tc>
      </w:tr>
      <w:tr>
        <w:trPr>
          <w:trHeight w:val="227"/>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period end date</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Company's long-term debt (see Note 10), which was determined based on Level 2 inputs, was estimated to be $1.576 billion and $1.484 billion as of December 31, 2025 and 2024, respectively.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6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46"/>
        </w:trPr>
        <w:tc>
          <w:tcPr>
            <w:tcW w:w="2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60" w:type="dxa"/>
            <w:vAlign w:val="bottom"/>
            <w:tcBorders>
              <w:bottom w:val="single" w:sz="8" w:color="auto"/>
            </w:tcBorders>
          </w:tcPr>
          <w:p>
            <w:pPr>
              <w:spacing w:after="0"/>
              <w:rPr>
                <w:sz w:val="24"/>
                <w:szCs w:val="24"/>
                <w:color w:val="auto"/>
              </w:rPr>
            </w:pPr>
          </w:p>
        </w:tc>
      </w:tr>
      <w:tr>
        <w:trPr>
          <w:trHeight w:val="223"/>
        </w:trPr>
        <w:tc>
          <w:tcPr>
            <w:tcW w:w="2300" w:type="dxa"/>
            <w:vAlign w:val="bottom"/>
          </w:tcPr>
          <w:p>
            <w:pPr>
              <w:spacing w:after="0"/>
              <w:rPr>
                <w:sz w:val="19"/>
                <w:szCs w:val="19"/>
                <w:color w:val="auto"/>
              </w:rPr>
            </w:pPr>
          </w:p>
        </w:tc>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23"/>
        </w:trPr>
        <w:tc>
          <w:tcPr>
            <w:tcW w:w="2300" w:type="dxa"/>
            <w:vAlign w:val="bottom"/>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w:t>
            </w:r>
          </w:p>
        </w:tc>
      </w:tr>
      <w:tr>
        <w:trPr>
          <w:trHeight w:val="229"/>
        </w:trPr>
        <w:tc>
          <w:tcPr>
            <w:tcW w:w="2300" w:type="dxa"/>
            <w:vAlign w:val="bottom"/>
          </w:tcPr>
          <w:p>
            <w:pPr>
              <w:spacing w:after="0"/>
              <w:rPr>
                <w:sz w:val="19"/>
                <w:szCs w:val="19"/>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1,342.3</w:t>
            </w:r>
          </w:p>
        </w:tc>
      </w:tr>
      <w:tr>
        <w:trPr>
          <w:trHeight w:val="230"/>
        </w:trPr>
        <w:tc>
          <w:tcPr>
            <w:tcW w:w="2300" w:type="dxa"/>
            <w:vAlign w:val="bottom"/>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29"/>
        </w:trPr>
        <w:tc>
          <w:tcPr>
            <w:tcW w:w="2300" w:type="dxa"/>
            <w:vAlign w:val="bottom"/>
          </w:tcPr>
          <w:p>
            <w:pPr>
              <w:spacing w:after="0"/>
              <w:rPr>
                <w:sz w:val="19"/>
                <w:szCs w:val="19"/>
                <w:color w:val="auto"/>
              </w:rPr>
            </w:pPr>
          </w:p>
        </w:tc>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r>
      <w:tr>
        <w:trPr>
          <w:trHeight w:val="248"/>
        </w:trPr>
        <w:tc>
          <w:tcPr>
            <w:tcW w:w="230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3,087.3</w:t>
            </w:r>
          </w:p>
        </w:tc>
      </w:tr>
      <w:tr>
        <w:trPr>
          <w:trHeight w:val="20"/>
        </w:trPr>
        <w:tc>
          <w:tcPr>
            <w:tcW w:w="230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 For the years ended December 31, 2025, 2024, and 2023, Cost of goods sold included inventory write-offs and reserves of $172.9 million, $126.3 million, and $102.3 million, respectively.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65"/>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05"/>
        </w:trPr>
        <w:tc>
          <w:tcPr>
            <w:tcW w:w="2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Borders>
              <w:bottom w:val="single" w:sz="8" w:color="auto"/>
            </w:tcBorders>
          </w:tcPr>
          <w:p>
            <w:pPr>
              <w:spacing w:after="0"/>
              <w:rPr>
                <w:sz w:val="24"/>
                <w:szCs w:val="24"/>
                <w:color w:val="auto"/>
              </w:rPr>
            </w:pPr>
          </w:p>
        </w:tc>
        <w:tc>
          <w:tcPr>
            <w:tcW w:w="2200" w:type="dxa"/>
            <w:vAlign w:val="bottom"/>
          </w:tcPr>
          <w:p>
            <w:pPr>
              <w:spacing w:after="0"/>
              <w:rPr>
                <w:sz w:val="24"/>
                <w:szCs w:val="24"/>
                <w:color w:val="auto"/>
              </w:rPr>
            </w:pPr>
          </w:p>
        </w:tc>
      </w:tr>
      <w:tr>
        <w:trPr>
          <w:trHeight w:val="223"/>
        </w:trPr>
        <w:tc>
          <w:tcPr>
            <w:tcW w:w="2200" w:type="dxa"/>
            <w:vAlign w:val="bottom"/>
          </w:tcPr>
          <w:p>
            <w:pPr>
              <w:spacing w:after="0"/>
              <w:rPr>
                <w:sz w:val="19"/>
                <w:szCs w:val="19"/>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200" w:type="dxa"/>
            <w:vAlign w:val="bottom"/>
          </w:tcPr>
          <w:p>
            <w:pPr>
              <w:spacing w:after="0"/>
              <w:rPr>
                <w:sz w:val="19"/>
                <w:szCs w:val="19"/>
                <w:color w:val="auto"/>
              </w:rPr>
            </w:pPr>
          </w:p>
        </w:tc>
      </w:tr>
      <w:tr>
        <w:trPr>
          <w:trHeight w:val="223"/>
        </w:trPr>
        <w:tc>
          <w:tcPr>
            <w:tcW w:w="220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3,105.9</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2,573.2</w:t>
            </w:r>
          </w:p>
        </w:tc>
        <w:tc>
          <w:tcPr>
            <w:tcW w:w="2200" w:type="dxa"/>
            <w:vAlign w:val="bottom"/>
          </w:tcPr>
          <w:p>
            <w:pPr>
              <w:spacing w:after="0"/>
              <w:rPr>
                <w:sz w:val="19"/>
                <w:szCs w:val="19"/>
                <w:color w:val="auto"/>
              </w:rPr>
            </w:pPr>
          </w:p>
        </w:tc>
      </w:tr>
      <w:tr>
        <w:trPr>
          <w:trHeight w:val="229"/>
        </w:trPr>
        <w:tc>
          <w:tcPr>
            <w:tcW w:w="220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200" w:type="dxa"/>
            <w:vAlign w:val="bottom"/>
          </w:tcPr>
          <w:p>
            <w:pPr>
              <w:spacing w:after="0"/>
              <w:rPr>
                <w:sz w:val="19"/>
                <w:szCs w:val="19"/>
                <w:color w:val="auto"/>
              </w:rPr>
            </w:pPr>
          </w:p>
        </w:tc>
      </w:tr>
      <w:tr>
        <w:trPr>
          <w:trHeight w:val="230"/>
        </w:trPr>
        <w:tc>
          <w:tcPr>
            <w:tcW w:w="220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w:t>
            </w:r>
          </w:p>
        </w:tc>
        <w:tc>
          <w:tcPr>
            <w:tcW w:w="2200" w:type="dxa"/>
            <w:vAlign w:val="bottom"/>
          </w:tcPr>
          <w:p>
            <w:pPr>
              <w:spacing w:after="0"/>
              <w:rPr>
                <w:sz w:val="19"/>
                <w:szCs w:val="19"/>
                <w:color w:val="auto"/>
              </w:rPr>
            </w:pPr>
          </w:p>
        </w:tc>
      </w:tr>
      <w:tr>
        <w:trPr>
          <w:trHeight w:val="230"/>
        </w:trPr>
        <w:tc>
          <w:tcPr>
            <w:tcW w:w="220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2200" w:type="dxa"/>
            <w:vAlign w:val="bottom"/>
          </w:tcPr>
          <w:p>
            <w:pPr>
              <w:spacing w:after="0"/>
              <w:rPr>
                <w:sz w:val="19"/>
                <w:szCs w:val="19"/>
                <w:color w:val="auto"/>
              </w:rPr>
            </w:pPr>
          </w:p>
        </w:tc>
      </w:tr>
      <w:tr>
        <w:trPr>
          <w:trHeight w:val="230"/>
        </w:trPr>
        <w:tc>
          <w:tcPr>
            <w:tcW w:w="220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office equipment, and other</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200" w:type="dxa"/>
            <w:vAlign w:val="bottom"/>
          </w:tcPr>
          <w:p>
            <w:pPr>
              <w:spacing w:after="0"/>
              <w:rPr>
                <w:sz w:val="19"/>
                <w:szCs w:val="19"/>
                <w:color w:val="auto"/>
              </w:rPr>
            </w:pPr>
          </w:p>
        </w:tc>
      </w:tr>
      <w:tr>
        <w:trPr>
          <w:trHeight w:val="229"/>
        </w:trPr>
        <w:tc>
          <w:tcPr>
            <w:tcW w:w="220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2200" w:type="dxa"/>
            <w:vAlign w:val="bottom"/>
          </w:tcPr>
          <w:p>
            <w:pPr>
              <w:spacing w:after="0"/>
              <w:rPr>
                <w:sz w:val="19"/>
                <w:szCs w:val="19"/>
                <w:color w:val="auto"/>
              </w:rPr>
            </w:pPr>
          </w:p>
        </w:tc>
      </w:tr>
      <w:tr>
        <w:trPr>
          <w:trHeight w:val="230"/>
        </w:trPr>
        <w:tc>
          <w:tcPr>
            <w:tcW w:w="220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1,890.2</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2200" w:type="dxa"/>
            <w:vAlign w:val="bottom"/>
          </w:tcPr>
          <w:p>
            <w:pPr>
              <w:spacing w:after="0"/>
              <w:rPr>
                <w:sz w:val="19"/>
                <w:szCs w:val="19"/>
                <w:color w:val="auto"/>
              </w:rPr>
            </w:pPr>
          </w:p>
        </w:tc>
      </w:tr>
      <w:tr>
        <w:trPr>
          <w:trHeight w:val="223"/>
        </w:trPr>
        <w:tc>
          <w:tcPr>
            <w:tcW w:w="22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7,734.7</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6,886.6</w:t>
            </w:r>
          </w:p>
        </w:tc>
        <w:tc>
          <w:tcPr>
            <w:tcW w:w="2200" w:type="dxa"/>
            <w:vAlign w:val="bottom"/>
          </w:tcPr>
          <w:p>
            <w:pPr>
              <w:spacing w:after="0"/>
              <w:rPr>
                <w:sz w:val="19"/>
                <w:szCs w:val="19"/>
                <w:color w:val="auto"/>
              </w:rPr>
            </w:pPr>
          </w:p>
        </w:tc>
      </w:tr>
      <w:tr>
        <w:trPr>
          <w:trHeight w:val="175"/>
        </w:trPr>
        <w:tc>
          <w:tcPr>
            <w:tcW w:w="2200" w:type="dxa"/>
            <w:vAlign w:val="bottom"/>
          </w:tcPr>
          <w:p>
            <w:pPr>
              <w:spacing w:after="0"/>
              <w:rPr>
                <w:sz w:val="15"/>
                <w:szCs w:val="15"/>
                <w:color w:val="auto"/>
              </w:rPr>
            </w:pPr>
          </w:p>
        </w:tc>
        <w:tc>
          <w:tcPr>
            <w:tcW w:w="3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Accumulated depreciation and</w:t>
            </w: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0" w:type="dxa"/>
            <w:vAlign w:val="bottom"/>
          </w:tcPr>
          <w:p>
            <w:pPr>
              <w:spacing w:after="0"/>
              <w:rPr>
                <w:sz w:val="15"/>
                <w:szCs w:val="15"/>
                <w:color w:val="auto"/>
              </w:rPr>
            </w:pPr>
          </w:p>
        </w:tc>
      </w:tr>
      <w:tr>
        <w:trPr>
          <w:trHeight w:val="243"/>
        </w:trPr>
        <w:tc>
          <w:tcPr>
            <w:tcW w:w="2200" w:type="dxa"/>
            <w:vAlign w:val="bottom"/>
          </w:tcPr>
          <w:p>
            <w:pPr>
              <w:spacing w:after="0"/>
              <w:rPr>
                <w:sz w:val="21"/>
                <w:szCs w:val="21"/>
                <w:color w:val="auto"/>
              </w:rPr>
            </w:pP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5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(2,614.3)</w:t>
            </w:r>
          </w:p>
        </w:tc>
        <w:tc>
          <w:tcPr>
            <w:tcW w:w="12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2200" w:type="dxa"/>
            <w:vAlign w:val="bottom"/>
          </w:tcPr>
          <w:p>
            <w:pPr>
              <w:spacing w:after="0"/>
              <w:rPr>
                <w:sz w:val="21"/>
                <w:szCs w:val="21"/>
                <w:color w:val="auto"/>
              </w:rPr>
            </w:pPr>
          </w:p>
        </w:tc>
      </w:tr>
      <w:tr>
        <w:trPr>
          <w:trHeight w:val="223"/>
        </w:trPr>
        <w:tc>
          <w:tcPr>
            <w:tcW w:w="22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5,120.4</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4,599.7</w:t>
            </w:r>
          </w:p>
        </w:tc>
        <w:tc>
          <w:tcPr>
            <w:tcW w:w="2200" w:type="dxa"/>
            <w:vAlign w:val="bottom"/>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884"/>
        </w:trPr>
        <w:tc>
          <w:tcPr>
            <w:tcW w:w="2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F-20</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plant, and equipment in the table above includes leased property under the Company's finance lease at its Tarrytown, New York corporate headquarters. See Note 11.</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on property, plant, and equipment was $364.8 million, $354.1 million, and $328.8 million for the years ended December 31, 2025, 2024, and 2023, respectively.</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$4.332 billion and $3.884 billion, respectively, of the Company's net property, plant, and equipment was located in the United States and $788.0 million and $715.9 million, respectively, was located outside the United States (primarily in Ireland).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160" w:type="dxa"/>
            <w:vAlign w:val="bottom"/>
          </w:tcPr>
          <w:p>
            <w:pPr>
              <w:spacing w:after="0"/>
              <w:rPr>
                <w:sz w:val="15"/>
                <w:szCs w:val="15"/>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5"/>
                <w:szCs w:val="15"/>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5"/>
                <w:szCs w:val="15"/>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184"/>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160" w:type="dxa"/>
            <w:vAlign w:val="bottom"/>
            <w:vMerge w:val="continue"/>
          </w:tcPr>
          <w:p>
            <w:pPr>
              <w:spacing w:after="0"/>
              <w:rPr>
                <w:sz w:val="19"/>
                <w:szCs w:val="19"/>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164"/>
        </w:trPr>
        <w:tc>
          <w:tcPr>
            <w:tcW w:w="216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Acquired product rights -</w:t>
            </w: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Libtayo</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13 years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8 years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4"/>
        </w:trPr>
        <w:tc>
          <w:tcPr>
            <w:tcW w:w="21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Acquired in-process</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research and</w:t>
            </w:r>
          </w:p>
        </w:tc>
        <w:tc>
          <w:tcPr>
            <w:tcW w:w="11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11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recorded additions to the Libtayo intangible asset related to contingent consideration due to Sanofi in connection with the acquisition of worldwide rights to Libtayo in 2022.</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on intangible assets was $178.8 million, $128.9 million, and $92.2 million for the years ended December 31, 2025, 2024, and 2023, respectively.</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assuming no changes in the gross carrying amount of intangible assets, amortization expense is estimated to be approximately $124 million for each of the years ending December 31, 2026 through December 31, 2030.</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intangible assets summarized in the table above, during the second quarter of 2025, the Company recorded an indefinite-lived intangible asset in connection with the purchase of a U.S. Food and Drug Administration ("FDA") Rare Pediatric Disease Priority Review Voucher ("PRV") from a third party for $155.0 million. During the fourth quarter of 2025, the Company made the decision to utilize the PRV for a regulatory submission, and as a result, the carrying amount was expensed to Research and development.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75" w:lineRule="exact"/>
        <w:rPr>
          <w:sz w:val="20"/>
          <w:szCs w:val="20"/>
          <w:color w:val="auto"/>
        </w:rPr>
      </w:pPr>
    </w:p>
    <w:tbl>
      <w:tblPr>
        <w:tblLayout w:type="fixed"/>
        <w:tblInd w:w="212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sales-related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tax-related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w:t>
            </w:r>
          </w:p>
        </w:tc>
      </w:tr>
      <w:tr>
        <w:trPr>
          <w:trHeight w:val="223"/>
        </w:trPr>
        <w:tc>
          <w:tcPr>
            <w:tcW w:w="37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2,527.1</w:t>
            </w:r>
          </w:p>
        </w:tc>
      </w:tr>
      <w:tr>
        <w:trPr>
          <w:trHeight w:val="21"/>
        </w:trPr>
        <w:tc>
          <w:tcPr>
            <w:tcW w:w="3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Senior Notes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Long-term debt, net of underwriting discounts and offering expenses (which are being amortized as additional interest expense over the period of issuance through maturity), consists of the following:</w:t>
      </w:r>
    </w:p>
    <w:p>
      <w:pPr>
        <w:spacing w:after="0" w:line="131" w:lineRule="exact"/>
        <w:rPr>
          <w:sz w:val="20"/>
          <w:szCs w:val="20"/>
          <w:color w:val="auto"/>
        </w:rPr>
      </w:pPr>
    </w:p>
    <w:tbl>
      <w:tblPr>
        <w:tblLayout w:type="fixed"/>
        <w:tblInd w:w="242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1.750% Senior Notes due September 2030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r>
      <w:tr>
        <w:trPr>
          <w:trHeight w:val="229"/>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2.800% Senior Notes due September 2050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741.1</w:t>
            </w:r>
          </w:p>
        </w:tc>
      </w:tr>
      <w:tr>
        <w:trPr>
          <w:trHeight w:val="248"/>
        </w:trPr>
        <w:tc>
          <w:tcPr>
            <w:tcW w:w="3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1,984.4</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each series of senior notes is payable semi-annually until the applicable maturity dates. Interest expense related to the debt was $44.4 million in each of the years ended December 31, 2025, 2024, and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Credit Facility</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party to an agreement with a syndicate of lenders (the "Credit Agreement") which provides for a $750.0 million senior unsecured five-year revolving credit facility (the "Credit Facility"). The Credit Agreement includes an option for the Company to elect to increase the commitments under the Credit Facility and/or to enter into one or more tranches of term loans in the aggregate principal amount of up to $500.0 million, subject to the consent of the lenders providing the additional commitments or term loans, as applicable, and certain other conditions. The Credit Agreement also provides a $50.0 million sublimit for letters of credit.</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Proceeds of the loans under the Credit Facility may be used to finance working capital needs, and for general corporate or other lawful purposes, of Regeneron and its subsidiaries. Regeneron Pharmaceuticals, Inc. has guaranteed all obligations under the Credit Facility. The Credit Agreement includes an option for the Company to elect to extend the maturity date of the Credit Facility beyond December 2027, subject to the consent of the extending lenders and certain other conditions.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borrowings outstanding under the Credit Facility as of December 31, 2025.</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contains operating covenants and a maximum total leverage ratio financial covenant. The Company was in compliance with all covenants of the Credit Agreement as of December 31,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conducts certain of its research, development, and administrative activities at leased facilities. The Company also leases vehicles and other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Tarrytown, New York Corporate Headquarters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leases laboratory and office facilities for its corporate headquarters in Tarrytown, New York (the "Facility") under the Third Amended and Restated Lease and Remedies Agreement (the "Lease") with BA Leasing BSC, LLC, an affiliate of Banc of America Leasing &amp; Capital, LLC ("BAL"), as lessor, and the Third Amended and Restated Participation Agreement (the "Participation Agreement") with Bank of America, N.A., as administrative agent, and a syndicate of lenders (collectively with BAL, the "Participants"), as rent assignees. The Lease, Participation Agreement, and certain related agreements provide for $720.0 million of lease financing (previously advanced by the Participants in March 2017 in connection with the acquisition by BAL of the Facility and the Company's lease of the Facility from BAL), which matures when the term of the Lease expires in March 2027, at which time all amounts outstanding thereunder will become payable in full. The Company has the option to further extend the maturity date of the Participation Agreement and the term of the Lease for an additional five-year period, subject to the consent of the Participants and certain other conditions. The Company also has the option to (a) purchase the Facility by paying an amount equal to the outstanding principal amount of the Participants' advances under the Participation Agreement, all accrued and unpaid yield thereon, and all other outstanding amounts under the Participation Agreement, Lease, and certain related documents or (b) sell the Facility to a third party on behalf of BAL.</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Lease, the Company pays all maintenance, insurance, taxes, and other costs arising out of the use of the Facility. The Company is also required to make monthly payments of basic rent to satisfy the yield payable to the Participants on their outstanding advances under the Participation Agreement. Such advances accrue yield at a variable rate per annum based on the one-month forward-looking Secured Overnight Financing Rate ("SOFR") term rate, plus a spread adjustment, plus an applicable margin that varies with the Company's debt rating and total leverage ratio.</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Lease is classified as a finance lease as the Company has the option to purchase the Facility under terms that make it reasonably certain to be exercised. The agreements governing the Lease financing contain financial and operating covenants. Such financial covenants and certain of the operating covenants are substantially similar to the covenants set forth in the Credit Agreement. The Company was in compliance with all such covenants as of December 31,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Lease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Consolidated Balance Sheet related to the Company's leases are included in the table below.</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12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Property, plant, and equipment, net</w:t>
            </w:r>
            <w:r>
              <w:rPr>
                <w:rFonts w:ascii="Times New Roman" w:cs="Times New Roman" w:eastAsia="Times New Roman" w:hAnsi="Times New Roman"/>
                <w:sz w:val="23"/>
                <w:szCs w:val="23"/>
                <w:color w:val="auto"/>
                <w:vertAlign w:val="superscript"/>
              </w:rPr>
              <w:t>(a)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w:t>
            </w:r>
          </w:p>
        </w:tc>
      </w:tr>
      <w:tr>
        <w:trPr>
          <w:trHeight w:val="22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noncurrent assets</w:t>
            </w:r>
            <w:r>
              <w:rPr>
                <w:rFonts w:ascii="Times New Roman" w:cs="Times New Roman" w:eastAsia="Times New Roman" w:hAnsi="Times New Roman"/>
                <w:sz w:val="23"/>
                <w:szCs w:val="23"/>
                <w:color w:val="auto"/>
                <w:vertAlign w:val="superscript"/>
              </w:rPr>
              <w:t>(b)</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23"/>
        </w:trPr>
        <w:tc>
          <w:tcPr>
            <w:tcW w:w="37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3740" w:type="dxa"/>
            <w:vAlign w:val="bottom"/>
            <w:shd w:val="clear" w:color="auto" w:fill="CCEEFF"/>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liabilities - noncurrent</w:t>
            </w: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29"/>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2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23"/>
        </w:trPr>
        <w:tc>
          <w:tcPr>
            <w:tcW w:w="37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954.4</w:t>
            </w:r>
          </w:p>
        </w:tc>
      </w:tr>
      <w:tr>
        <w:trPr>
          <w:trHeight w:val="21"/>
        </w:trPr>
        <w:tc>
          <w:tcPr>
            <w:tcW w:w="37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840" w:hanging="5"/>
        <w:spacing w:after="0" w:line="199" w:lineRule="auto"/>
        <w:tabs>
          <w:tab w:leader="none" w:pos="430"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Finance lease right-of-use assets were recorded net of accumulated amortization of $162.9 million and $148.4 million as of December 31, 2025 and 2024, respectively</w:t>
      </w:r>
    </w:p>
    <w:p>
      <w:pPr>
        <w:spacing w:after="0" w:line="46" w:lineRule="exact"/>
        <w:rPr>
          <w:rFonts w:ascii="Times New Roman" w:cs="Times New Roman" w:eastAsia="Times New Roman" w:hAnsi="Times New Roman"/>
          <w:sz w:val="23"/>
          <w:szCs w:val="23"/>
          <w:color w:val="auto"/>
          <w:vertAlign w:val="superscript"/>
        </w:rPr>
      </w:pPr>
    </w:p>
    <w:p>
      <w:pPr>
        <w:ind w:left="260" w:right="860" w:hanging="5"/>
        <w:spacing w:after="0" w:line="199" w:lineRule="auto"/>
        <w:tabs>
          <w:tab w:leader="none" w:pos="437"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Operating lease right-of-use assets were recorded net of accumulated amortization of $68.8 million and $78.4 million as of December 31, 2025 and 2024, respectively</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costs consist of the following:</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1"/>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19"/>
                <w:szCs w:val="19"/>
                <w:color w:val="auto"/>
              </w:rPr>
            </w:pPr>
          </w:p>
        </w:tc>
        <w:tc>
          <w:tcPr>
            <w:tcW w:w="1020" w:type="dxa"/>
            <w:vAlign w:val="bottom"/>
            <w:gridSpan w:val="5"/>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60" w:type="dxa"/>
            <w:vAlign w:val="bottom"/>
          </w:tcPr>
          <w:p>
            <w:pPr>
              <w:spacing w:after="0"/>
              <w:rPr>
                <w:sz w:val="19"/>
                <w:szCs w:val="19"/>
                <w:color w:val="auto"/>
              </w:rPr>
            </w:pP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5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costs</w:t>
            </w: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40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includes the following:</w:t>
            </w: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86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20" w:type="dxa"/>
            <w:vAlign w:val="bottom"/>
            <w:gridSpan w:val="10"/>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leases includes the following:</w:t>
      </w:r>
    </w:p>
    <w:p>
      <w:pPr>
        <w:spacing w:after="0" w:line="275"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r>
      <w:tr>
        <w:trPr>
          <w:trHeight w:val="22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56"/>
        </w:trPr>
        <w:tc>
          <w:tcPr>
            <w:tcW w:w="53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43"/>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(included within cash flows from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maturity analysis of the Company's lease liabilities as of December 31, 2025:</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Pr>
          <w:p>
            <w:pPr>
              <w:spacing w:after="0"/>
              <w:rPr>
                <w:sz w:val="20"/>
                <w:szCs w:val="20"/>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4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80" w:type="dxa"/>
            <w:vAlign w:val="bottom"/>
          </w:tcPr>
          <w:p>
            <w:pPr>
              <w:spacing w:after="0"/>
              <w:rPr>
                <w:sz w:val="20"/>
                <w:szCs w:val="20"/>
                <w:color w:val="auto"/>
              </w:rPr>
            </w:pPr>
          </w:p>
        </w:tc>
        <w:tc>
          <w:tcPr>
            <w:tcW w:w="16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w:t>
            </w:r>
          </w:p>
        </w:tc>
      </w:tr>
      <w:tr>
        <w:trPr>
          <w:trHeight w:val="23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2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23"/>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8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w:t>
            </w:r>
          </w:p>
        </w:tc>
      </w:tr>
      <w:tr>
        <w:trPr>
          <w:trHeight w:val="230"/>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48"/>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Restated Certificate of Incorporation, as amended, provides for the issuance of up to 40 million shares of Class A Stock, par value $0.001 per share, and 320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is authorized to issue up to 30 million shares of Preferred Stock, in series, with rights, privileges, and qualifications of each series determined by the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Share Repurchase Programs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authorized share repurchase programs, including a share repurchase program for up to $3.0 billion of the Company's Common Stock which was authorized in February 2025. The programs have no time limit and can be discontinued at any time.</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shares of the Company's Common Stock that the Company repurchased under its share repurchase programs and the cost of such shares, which were recorded as Treasury Stock.</w:t>
      </w:r>
    </w:p>
    <w:p>
      <w:pPr>
        <w:spacing w:after="0" w:line="117" w:lineRule="exact"/>
        <w:rPr>
          <w:sz w:val="20"/>
          <w:szCs w:val="20"/>
          <w:color w:val="auto"/>
        </w:rPr>
      </w:pPr>
    </w:p>
    <w:tbl>
      <w:tblPr>
        <w:tblLayout w:type="fixed"/>
        <w:tblInd w:w="212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1720"/>
        <w:spacing w:after="0" w:line="414" w:lineRule="auto"/>
        <w:rPr>
          <w:sz w:val="20"/>
          <w:szCs w:val="20"/>
          <w:color w:val="auto"/>
        </w:rPr>
      </w:pPr>
      <w:r>
        <w:rPr>
          <w:rFonts w:ascii="Times New Roman" w:cs="Times New Roman" w:eastAsia="Times New Roman" w:hAnsi="Times New Roman"/>
          <w:sz w:val="18"/>
          <w:szCs w:val="18"/>
          <w:color w:val="auto"/>
        </w:rPr>
        <w:t xml:space="preserve">As of December 31, 2025, $1.486 billion remained available for share repurchases under the Company's share repurchase programs. </w:t>
      </w:r>
      <w:r>
        <w:rPr>
          <w:rFonts w:ascii="Times New Roman" w:cs="Times New Roman" w:eastAsia="Times New Roman" w:hAnsi="Times New Roman"/>
          <w:sz w:val="18"/>
          <w:szCs w:val="18"/>
          <w:b w:val="1"/>
          <w:bCs w:val="1"/>
          <w:i w:val="1"/>
          <w:iCs w:val="1"/>
          <w:color w:val="auto"/>
        </w:rPr>
        <w:t>b. Dividends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the Company's board of directors declared quarterly cash dividends of $0.88 per share on its Common Stock and Class A Stock. Each quarterly dividend was paid to the Company's shareholders in the quarter in which the dividend was declared.</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in January 2026, the Company's board of directors declared a cash dividend of $0.94 per share on its Common Stock and Class A Stock. The dividend will be payable to the Company's shareholders in March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Long-Term Incentive Plans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used long-term incentive plans for the purpose of granting equity awards to employees of the Company, including officers, and non-employee members of the Company's board of directors (collectively, "Participants"). The Participants may receive awards as determined by a committee of independent members of the Company's board of directors or, to the extent authorized by such committee with respect to certain Participants, a duly authorized employee (collectively, the "Committee"). The incentive plan currently used by the Company is the Second Amended and Restated Regeneron Pharmaceuticals, Inc. 2014 Long-Term Incentive Plan (the "Second Amended and Restated 2014 Incentive Plan"). It was most recently adopted and approved by the Company's shareholders in 2020. As of the most recent shareholder approval date, the Second Amended and Restated 2014 Incentive Plan provided for the issuance of up to 22.3 million shares of Common Stock in respect of awards. In addition, upon expiration, forfeiture, surrender, exchange, cancellation, or termination of any award previously granted under the Amended and Restated Regeneron Pharmaceuticals, Inc. 2014 Long-Term Incentive Plan (the "Amended and Restated 2014 Incentive Plan"), the Regeneron Pharmaceuticals, Inc. 2014 Long-Term Incentive Plan (the "Original 2014 Incentive Plan"), or the Second Amended and Restated 2000 Long-Term Incentive Plan (the "2000 Incentive Plan"), any shares subject to such award are added to the pool of shares available for grant under the Second Amended and Restated 2014 Incentive Plan.</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awards that may be made under the Second Amended and Restated 2014 Incentive Plan include: (a) non-qualified stock options and incentive stock options, (b) restricted stock awards, (c) shares of phantom stock (also referred to as restricted stock units, which may be time- or performance-based), and</w:t>
      </w:r>
    </w:p>
    <w:p>
      <w:pPr>
        <w:ind w:firstLine="8"/>
        <w:spacing w:after="0" w:line="260" w:lineRule="auto"/>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awards. Any award granted may (but is not required to) be subject to vesting based on the attainment by the Company of performance goals pre-established by the Committee.</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 option awards grant Participants the right to purchase shares of Common Stock at prices determined by the Committee, with exercise prices that are equal to or greater than the average of the high and low market prices of the Company's Common Stock on the date of grant (the "Market Price"). Options vest over a period of time determined by the Committee, generally on a pro rata basis over a four-year period. The Committee also determines the expiration date of each option. The maximum term of options that have been awarded under the 2000 Incentive Plan, the Original 2014 Incentive Plan, the Amended and Restated 2014 Incentive Plan, and the Second Amended and Restated 2014 Incentive Plan (collectively, the "Incentive Plans") is ten years.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 awards grant Participants shares of restricted Common Stock. Such shares are nontransferable for a period determined by the Committee ("vesting period"). Should employment terminate, as specified in the Incentive Plans, except as determined by the Committee in its discretion and subject to the applicable Incentive Plan documents, the ownership of any unvested restricted stock awards will be transferred to the Company.</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Phantom stock awards provide the Participant the right to receive Common Stock or an amount of cash based on the value of the Common Stock at a future date. The award is subject to such restrictions, if any, as the Committee may impose at the date of grant or thereafter, including a specified period of employment or the achievement of performance goals. Time-based restricted stock units and performance-based restricted stock units are each a type of phantom stock award permitted under the Second Amended and Restated 2014 Incentive Plan.</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Incentive Plans contain provisions that allow for the Committee to provide for the immediate vesting of awards upon a change in control of the Company, as defined in the Incentive Plans.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were 12.4 million shares available for future grants under the Second Amended and Restated 2014 Incentive Plan.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Stock Options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activity related to stock option awards under the Company's Incentive Plans during 2025.</w:t>
      </w:r>
    </w:p>
    <w:p>
      <w:pPr>
        <w:spacing w:after="0" w:line="171"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3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5"/>
                <w:szCs w:val="15"/>
                <w:color w:val="auto"/>
              </w:rPr>
            </w:pPr>
          </w:p>
        </w:tc>
        <w:tc>
          <w:tcPr>
            <w:tcW w:w="14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3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80" w:type="dxa"/>
            <w:vAlign w:val="bottom"/>
          </w:tcPr>
          <w:p>
            <w:pPr>
              <w:spacing w:after="0"/>
              <w:rPr>
                <w:sz w:val="19"/>
                <w:szCs w:val="19"/>
                <w:color w:val="auto"/>
              </w:rPr>
            </w:pP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588.47</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2025:  </w:t>
            </w: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691.40</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519.17</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5.7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Vested and expected to vest as of December 31,</w:t>
            </w: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592.93</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5.7 years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2,178.9</w:t>
            </w: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536.47</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4.7 years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satisfies stock option exercises with newly issued shares of the Company's Common Stock. The total intrinsic value of stock options exercised during 2025, 2024, and 2023 was $193.6 million, $1.682 billion, and $1.096 billion, respectively. The intrinsic value represents the amount by which the market price of the underlying stock exceeds the exercise price of an option.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weighted-average exercise prices and weighted-average grant-date fair values of options granted during the years ended December 31, 2025, 2024, and 2023.</w:t>
      </w:r>
    </w:p>
    <w:p>
      <w:pPr>
        <w:spacing w:after="0" w:line="108"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368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60" w:type="dxa"/>
            <w:vAlign w:val="bottom"/>
          </w:tcPr>
          <w:p>
            <w:pPr>
              <w:spacing w:after="0"/>
              <w:rPr>
                <w:sz w:val="18"/>
                <w:szCs w:val="18"/>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0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3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3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Granted</w:t>
            </w:r>
          </w:p>
        </w:tc>
        <w:tc>
          <w:tcPr>
            <w:tcW w:w="160" w:type="dxa"/>
            <w:vAlign w:val="bottom"/>
          </w:tcPr>
          <w:p>
            <w:pPr>
              <w:spacing w:after="0"/>
              <w:rPr>
                <w:sz w:val="15"/>
                <w:szCs w:val="15"/>
                <w:color w:val="auto"/>
              </w:rPr>
            </w:pPr>
          </w:p>
        </w:tc>
        <w:tc>
          <w:tcPr>
            <w:tcW w:w="114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1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Average Fair</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40" w:type="dxa"/>
            <w:vAlign w:val="bottom"/>
          </w:tcPr>
          <w:p>
            <w:pPr>
              <w:spacing w:after="0"/>
              <w:rPr>
                <w:sz w:val="21"/>
                <w:szCs w:val="21"/>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shd w:val="clear" w:color="auto" w:fill="CCEEFF"/>
          </w:tcPr>
          <w:p>
            <w:pPr>
              <w:jc w:val="right"/>
              <w:ind w:right="3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Exercise price equal to Market Price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206.58</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jc w:val="right"/>
              <w:ind w:right="3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Exercise price equal to Market Price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235.32</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jc w:val="right"/>
              <w:ind w:right="3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Exercise price equal to Market Price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264.37</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recognized $351.9 million, $376.0 million, and $357.1 million, respectively, of stock-based compensation expense related to stock option awards (net of amounts capitalized as inventory, which were not material for each of the three years). As of December 31, 2025, there was $385.8 million of stock-based compensation cost related to unvested stock options, net of estimated forfeitures, which had not yet been recognized. The Company expects to recognize this compensation cost over a weighted-average period of 1.7 years.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Assumptions: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 average values of the assumptions used in computing the fair value of option grants during 2025, 2024, and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3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60" w:type="dxa"/>
            <w:vAlign w:val="bottom"/>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260" w:type="dxa"/>
            <w:vAlign w:val="bottom"/>
          </w:tcPr>
          <w:p>
            <w:pPr>
              <w:spacing w:after="0"/>
              <w:rPr>
                <w:sz w:val="19"/>
                <w:szCs w:val="19"/>
                <w:color w:val="auto"/>
              </w:rPr>
            </w:pPr>
          </w:p>
        </w:tc>
      </w:tr>
      <w:tr>
        <w:trPr>
          <w:trHeight w:val="229"/>
        </w:trPr>
        <w:tc>
          <w:tcPr>
            <w:tcW w:w="228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Expected lives from grant date</w:t>
            </w:r>
          </w:p>
        </w:tc>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5.3 years</w:t>
            </w:r>
          </w:p>
        </w:tc>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5.0 years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years</w:t>
            </w:r>
          </w:p>
        </w:tc>
        <w:tc>
          <w:tcPr>
            <w:tcW w:w="2260" w:type="dxa"/>
            <w:vAlign w:val="bottom"/>
          </w:tcPr>
          <w:p>
            <w:pPr>
              <w:spacing w:after="0"/>
              <w:rPr>
                <w:sz w:val="19"/>
                <w:szCs w:val="19"/>
                <w:color w:val="auto"/>
              </w:rPr>
            </w:pPr>
          </w:p>
        </w:tc>
      </w:tr>
      <w:tr>
        <w:trPr>
          <w:trHeight w:val="230"/>
        </w:trPr>
        <w:tc>
          <w:tcPr>
            <w:tcW w:w="228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260" w:type="dxa"/>
            <w:vAlign w:val="bottom"/>
          </w:tcPr>
          <w:p>
            <w:pPr>
              <w:spacing w:after="0"/>
              <w:rPr>
                <w:sz w:val="19"/>
                <w:szCs w:val="19"/>
                <w:color w:val="auto"/>
              </w:rPr>
            </w:pPr>
          </w:p>
        </w:tc>
      </w:tr>
      <w:tr>
        <w:trPr>
          <w:trHeight w:val="234"/>
        </w:trPr>
        <w:tc>
          <w:tcPr>
            <w:tcW w:w="228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2260" w:type="dxa"/>
            <w:vAlign w:val="bottom"/>
          </w:tcPr>
          <w:p>
            <w:pPr>
              <w:spacing w:after="0"/>
              <w:rPr>
                <w:sz w:val="20"/>
                <w:szCs w:val="20"/>
                <w:color w:val="auto"/>
              </w:rPr>
            </w:pPr>
          </w:p>
        </w:tc>
      </w:tr>
      <w:tr>
        <w:trPr>
          <w:trHeight w:val="900"/>
        </w:trPr>
        <w:tc>
          <w:tcPr>
            <w:tcW w:w="2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F-26</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228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option grants. Expected dividend yield is based on the Company's historical practice and expectation of future dividend payments. During 2024 and 2023, the expected dividend yield was zero as the Company had not paid dividends nor did it expect to at the time of option grants. The risk-free interest rates are based on quoted U.S. Treasury rates for securities with maturities approximating the options' expected lives.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Restricted Stock Awards and Time-Based Restricted Stock Units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Company's activity related to restricted stock awards and time-based restricted stock units (excluding performance-based restricted stock units, which are detailed further below) (collectively, "restricted stock") during 2025 is summarized below.</w:t>
      </w:r>
    </w:p>
    <w:p>
      <w:pPr>
        <w:spacing w:after="0" w:line="194"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184"/>
        </w:trPr>
        <w:tc>
          <w:tcPr>
            <w:tcW w:w="3480" w:type="dxa"/>
            <w:vAlign w:val="bottom"/>
          </w:tcPr>
          <w:p>
            <w:pPr>
              <w:spacing w:after="0"/>
              <w:rPr>
                <w:sz w:val="16"/>
                <w:szCs w:val="16"/>
                <w:color w:val="auto"/>
              </w:rPr>
            </w:pPr>
          </w:p>
        </w:tc>
        <w:tc>
          <w:tcPr>
            <w:tcW w:w="15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Shares/Units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7"/>
              </w:rPr>
              <w:t>Grant</w:t>
            </w:r>
          </w:p>
        </w:tc>
      </w:tr>
      <w:tr>
        <w:trPr>
          <w:trHeight w:val="229"/>
        </w:trPr>
        <w:tc>
          <w:tcPr>
            <w:tcW w:w="34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54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760.35</w:t>
            </w: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2025:  </w:t>
            </w:r>
            <w:r>
              <w:rPr>
                <w:rFonts w:ascii="Times New Roman" w:cs="Times New Roman" w:eastAsia="Times New Roman" w:hAnsi="Times New Roman"/>
                <w:sz w:val="18"/>
                <w:szCs w:val="18"/>
                <w:color w:val="auto"/>
              </w:rPr>
              <w:t>Granted</w:t>
            </w:r>
          </w:p>
        </w:tc>
        <w:tc>
          <w:tcPr>
            <w:tcW w:w="154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718.94</w:t>
            </w:r>
          </w:p>
        </w:tc>
      </w:tr>
      <w:tr>
        <w:trPr>
          <w:trHeight w:val="230"/>
        </w:trPr>
        <w:tc>
          <w:tcPr>
            <w:tcW w:w="3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8"/>
              </w:rPr>
              <w:t>(0.7)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734.49</w:t>
            </w:r>
          </w:p>
        </w:tc>
      </w:tr>
      <w:tr>
        <w:trPr>
          <w:trHeight w:val="229"/>
        </w:trPr>
        <w:tc>
          <w:tcPr>
            <w:tcW w:w="34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8"/>
              </w:rPr>
              <w:t>(0.1)</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753.77</w:t>
            </w:r>
          </w:p>
        </w:tc>
      </w:tr>
      <w:tr>
        <w:trPr>
          <w:trHeight w:val="248"/>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54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748.08</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recognized $589.8 million, $554.7 million, and $475.9 million, respectively, of stock-based compensation expense related to restricted stock (net of amounts capitalized as inventory, which were not material for each of the three years). As of December 31, 2025, there was $1.493 billion of stock-based compensation cost related to unvested restricted stock which had not yet been recognized. The Company expects to recognize this compensation cost over a weighted-average period of 2.3 years.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Performance-based Restricted Stock Units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Performance-based restricted stock units ("PSUs") have been granted to certain members of senior management of the Company. PSUs may be earned based upon the attainment of pre-established performance criteria, which may include a market and/or performance condition. Depending on the terms of the PSUs and the outcome of the pre-established performance criteria, a recipient may ultimately earn the target number of PSUs granted or a specified multiple thereof at the end of a 4–6 year vesting period, as applicable.</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table below summarizes activity related to PSUs during 2025. The number of unvested PSUs represents the maximum number of units that are eligible to be earned.</w:t>
      </w:r>
    </w:p>
    <w:tbl>
      <w:tblPr>
        <w:tblLayout w:type="fixed"/>
        <w:tblInd w:w="226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15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6"/>
                <w:szCs w:val="16"/>
                <w:color w:val="auto"/>
              </w:rPr>
            </w:pPr>
          </w:p>
        </w:tc>
        <w:tc>
          <w:tcPr>
            <w:tcW w:w="1580" w:type="dxa"/>
            <w:vAlign w:val="bottom"/>
            <w:gridSpan w:val="2"/>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180"/>
        </w:trPr>
        <w:tc>
          <w:tcPr>
            <w:tcW w:w="3480" w:type="dxa"/>
            <w:vAlign w:val="bottom"/>
          </w:tcPr>
          <w:p>
            <w:pPr>
              <w:spacing w:after="0"/>
              <w:rPr>
                <w:sz w:val="15"/>
                <w:szCs w:val="15"/>
                <w:color w:val="auto"/>
              </w:rPr>
            </w:pPr>
          </w:p>
        </w:tc>
        <w:tc>
          <w:tcPr>
            <w:tcW w:w="15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Shares/Units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7"/>
              </w:rPr>
              <w:t>Grant</w:t>
            </w:r>
          </w:p>
        </w:tc>
      </w:tr>
      <w:tr>
        <w:trPr>
          <w:trHeight w:val="238"/>
        </w:trPr>
        <w:tc>
          <w:tcPr>
            <w:tcW w:w="348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54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247.91</w:t>
            </w:r>
          </w:p>
        </w:tc>
      </w:tr>
      <w:tr>
        <w:trPr>
          <w:trHeight w:val="23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2025:  </w:t>
            </w:r>
            <w:r>
              <w:rPr>
                <w:rFonts w:ascii="Times New Roman" w:cs="Times New Roman" w:eastAsia="Times New Roman" w:hAnsi="Times New Roman"/>
                <w:sz w:val="18"/>
                <w:szCs w:val="18"/>
                <w:color w:val="auto"/>
              </w:rPr>
              <w:t>Vested</w:t>
            </w:r>
          </w:p>
        </w:tc>
        <w:tc>
          <w:tcPr>
            <w:tcW w:w="154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8"/>
              </w:rPr>
              <w:t>(1.2)</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209.59</w:t>
            </w:r>
          </w:p>
        </w:tc>
      </w:tr>
      <w:tr>
        <w:trPr>
          <w:trHeight w:val="248"/>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54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485.61</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each of the years ended December 31, 2025, 2024, and 2023 the Company recognized $52.0 million of stock-based compensation expense related to PSUs. As of December 31, 2025, there was no stock-based compensation cost expected to be recognized related to unvested PSUs.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Savings Plans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the Regeneron Pharmaceuticals, Inc. 401(k) Savings Plan, as amended and restated (the "Savings Plan"). The terms of the Savings Plan allow U.S. employees (as defined by the Savings Plan) to contribute to the Savings Plan a percentage of their compensation. In addition, the Company may make discretionary contributions, as defined, to the accounts of participants under the Savings Plan. The Company also maintains additional employee savings plans outside the United States, which cover eligible employees.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recognized by the Company related to contributions to such plans were $95.7 million, $90.2 million, and $84.7 million for the years ended December 31, 2025, 2024, and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U.S. federal, state, and foreign income taxes. Components of income before income taxes consist of the following:</w:t>
      </w:r>
    </w:p>
    <w:p>
      <w:pPr>
        <w:spacing w:after="0" w:line="289" w:lineRule="exact"/>
        <w:rPr>
          <w:sz w:val="20"/>
          <w:szCs w:val="20"/>
          <w:color w:val="auto"/>
        </w:rPr>
      </w:pPr>
    </w:p>
    <w:tbl>
      <w:tblPr>
        <w:tblLayout w:type="fixed"/>
        <w:tblInd w:w="258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r>
      <w:tr>
        <w:trPr>
          <w:trHeight w:val="229"/>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4,561.6</w:t>
            </w:r>
          </w:p>
        </w:tc>
      </w:tr>
      <w:tr>
        <w:trPr>
          <w:trHeight w:val="248"/>
        </w:trPr>
        <w:tc>
          <w:tcPr>
            <w:tcW w:w="1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4,199.3</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income tax expense consist of the following:</w:t>
      </w:r>
    </w:p>
    <w:p>
      <w:pPr>
        <w:spacing w:after="0" w:line="275"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r>
      <w:tr>
        <w:trPr>
          <w:trHeight w:val="230"/>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4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w:t>
            </w:r>
          </w:p>
        </w:tc>
      </w:tr>
      <w:tr>
        <w:trPr>
          <w:trHeight w:val="20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r>
      <w:tr>
        <w:trPr>
          <w:trHeight w:val="230"/>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(837.8)</w:t>
            </w:r>
          </w:p>
        </w:tc>
      </w:tr>
      <w:tr>
        <w:trPr>
          <w:trHeight w:val="248"/>
        </w:trPr>
        <w:tc>
          <w:tcPr>
            <w:tcW w:w="4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income taxes, net of refunds received, by jurisdiction for the year ended December 31, 2025 is as follows:</w:t>
      </w:r>
    </w:p>
    <w:p>
      <w:pPr>
        <w:spacing w:after="0" w:line="181" w:lineRule="exact"/>
        <w:rPr>
          <w:sz w:val="20"/>
          <w:szCs w:val="20"/>
          <w:color w:val="auto"/>
        </w:rPr>
      </w:pPr>
    </w:p>
    <w:tbl>
      <w:tblPr>
        <w:tblLayout w:type="fixed"/>
        <w:tblInd w:w="3840" w:type="dxa"/>
        <w:tblCellMar>
          <w:top w:w="0" w:type="dxa"/>
          <w:left w:w="0" w:type="dxa"/>
          <w:bottom w:w="0" w:type="dxa"/>
          <w:right w:w="0" w:type="dxa"/>
        </w:tblCellMar>
      </w:tblPr>
      <w:tr>
        <w:trPr>
          <w:trHeight w:val="238"/>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Ireland</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w:t>
            </w:r>
          </w:p>
        </w:tc>
      </w:tr>
      <w:tr>
        <w:trPr>
          <w:trHeight w:val="230"/>
        </w:trPr>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17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1,253.0</w:t>
            </w:r>
          </w:p>
        </w:tc>
      </w:tr>
      <w:tr>
        <w:trPr>
          <w:trHeight w:val="20"/>
        </w:trPr>
        <w:tc>
          <w:tcPr>
            <w:tcW w:w="1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Cash paid for income taxes, net of refunds received, were $743.0 million and $870.3 million for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4, 2025, bill H.R. 1, commonly referred to as the "One Big Beautiful Bill Act" or "OBBBA," was signed into law, with certain provisions effective in 2025 and others in 2026. The OBBBA significantly revises U.S. corporate income tax laws by, among other things, restoring the option for immediate expense recognition for U.S.-based research and development expenditures and making permanent the ability to claim first-year bonus depreciation on qualified property. The OBBBA also modifies U.S. taxation on foreign earnings by, among other things, changing the tax rates for Net CFC Tested Income (formerly known as global intangible low-taxed income ("GILTI")) and foreign-derived intangible income (now known as foreign-derived deduction eligible income), modifying the allocation of expenses in calculating foreign tax credits, as well as changing foreign tax credit limitations. As a result of the OBBBA being signed into law, the Company recognized a charge of $44.5 million in 2025 related to the re-measurement of the Company's U.S. net deferred tax assets.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federal statutory tax rate to the Company's effective tax rate for the year ended December 31, 2025 is as follows:</w:t>
      </w:r>
    </w:p>
    <w:p>
      <w:pPr>
        <w:spacing w:after="0" w:line="194"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spacing w:after="0"/>
              <w:rPr>
                <w:sz w:val="20"/>
                <w:szCs w:val="20"/>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percent)</w:t>
            </w:r>
          </w:p>
        </w:tc>
        <w:tc>
          <w:tcPr>
            <w:tcW w:w="240" w:type="dxa"/>
            <w:vAlign w:val="bottom"/>
          </w:tcPr>
          <w:p>
            <w:pPr>
              <w:spacing w:after="0"/>
              <w:rPr>
                <w:sz w:val="19"/>
                <w:szCs w:val="19"/>
                <w:color w:val="auto"/>
              </w:rPr>
            </w:pPr>
          </w:p>
        </w:tc>
        <w:tc>
          <w:tcPr>
            <w:tcW w:w="15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Ireland:</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Statutory tax rate difference between Ireland and United States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Domestic top-up tax</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and orphan drug tax credits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Foreign-derived deduction eligible income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CFC tested income ("NCTI"), net of foreign tax credit ("FTC")</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Subpart F income, net of FTC</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Changes in unrecognized tax benefits</w:t>
            </w:r>
            <w:r>
              <w:rPr>
                <w:rFonts w:ascii="Times New Roman" w:cs="Times New Roman" w:eastAsia="Times New Roman" w:hAnsi="Times New Roman"/>
                <w:sz w:val="23"/>
                <w:szCs w:val="23"/>
                <w:color w:val="auto"/>
                <w:vertAlign w:val="superscript"/>
              </w:rPr>
              <w:t>(a)</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0"/>
        </w:trPr>
        <w:tc>
          <w:tcPr>
            <w:tcW w:w="6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1660" w:hanging="163"/>
        <w:spacing w:after="0"/>
        <w:tabs>
          <w:tab w:leader="none" w:pos="166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Changes in unrecognized tax benefits for all jurisdictions are aggregated within this category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federal statutory tax rate to the Company's effective tax rate for the years ended December 31, 2024 and 2023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00" w:type="dxa"/>
            <w:vAlign w:val="bottom"/>
          </w:tcPr>
          <w:p>
            <w:pPr>
              <w:spacing w:after="0"/>
              <w:rPr>
                <w:sz w:val="20"/>
                <w:szCs w:val="20"/>
                <w:color w:val="auto"/>
              </w:rPr>
            </w:pPr>
          </w:p>
        </w:tc>
      </w:tr>
      <w:tr>
        <w:trPr>
          <w:trHeight w:val="223"/>
        </w:trPr>
        <w:tc>
          <w:tcPr>
            <w:tcW w:w="2140" w:type="dxa"/>
            <w:vAlign w:val="bottom"/>
          </w:tcPr>
          <w:p>
            <w:pPr>
              <w:spacing w:after="0"/>
              <w:rPr>
                <w:sz w:val="19"/>
                <w:szCs w:val="19"/>
                <w:color w:val="auto"/>
              </w:rPr>
            </w:pPr>
          </w:p>
        </w:tc>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9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21.0 %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900" w:type="dxa"/>
            <w:vAlign w:val="bottom"/>
          </w:tcPr>
          <w:p>
            <w:pPr>
              <w:spacing w:after="0"/>
              <w:rPr>
                <w:sz w:val="19"/>
                <w:szCs w:val="19"/>
                <w:color w:val="auto"/>
              </w:rPr>
            </w:pPr>
          </w:p>
        </w:tc>
      </w:tr>
      <w:tr>
        <w:trPr>
          <w:trHeight w:val="230"/>
        </w:trPr>
        <w:tc>
          <w:tcPr>
            <w:tcW w:w="2140" w:type="dxa"/>
            <w:vAlign w:val="bottom"/>
          </w:tcPr>
          <w:p>
            <w:pPr>
              <w:spacing w:after="0"/>
              <w:rPr>
                <w:sz w:val="19"/>
                <w:szCs w:val="19"/>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(4.9)</w:t>
            </w:r>
          </w:p>
        </w:tc>
        <w:tc>
          <w:tcPr>
            <w:tcW w:w="120" w:type="dxa"/>
            <w:vAlign w:val="bottom"/>
          </w:tcPr>
          <w:p>
            <w:pPr>
              <w:spacing w:after="0"/>
              <w:rPr>
                <w:sz w:val="19"/>
                <w:szCs w:val="19"/>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w:t>
            </w:r>
          </w:p>
        </w:tc>
        <w:tc>
          <w:tcPr>
            <w:tcW w:w="1900" w:type="dxa"/>
            <w:vAlign w:val="bottom"/>
          </w:tcPr>
          <w:p>
            <w:pPr>
              <w:spacing w:after="0"/>
              <w:rPr>
                <w:sz w:val="19"/>
                <w:szCs w:val="19"/>
                <w:color w:val="auto"/>
              </w:rPr>
            </w:pPr>
          </w:p>
        </w:tc>
      </w:tr>
      <w:tr>
        <w:trPr>
          <w:trHeight w:val="229"/>
        </w:trPr>
        <w:tc>
          <w:tcPr>
            <w:tcW w:w="2140" w:type="dxa"/>
            <w:vAlign w:val="bottom"/>
          </w:tcPr>
          <w:p>
            <w:pPr>
              <w:spacing w:after="0"/>
              <w:rPr>
                <w:sz w:val="19"/>
                <w:szCs w:val="19"/>
                <w:color w:val="auto"/>
              </w:rPr>
            </w:pPr>
          </w:p>
        </w:tc>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Taxation of non-U.S. operations</w:t>
            </w: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8"/>
              </w:rPr>
              <w:t>(4.0)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1900" w:type="dxa"/>
            <w:vAlign w:val="bottom"/>
          </w:tcPr>
          <w:p>
            <w:pPr>
              <w:spacing w:after="0"/>
              <w:rPr>
                <w:sz w:val="19"/>
                <w:szCs w:val="19"/>
                <w:color w:val="auto"/>
              </w:rPr>
            </w:pPr>
          </w:p>
        </w:tc>
      </w:tr>
      <w:tr>
        <w:trPr>
          <w:trHeight w:val="230"/>
        </w:trPr>
        <w:tc>
          <w:tcPr>
            <w:tcW w:w="2140" w:type="dxa"/>
            <w:vAlign w:val="bottom"/>
          </w:tcPr>
          <w:p>
            <w:pPr>
              <w:spacing w:after="0"/>
              <w:rPr>
                <w:sz w:val="19"/>
                <w:szCs w:val="19"/>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(3.5)</w:t>
            </w:r>
          </w:p>
        </w:tc>
        <w:tc>
          <w:tcPr>
            <w:tcW w:w="120" w:type="dxa"/>
            <w:vAlign w:val="bottom"/>
          </w:tcPr>
          <w:p>
            <w:pPr>
              <w:spacing w:after="0"/>
              <w:rPr>
                <w:sz w:val="19"/>
                <w:szCs w:val="19"/>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1900" w:type="dxa"/>
            <w:vAlign w:val="bottom"/>
          </w:tcPr>
          <w:p>
            <w:pPr>
              <w:spacing w:after="0"/>
              <w:rPr>
                <w:sz w:val="19"/>
                <w:szCs w:val="19"/>
                <w:color w:val="auto"/>
              </w:rPr>
            </w:pPr>
          </w:p>
        </w:tc>
      </w:tr>
      <w:tr>
        <w:trPr>
          <w:trHeight w:val="230"/>
        </w:trPr>
        <w:tc>
          <w:tcPr>
            <w:tcW w:w="2140" w:type="dxa"/>
            <w:vAlign w:val="bottom"/>
          </w:tcPr>
          <w:p>
            <w:pPr>
              <w:spacing w:after="0"/>
              <w:rPr>
                <w:sz w:val="19"/>
                <w:szCs w:val="19"/>
                <w:color w:val="auto"/>
              </w:rPr>
            </w:pPr>
          </w:p>
        </w:tc>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Foreign-derived deduction eligible income</w:t>
            </w: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8"/>
              </w:rPr>
              <w:t>(0.8)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900" w:type="dxa"/>
            <w:vAlign w:val="bottom"/>
          </w:tcPr>
          <w:p>
            <w:pPr>
              <w:spacing w:after="0"/>
              <w:rPr>
                <w:sz w:val="19"/>
                <w:szCs w:val="19"/>
                <w:color w:val="auto"/>
              </w:rPr>
            </w:pPr>
          </w:p>
        </w:tc>
      </w:tr>
      <w:tr>
        <w:trPr>
          <w:trHeight w:val="230"/>
        </w:trPr>
        <w:tc>
          <w:tcPr>
            <w:tcW w:w="2140" w:type="dxa"/>
            <w:vAlign w:val="bottom"/>
          </w:tcPr>
          <w:p>
            <w:pPr>
              <w:spacing w:after="0"/>
              <w:rPr>
                <w:sz w:val="19"/>
                <w:szCs w:val="19"/>
                <w:color w:val="auto"/>
              </w:rPr>
            </w:pPr>
          </w:p>
        </w:tc>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900" w:type="dxa"/>
            <w:vAlign w:val="bottom"/>
          </w:tcPr>
          <w:p>
            <w:pPr>
              <w:spacing w:after="0"/>
              <w:rPr>
                <w:sz w:val="19"/>
                <w:szCs w:val="19"/>
                <w:color w:val="auto"/>
              </w:rPr>
            </w:pPr>
          </w:p>
        </w:tc>
      </w:tr>
      <w:tr>
        <w:trPr>
          <w:trHeight w:val="243"/>
        </w:trPr>
        <w:tc>
          <w:tcPr>
            <w:tcW w:w="2140" w:type="dxa"/>
            <w:vAlign w:val="bottom"/>
          </w:tcPr>
          <w:p>
            <w:pPr>
              <w:spacing w:after="0"/>
              <w:rPr>
                <w:sz w:val="21"/>
                <w:szCs w:val="21"/>
                <w:color w:val="auto"/>
              </w:rPr>
            </w:pPr>
          </w:p>
        </w:tc>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900" w:type="dxa"/>
            <w:vAlign w:val="bottom"/>
          </w:tcPr>
          <w:p>
            <w:pPr>
              <w:spacing w:after="0"/>
              <w:rPr>
                <w:sz w:val="21"/>
                <w:szCs w:val="21"/>
                <w:color w:val="auto"/>
              </w:rPr>
            </w:pPr>
          </w:p>
        </w:tc>
      </w:tr>
      <w:tr>
        <w:trPr>
          <w:trHeight w:val="20"/>
        </w:trPr>
        <w:tc>
          <w:tcPr>
            <w:tcW w:w="214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878"/>
        </w:trPr>
        <w:tc>
          <w:tcPr>
            <w:tcW w:w="2140" w:type="dxa"/>
            <w:vAlign w:val="bottom"/>
          </w:tcPr>
          <w:p>
            <w:pPr>
              <w:spacing w:after="0"/>
              <w:rPr>
                <w:sz w:val="24"/>
                <w:szCs w:val="24"/>
                <w:color w:val="auto"/>
              </w:rPr>
            </w:pPr>
          </w:p>
        </w:tc>
        <w:tc>
          <w:tcPr>
            <w:tcW w:w="5100" w:type="dxa"/>
            <w:vAlign w:val="bottom"/>
            <w:gridSpan w:val="2"/>
          </w:tcPr>
          <w:p>
            <w:pPr>
              <w:ind w:left="3320"/>
              <w:spacing w:after="0"/>
              <w:rPr>
                <w:sz w:val="20"/>
                <w:szCs w:val="20"/>
                <w:color w:val="auto"/>
              </w:rPr>
            </w:pPr>
            <w:r>
              <w:rPr>
                <w:rFonts w:ascii="Times New Roman" w:cs="Times New Roman" w:eastAsia="Times New Roman" w:hAnsi="Times New Roman"/>
                <w:sz w:val="18"/>
                <w:szCs w:val="18"/>
                <w:color w:val="auto"/>
              </w:rPr>
              <w:t>F-29</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15"/>
        </w:trPr>
        <w:tc>
          <w:tcPr>
            <w:tcW w:w="214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117" w:lineRule="exact"/>
        <w:rPr>
          <w:sz w:val="20"/>
          <w:szCs w:val="20"/>
          <w:color w:val="auto"/>
        </w:rPr>
      </w:pPr>
    </w:p>
    <w:tbl>
      <w:tblPr>
        <w:tblLayout w:type="fixed"/>
        <w:tblInd w:w="184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2,530.2</w:t>
            </w:r>
          </w:p>
        </w:tc>
      </w:tr>
      <w:tr>
        <w:trPr>
          <w:trHeight w:val="229"/>
        </w:trPr>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compensation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r>
      <w:tr>
        <w:trPr>
          <w:trHeight w:val="229"/>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230"/>
        </w:trPr>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r>
      <w:tr>
        <w:trPr>
          <w:trHeight w:val="229"/>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attribute carryforwards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30"/>
        </w:trPr>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3,407.1</w:t>
            </w:r>
          </w:p>
        </w:tc>
      </w:tr>
      <w:tr>
        <w:trPr>
          <w:trHeight w:val="270"/>
        </w:trPr>
        <w:tc>
          <w:tcPr>
            <w:tcW w:w="4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3,314.1</w:t>
            </w:r>
          </w:p>
        </w:tc>
      </w:tr>
      <w:tr>
        <w:trPr>
          <w:trHeight w:val="21"/>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Company's federal income tax returns for 2019 through 2024 remain open to examination by the IRS. The Company's 2019 and 2020 federal income tax returns are currently under audit by the IRS. In general, the Company's state income tax returns from 2017 to 2024 remain open to examination. The Company's income tax returns outside the United States remain open to examination from 2020 to 2024. The United States and many states generally have statutes of limitation ranging from 3 to 5 years; however, those statutes could be extended due to the Company's tax credit carryforward position. In general, tax authorities have the ability to review income tax returns in which the statute of limitation has previously expired to adjust the tax credits generated in those years.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beginning and ending amounts of unrecognized tax benefits:</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increases related to current year tax positions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r>
      <w:tr>
        <w:trPr>
          <w:trHeight w:val="176"/>
        </w:trPr>
        <w:tc>
          <w:tcPr>
            <w:tcW w:w="46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Gross (decreases) increases related to prior year tax</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positions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75"/>
        </w:trPr>
        <w:tc>
          <w:tcPr>
            <w:tcW w:w="46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Gross decreases due to settlements and lapse of statutes of</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4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limitations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2025, 2024, and 2023, the increases in unrecognized tax benefits primarily related to the Company's calculation of certain tax credits and other items related to the Company's international operations. In 2025, the Company released liabilities for uncertain tax positions in connection with the settlement of the IRS audit of the Company's 2017 and 2018 federal income tax returns. Interest expense related to unrecognized tax benefits was $201.7 million, $165.4 million, and $77.2 million in 2025, 2024, and 2023, respectively.</w:t>
      </w:r>
    </w:p>
    <w:p>
      <w:pPr>
        <w:spacing w:after="0" w:line="1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net unrecognized tax benefits that, if settled, would impact the effective tax rate is $520.9 million, $635.4 million, and $442.5 million as of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Legal Matters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The outcome of any such proceedings, regardless of the merits, is inherently uncertain. If the Company is unable to prevail in one or more of such proceedings, its consolidated financial position, results of operations, and future cash flows may be materially adversely impacted. Costs associated with the Company's involvement in legal proceedings are expensed as incurred. The Company recognizes gain contingencies associated with such proceedings when the award or recovery is realized or realizable and loss contingencies when it is probable that a liability will be incurred and the amount of loss can be reasonably estimated. As of December 31, 2025 and 2024, the Company's accruals for loss contingencies were not material. There are certain loss contingencies that the Company deems reasonably possible for which the possible loss or range of possible loss is not estimable at this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Proceedings Relating to EYLEA (aflibercept) Injection</w:t>
      </w:r>
    </w:p>
    <w:p>
      <w:pPr>
        <w:spacing w:after="0" w:line="162" w:lineRule="exact"/>
        <w:rPr>
          <w:sz w:val="20"/>
          <w:szCs w:val="20"/>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United States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greater detail below, the Company has filed several patent infringement lawsuits against various parties in the United States alleging infringement of certain Company patents pertaining to EYLEA, and certain of these patents have also been subject to post-grant proceedings before the United States Patent and Trademark Office ("USPTO").</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U.S. Patent Litigation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the Company entered into settlement agreements resulting in the dismissal of the previously disclosed patent infringement lawsuits before the United States District Court for the Northern District of West Virginia against Mylan Pharmaceuticals Inc. ("Mylan") and Biocon Biologics Inc. ("Biocon"); Celltrion, Inc. ("Celltrion"); Formycon AG ("Formycon"); and Sandoz Inc. ("Sandoz"). The lawsuits each alleged infringement of certain Company patents, including the Company's U.S. Patent No. 11,084,865 (the "'865 Patent"). Pursuant to the settlement agreements, these parties are precluded from launching their respective aflibercept 2 mg biosimilars until the second half of 2026 (Mylan/Biocon), fourth quarter of 2026 (Sandoz and Formycon), and December 31, 2026 (Celltrion).</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10, 2024, the Company filed a patent infringement lawsuit against Amgen Inc. ("Amgen") in the United States District Court for the Central District of California (subsequently transferred to the United States District Court for the Northern District of West Virginia) alleging that Amgen's filing for FDA approval of an aflibercept 2 mg biosimilar infringed certain Company patents. On September 23, 2024, the court denied the Company's motion for a preliminary injunction, which decision was affirmed by the Federal Circuit on March 14, 2025. On June 17, 2025, the Company filed an additional patent infringement lawsuit against Amgen in the United States District Court for the Central District of California alleging that Amgen's continued commercialization of its aflibercept 2 mg biosimilar infringes the Company's U.S. Patent No. 12,331,099. On September 12, 2025, Amgen filed its answer and counterclaims alleging, among other things, that the Company obtained numerous patents fraudulently, rendering them unenforceable, and that obtaining and enforcing certain Company patents violated Section 2 of the Sherman Antitrust Act of 1890, as amended (the "Sherman Antitrust Act"). On November 12, 2025, the Company filed a motion to dismiss Amgen's affirmative defenses and counterclaims.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Post-Grant Proceedings Before the USPTO</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November 20, 2024, November 29, 2024, and January 15, 2025, Samsung Bioepis, Formycon, and Celltrion, respectively, filed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petitions in the USPTO against the '865 Patent, each seeking a declaration that the '865 Patent is invalid. On June 6, 2025, the USPTO denied institution of Samsung and Formycon's respective IPR petitions, and on June 25, 2025, the USPTO denied institution of Celltrion's IPR petition.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14, 2025, Fresenius Kabi SwissBioSim GmbH filed IPR petitions in the USPTO against the '865 Patent and U.S. Patent No. 10,828,345 (the "'345 Patent"), seeking a declaration that the '865 Patent and '345 Patent are invalid. On November 20, 2025, and January 6, 2026, the USPTO denied institution of Fresenius' IPR petitions against the '865 Patent and the '345 Patent, respectively.</w:t>
      </w:r>
    </w:p>
    <w:p>
      <w:pPr>
        <w:spacing w:after="0" w:line="108" w:lineRule="exact"/>
        <w:rPr>
          <w:sz w:val="20"/>
          <w:szCs w:val="20"/>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the United States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greater detail below, the Company has filed patent infringement lawsuits against various parties in several jurisdictions outside the United States alleging infringement of certain Company patents pertaining to EYLEA, and certain of these patents have also been subject to post-grant proceedings before the European Patent Office (the "EPO") and/or other comparable foreign authorities.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Multijurisdictional Settlements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Biocon</w:t>
      </w:r>
      <w:r>
        <w:rPr>
          <w:rFonts w:ascii="Times New Roman" w:cs="Times New Roman" w:eastAsia="Times New Roman" w:hAnsi="Times New Roman"/>
          <w:sz w:val="18"/>
          <w:szCs w:val="18"/>
          <w:color w:val="auto"/>
        </w:rPr>
        <w:t>. On December 13, 2025, the Company and Bayer entered into a settlement agreement with Biocon and its affiliated entities in respect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outside the United States with the exception of Canada (separately settled in March 2024, as previously disclosed). Pursuant to the settlement agreement, all pending judicial and administrative proceedings related to Biocon's aflibercept 2 mg biosimilar product has been dismissed and Biocon is permitted to launch such biosimilar product in the United Kingdom in January 2026 and in the rest of the jurisdictions covered by the settlement in March 2026 or, in each case, earlier in certain circumstances.</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Celltrion</w:t>
      </w:r>
      <w:r>
        <w:rPr>
          <w:rFonts w:ascii="Times New Roman" w:cs="Times New Roman" w:eastAsia="Times New Roman" w:hAnsi="Times New Roman"/>
          <w:sz w:val="18"/>
          <w:szCs w:val="18"/>
          <w:color w:val="auto"/>
        </w:rPr>
        <w:t>. On January 21, 2026, the Company and Bayer entered into a settlement agreement with Celltrion in respect of all jurisdictions outside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with the exceptions of Canada (separately settled in July 2024, as previously disclosed) and Singapore (separately settled in November 2025). Pursuant to the settlement agreement, all pending judicial and administrative proceedings related to Celltrion's aflibercept 2 mg biosimilar product, including the previously disclosed litigation in South Korea, has or will be dismissed and Celltrion is permitted to launch such biosimilar product in South Korea and the United Kingdom in January 2026 and in the rest of the jurisdictions covered by the settlement in the second quarter of 2026, or earlier in certain circumstances.</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Alvotech</w:t>
      </w:r>
      <w:r>
        <w:rPr>
          <w:rFonts w:ascii="Times New Roman" w:cs="Times New Roman" w:eastAsia="Times New Roman" w:hAnsi="Times New Roman"/>
          <w:sz w:val="18"/>
          <w:szCs w:val="18"/>
          <w:color w:val="auto"/>
        </w:rPr>
        <w:t>. On January 28, 2026, the Company and Bayer entered into a settlement agreement with Alvotech HF ("Alvotech") in respect of all jurisdictions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outside the United States. Pursuant to the settlement agreement, all pending judicial and administrative proceedings related to Alvotech's aflibercept 2 mg biosimilar product, including the litigation in Germany discussed below, has or will be dismissed and Alvotech is permitted to launch such biosimilar product in Canada, the United Kingdom, and Japan in January 2026 (November 2026 in the case of the DME indication in Japan) and in the rest of the jurisdictions covered by the settlement in May 2026.</w:t>
      </w:r>
    </w:p>
    <w:p>
      <w:pPr>
        <w:spacing w:after="0" w:line="1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Samsung Bioepis</w:t>
      </w:r>
      <w:r>
        <w:rPr>
          <w:rFonts w:ascii="Times New Roman" w:cs="Times New Roman" w:eastAsia="Times New Roman" w:hAnsi="Times New Roman"/>
          <w:sz w:val="18"/>
          <w:szCs w:val="18"/>
          <w:color w:val="auto"/>
        </w:rPr>
        <w:t>. On January 29, 2026, the Company and Bayer entered into a settlement agreement with Samsung Bioepis in respect of all jurisdictions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outside the United States with the exception of Canada (separately settled in October 2024, as previously disclosed). Pursuant to the settlement agreement, all pending judicial and administrative proceedings related to Samsung Bioepis' aflibercept 2 mg biosimilar product, including the litigation in the United Kingdom, Germany, the Netherlands, and South Korea discussed below, has or will be dismissed and Samsung Bioepis is permitted to maintain its biosimilar on the market in South Korea and launch such biosimilar product in the United Kingdom in January 2026, the rest of Europe in April 2026, and the rest of the jurisdictions covered by the settlement in May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Europe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EPO Post-Grant Proceedings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parties, including Amgen and other, anonymous parties, are seeking revocation of the Company's European Patent Nos. 2,944,306 (the "'306 Patent"), 3,716,992 (the "'992 Patent"), and 3,384,049 (the "'049 Patent") before the Opposition Division ("OD") of the EPO. On November 26, 2024, following an oral hearing, the OD announced its decision to revoke the '306 Patent. On March 11, 2025, the Company appealed the OD's decision, and an oral hearing concerning the appeal has been scheduled for October 2026. On October 22, 2025, following an oral hearing, the OD upheld the validity of the '992 Patent's claims in amended form. An oral hearing concerning the '049 Patent has been scheduled for April 2026.</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Country-Specific Proceedings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also party to proceedings against various parties, including Samsung Bioepis, Formycon, Amgen, Alvotech, Celltrion, Sandoz, and/or their affiliated entities, before several European national courts (including those in Belgium, France, Germany, Italy, the Netherlands, and the United Kingdom). In certain of these proceedings, the counterparties are seeking revocation of one or more Company patents pertaining to EYLEA, including the '306 Patent, the '992 Patent, the Company's European Patent No. 2,364,691 (the "'691 Patent"), and the Company's European Patent No. 1,183,353 (as extended by Supplementary Protection Certificate 2013C/029), and/or a declaration that their respective aflibercept 2 mg biosimilars would not infringe these patents, and in the same or other proceedings, the Company is alleging infringement of such patents. As noted above, the Company and Bayer recently entered into settlement agreements with Samsung Bioepis, Alvotech, and Celltrion, pursuant to which the proceedings discussed below have been or will be dismissed with respect to these parties. Key recent developments in the proceedings set forth below are as follows:</w:t>
      </w:r>
    </w:p>
    <w:p>
      <w:pPr>
        <w:spacing w:after="0" w:line="111"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29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trials held in June 2025, the High Court of England and Wales issued a decision in October 2025 that found that Formycon and Samsung Bioepis's aflibercept 2 mg biosimilar products do not infringe the '691 and '306 Patents; upheld the '691 Patent as valid; and invalidated the '306 Patent. In December 2025, the Company appealed this decision.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1300" w:hanging="320"/>
        <w:spacing w:after="0" w:line="282" w:lineRule="auto"/>
        <w:tabs>
          <w:tab w:leader="none" w:pos="131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Proceedings in the United Kingdom concerning the '992 Patent are stayed pending resolution of the EPO proceedings concerning this patent.</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Germany</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00" w:hanging="320"/>
        <w:spacing w:after="0" w:line="250" w:lineRule="auto"/>
        <w:tabs>
          <w:tab w:leader="none" w:pos="1296"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June 2025 trial concerning the revocation proceeding brought by Samsung Bioepis, the German Federal Patent Court upheld the '691 Patent as valid.</w:t>
      </w:r>
    </w:p>
    <w:p>
      <w:pPr>
        <w:jc w:val="both"/>
        <w:ind w:left="1300" w:hanging="320"/>
        <w:spacing w:after="0" w:line="250" w:lineRule="auto"/>
        <w:tabs>
          <w:tab w:leader="none" w:pos="131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the Munich Regional Court issued a decision that found that Formycon's aflibercept biosimilar product infringes the '691 Patent and granted the Company's motion for a permanent injunction, enjoining Formycon from selling its aflibercept 2 mg biosimilar in Germany and several other EU countries (including Spain and the Netherlands) until the expiration of the '691 Patent.</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3" w:lineRule="auto"/>
        <w:tabs>
          <w:tab w:leader="none" w:pos="1296"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the Munich Regional Court issued decisions that found that each of Alvotech's, Celltrion's, and Sandoz's aflibercept 2 mg biosimilar products infringes the '691 Patent and granted the Company's motions for preliminary injunctions, enjoining such parties from selling their aflibercept 2 mg biosimilars in Germany and, in the case of Alvotech, also several other EU countries (including France, Spain, Italy, and the Netherlands).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Netherlands</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jc w:val="both"/>
        <w:ind w:left="1300" w:hanging="320"/>
        <w:spacing w:after="0" w:line="253" w:lineRule="auto"/>
        <w:tabs>
          <w:tab w:leader="none" w:pos="131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trial held in July 2025, the District Court of the Hague issued a decision in October 2025 that upheld the '691 and '306 Patents as valid; found that Samsung Bioepis's aflibercept 2 mg biosimilar product infringes the '691 and '306 Patents; and granted the Company's request for a permanent injunction, enjoining Samsung Bioepis from selling its aflibercept 2 mg biosimilar in the Netherlands until the expiration of the '691 and '306 Patents.</w:t>
      </w:r>
    </w:p>
    <w:p>
      <w:pPr>
        <w:spacing w:after="0" w:line="11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Canada</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2025, the Company, Bayer Inc., and Bayer Healthcare LLC entered into settlement agreements resulting in the dismissal of the previously disclosed patent infringement lawsuits and/or invalidation proceedings before the Federal Court of Canada against Amgen Canada Inc. ("Amgen Canada") and Sandoz Canada Inc. Pursuant to the settlement agreements, the Company, Bayer Inc., and Bayer Healthcare LLC are no longer seeking a declaration that Amgen Canada's or Sandoz's respective aflibercept 2 mg biosimilar products infringe the asserted Company patents.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(iv) South Korea</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noted above, the Company and Bayer recently entered into settlement agreements with Samsung Bioepis and Celltrion, pursuant to which the proceedings discussed below have been or will be dismissed with respect to these parties.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13, 2022, Samsung Bioepis initiated invalidation proceedings before the Intellectual Property Trial and Appeal Board of the Korean Intellectual Property Office ("KIPO") against the Company's Korean Patent No. 1406811 (the "'811 Patent"), seeking revocation of the '811 Patent in its entirety. On October 23, 2024, the KIPO maintained the '811 Patent as valid. On October 30, 2025, the IP High Court overturned the decision of the KIPO and invalidated the '811 Patent; the Company has appealed that decision.</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as applicable, Bayer Consumer Care AG, have also filed patent infringement lawsuits in the Seoul Central District Court against various parties including Samsung Bioepis and its parent company Samsung Biologics Co., Ltd. (collectively, "Samsung"), Sam Chun Dang Pharm. Co., Ltd. and OPTUS Pharmaceutical Co., Ltd., and Celltrion. These lawsuits seek damages and/or injunctive relief and allege that the making, constructing, using, or selling of an aflibercept 2 mg biosimilar by the relevant defendant(s) would infringe one or more claims of the '811 Patent and/or the Company's Korean Patent Nos. 659477 (the "'477 Patent") and 2519234 (the "'234 Patent"). On February 7, 2025, the Seoul Central District Court granted the Company's preliminary injunction request against Samsung on the basis of the '811 Patent. Also on February 7, 2025, the Seoul Central District Court denied Regeneron's preliminary injunction request against Celltrion. In light of the decision of the IP High Court discussed above, on December 3, 2025, the Seoul High Court issued a decision lifting the preliminary injunction against Samsung.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 Australia</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4, 2025, the Company, Bayer Consumer Care AG, and Bayer Australia filed a patent infringement lawsuit against Sandoz Pty Ltd. and a request for a preliminary injunction in the Federal Court of Australia alleging that the importing, selling, supplying, or otherwise disposing of an aflibercept 2 mg biosimilar would infringe one or more claims of the Company's Australian Patent No. 2012205599. On September 3, 2025, the court denied the Company's request for a preliminary injunction. On November 26, 2025, the parties entered into a settlement agreement, pursuant to which this lawsuit has been dismissed.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 Japan</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10, 2025, the Company filed a patent infringement lawsuit in the Osaka District Court against Fuji Pharma Co., Ltd. alleging that the making, constructing, using, or selling of an aflibercept 2 mg biosimilar by the defendant would infringe one or more claims of the Company's Japanese Patent No. 7,733,706.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Proceedings Relating to EYLEA (aflibercept) Injection Pre-filled Syringe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17, 2020, the Company filed an antitrust lawsuit (as amended on January 25, 2021) against Novartis Pharma AG, Novartis Pharmaceuticals Corporation, and Novartis Technology LLC (collectively, "Novartis") and Vetter Pharma International GmbH in the United States District Court for the Southern District of New York seeking a judgment that the defendants' conduct relating to Novartis's attempt to assert its U.S. Patent No. 9,220,631 against Regeneron in 2020 violated Sections 1 and 2 of the Sherman Antitrust Act, and constituted tortious interference with contract. The Company is also seeking injunctive relief and treble damages. On September 21, 2021, this lawsuit was transferred to the Northern District of New York. On June 10, 2022, the Company filed an appeal of the District Court's decision to dismiss the amended complaint with the U.S. Court of Appeals for the Second Circuit (the "Second Circuit"). On March 18, 2024, the Second Circuit reversed the District Court's decision to dismiss the amended complaint and remanded the lawsuit to the District Court for further proceedings consistent with the Second Circuit's opinion. On November 19, 2024, the Company moved to transfer the lawsuit back to the Southern District of New York, which motion was granted on December 5, 2024.</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Proceedings Relating to Praluent (alirocumab) Injection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27, 2022, the Company filed a lawsuit against Amgen in the United States District Court for the District of Delaware, alleging that, beginning in 2020, Amgen engaged in an anticompetitive bundling scheme which was designed to exclude Praluent from the market in violation of federal and state laws. The lawsuit seeks damages for harm caused by the alleged scheme, as well as injunctive relief restraining Amgen from continuing its alleged anticompetitive conduct. A trial was held in May 2025. On May 15, 2025, the jury reached a verdict in Regeneron's favor on nine of the ten counts submitted to it and awarded Regeneron $135.6 million in compensatory damages and $271.2 million in punitive damages. On June 20, 2025, Amgen filed a post-trial motion for judgment as a matter of law or, in the alternative, for a new trial. Also on June 20, 2025, the Company filed a post-trial motion for (i) permanent injunctive relief, (ii) a constructive trust, and (iii) prejudgment interest. An oral hearing on Amgen's and Regeneron's respective post-trial motions was held on August 27,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Department of Justice Matters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(the "June 2020 Civil Complaint") relating to the Company's support of 501(c)(3) organizations that provide financial assistance to patients. On September 27, 2023, the court (i) denied in part and granted in part the Company's motion for summary judgment and (ii) denied in its entirety the motion for partial summary judgment filed by the U.S. Attorney's Office for the District of Massachusetts. On October 25, 2023, the court certified for interlocutory appeal a portion of the court's September 27, 2023 order that addressed the causation standard applicable to the alleged violations of the federal Anti-Kickback Statute and federal False Claims Act. On February 18, 2025, the U.S. Court of Appeals for the First Circuit affirmed the portion of the court's September 27, 2023 order that had been certified for interlocutory appeal. On October 1, 2025, the U.S. Attorney's Office for the District of Massachusetts filed a second motion for partial summary judgment.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3, 2021, the United States District Court for the Central District of California unsealed a qui tam complaint (as amended on October 29, 2021) filed against the Company, Regeneron Healthcare Solutions, Inc., and Sanofi-Aventis U.S. LLC by two qui tam plaintiffs (known as relators) purportedly on behalf of the United States and various states (the "State Plaintiffs"). The amended complaint alleges violations of the federal Anti-Kickback Statute and asserts causes of action under the federal False Claims Act and state law relating to allegedly unlawful remuneration and assistance provided to prescribers. Also on June 3, 2021, the United States and the State Plaintiffs notified the court of their decision to decline to intervene in the case. On January 14, 2022, the Company filed a motion to dismiss the amended complaint in its entirety. On July 25, 2023, the court granted in part and denied in part the Company's motion to dismiss. On September 1, 2023, the Company filed a second motion to dismiss the amended complaint or, in the alternative, a motion for judgment on the pleadings. On July 31, 2024 and August 15, 2024, respectively, the District Court granted the Company's second motion to dismiss the amended complaint with respect to the remaining causes of action under federal law and declined to exercise supplemental jurisdiction over the remaining causes of action under state law. On August 26, 2024, the qui tam plaintiffs filed a notice of appeal. Oral argument on the appeal was held on November 18, 2025.</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2021, the Company received a civil investigative demand ("CID") from the U.S. Department of Justice pursuant to the federal False Claims Act relating to, among other things, alleged inflated reimbursement rates for EYLEA by excluding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applicable discounts, rebates, and benefits from the average sales price reported to the Centers for Medicare &amp; Medicaid Services. On March 28, 2024, the U.S. District Court for the District of Massachusetts unsealed a qui tam complaint against the Company and others by two qui tam plaintiffs, purportedly on behalf of the United States and various states and municipalities, asserting causes of action under the federal False Claims Act and state and local laws, and alleging violations of the federal Anti-Kickback statute related to, among other things, the alleged conduct described above. Also on March 28, 2024, the U.S. Department of Justice and the U.S. Attorney's Office for the District of Massachusetts filed a civil complaint in partial intervention (the "March 2024 Civil Complaint") of the qui tam action, in the same court, asserting causes of action under the federal False Claims Act and a claim for unjust enrichment related to the alleged conduct described above. On June 25, 2024, the States of Colorado, Georgia, Michigan, North Carolina, Texas, and Washington filed a civil complaint in partial intervention (the "June 2024 Civil Complaint") in the same court asserting causes of action under various state laws related to the same alleged conduct. On April 29, 2025, the court denied the Company's motion to dismiss the March 2024 Civil Complaint and the June 2024 Civil Complaint. On June 18, 2025, the States of Maine, Nebraska, Ohio, Oregon, and Wyoming intervened in the action and filed a consolidated complaint asserting causes of action under their respective state laws.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Proceedings Initiated by Other Payors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party to several lawsuits relating to the conduct alleged in the June 2020 Civil Complaint discussed under "d. Department of Justice Matters" above. These lawsuits were filed by UnitedHealthcare Insurance Company and United Healthcare Services, Inc. (collectively, "UHC") and Humana Inc. ("Humana") in the United States District Court for the Southern District of New York on December 17, 2020 and July 22, 2021, respectively; and by Blue Cross and Blue Shield of Massachusetts, Inc. and Blue Cross and Blue Shield of Massachusetts HMO Blue, Inc. (collectively, "BCBS"), Medical Mutual of Ohio ("MMO"), Horizon Healthcare Services, Inc. d/b/a Horizon Blue Cross Blue Shield of New Jersey ("Horizon"), and Local 464A United Food and Commercial Workers Union Welfare Service Benefit Fund ("Local 464A") in the U.S. District Court for the District of Massachusetts on December 20, 2021, February 23, 2022, April 4, 2022, and June 17, 2022, respectively. These lawsuits allege causes of action under state law and the federal Racketeer Influenced and Corrupt Organizations Act ("RICO") and seek monetary damages and equitable relief. The MMO and Local 464A lawsuits are putative class action lawsuits. On December 29, 2021, the lawsuits filed by UHC and Humana were stayed by the United States District Court for the Southern District of New York pending resolution of the proceedings before the U.S. District Court for the District of Massachusetts concerning the allegations in the June 2020 Civil Complaint. On September 27, 2022, the lawsuits filed by BCBS, MMO, and Horizon were stayed by the U.S. District Court for the District of Massachusetts pending resolution of the proceedings before the same court concerning the allegations in the June 2020 Civil Complaint; and, in light of these stays, the parties to the Local 464A action have also agreed to stay that matter.</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24, 2024, a group of plaintiffs purporting to be assignees of claims by various Medicare Advantage plans and related entities filed a putative class action complaint in the U.S. District Court for the District of Columbia on behalf of Medicare Advantage plans and other payors. The lawsuit relates to the conduct alleged in the June 2020 Civil Complaint, March 2024 Civil Complaint, and June 2024 Civil Complaint discussed under "d. Department of Justice Matters" above. The lawsuit alleges causes of action under state law and RICO and seeks monetary damages and equitable relief. On October 22, 2024, the Company filed a motion to transfer the proceedings to the U.S. District Court for the District of Massachusetts or, in the alternative, to stay the proceedings or dismiss the proceedings. On January 28, 2025, pursuant to a stipulation among the parties, the proceedings were transferred to the U.S. District Court for the District of Massachusetts. On February 1, 2025, the parties jointly filed a stipulation to stay the action pending resolution of the proceedings before the same court concerning the allegations in the June 2020 Civil Complaint.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Shareholder Derivative Complaint – Department of Justice June 2020 Civil Complaint Matters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29, 2021, an alleged shareholder filed a shareholder derivative complaint in the New York Supreme Court, naming the then-current and certain former members of the Company's board of directors and certain then-current and former executive officers of the Company as defendants and Regeneron as a nominal defendant. The complaint asserts that the individual defendants breached their fiduciary duties in relation to the allegations in the June 2020 Civil Complaint discussed under "d.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New York Supreme Court to the U.S. District Court for the Southern District of New York. On September 23, 2021, the plaintiff moved to remand the case to the New York Supreme Court. Also on September 23, 2021, the individual defendants moved to dismiss the complaint in its entirety. On December 19, 2022, the U.S. District Court for the Southern District of New York denied the plaintiff's motion to remand the case and granted a motion to stay the case pending resolution of the proceedings before the U.S. District Court for the District of Massachusetts concerning the allegations in the June 2020 Civil Complaint. As a result of the stay, the court also terminated the Company's motion to dismiss the complaint without prejudice. The Company can therefore renew the motion to dismiss upon conclusion of the stay.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Shareholder Derivative Complaints – Department of Justice March 2024 Civil Complaint Matters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2025, various purported shareholders of the Company filed several shareholder derivative complaints in the U.S. District Court for the Southern District of New York or the Supreme Court of the State of New York against members of the Company's board of directors and certain current and former executive officers of the Company as defendants and Regeneron as a nominal defendant. The complaints allege that the individual defendants, among other things, breached their fiduciary duties to the Company by failing to properly manage and oversee the Company in connection with the conduct alleged in the March 2024 Civil Complaint discussed under "d. Department of Justice Matters" above, and one lawsuit also alleges a breach of fiduciary duty relating to the conduct alleged in the second amended putative class action civil complaint discussed under "i. Class Action Civil Complaint" below. The complaints also allege that the individual defendants breached the federal securities laws, wasted corporate assets, and unjustly enriched themselves at the expense of the Company. The complaints seek, among other things, an award of damages allegedly sustained by the Company as a result of the alleged misconduct of the individual defendants; an order requiring the individual defendants to take all necessary actions to reform and improve the Company's corporate governance and internal procedures; and costs and disbursements of the applicable action, including attorneys' fees. Certain of these shareholder derivative complaints have been consolidated by the U.S. District Court for the Southern District of New York. The shareholder derivative complaints filed in the Supreme Court of the State of New York have been removed to the U.S. District Court for the Southern District of New York and motions to remand are pending.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Shareholder Derivative Complaint – Director Compensation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22, 2025, an alleged shareholder filed a shareholder derivative complaint in the New York Supreme Court, naming the current non-employee members of our board of directors, and the co-Chairs of our board of directors (who also serve as our President and Chief Executive Officer and our President and Chief Scientific Officer, respectively) as defendants and Regeneron as a nominal defendant. The complaint asserts that the individual defendants breached their fiduciary duties and/or were unjustly enriched when they approved and/or received allegedly excessive non-employee director compensation in 2024 and 2025, and that this allegedly excessive compensation was a waste of corporate assets. The complaint seeks damages in favor of Regeneron for the alleged breaches of fiduciary duties, unjust enrichment, and waste of corporate assets; improvements to Regeneron's corporate governance and internal procedures; equitable relief, including restitution from the individual defendants; and award of the costs of the action, including attorneys' fees. On September 25, 2025, the Company filed a motion to dismiss the complaint.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Class Action Civil Complaint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7, 2025 (as amended on September 8, 2025 and October 30, 2025), a purported shareholder filed a putative class action civil complaint, on behalf of himself and all others similarly situated, in the U.S. District Court for the Southern District of New York against the Company and certain current and former executive officers of the Company. The second amended complaint asserts violations of federal securities laws in connection with statements or disclosures purportedly related to the conduct alleged in the March 2024 Civil Complaint discussed under "d. Department of Justice Matters" above as well as allegations relating to the launch of EYLEA HD. On July 10, 2025, the court appointed a lead plaintiff and lead counsel for the action. On November 17, 2025, the Company filed a motion to dismiss the second amended complaint.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Sanofi Litigation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18, 2024, the Company filed a lawsuit (as amended on December 20, 2024) in the United States District Court for the Southern District of New York against Sanofi and certain of its affiliated entities. The lawsuit alleges that the defendants breached certain provisions of the parties' Amended and Restated License and Collaboration Agreement, dated as of November 10, 2009 (as amended, the "Collaboration Agreement"), concerning Sanofi's obligation to provide Regeneron with full access to material information relating to the commercialization of Dupixent or other products commercialized pursuant to the Collaboration Agreement and Regeneron's audit rights under the Collaboration Agreement. The lawsuit seeks a declaratory judgment, injunctive relief, damages, and other relief. On July 3, 2025, Sanofi filed a motion to dismiss the complaint.</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17. Net Income Per Share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65"/>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calculations of basic and diluted net income per share are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1"/>
        </w:trPr>
        <w:tc>
          <w:tcPr>
            <w:tcW w:w="1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r>
      <w:tr>
        <w:trPr>
          <w:trHeight w:val="223"/>
        </w:trPr>
        <w:tc>
          <w:tcPr>
            <w:tcW w:w="1300" w:type="dxa"/>
            <w:vAlign w:val="bottom"/>
          </w:tcPr>
          <w:p>
            <w:pPr>
              <w:spacing w:after="0"/>
              <w:rPr>
                <w:sz w:val="19"/>
                <w:szCs w:val="19"/>
                <w:color w:val="auto"/>
              </w:rPr>
            </w:pPr>
          </w:p>
        </w:tc>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1300" w:type="dxa"/>
            <w:vAlign w:val="bottom"/>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w:t>
            </w:r>
          </w:p>
        </w:tc>
      </w:tr>
      <w:tr>
        <w:trPr>
          <w:trHeight w:val="256"/>
        </w:trPr>
        <w:tc>
          <w:tcPr>
            <w:tcW w:w="130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9"/>
        </w:trPr>
        <w:tc>
          <w:tcPr>
            <w:tcW w:w="1300" w:type="dxa"/>
            <w:vAlign w:val="bottom"/>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30"/>
        </w:trPr>
        <w:tc>
          <w:tcPr>
            <w:tcW w:w="13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1300" w:type="dxa"/>
            <w:vAlign w:val="bottom"/>
          </w:tcPr>
          <w:p>
            <w:pPr>
              <w:spacing w:after="0"/>
              <w:rPr>
                <w:sz w:val="19"/>
                <w:szCs w:val="19"/>
                <w:color w:val="auto"/>
              </w:rPr>
            </w:pPr>
          </w:p>
        </w:tc>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130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0"/>
        </w:trPr>
        <w:tc>
          <w:tcPr>
            <w:tcW w:w="130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30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1300" w:type="dxa"/>
            <w:vAlign w:val="bottom"/>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34"/>
        </w:trPr>
        <w:tc>
          <w:tcPr>
            <w:tcW w:w="130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181" w:lineRule="exact"/>
        <w:rPr>
          <w:sz w:val="20"/>
          <w:szCs w:val="20"/>
          <w:color w:val="auto"/>
        </w:rPr>
      </w:pPr>
    </w:p>
    <w:tbl>
      <w:tblPr>
        <w:tblLayout w:type="fixed"/>
        <w:tblInd w:w="176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314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Statement of Cash Flows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cash equivalents, and restricted cash reported within the Consolidated Balance Sheets to the total of the same such amounts shown in the Consolidated Statements of Cash Flows:</w:t>
      </w:r>
    </w:p>
    <w:p>
      <w:pPr>
        <w:spacing w:after="0" w:line="225" w:lineRule="exact"/>
        <w:rPr>
          <w:sz w:val="20"/>
          <w:szCs w:val="20"/>
          <w:color w:val="auto"/>
        </w:rPr>
      </w:pPr>
    </w:p>
    <w:tbl>
      <w:tblPr>
        <w:tblLayout w:type="fixed"/>
        <w:tblInd w:w="178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56"/>
        </w:trPr>
        <w:tc>
          <w:tcPr>
            <w:tcW w:w="3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shown in the Consolidated Statements of Cash</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3,123.7</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2,737.8</w:t>
            </w:r>
          </w:p>
        </w:tc>
        <w:tc>
          <w:tcPr>
            <w:tcW w:w="0" w:type="dxa"/>
            <w:vAlign w:val="bottom"/>
          </w:tcPr>
          <w:p>
            <w:pPr>
              <w:spacing w:after="0"/>
              <w:rPr>
                <w:sz w:val="1"/>
                <w:szCs w:val="1"/>
                <w:color w:val="auto"/>
              </w:rPr>
            </w:pPr>
          </w:p>
        </w:tc>
      </w:tr>
      <w:tr>
        <w:trPr>
          <w:trHeight w:val="221"/>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Flows</w:t>
            </w:r>
          </w:p>
        </w:tc>
        <w:tc>
          <w:tcPr>
            <w:tcW w:w="2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840"/>
        <w:spacing w:after="0" w:line="435" w:lineRule="auto"/>
        <w:rPr>
          <w:sz w:val="20"/>
          <w:szCs w:val="20"/>
          <w:color w:val="auto"/>
        </w:rPr>
      </w:pPr>
      <w:r>
        <w:rPr>
          <w:rFonts w:ascii="Times New Roman" w:cs="Times New Roman" w:eastAsia="Times New Roman" w:hAnsi="Times New Roman"/>
          <w:sz w:val="18"/>
          <w:szCs w:val="18"/>
          <w:color w:val="auto"/>
        </w:rPr>
        <w:t xml:space="preserve">Restricted cash consists of amounts held pursuant to contractual arrangements and for dividends payable on certain equity awards. </w:t>
      </w:r>
      <w:r>
        <w:rPr>
          <w:rFonts w:ascii="Times New Roman" w:cs="Times New Roman" w:eastAsia="Times New Roman" w:hAnsi="Times New Roman"/>
          <w:sz w:val="18"/>
          <w:szCs w:val="18"/>
          <w:i w:val="1"/>
          <w:iCs w:val="1"/>
          <w:color w:val="auto"/>
        </w:rPr>
        <w:t>Supplemental disclosure of non-cash investing and financing activities</w:t>
      </w:r>
    </w:p>
    <w:p>
      <w:pPr>
        <w:spacing w:after="0" w:line="2"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184"/>
        </w:trPr>
        <w:tc>
          <w:tcPr>
            <w:tcW w:w="34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Accrued contingent consideration in</w:t>
            </w: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4"/>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connection with acquisitions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one business segment, which includes all activities related to the discovery, development, and commercialization of medicines for serious diseases. The determination of a single business segment is consistent with the consolidated financial information regularly provided to the Company's chief operating decision maker ("CODM"). The Company's CODM is its Chief Executive Officer, who reviews and evaluates consolidated net income for purposes of assessing performance, making operating decisions, allocating resources, and planning and forecasting for future periods.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significant expense categories included within consolidated net income presented on the Company's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see below for disaggregated amounts that comprise research and development expenses: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4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Direct research and development expenses</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1,295.6</w:t>
            </w:r>
          </w:p>
        </w:tc>
      </w:tr>
      <w:tr>
        <w:trPr>
          <w:trHeight w:val="270"/>
        </w:trPr>
        <w:tc>
          <w:tcPr>
            <w:tcW w:w="4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1,537.0</w:t>
            </w:r>
          </w:p>
        </w:tc>
      </w:tr>
      <w:tr>
        <w:trPr>
          <w:trHeight w:val="184"/>
        </w:trPr>
        <w:tc>
          <w:tcPr>
            <w:tcW w:w="424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Lab supplies and other research and development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34"/>
        </w:trPr>
        <w:tc>
          <w:tcPr>
            <w:tcW w:w="4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30"/>
        </w:trPr>
        <w:tc>
          <w:tcPr>
            <w:tcW w:w="4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w:t>
            </w: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2,265.8</w:t>
            </w:r>
          </w:p>
        </w:tc>
      </w:tr>
      <w:tr>
        <w:trPr>
          <w:trHeight w:val="250"/>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w:t>
            </w:r>
          </w:p>
        </w:tc>
      </w:tr>
      <w:tr>
        <w:trPr>
          <w:trHeight w:val="270"/>
        </w:trPr>
        <w:tc>
          <w:tcPr>
            <w:tcW w:w="4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review voucher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84"/>
        </w:trPr>
        <w:tc>
          <w:tcPr>
            <w:tcW w:w="4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Reimbursement of research and development expenses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34"/>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collaborators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70"/>
        </w:trPr>
        <w:tc>
          <w:tcPr>
            <w:tcW w:w="42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940" w:right="1780" w:hanging="4"/>
        <w:spacing w:after="0" w:line="202" w:lineRule="auto"/>
        <w:tabs>
          <w:tab w:leader="none" w:pos="2110" w:val="left"/>
        </w:tabs>
        <w:numPr>
          <w:ilvl w:val="0"/>
          <w:numId w:val="5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Direct research and development expenses are comprised primarily of costs paid to third parties for clinical and product development activities, and the portion of research and development expenses incurred by our collaborators that we are obligated to reimburse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369"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5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97"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8"/>
          <w:szCs w:val="18"/>
          <w:color w:val="auto"/>
        </w:rPr>
        <w:t>The following is a description of the common stock, par value $0.001 per share (the “Common Stock”), of Regeneron Pharmaceuticals, Inc. (the “Company”) which is the only security of the Company registered pursuant to Section 12 of the Securities Exchange Act of 1934, as amended (the “Exchange Act”). The following also contains a description of the Class A Stock, par value $0.001 per share (the “Class A Stock”; Common Stock and Class A Stock are referred to herein, collectively, as the “Common Shares”), of the Company, which is not registered pursuant to Section 12 of the Exchange Act but is convertible into shares of Common Stock at any time at the option of the holder. The description of the Class A Stock is necessary to understand the material terms of the Common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8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The Company is authorized to issue 320,000,000 shares of Common Stock, par value $0.001 per share, and 40,000,000 shares of Class A Stock, par value $0.001 per share. The following description summarizes selected information regarding the Common Stock and the Class A Stock, as well as relevant provisions of: (i) the Company’s Restated Certificate of Incorporation, as amended, as currently in effect (the “Articles”), (ii) the Company’s Amended and Restated By-Laws, as amended, as currently in effect (the “By-Laws”), and (iii) the New York Business Corporation Law (the “NYBCL”). The following summary description of the Common Stock and the Class A Stock is qualified in its entirety by, and should be read in conjunction with, the Articles and the By-Laws, copies of which have been filed as exhibits to the Company’s periodic reports under the Exchange Act, and the applicable provisions of the NYBCL.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and Class A Stock</w:t>
      </w:r>
    </w:p>
    <w:p>
      <w:pPr>
        <w:spacing w:after="0" w:line="295" w:lineRule="exact"/>
        <w:rPr>
          <w:sz w:val="20"/>
          <w:szCs w:val="20"/>
          <w:color w:val="auto"/>
        </w:rPr>
      </w:pPr>
    </w:p>
    <w:p>
      <w:pPr>
        <w:ind w:right="140"/>
        <w:spacing w:after="0" w:line="315"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rights of holders of Common Stock and holders of Class A Stock are identical except for voting rights, conversion rights, and restrictions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transferability.</w:t>
      </w:r>
    </w:p>
    <w:p>
      <w:pPr>
        <w:spacing w:after="0" w:line="199"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Common Stock are entitled to one vote per share and the holders of Class A Stock are entitled to ten votes per share.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otherwise expressly provided by law, holders of Common Shares have exclusive voting rights on all matters requiring a vote of shareholders. Except as provided by law, the holders of Common Stock and the holders of Class A Stock will vote together as a single class on all matters presented to the shareholders for their vote or approval, including the election of directors. Shareholders are not entitled to vote cumulatively for the election of directors and no class of outstanding Common Shares acting alone is entitled to elect any directors.</w:t>
      </w:r>
    </w:p>
    <w:p>
      <w:pPr>
        <w:spacing w:after="0" w:line="20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i w:val="1"/>
          <w:iCs w:val="1"/>
          <w:color w:val="auto"/>
        </w:rPr>
        <w:t>Dividends and Liquidation</w:t>
      </w:r>
      <w:r>
        <w:rPr>
          <w:rFonts w:ascii="Times New Roman" w:cs="Times New Roman" w:eastAsia="Times New Roman" w:hAnsi="Times New Roman"/>
          <w:sz w:val="18"/>
          <w:szCs w:val="18"/>
          <w:color w:val="auto"/>
        </w:rPr>
        <w:t>. Except as described in this paragraph, holders of Common Stock and holders of Class A Stock have an equal right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when and if declared by the Company’s board of directors out of funds legally available therefor. If a dividend or distribution payable in Class A Stock is made on the Class A Stock, the Company must also make a pro rata and simultaneous dividend or distribution on the Common Stock payable in shares of Common Stock. Conversely, if a dividend or distribution payable in Common Stock is made on the Common Stock, the Company must also make a pro rata and simultaneous dividend or distribution on the Class A Stock payable in shares of Class A Stock. In the event of the Company’s liquidation, dissolution, or winding up, holders of Common Stock and Class A Stock are entitled to share equally, share-for-share, in the assets available for distribution after payment of all creditors and the liquidation preferences of any preferred stock.</w:t>
      </w:r>
    </w:p>
    <w:p>
      <w:pPr>
        <w:sectPr>
          <w:pgSz w:w="11900" w:h="16838" w:orient="portrait"/>
          <w:cols w:equalWidth="0" w:num="1">
            <w:col w:w="11240"/>
          </w:cols>
          <w:pgMar w:left="320" w:top="108" w:right="339" w:bottom="1440" w:gutter="0" w:footer="0" w:header="0"/>
        </w:sectPr>
      </w:pPr>
    </w:p>
    <w:bookmarkStart w:id="137" w:name="page138"/>
    <w:bookmarkEnd w:id="137"/>
    <w:p>
      <w:pPr>
        <w:ind w:right="60"/>
        <w:spacing w:after="0" w:line="303" w:lineRule="auto"/>
        <w:rPr>
          <w:sz w:val="20"/>
          <w:szCs w:val="20"/>
          <w:color w:val="auto"/>
        </w:rPr>
      </w:pPr>
      <w:r>
        <w:rPr>
          <w:rFonts w:ascii="Times New Roman" w:cs="Times New Roman" w:eastAsia="Times New Roman" w:hAnsi="Times New Roman"/>
          <w:sz w:val="18"/>
          <w:szCs w:val="18"/>
          <w:i w:val="1"/>
          <w:iCs w:val="1"/>
          <w:color w:val="auto"/>
        </w:rPr>
        <w:t>Optional Conversion Rights</w:t>
      </w:r>
      <w:r>
        <w:rPr>
          <w:rFonts w:ascii="Times New Roman" w:cs="Times New Roman" w:eastAsia="Times New Roman" w:hAnsi="Times New Roman"/>
          <w:sz w:val="18"/>
          <w:szCs w:val="18"/>
          <w:color w:val="auto"/>
        </w:rPr>
        <w:t>. Each share of Class A Stock may, at any time and at the option of the holder, be converted into one fully paid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nonassessable share of Common Stock. Upon conversion, such shares of Common Stock would not be subject to restrictions on transfer that applied to the shares of Class A Stock prior to conversion except to the extent such restrictions are imposed under applicable securities laws. The shares of Common Stock are not convertible into or exchangeable for shares of Class A Stock or any other of the Company’s shares or securities.</w:t>
      </w:r>
    </w:p>
    <w:p>
      <w:pPr>
        <w:spacing w:after="0" w:line="197" w:lineRule="exact"/>
        <w:rPr>
          <w:sz w:val="20"/>
          <w:szCs w:val="20"/>
          <w:color w:val="auto"/>
        </w:rPr>
      </w:pPr>
    </w:p>
    <w:p>
      <w:pPr>
        <w:ind w:right="40"/>
        <w:spacing w:after="0" w:line="306" w:lineRule="auto"/>
        <w:rPr>
          <w:sz w:val="20"/>
          <w:szCs w:val="20"/>
          <w:color w:val="auto"/>
        </w:rPr>
      </w:pPr>
      <w:r>
        <w:rPr>
          <w:rFonts w:ascii="Times New Roman" w:cs="Times New Roman" w:eastAsia="Times New Roman" w:hAnsi="Times New Roman"/>
          <w:sz w:val="18"/>
          <w:szCs w:val="18"/>
          <w:i w:val="1"/>
          <w:iCs w:val="1"/>
          <w:color w:val="auto"/>
        </w:rPr>
        <w:t>Other Provisions</w:t>
      </w:r>
      <w:r>
        <w:rPr>
          <w:rFonts w:ascii="Times New Roman" w:cs="Times New Roman" w:eastAsia="Times New Roman" w:hAnsi="Times New Roman"/>
          <w:sz w:val="18"/>
          <w:szCs w:val="18"/>
          <w:color w:val="auto"/>
        </w:rPr>
        <w:t>. Holders of Common Stock and holders of Class A Stock have no preemptive rights to subscribe for any additional securities of any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Company may issue and there are no redemption provisions or sinking fund provisions applicable to either such class, nor are the shares of Common Stock or Class A Stock subject to calls or assessments.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The Class A Stock is subject to certain limitations on transfer that do not apply to the Common Stock.</w:t>
      </w:r>
    </w:p>
    <w:p>
      <w:pPr>
        <w:spacing w:after="0" w:line="279" w:lineRule="exact"/>
        <w:rPr>
          <w:sz w:val="20"/>
          <w:szCs w:val="20"/>
          <w:color w:val="auto"/>
        </w:rPr>
      </w:pPr>
    </w:p>
    <w:p>
      <w:pPr>
        <w:ind w:right="460"/>
        <w:spacing w:after="0" w:line="331" w:lineRule="auto"/>
        <w:rPr>
          <w:sz w:val="20"/>
          <w:szCs w:val="20"/>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Common Stock is listed on The Nasdaq Global Select Market under the symbol “REGN.” The Class A Stock is not listed on a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the Common Stock is Equiniti Trust Company, LLC.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the Articles, the By-Laws and the NYBCL</w:t>
      </w:r>
    </w:p>
    <w:p>
      <w:pPr>
        <w:spacing w:after="0" w:line="283"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Under certain circumstances, certain provisions of the Company’s Articles, the Company’s By-Laws, and certain provisions of the NYBCL could have the effect of delaying or preventing a change in control of the Company or the Company’s management that shareholders may consider favorable or beneficial. Some of these provisions could discourage proxy contests and make it more difficult for shareholders to elect directors and take other corporate 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could also limit the price that investors might be willing to pay in the future for shares of the Common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the Articles and the By-Laws provide:</w:t>
      </w:r>
    </w:p>
    <w:p>
      <w:pPr>
        <w:spacing w:after="0" w:line="252" w:lineRule="exact"/>
        <w:rPr>
          <w:sz w:val="20"/>
          <w:szCs w:val="20"/>
          <w:color w:val="auto"/>
        </w:rPr>
      </w:pPr>
    </w:p>
    <w:p>
      <w:pPr>
        <w:ind w:left="540" w:right="500" w:hanging="307"/>
        <w:spacing w:after="0" w:line="32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the Common Stock and Class A Stock;</w:t>
      </w:r>
    </w:p>
    <w:p>
      <w:pPr>
        <w:spacing w:after="0" w:line="1" w:lineRule="exact"/>
        <w:rPr>
          <w:rFonts w:ascii="Times New Roman" w:cs="Times New Roman" w:eastAsia="Times New Roman" w:hAnsi="Times New Roman"/>
          <w:sz w:val="18"/>
          <w:szCs w:val="18"/>
          <w:color w:val="auto"/>
        </w:rPr>
      </w:pPr>
    </w:p>
    <w:p>
      <w:pPr>
        <w:jc w:val="both"/>
        <w:ind w:left="540" w:right="660" w:hanging="307"/>
        <w:spacing w:after="0" w:line="339" w:lineRule="auto"/>
        <w:tabs>
          <w:tab w:leader="none" w:pos="5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staggered board of directors, which, pursuant to an amendment to the Articles approved by shareholders in June 2025, will be phased out beginning in 2026 and result in the annual election of all directors, commencing with the Company’s 2028 annual meeting of shareholders;</w:t>
      </w:r>
    </w:p>
    <w:p>
      <w:pPr>
        <w:spacing w:after="0" w:line="1" w:lineRule="exact"/>
        <w:rPr>
          <w:rFonts w:ascii="Times New Roman" w:cs="Times New Roman" w:eastAsia="Times New Roman" w:hAnsi="Times New Roman"/>
          <w:sz w:val="17"/>
          <w:szCs w:val="17"/>
          <w:color w:val="auto"/>
        </w:rPr>
      </w:pPr>
    </w:p>
    <w:p>
      <w:pPr>
        <w:ind w:left="540" w:hanging="307"/>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w:t>
      </w:r>
    </w:p>
    <w:p>
      <w:pPr>
        <w:spacing w:after="0" w:line="49" w:lineRule="exact"/>
        <w:rPr>
          <w:rFonts w:ascii="Times New Roman" w:cs="Times New Roman" w:eastAsia="Times New Roman" w:hAnsi="Times New Roman"/>
          <w:sz w:val="18"/>
          <w:szCs w:val="18"/>
          <w:color w:val="auto"/>
        </w:rPr>
      </w:pPr>
    </w:p>
    <w:p>
      <w:pPr>
        <w:ind w:left="540" w:right="5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entitled to vote for directors, as well as a requirement that any vacancy on the board of directors may be filled only by the remaining directors;</w:t>
      </w:r>
    </w:p>
    <w:p>
      <w:pPr>
        <w:spacing w:after="0" w:line="13" w:lineRule="exact"/>
        <w:rPr>
          <w:rFonts w:ascii="Times New Roman" w:cs="Times New Roman" w:eastAsia="Times New Roman" w:hAnsi="Times New Roman"/>
          <w:sz w:val="18"/>
          <w:szCs w:val="18"/>
          <w:color w:val="auto"/>
        </w:rPr>
      </w:pPr>
    </w:p>
    <w:p>
      <w:pPr>
        <w:ind w:left="540" w:hanging="307"/>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whereby any action required or permitted to be taken at any meeting of shareholders may be taken without a meeting, only if, prior</w:t>
      </w:r>
    </w:p>
    <w:p>
      <w:pPr>
        <w:spacing w:after="0" w:line="49" w:lineRule="exact"/>
        <w:rPr>
          <w:rFonts w:ascii="Times New Roman" w:cs="Times New Roman" w:eastAsia="Times New Roman" w:hAnsi="Times New Roman"/>
          <w:sz w:val="18"/>
          <w:szCs w:val="18"/>
          <w:color w:val="auto"/>
        </w:rPr>
      </w:pPr>
    </w:p>
    <w:p>
      <w:pPr>
        <w:ind w:left="540" w:right="4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action, all of the Company’s shareholders consent, the effect of which is to require that shareholder action may only be taken at a duly convened meeting; and</w:t>
      </w:r>
    </w:p>
    <w:p>
      <w:pPr>
        <w:spacing w:after="0" w:line="13" w:lineRule="exact"/>
        <w:rPr>
          <w:rFonts w:ascii="Times New Roman" w:cs="Times New Roman" w:eastAsia="Times New Roman" w:hAnsi="Times New Roman"/>
          <w:sz w:val="18"/>
          <w:szCs w:val="18"/>
          <w:color w:val="auto"/>
        </w:rPr>
      </w:pPr>
    </w:p>
    <w:p>
      <w:pPr>
        <w:ind w:left="540" w:right="800" w:hanging="307"/>
        <w:spacing w:after="0" w:line="329"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w:t>
      </w:r>
    </w:p>
    <w:p>
      <w:pPr>
        <w:sectPr>
          <w:pgSz w:w="11900" w:h="16838" w:orient="portrait"/>
          <w:cols w:equalWidth="0" w:num="1">
            <w:col w:w="11200"/>
          </w:cols>
          <w:pgMar w:left="320" w:top="1024" w:right="379" w:bottom="1440" w:gutter="0" w:footer="0" w:header="0"/>
        </w:sectPr>
      </w:pPr>
    </w:p>
    <w:bookmarkStart w:id="138" w:name="page139"/>
    <w:bookmarkEnd w:id="138"/>
    <w:p>
      <w:pPr>
        <w:spacing w:after="0" w:line="282" w:lineRule="auto"/>
        <w:rPr>
          <w:sz w:val="20"/>
          <w:szCs w:val="20"/>
          <w:color w:val="auto"/>
        </w:rPr>
      </w:pPr>
      <w:r>
        <w:rPr>
          <w:rFonts w:ascii="Times New Roman" w:cs="Times New Roman" w:eastAsia="Times New Roman" w:hAnsi="Times New Roman"/>
          <w:sz w:val="18"/>
          <w:szCs w:val="18"/>
          <w:color w:val="auto"/>
        </w:rPr>
        <w:t>Under the NYBCL, in addition to certain restrictions which may apply to “business combinations” involving the Company and an “interested shareholder,” a plan of merger or consolidation of the Company must be approved by two-thirds of the votes of all outstanding shares entitled to vote thereon.</w:t>
      </w:r>
    </w:p>
    <w:p>
      <w:pPr>
        <w:sectPr>
          <w:pgSz w:w="11900" w:h="16838" w:orient="portrait"/>
          <w:cols w:equalWidth="0" w:num="1">
            <w:col w:w="11200"/>
          </w:cols>
          <w:pgMar w:left="320" w:top="769" w:right="37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color w:val="auto"/>
        </w:rPr>
        <w:t>Exhibit 10.3.8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94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r>
      <w:tr>
        <w:trPr>
          <w:trHeight w:val="311"/>
        </w:trPr>
        <w:tc>
          <w:tcPr>
            <w:tcW w:w="4300" w:type="dxa"/>
            <w:vAlign w:val="bottom"/>
          </w:tcPr>
          <w:p>
            <w:pPr>
              <w:spacing w:after="0"/>
              <w:rPr>
                <w:sz w:val="24"/>
                <w:szCs w:val="24"/>
                <w:color w:val="auto"/>
              </w:rPr>
            </w:pPr>
          </w:p>
        </w:tc>
        <w:tc>
          <w:tcPr>
            <w:tcW w:w="13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ID: </w:t>
            </w:r>
            <w:r>
              <w:rPr>
                <w:rFonts w:ascii="Times New Roman" w:cs="Times New Roman" w:eastAsia="Times New Roman" w:hAnsi="Times New Roman"/>
                <w:sz w:val="18"/>
                <w:szCs w:val="18"/>
                <w:color w:val="auto"/>
              </w:rPr>
              <w:t>[</w:t>
            </w:r>
          </w:p>
        </w:tc>
        <w:tc>
          <w:tcPr>
            <w:tcW w:w="8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1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Notice of Grant of Stock Options</w:t>
            </w:r>
          </w:p>
        </w:tc>
        <w:tc>
          <w:tcPr>
            <w:tcW w:w="29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777 Old Saw Mill River Road</w:t>
            </w:r>
          </w:p>
        </w:tc>
        <w:tc>
          <w:tcPr>
            <w:tcW w:w="3960" w:type="dxa"/>
            <w:vAlign w:val="bottom"/>
          </w:tcPr>
          <w:p>
            <w:pPr>
              <w:spacing w:after="0"/>
              <w:rPr>
                <w:sz w:val="24"/>
                <w:szCs w:val="24"/>
                <w:color w:val="auto"/>
              </w:rPr>
            </w:pPr>
          </w:p>
        </w:tc>
      </w:tr>
      <w:tr>
        <w:trPr>
          <w:trHeight w:val="311"/>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and Option Agreement for Time-Based Vesting</w:t>
            </w:r>
          </w:p>
        </w:tc>
        <w:tc>
          <w:tcPr>
            <w:tcW w:w="29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Tarrytown, New York 10591</w:t>
            </w:r>
          </w:p>
        </w:tc>
        <w:tc>
          <w:tcPr>
            <w:tcW w:w="3960" w:type="dxa"/>
            <w:vAlign w:val="bottom"/>
          </w:tcPr>
          <w:p>
            <w:pPr>
              <w:spacing w:after="0"/>
              <w:rPr>
                <w:sz w:val="24"/>
                <w:szCs w:val="24"/>
                <w:color w:val="auto"/>
              </w:rPr>
            </w:pPr>
          </w:p>
        </w:tc>
      </w:tr>
      <w:tr>
        <w:trPr>
          <w:trHeight w:val="311"/>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04"/>
        </w:trPr>
        <w:tc>
          <w:tcPr>
            <w:tcW w:w="43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r>
        <w:trPr>
          <w:trHeight w:val="565"/>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[OPTIONEE NAME]</w:t>
            </w:r>
          </w:p>
        </w:tc>
        <w:tc>
          <w:tcPr>
            <w:tcW w:w="22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Option Number:</w:t>
            </w:r>
          </w:p>
        </w:tc>
        <w:tc>
          <w:tcPr>
            <w:tcW w:w="780" w:type="dxa"/>
            <w:vAlign w:val="bottom"/>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w:t>
            </w:r>
          </w:p>
        </w:tc>
        <w:tc>
          <w:tcPr>
            <w:tcW w:w="3960" w:type="dxa"/>
            <w:vAlign w:val="bottom"/>
          </w:tcPr>
          <w:p>
            <w:pPr>
              <w:jc w:val="right"/>
              <w:ind w:right="3652"/>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311"/>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[OPTIONEE ADDRESS]</w:t>
            </w:r>
          </w:p>
        </w:tc>
        <w:tc>
          <w:tcPr>
            <w:tcW w:w="13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Plan:</w:t>
            </w:r>
          </w:p>
        </w:tc>
        <w:tc>
          <w:tcPr>
            <w:tcW w:w="840" w:type="dxa"/>
            <w:vAlign w:val="bottom"/>
          </w:tcPr>
          <w:p>
            <w:pPr>
              <w:spacing w:after="0"/>
              <w:rPr>
                <w:sz w:val="24"/>
                <w:szCs w:val="24"/>
                <w:color w:val="auto"/>
              </w:rPr>
            </w:pPr>
          </w:p>
        </w:tc>
        <w:tc>
          <w:tcPr>
            <w:tcW w:w="780" w:type="dxa"/>
            <w:vAlign w:val="bottom"/>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w:t>
            </w:r>
          </w:p>
        </w:tc>
        <w:tc>
          <w:tcPr>
            <w:tcW w:w="3960" w:type="dxa"/>
            <w:vAlign w:val="bottom"/>
          </w:tcPr>
          <w:p>
            <w:pPr>
              <w:jc w:val="right"/>
              <w:ind w:right="3652"/>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311"/>
        </w:trPr>
        <w:tc>
          <w:tcPr>
            <w:tcW w:w="4300" w:type="dxa"/>
            <w:vAlign w:val="bottom"/>
          </w:tcPr>
          <w:p>
            <w:pPr>
              <w:spacing w:after="0"/>
              <w:rPr>
                <w:sz w:val="24"/>
                <w:szCs w:val="24"/>
                <w:color w:val="auto"/>
              </w:rPr>
            </w:pPr>
          </w:p>
        </w:tc>
        <w:tc>
          <w:tcPr>
            <w:tcW w:w="13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ID:</w:t>
            </w:r>
          </w:p>
        </w:tc>
        <w:tc>
          <w:tcPr>
            <w:tcW w:w="840" w:type="dxa"/>
            <w:vAlign w:val="bottom"/>
          </w:tcPr>
          <w:p>
            <w:pPr>
              <w:spacing w:after="0"/>
              <w:rPr>
                <w:sz w:val="24"/>
                <w:szCs w:val="24"/>
                <w:color w:val="auto"/>
              </w:rPr>
            </w:pPr>
          </w:p>
        </w:tc>
        <w:tc>
          <w:tcPr>
            <w:tcW w:w="780" w:type="dxa"/>
            <w:vAlign w:val="bottom"/>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w:t>
            </w:r>
          </w:p>
        </w:tc>
        <w:tc>
          <w:tcPr>
            <w:tcW w:w="3960" w:type="dxa"/>
            <w:vAlign w:val="bottom"/>
          </w:tcPr>
          <w:p>
            <w:pPr>
              <w:jc w:val="right"/>
              <w:ind w:right="3652"/>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78"/>
        </w:trPr>
        <w:tc>
          <w:tcPr>
            <w:tcW w:w="4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41" w:lineRule="exact"/>
        <w:rPr>
          <w:sz w:val="20"/>
          <w:szCs w:val="20"/>
          <w:color w:val="auto"/>
        </w:rPr>
      </w:pPr>
    </w:p>
    <w:p>
      <w:pPr>
        <w:ind w:right="900"/>
        <w:spacing w:after="0" w:line="344" w:lineRule="auto"/>
        <w:rPr>
          <w:sz w:val="20"/>
          <w:szCs w:val="20"/>
          <w:color w:val="auto"/>
        </w:rPr>
      </w:pPr>
      <w:r>
        <w:rPr>
          <w:rFonts w:ascii="Times New Roman" w:cs="Times New Roman" w:eastAsia="Times New Roman" w:hAnsi="Times New Roman"/>
          <w:sz w:val="18"/>
          <w:szCs w:val="18"/>
          <w:color w:val="auto"/>
        </w:rPr>
        <w:t>Effective &lt;date&gt; (the “Grant Date”) you have been granted a Non-Qualified Option to buy [ ] shares of Regeneron Pharmaceuticals, Inc. (the “Company”) stock at $[ ] per share.</w:t>
      </w:r>
    </w:p>
    <w:p>
      <w:pPr>
        <w:spacing w:after="0" w:line="14" w:lineRule="exact"/>
        <w:rPr>
          <w:sz w:val="20"/>
          <w:szCs w:val="20"/>
          <w:color w:val="auto"/>
        </w:rPr>
      </w:pPr>
    </w:p>
    <w:p>
      <w:pPr>
        <w:spacing w:after="0"/>
        <w:tabs>
          <w:tab w:leader="none" w:pos="3660" w:val="left"/>
        </w:tabs>
        <w:rPr>
          <w:sz w:val="20"/>
          <w:szCs w:val="20"/>
          <w:color w:val="auto"/>
        </w:rPr>
      </w:pPr>
      <w:r>
        <w:rPr>
          <w:rFonts w:ascii="Times New Roman" w:cs="Times New Roman" w:eastAsia="Times New Roman" w:hAnsi="Times New Roman"/>
          <w:sz w:val="18"/>
          <w:szCs w:val="18"/>
          <w:color w:val="auto"/>
        </w:rPr>
        <w:t>The total option price of the shares granted is $[</w:t>
      </w:r>
      <w:r>
        <w:rPr>
          <w:sz w:val="20"/>
          <w:szCs w:val="20"/>
          <w:color w:val="auto"/>
        </w:rPr>
        <w:tab/>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in each period will become fully vested on the date shown.</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40" w:type="dxa"/>
            <w:vAlign w:val="bottom"/>
            <w:gridSpan w:val="3"/>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5"/>
              </w:rPr>
              <w:t>Vest Type</w:t>
            </w:r>
          </w:p>
        </w:tc>
        <w:tc>
          <w:tcPr>
            <w:tcW w:w="206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7"/>
              </w:rPr>
              <w:t>Full Vest</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7"/>
        </w:trPr>
        <w:tc>
          <w:tcPr>
            <w:tcW w:w="2440" w:type="dxa"/>
            <w:vAlign w:val="bottom"/>
            <w:tcBorders>
              <w:bottom w:val="single" w:sz="8" w:color="auto"/>
            </w:tcBorders>
          </w:tcPr>
          <w:p>
            <w:pPr>
              <w:spacing w:after="0"/>
              <w:rPr>
                <w:sz w:val="2"/>
                <w:szCs w:val="2"/>
                <w:color w:val="auto"/>
              </w:rPr>
            </w:pPr>
          </w:p>
        </w:tc>
        <w:tc>
          <w:tcPr>
            <w:tcW w:w="260" w:type="dxa"/>
            <w:vAlign w:val="bottom"/>
            <w:tcBorders>
              <w:bottom w:val="single" w:sz="8" w:color="C0C0C0"/>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Borders>
              <w:bottom w:val="single" w:sz="8" w:color="C0C0C0"/>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C0C0C0"/>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84"/>
        </w:trPr>
        <w:tc>
          <w:tcPr>
            <w:tcW w:w="2440" w:type="dxa"/>
            <w:vAlign w:val="bottom"/>
            <w:tcBorders>
              <w:bottom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0C0C0"/>
            </w:tcBorders>
            <w:shd w:val="clear" w:color="auto" w:fill="C0C0C0"/>
          </w:tcPr>
          <w:p>
            <w:pPr>
              <w:spacing w:after="0"/>
              <w:rPr>
                <w:sz w:val="24"/>
                <w:szCs w:val="24"/>
                <w:color w:val="auto"/>
              </w:rPr>
            </w:pPr>
          </w:p>
        </w:tc>
        <w:tc>
          <w:tcPr>
            <w:tcW w:w="660" w:type="dxa"/>
            <w:vAlign w:val="bottom"/>
            <w:tcBorders>
              <w:bottom w:val="single" w:sz="8" w:color="C0C0C0"/>
            </w:tcBorders>
            <w:shd w:val="clear" w:color="auto" w:fill="C0C0C0"/>
          </w:tcPr>
          <w:p>
            <w:pPr>
              <w:spacing w:after="0"/>
              <w:rPr>
                <w:sz w:val="24"/>
                <w:szCs w:val="24"/>
                <w:color w:val="auto"/>
              </w:rPr>
            </w:pPr>
          </w:p>
        </w:tc>
        <w:tc>
          <w:tcPr>
            <w:tcW w:w="2640" w:type="dxa"/>
            <w:vAlign w:val="bottom"/>
            <w:tcBorders>
              <w:bottom w:val="single" w:sz="8" w:color="C0C0C0"/>
            </w:tcBorders>
            <w:gridSpan w:val="3"/>
            <w:shd w:val="clear" w:color="auto" w:fill="C0C0C0"/>
          </w:tcPr>
          <w:p>
            <w:pPr>
              <w:jc w:val="center"/>
              <w:ind w:right="1560"/>
              <w:spacing w:after="0"/>
              <w:rPr>
                <w:sz w:val="20"/>
                <w:szCs w:val="20"/>
                <w:color w:val="auto"/>
              </w:rPr>
            </w:pPr>
            <w:r>
              <w:rPr>
                <w:rFonts w:ascii="Times New Roman" w:cs="Times New Roman" w:eastAsia="Times New Roman" w:hAnsi="Times New Roman"/>
                <w:sz w:val="18"/>
                <w:szCs w:val="18"/>
                <w:color w:val="auto"/>
                <w:w w:val="97"/>
              </w:rPr>
              <w:t>On Vest Date</w:t>
            </w:r>
          </w:p>
        </w:tc>
        <w:tc>
          <w:tcPr>
            <w:tcW w:w="1840" w:type="dxa"/>
            <w:vAlign w:val="bottom"/>
            <w:tcBorders>
              <w:bottom w:val="single" w:sz="8" w:color="C0C0C0"/>
            </w:tcBorders>
            <w:shd w:val="clear" w:color="auto" w:fill="C0C0C0"/>
          </w:tcPr>
          <w:p>
            <w:pPr>
              <w:jc w:val="center"/>
              <w:ind w:right="570"/>
              <w:spacing w:after="0"/>
              <w:rPr>
                <w:sz w:val="20"/>
                <w:szCs w:val="20"/>
                <w:color w:val="auto"/>
              </w:rPr>
            </w:pPr>
            <w:r>
              <w:rPr>
                <w:rFonts w:ascii="Times New Roman" w:cs="Times New Roman" w:eastAsia="Times New Roman" w:hAnsi="Times New Roman"/>
                <w:sz w:val="18"/>
                <w:szCs w:val="18"/>
                <w:color w:val="auto"/>
                <w:w w:val="99"/>
              </w:rPr>
              <w:t>[__/__/__]**</w:t>
            </w:r>
          </w:p>
        </w:tc>
        <w:tc>
          <w:tcPr>
            <w:tcW w:w="220" w:type="dxa"/>
            <w:vAlign w:val="bottom"/>
            <w:tcBorders>
              <w:bottom w:val="single" w:sz="8" w:color="C0C0C0"/>
            </w:tcBorders>
            <w:shd w:val="clear" w:color="auto" w:fill="C0C0C0"/>
          </w:tcPr>
          <w:p>
            <w:pPr>
              <w:spacing w:after="0"/>
              <w:rPr>
                <w:sz w:val="24"/>
                <w:szCs w:val="24"/>
                <w:color w:val="auto"/>
              </w:rPr>
            </w:pPr>
          </w:p>
        </w:tc>
        <w:tc>
          <w:tcPr>
            <w:tcW w:w="2580" w:type="dxa"/>
            <w:vAlign w:val="bottom"/>
            <w:tcBorders>
              <w:bottom w:val="single" w:sz="8" w:color="C0C0C0"/>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rPr>
              <w:t>[10 years from Grant Date]</w:t>
            </w:r>
          </w:p>
        </w:tc>
      </w:tr>
      <w:tr>
        <w:trPr>
          <w:trHeight w:val="284"/>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4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color w:val="auto"/>
                <w:w w:val="97"/>
              </w:rPr>
              <w:t>On Vest Date</w:t>
            </w:r>
          </w:p>
        </w:tc>
        <w:tc>
          <w:tcPr>
            <w:tcW w:w="18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[__/__/__]**</w:t>
            </w:r>
          </w:p>
        </w:tc>
        <w:tc>
          <w:tcPr>
            <w:tcW w:w="22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 years from Grant Date]</w:t>
            </w:r>
          </w:p>
        </w:tc>
      </w:tr>
      <w:tr>
        <w:trPr>
          <w:trHeight w:val="27"/>
        </w:trPr>
        <w:tc>
          <w:tcPr>
            <w:tcW w:w="2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90"/>
        </w:trPr>
        <w:tc>
          <w:tcPr>
            <w:tcW w:w="2440" w:type="dxa"/>
            <w:vAlign w:val="bottom"/>
            <w:tcBorders>
              <w:bottom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0C0C0"/>
            </w:tcBorders>
            <w:shd w:val="clear" w:color="auto" w:fill="C0C0C0"/>
          </w:tcPr>
          <w:p>
            <w:pPr>
              <w:spacing w:after="0"/>
              <w:rPr>
                <w:sz w:val="24"/>
                <w:szCs w:val="24"/>
                <w:color w:val="auto"/>
              </w:rPr>
            </w:pPr>
          </w:p>
        </w:tc>
        <w:tc>
          <w:tcPr>
            <w:tcW w:w="660" w:type="dxa"/>
            <w:vAlign w:val="bottom"/>
            <w:tcBorders>
              <w:bottom w:val="single" w:sz="8" w:color="C0C0C0"/>
            </w:tcBorders>
            <w:shd w:val="clear" w:color="auto" w:fill="C0C0C0"/>
          </w:tcPr>
          <w:p>
            <w:pPr>
              <w:spacing w:after="0"/>
              <w:rPr>
                <w:sz w:val="24"/>
                <w:szCs w:val="24"/>
                <w:color w:val="auto"/>
              </w:rPr>
            </w:pPr>
          </w:p>
        </w:tc>
        <w:tc>
          <w:tcPr>
            <w:tcW w:w="2640" w:type="dxa"/>
            <w:vAlign w:val="bottom"/>
            <w:tcBorders>
              <w:bottom w:val="single" w:sz="8" w:color="C0C0C0"/>
            </w:tcBorders>
            <w:gridSpan w:val="3"/>
            <w:shd w:val="clear" w:color="auto" w:fill="C0C0C0"/>
          </w:tcPr>
          <w:p>
            <w:pPr>
              <w:jc w:val="center"/>
              <w:ind w:right="1560"/>
              <w:spacing w:after="0"/>
              <w:rPr>
                <w:sz w:val="20"/>
                <w:szCs w:val="20"/>
                <w:color w:val="auto"/>
              </w:rPr>
            </w:pPr>
            <w:r>
              <w:rPr>
                <w:rFonts w:ascii="Times New Roman" w:cs="Times New Roman" w:eastAsia="Times New Roman" w:hAnsi="Times New Roman"/>
                <w:sz w:val="18"/>
                <w:szCs w:val="18"/>
                <w:color w:val="auto"/>
                <w:w w:val="97"/>
              </w:rPr>
              <w:t>On Vest Date</w:t>
            </w:r>
          </w:p>
        </w:tc>
        <w:tc>
          <w:tcPr>
            <w:tcW w:w="1840" w:type="dxa"/>
            <w:vAlign w:val="bottom"/>
            <w:tcBorders>
              <w:bottom w:val="single" w:sz="8" w:color="C0C0C0"/>
            </w:tcBorders>
            <w:shd w:val="clear" w:color="auto" w:fill="C0C0C0"/>
          </w:tcPr>
          <w:p>
            <w:pPr>
              <w:jc w:val="center"/>
              <w:ind w:right="570"/>
              <w:spacing w:after="0"/>
              <w:rPr>
                <w:sz w:val="20"/>
                <w:szCs w:val="20"/>
                <w:color w:val="auto"/>
              </w:rPr>
            </w:pPr>
            <w:r>
              <w:rPr>
                <w:rFonts w:ascii="Times New Roman" w:cs="Times New Roman" w:eastAsia="Times New Roman" w:hAnsi="Times New Roman"/>
                <w:sz w:val="18"/>
                <w:szCs w:val="18"/>
                <w:color w:val="auto"/>
                <w:w w:val="99"/>
              </w:rPr>
              <w:t>[__/__/__]**</w:t>
            </w:r>
          </w:p>
        </w:tc>
        <w:tc>
          <w:tcPr>
            <w:tcW w:w="220" w:type="dxa"/>
            <w:vAlign w:val="bottom"/>
            <w:tcBorders>
              <w:bottom w:val="single" w:sz="8" w:color="C0C0C0"/>
            </w:tcBorders>
            <w:shd w:val="clear" w:color="auto" w:fill="C0C0C0"/>
          </w:tcPr>
          <w:p>
            <w:pPr>
              <w:spacing w:after="0"/>
              <w:rPr>
                <w:sz w:val="24"/>
                <w:szCs w:val="24"/>
                <w:color w:val="auto"/>
              </w:rPr>
            </w:pPr>
          </w:p>
        </w:tc>
        <w:tc>
          <w:tcPr>
            <w:tcW w:w="2580" w:type="dxa"/>
            <w:vAlign w:val="bottom"/>
            <w:tcBorders>
              <w:bottom w:val="single" w:sz="8" w:color="C0C0C0"/>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rPr>
              <w:t>[10 years from Grant Date]</w:t>
            </w:r>
          </w:p>
        </w:tc>
      </w:tr>
      <w:tr>
        <w:trPr>
          <w:trHeight w:val="284"/>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4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color w:val="auto"/>
                <w:w w:val="97"/>
              </w:rPr>
              <w:t>On Vest Date</w:t>
            </w:r>
          </w:p>
        </w:tc>
        <w:tc>
          <w:tcPr>
            <w:tcW w:w="18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[__/__/__]**</w:t>
            </w:r>
          </w:p>
        </w:tc>
        <w:tc>
          <w:tcPr>
            <w:tcW w:w="22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 years from Grant Date]</w:t>
            </w:r>
          </w:p>
        </w:tc>
      </w:tr>
      <w:tr>
        <w:trPr>
          <w:trHeight w:val="513"/>
        </w:trPr>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Non-Qualified Stock Option expires on [</w:t>
            </w:r>
          </w:p>
        </w:tc>
        <w:tc>
          <w:tcPr>
            <w:tcW w:w="26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 (the “Expiration Date”).</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right="240"/>
        <w:spacing w:after="0" w:line="226" w:lineRule="auto"/>
        <w:rPr>
          <w:sz w:val="20"/>
          <w:szCs w:val="20"/>
          <w:color w:val="auto"/>
        </w:rPr>
      </w:pPr>
      <w:r>
        <w:rPr>
          <w:rFonts w:ascii="Times New Roman" w:cs="Times New Roman" w:eastAsia="Times New Roman" w:hAnsi="Times New Roman"/>
          <w:sz w:val="18"/>
          <w:szCs w:val="18"/>
          <w:color w:val="auto"/>
        </w:rPr>
        <w:t>You and the Company agree that these options are granted under and governed by the terms and conditions of the Second Amended and Restated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310" w:lineRule="exact"/>
        <w:rPr>
          <w:sz w:val="20"/>
          <w:szCs w:val="20"/>
          <w:color w:val="auto"/>
        </w:rPr>
      </w:pPr>
    </w:p>
    <w:p>
      <w:pPr>
        <w:ind w:left="560" w:right="240" w:hanging="534"/>
        <w:spacing w:after="0" w:line="237" w:lineRule="auto"/>
        <w:tabs>
          <w:tab w:leader="none" w:pos="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for executive officers will vest in approximately equal annual 25% installments. Full Vest Dates will occur on the first, second, third and fourth anniversaries of the Grant Date.</w:t>
      </w:r>
    </w:p>
    <w:p>
      <w:pPr>
        <w:spacing w:after="0" w:line="266" w:lineRule="exact"/>
        <w:rPr>
          <w:rFonts w:ascii="Times New Roman" w:cs="Times New Roman" w:eastAsia="Times New Roman" w:hAnsi="Times New Roman"/>
          <w:sz w:val="18"/>
          <w:szCs w:val="18"/>
          <w:color w:val="auto"/>
        </w:rPr>
      </w:pPr>
    </w:p>
    <w:p>
      <w:pPr>
        <w:ind w:left="560" w:hanging="534"/>
        <w:spacing w:after="0"/>
        <w:tabs>
          <w:tab w:leader="none" w:pos="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to be 10 years from the Grant Date.</w:t>
      </w:r>
    </w:p>
    <w:p>
      <w:pPr>
        <w:sectPr>
          <w:pgSz w:w="11900" w:h="16838" w:orient="portrait"/>
          <w:cols w:equalWidth="0" w:num="1">
            <w:col w:w="11240"/>
          </w:cols>
          <w:pgMar w:left="320" w:top="351"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5"/>
          <w:szCs w:val="25"/>
          <w:b w:val="1"/>
          <w:bCs w:val="1"/>
          <w:color w:val="800000"/>
        </w:rPr>
        <w:t>REGENERON PHARMACEUTICALS, INC.</w:t>
      </w:r>
    </w:p>
    <w:p>
      <w:pPr>
        <w:spacing w:after="0" w:line="12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Non-Qualified Stock Option</w:t>
      </w:r>
    </w:p>
    <w:p>
      <w:pPr>
        <w:spacing w:after="0" w:line="1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OPTION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SECOND AMENDED AND RESTATED REGENERON PHARMACEUTICALS,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2014 LONG-TERM INCENTIVE PLAN</w:t>
      </w:r>
    </w:p>
    <w:p>
      <w:pPr>
        <w:spacing w:after="0" w:line="216"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THIS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made as of the date of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by and between Regeneron Pharmaceuticals, Inc., a New York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employee named on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Any capitalized term used but not defined in this Agreement shall have the meaning given to such term in the Plan (as defined below).</w:t>
      </w:r>
    </w:p>
    <w:p>
      <w:pPr>
        <w:spacing w:after="0" w:line="6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WHEREAS, the Grantee is an employee of the Company (or a Subsidiary of the Company) and the Company desires to afford the Grantee the opportunity to acquire or enlarge the Grantee’s stock ownership in the Company so that the Grantee may have a direct proprietary interest in the Company’s success; and</w:t>
      </w:r>
    </w:p>
    <w:p>
      <w:pPr>
        <w:spacing w:after="0" w:line="6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the Committee administering the Second Amended and Restated Regeneron Pharmaceuticals, Inc. 2014 Long-Term Incentive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has granted (as of the effective date of grant specified in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to the Grantee a Stock Option to purchase the number of shares of the Company’s common stock, $0.001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as set forth in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right="20" w:firstLine="656"/>
        <w:spacing w:after="0" w:line="262" w:lineRule="auto"/>
        <w:tabs>
          <w:tab w:leader="none" w:pos="99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of Award. </w:t>
      </w:r>
      <w:r>
        <w:rPr>
          <w:rFonts w:ascii="Times New Roman" w:cs="Times New Roman" w:eastAsia="Times New Roman" w:hAnsi="Times New Roman"/>
          <w:sz w:val="18"/>
          <w:szCs w:val="18"/>
          <w:color w:val="auto"/>
        </w:rPr>
        <w:t>Pursuant to Section 7 of the Plan, the Company grants to the Grantee, subject to the terms and conditions of the Plan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further to the terms and conditions set forth herein, the option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to purchase from the Company all or any part of an aggregate of shares of Common Stock at the purchase price per share as shown on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No part of the Option granted hereby is intended to qualify as an Incentive Stock Option under Section 422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Exercise. </w:t>
      </w:r>
      <w:r>
        <w:rPr>
          <w:rFonts w:ascii="Times New Roman" w:cs="Times New Roman" w:eastAsia="Times New Roman" w:hAnsi="Times New Roman"/>
          <w:sz w:val="18"/>
          <w:szCs w:val="18"/>
          <w:color w:val="auto"/>
        </w:rPr>
        <w:t>(a) The Option becomes exercisable in installments as provided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To the extent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Option has become exercisable with respect to the number of shares of Common Stock as provided on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xml:space="preserve"> and subject to the terms and conditions of the Plan, including without limitation, Sections 7(c)(1) (if applicable) and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an aggregate Fair Market Value (as measured on the date of exercise) equal to the aggregate Option exercise price due upon such exercise. The Company shall have the right to require the Grantee in connection with the exercise of the Option to remit to the Company in cash an amount sufficient to satisfy any federal, state and local withholding tax requirements related thereto.</w:t>
      </w:r>
    </w:p>
    <w:p>
      <w:pPr>
        <w:spacing w:after="0" w:line="79" w:lineRule="exact"/>
        <w:rPr>
          <w:sz w:val="20"/>
          <w:szCs w:val="20"/>
          <w:color w:val="auto"/>
        </w:rPr>
      </w:pPr>
    </w:p>
    <w:p>
      <w:pPr>
        <w:jc w:val="both"/>
        <w:ind w:left="80" w:firstLine="576"/>
        <w:spacing w:after="0" w:line="246" w:lineRule="auto"/>
        <w:tabs>
          <w:tab w:leader="none" w:pos="129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xml:space="preserve"> indicates each date upon which the Grantee shall become entitled to exercise the Option with respect to the number of shares of Common Stock granted as indicated provided that [(except with respect to retirement on the terms set forth below)]</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the Grantee has not incurred a termination of employment with the Company and all Subsidiaries (the Company and all Subsidiaries shall be referred to herein, collectively, as the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xml:space="preserve">”) prior to such date. Unless otherwise determined by the Committee in its sole discretion, for purposes of the Option, a termination of the Grantee’s employment with the Employer shall constitute a termination of service hereunder, notwithstanding any continued service with the Employer as a consultant, independent contractor or similar capacity. There shall be no proportionate or partial vesting in the periods between the Full Vest Dates specified in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xml:space="preserve"> and all vesting shall occur only on such Full Vest Dates. Except as otherwise provided in this Section 2(b) or in the Plan, no vesting shall occur after such date as the Grantee ceases to be employed by the Employer and the entire unvested portion of the Option shall be forfeited at such time. [Notwithstanding the preceding sentence, upon the Grantee’s retirement (as defined in the applicable Company policy as in effect on the date hereof), the Option shall continue to vest in installments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6459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15" w:lineRule="exact"/>
        <w:rPr>
          <w:sz w:val="20"/>
          <w:szCs w:val="20"/>
          <w:color w:val="auto"/>
        </w:rPr>
      </w:pPr>
    </w:p>
    <w:p>
      <w:pPr>
        <w:ind w:left="120" w:hanging="112"/>
        <w:spacing w:after="0"/>
        <w:tabs>
          <w:tab w:leader="none" w:pos="120"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Only applicable to Option Agreements for George D. Yancopoulos, M.D., Ph.D.</w:t>
      </w:r>
    </w:p>
    <w:p>
      <w:pPr>
        <w:sectPr>
          <w:pgSz w:w="11900" w:h="16838" w:orient="portrait"/>
          <w:cols w:equalWidth="0" w:num="1">
            <w:col w:w="11240"/>
          </w:cols>
          <w:pgMar w:left="320" w:top="758" w:right="339" w:bottom="1440" w:gutter="0" w:footer="0" w:header="0"/>
        </w:sectPr>
      </w:pPr>
    </w:p>
    <w:bookmarkStart w:id="141" w:name="page142"/>
    <w:bookmarkEnd w:id="141"/>
    <w:p>
      <w:pPr>
        <w:jc w:val="both"/>
        <w:ind w:left="80"/>
        <w:spacing w:after="0" w:line="244" w:lineRule="auto"/>
        <w:rPr>
          <w:sz w:val="20"/>
          <w:szCs w:val="20"/>
          <w:color w:val="auto"/>
        </w:rPr>
      </w:pPr>
      <w:r>
        <w:rPr>
          <w:rFonts w:ascii="Times New Roman" w:cs="Times New Roman" w:eastAsia="Times New Roman" w:hAnsi="Times New Roman"/>
          <w:sz w:val="18"/>
          <w:szCs w:val="18"/>
          <w:color w:val="auto"/>
        </w:rPr>
        <w:t xml:space="preserve">as provided in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xml:space="preserve"> as if the Grantee had continued to be employed by the Employer.]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For the avoidance of doubt and notwithstanding anything herein or in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xml:space="preserve"> to the contrary, any outstanding and unvested portion of the Option shall become fully vested on the date of the Grantee’s death. The provisions of this Section 2(b) are subject to (i) the provisions set forth in the </w:t>
      </w:r>
      <w:r>
        <w:rPr>
          <w:rFonts w:ascii="Times New Roman" w:cs="Times New Roman" w:eastAsia="Times New Roman" w:hAnsi="Times New Roman"/>
          <w:sz w:val="18"/>
          <w:szCs w:val="18"/>
          <w:i w:val="1"/>
          <w:iCs w:val="1"/>
          <w:color w:val="auto"/>
        </w:rPr>
        <w:t>Notice of 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Stock Options </w:t>
      </w:r>
      <w:r>
        <w:rPr>
          <w:rFonts w:ascii="Times New Roman" w:cs="Times New Roman" w:eastAsia="Times New Roman" w:hAnsi="Times New Roman"/>
          <w:sz w:val="18"/>
          <w:szCs w:val="18"/>
          <w:color w:val="auto"/>
        </w:rPr>
        <w:t>or any employment agreement, consulting agreement, change in control agreement or plan, or similar agreement or plan in effect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Employer and the Grantee (or otherwise applicable to the Grantee) on the date of grant specified in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xml:space="preserve"> and (ii) the Committee’s determination in accordance with Section 7(e) of the Plan.</w:t>
      </w:r>
    </w:p>
    <w:p>
      <w:pPr>
        <w:spacing w:after="0" w:line="84" w:lineRule="exact"/>
        <w:rPr>
          <w:sz w:val="20"/>
          <w:szCs w:val="20"/>
          <w:color w:val="auto"/>
        </w:rPr>
      </w:pPr>
    </w:p>
    <w:p>
      <w:pPr>
        <w:jc w:val="both"/>
        <w:ind w:left="80" w:firstLine="576"/>
        <w:spacing w:after="0" w:line="252" w:lineRule="auto"/>
        <w:tabs>
          <w:tab w:leader="none" w:pos="12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(except the following sentence) or in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xml:space="preserve"> to the contrary, but subject to the provisions of any employment agreement, consulting agreement, change in control agreement or plan, or similar agreement or plan in effect between the Employer and the Grantee (or otherwise applicable to the Grantee) on the date of grant specified in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xml:space="preserve"> the Option shall be fully vested on the date of termination of the Grantee’s employment with the Employer if the Grantee’s employment with the Employer is terminated on or within two years after the occurrence of a Change in Control by the Employer (other than for Cause) or by the Grantee for Good Reason. Except as otherwise provided in any employment agreement, consulting agreement, change in control agreement or plan, or similar agreement or plan in effect between the Employer and the Grantee (or otherwise applicable to the Grantee) on the date of grant specified in the </w:t>
      </w:r>
      <w:r>
        <w:rPr>
          <w:rFonts w:ascii="Times New Roman" w:cs="Times New Roman" w:eastAsia="Times New Roman" w:hAnsi="Times New Roman"/>
          <w:sz w:val="18"/>
          <w:szCs w:val="18"/>
          <w:i w:val="1"/>
          <w:iCs w:val="1"/>
          <w:color w:val="auto"/>
        </w:rPr>
        <w:t>Notice of Grant of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if the application of the provision in the foregoing sentence, similar provisions in other stock option or restricted stock grants, and other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benefits payable to the Grantee upon termination of employment with the Employer (collectively, the “</w:t>
      </w:r>
      <w:r>
        <w:rPr>
          <w:rFonts w:ascii="Times New Roman" w:cs="Times New Roman" w:eastAsia="Times New Roman" w:hAnsi="Times New Roman"/>
          <w:sz w:val="18"/>
          <w:szCs w:val="18"/>
          <w:u w:val="single" w:color="auto"/>
          <w:color w:val="auto"/>
        </w:rPr>
        <w:t>Company Payments</w:t>
      </w:r>
      <w:r>
        <w:rPr>
          <w:rFonts w:ascii="Times New Roman" w:cs="Times New Roman" w:eastAsia="Times New Roman" w:hAnsi="Times New Roman"/>
          <w:sz w:val="18"/>
          <w:szCs w:val="18"/>
          <w:color w:val="auto"/>
        </w:rPr>
        <w:t>”) would result in the Grantee being subject to the excise tax payable under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xml:space="preserve">”), the amount of any Company Payments shall be automatically reduced to an amount one dollar less than an amount that would subject the Grantee to the Excise Tax;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Grantee; (4) any benefits valued as parachute payments; and (5) acceleration of vesting of any equity not covered by (1) above.</w:t>
      </w:r>
    </w:p>
    <w:p>
      <w:pPr>
        <w:spacing w:after="0" w:line="216" w:lineRule="exact"/>
        <w:rPr>
          <w:sz w:val="20"/>
          <w:szCs w:val="20"/>
          <w:color w:val="auto"/>
        </w:rPr>
      </w:pPr>
    </w:p>
    <w:p>
      <w:pPr>
        <w:jc w:val="both"/>
        <w:ind w:firstLine="656"/>
        <w:spacing w:after="0" w:line="238" w:lineRule="auto"/>
        <w:tabs>
          <w:tab w:leader="none" w:pos="1008"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Option Term. </w:t>
      </w:r>
      <w:r>
        <w:rPr>
          <w:rFonts w:ascii="Times New Roman" w:cs="Times New Roman" w:eastAsia="Times New Roman" w:hAnsi="Times New Roman"/>
          <w:sz w:val="18"/>
          <w:szCs w:val="18"/>
          <w:color w:val="auto"/>
        </w:rPr>
        <w:t>(a) Except as otherwise provided in the next sentence or in the Plan, the Option shall expire on the tenth anniversary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grant of the Option as shown on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xml:space="preserve">. In the event of termination of employment with the Employer, except as set forth in any employment agreement, consulting agreement, change in control agreement or plan, or similar agreement or plan in effect between the Employer and the Grantee (or otherwise applicable to the Grantee) on the date of grant specified in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or as may be otherwise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(as defined in the applicable Company policy as in effect on the date hereof), or long-term disability, (B) the tenth anniversary of this grant if such termination is due to the Grantee’s retirement (as defined in the applicable Company policy as in effect on the date hereof) [or the Grantee’s death]</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[or the Grantee’s death at a time when the Grantee is eligible for retirement (as defined in the applicable Company policy as in effect on the date hereof)]</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p>
      <w:pPr>
        <w:spacing w:after="0" w:line="6" w:lineRule="exact"/>
        <w:rPr>
          <w:rFonts w:ascii="Times New Roman" w:cs="Times New Roman" w:eastAsia="Times New Roman" w:hAnsi="Times New Roman"/>
          <w:sz w:val="18"/>
          <w:szCs w:val="18"/>
          <w:b w:val="1"/>
          <w:bCs w:val="1"/>
          <w:color w:val="auto"/>
        </w:rPr>
      </w:pPr>
    </w:p>
    <w:p>
      <w:pPr>
        <w:jc w:val="both"/>
        <w:ind w:firstLine="8"/>
        <w:spacing w:after="0" w:line="242" w:lineRule="auto"/>
        <w:tabs>
          <w:tab w:leader="none" w:pos="29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termination if such termination is due to the Grantee’s [death at a time when the Grantee is not eligible for retirement (as defined in the applicable Company policy as in effect on the date hereof) or due to the Grantee’s]</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long-term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 For the avoidance of doubt, any outstanding and unvested portion of the Option that has become fully vested as a result of termination of the Grantee’s employment with the Employer on account of the Grantee’s death pursuant to Section 7(e)(2) of the Plan and Section 2(b) of this Agreement shall expire [one year after such termination]</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[on the tenth anniversary of this grant].</w:t>
      </w:r>
      <w:r>
        <w:rPr>
          <w:rFonts w:ascii="Times New Roman" w:cs="Times New Roman" w:eastAsia="Times New Roman" w:hAnsi="Times New Roman"/>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16459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48" w:lineRule="exact"/>
        <w:rPr>
          <w:sz w:val="20"/>
          <w:szCs w:val="20"/>
          <w:color w:val="auto"/>
        </w:rPr>
      </w:pPr>
    </w:p>
    <w:p>
      <w:pPr>
        <w:ind w:left="120" w:hanging="112"/>
        <w:spacing w:after="0"/>
        <w:tabs>
          <w:tab w:leader="none" w:pos="120"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Only applicable to Option Agreements for George D. Yancopoulos, M.D., Ph.D.</w:t>
      </w:r>
    </w:p>
    <w:p>
      <w:pPr>
        <w:spacing w:after="0" w:line="1" w:lineRule="exact"/>
        <w:rPr>
          <w:rFonts w:ascii="Times New Roman" w:cs="Times New Roman" w:eastAsia="Times New Roman" w:hAnsi="Times New Roman"/>
          <w:sz w:val="23"/>
          <w:szCs w:val="23"/>
          <w:color w:val="auto"/>
          <w:vertAlign w:val="superscript"/>
        </w:rPr>
      </w:pPr>
    </w:p>
    <w:p>
      <w:pPr>
        <w:ind w:right="5340"/>
        <w:spacing w:after="0" w:line="231"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Only applicable to Option Agreements for George D. Yancopoulos, M.D., Ph.D. </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7"/>
          <w:szCs w:val="17"/>
          <w:color w:val="auto"/>
        </w:rPr>
        <w:t xml:space="preserve"> Not applicable to Option Agreements for George D. Yancopoulos, M.D., Ph.D.</w:t>
      </w:r>
    </w:p>
    <w:p>
      <w:pPr>
        <w:spacing w:after="0" w:line="19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Not applicable to Option Agreements for George D. Yancopoulos, M.D., Ph.D.</w:t>
      </w:r>
    </w:p>
    <w:p>
      <w:pPr>
        <w:spacing w:after="0" w:line="19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Not applicable to Option Agreements for George D. Yancopoulos, M.D., Ph.D.</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Only applicable to Option Agreements for George D. Yancopoulos, M.D., Ph.D.</w:t>
      </w:r>
    </w:p>
    <w:p>
      <w:pPr>
        <w:sectPr>
          <w:pgSz w:w="11900" w:h="16838" w:orient="portrait"/>
          <w:cols w:equalWidth="0" w:num="1">
            <w:col w:w="11240"/>
          </w:cols>
          <w:pgMar w:left="320" w:top="874" w:right="339" w:bottom="1440" w:gutter="0" w:footer="0" w:header="0"/>
        </w:sectPr>
      </w:pPr>
    </w:p>
    <w:bookmarkStart w:id="142" w:name="page143"/>
    <w:bookmarkEnd w:id="142"/>
    <w:p>
      <w:pPr>
        <w:jc w:val="both"/>
        <w:ind w:left="-8" w:firstLine="656"/>
        <w:spacing w:after="0" w:line="252" w:lineRule="auto"/>
        <w:tabs>
          <w:tab w:leader="none" w:pos="128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shall mean (i) in the case where there is no employment agreement, consulting agreement, change in control agreement or plan, or similar agreement or plan in effect between the Company and the Grantee (or otherwise applicable to the Grantee) on the date of grant specified in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xml:space="preserve"> (or where there is such an agreement or plan but it does not define “cause” (or words of like import)) (A) the willful and continued failure by the Grantee substantially to perform his or her duties and obligations to the Employer (other than any such failure resulting from his or her incapacity due to physical or mental illness), including without limitation, repeated refusal to follow the reasonable directions of the Employer, violation of the Employer’s Code of Business Conduct and Ethics, knowing violation of law in the course of performance of the duties of the Grantee’s employment with the Employer, repeated absences from work without a reasonable excuse, or intoxication with alcohol or illegal drugs while on the Employer’s premises during regular business hours;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xml:space="preserve"> that defines “cause” (or words of like import), as defined under such agreement or plan.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89"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128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shall mean (i) in the case where there is no employment agreement, consulting agreement, change in control agreement or plan, or similar agreement or plan in effect between the Employer and the Grantee (or otherwise applicable to the Grantee) on the date of grant specified in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xml:space="preserve"> (or where there is such an agreement or plan but it does not define “good reason” (or words of like import)) a termination of employment by the Grantee within one hundred and twenty (120) days after the occurrence of one of the following events after the occurrence of a Change in Control unless such events are fully corrected in all material respects by the Employer within thirty</w:t>
      </w:r>
    </w:p>
    <w:p>
      <w:pPr>
        <w:spacing w:after="0" w:line="3"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34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following written notification by the Grantee to the Employer that Grantee intends to terminate his employment hereunder for one of the reasons set forth below: (A) (1) any material diminution in the Grantee’s duties and responsibilities from those which existed immediately prior to a Change in Control (except in each case in connection with the termination of the Grantee’s employment for Cause or as a result of the Grantee’s death, or temporarily as a result of the Grantee’s illness or other absence), or (2) the assignment to the Grantee of duties and responsibilities materially inconsistent with the position held by the Grantee; (B) any material breach by the Employer of any material provision of any written agreement with the Grantee or failure to timely pay any compensation obligation to the Grantee; (C) a reduction in the Grantee’s annual base salary or target bonus opportunity (if any) from that which existed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Times New Roman" w:cs="Times New Roman" w:eastAsia="Times New Roman" w:hAnsi="Times New Roman"/>
          <w:sz w:val="18"/>
          <w:szCs w:val="18"/>
          <w:i w:val="1"/>
          <w:iCs w:val="1"/>
          <w:color w:val="auto"/>
        </w:rPr>
        <w:t>Notice of Grant of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that defines “good reason” (or words of like import), as defined under such agreement or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definition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deemed, solely for purposes of this Agreement, to include as one of the reasons that the employment of Leonard S. Schleifer, M.D., Ph.D. with the Company under the Amended and Restated Employment Agreement, dated as of November 14, 2008, by and between Dr. Schleifer and the Company, as in effect from time to time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has ended due to Dr. Schleifer’s Involuntary Termination (as defined in the Employment Agreement)]</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w:t>
      </w:r>
    </w:p>
    <w:p>
      <w:pPr>
        <w:spacing w:after="0" w:line="18" w:lineRule="exact"/>
        <w:rPr>
          <w:sz w:val="20"/>
          <w:szCs w:val="20"/>
          <w:color w:val="auto"/>
        </w:rPr>
      </w:pPr>
    </w:p>
    <w:p>
      <w:pPr>
        <w:jc w:val="both"/>
        <w:ind w:left="-8" w:firstLine="656"/>
        <w:spacing w:after="0" w:line="254" w:lineRule="auto"/>
        <w:tabs>
          <w:tab w:leader="none" w:pos="1002"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of Option. </w:t>
      </w:r>
      <w:r>
        <w:rPr>
          <w:rFonts w:ascii="Times New Roman" w:cs="Times New Roman" w:eastAsia="Times New Roman" w:hAnsi="Times New Roman"/>
          <w:sz w:val="18"/>
          <w:szCs w:val="18"/>
          <w:color w:val="auto"/>
        </w:rPr>
        <w:t>The Option granted hereby shall not be transferable other than by will or by the laws of descent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transfer may be made in exchange for consideration.</w:t>
      </w:r>
    </w:p>
    <w:p>
      <w:pPr>
        <w:spacing w:after="0" w:line="77" w:lineRule="exact"/>
        <w:rPr>
          <w:rFonts w:ascii="Times New Roman" w:cs="Times New Roman" w:eastAsia="Times New Roman" w:hAnsi="Times New Roman"/>
          <w:sz w:val="18"/>
          <w:szCs w:val="18"/>
          <w:b w:val="1"/>
          <w:bCs w:val="1"/>
          <w:color w:val="auto"/>
        </w:rPr>
      </w:pPr>
    </w:p>
    <w:p>
      <w:pPr>
        <w:ind w:left="-8" w:firstLine="656"/>
        <w:spacing w:after="0" w:line="286" w:lineRule="auto"/>
        <w:tabs>
          <w:tab w:leader="none" w:pos="102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of a Shareholder. </w:t>
      </w:r>
      <w:r>
        <w:rPr>
          <w:rFonts w:ascii="Times New Roman" w:cs="Times New Roman" w:eastAsia="Times New Roman" w:hAnsi="Times New Roman"/>
          <w:sz w:val="18"/>
          <w:szCs w:val="18"/>
          <w:color w:val="auto"/>
        </w:rPr>
        <w:t>The Grantee shall have no rights as a shareholder with respect to any shares of Common Stock subject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prior to the date of issuance to the Grantee of a certificate or certificates or book-entry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16459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6" w:lineRule="exact"/>
        <w:rPr>
          <w:sz w:val="20"/>
          <w:szCs w:val="20"/>
          <w:color w:val="auto"/>
        </w:rPr>
      </w:pPr>
    </w:p>
    <w:p>
      <w:pPr>
        <w:ind w:left="112" w:hanging="112"/>
        <w:spacing w:after="0"/>
        <w:tabs>
          <w:tab w:leader="none" w:pos="112" w:val="left"/>
        </w:tabs>
        <w:numPr>
          <w:ilvl w:val="0"/>
          <w:numId w:val="7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Only applicable to Option Agreements for George D. Yancopoulos, M.D., Ph.D.</w:t>
      </w:r>
    </w:p>
    <w:p>
      <w:pPr>
        <w:sectPr>
          <w:pgSz w:w="11900" w:h="16838" w:orient="portrait"/>
          <w:cols w:equalWidth="0" w:num="1">
            <w:col w:w="11232"/>
          </w:cols>
          <w:pgMar w:left="328" w:top="877" w:right="339" w:bottom="1440" w:gutter="0" w:footer="0" w:header="0"/>
        </w:sectPr>
      </w:pPr>
    </w:p>
    <w:bookmarkStart w:id="143" w:name="page144"/>
    <w:bookmarkEnd w:id="143"/>
    <w:p>
      <w:pPr>
        <w:jc w:val="both"/>
        <w:spacing w:after="0" w:line="258" w:lineRule="auto"/>
        <w:rPr>
          <w:sz w:val="20"/>
          <w:szCs w:val="20"/>
          <w:color w:val="auto"/>
        </w:rPr>
      </w:pPr>
      <w:r>
        <w:rPr>
          <w:rFonts w:ascii="Times New Roman" w:cs="Times New Roman" w:eastAsia="Times New Roman" w:hAnsi="Times New Roman"/>
          <w:sz w:val="18"/>
          <w:szCs w:val="18"/>
          <w:color w:val="auto"/>
        </w:rPr>
        <w:t>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 The Company may, in its sole discretion, determine to deliver any documents related to participation in the Plan or deliverable to the Grantee in the Grantee’s capacity as a shareholder of the Company by electronic means. The Grantee hereby consents to receive any and all such documents by electronic delivery to the extent the Company utilizes such delivery method from time to time.</w:t>
      </w:r>
    </w:p>
    <w:p>
      <w:pPr>
        <w:spacing w:after="0" w:line="71" w:lineRule="exact"/>
        <w:rPr>
          <w:sz w:val="20"/>
          <w:szCs w:val="20"/>
          <w:color w:val="auto"/>
        </w:rPr>
      </w:pPr>
    </w:p>
    <w:p>
      <w:pPr>
        <w:jc w:val="both"/>
        <w:ind w:firstLine="656"/>
        <w:spacing w:after="0" w:line="254" w:lineRule="auto"/>
        <w:tabs>
          <w:tab w:leader="none" w:pos="1057"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 and Regulations. </w:t>
      </w:r>
      <w:r>
        <w:rPr>
          <w:rFonts w:ascii="Times New Roman" w:cs="Times New Roman" w:eastAsia="Times New Roman" w:hAnsi="Times New Roman"/>
          <w:sz w:val="18"/>
          <w:szCs w:val="18"/>
          <w:color w:val="auto"/>
        </w:rPr>
        <w:t>This Agreement, the award hereunder and any obligation of the Company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7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009"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Grantee Bound by Plan. </w:t>
      </w:r>
      <w:r>
        <w:rPr>
          <w:rFonts w:ascii="Times New Roman" w:cs="Times New Roman" w:eastAsia="Times New Roman" w:hAnsi="Times New Roman"/>
          <w:sz w:val="18"/>
          <w:szCs w:val="18"/>
          <w:color w:val="auto"/>
        </w:rPr>
        <w:t>The Grantee acknowledges receipt of a copy of the Plan and agrees to be bound by all the terms and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62"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76"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 or communication given hereunder shall be in writing and shall be deemed given when delivered in person, or by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71"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01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Continue Employment. </w:t>
      </w:r>
      <w:r>
        <w:rPr>
          <w:rFonts w:ascii="Times New Roman" w:cs="Times New Roman" w:eastAsia="Times New Roman" w:hAnsi="Times New Roman"/>
          <w:sz w:val="18"/>
          <w:szCs w:val="18"/>
          <w:color w:val="auto"/>
        </w:rPr>
        <w:t>This Agreement does not guarantee that the Employer will employ or continue the services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for any specified time period, nor does it modify in any respect the Grantee’s employment or compensation.</w:t>
      </w:r>
    </w:p>
    <w:p>
      <w:pPr>
        <w:spacing w:after="0" w:line="46"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134"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Recoupment. </w:t>
      </w:r>
      <w:r>
        <w:rPr>
          <w:rFonts w:ascii="Times New Roman" w:cs="Times New Roman" w:eastAsia="Times New Roman" w:hAnsi="Times New Roman"/>
          <w:sz w:val="18"/>
          <w:szCs w:val="18"/>
          <w:color w:val="auto"/>
        </w:rPr>
        <w:t>By entering into this Agreement and accepting the award hereunder, the Grantee agrees to be bound by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Policy Regarding Recoupment or Reduction of Incentive Compensation for Compliance Violations, as in effect from time to time (or any successor policy thereto) (the “</w:t>
      </w:r>
      <w:r>
        <w:rPr>
          <w:rFonts w:ascii="Times New Roman" w:cs="Times New Roman" w:eastAsia="Times New Roman" w:hAnsi="Times New Roman"/>
          <w:sz w:val="18"/>
          <w:szCs w:val="18"/>
          <w:u w:val="single" w:color="auto"/>
          <w:color w:val="auto"/>
        </w:rPr>
        <w:t>Recoupment Policy</w:t>
      </w:r>
      <w:r>
        <w:rPr>
          <w:rFonts w:ascii="Times New Roman" w:cs="Times New Roman" w:eastAsia="Times New Roman" w:hAnsi="Times New Roman"/>
          <w:sz w:val="18"/>
          <w:szCs w:val="18"/>
          <w:color w:val="auto"/>
        </w:rPr>
        <w:t>”), and further acknowledges and agrees that the Recoupment Policy shall apply to the Option and any shares of Common Stock issued pursuant thereto.</w:t>
      </w:r>
    </w:p>
    <w:p>
      <w:pPr>
        <w:sectPr>
          <w:pgSz w:w="11900" w:h="16838" w:orient="portrait"/>
          <w:cols w:equalWidth="0" w:num="1">
            <w:col w:w="11240"/>
          </w:cols>
          <w:pgMar w:left="320" w:top="87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color w:val="auto"/>
        </w:rPr>
        <w:t>Exhibit 10.3.9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104" w:lineRule="exact"/>
        <w:rPr>
          <w:sz w:val="20"/>
          <w:szCs w:val="20"/>
          <w:color w:val="auto"/>
        </w:rPr>
      </w:pPr>
    </w:p>
    <w:p>
      <w:pPr>
        <w:ind w:left="5100"/>
        <w:spacing w:after="0"/>
        <w:tabs>
          <w:tab w:leader="none" w:pos="6040" w:val="left"/>
        </w:tabs>
        <w:rPr>
          <w:sz w:val="20"/>
          <w:szCs w:val="20"/>
          <w:color w:val="auto"/>
        </w:rPr>
      </w:pPr>
      <w:r>
        <w:rPr>
          <w:rFonts w:ascii="Times New Roman" w:cs="Times New Roman" w:eastAsia="Times New Roman" w:hAnsi="Times New Roman"/>
          <w:sz w:val="18"/>
          <w:szCs w:val="18"/>
          <w:b w:val="1"/>
          <w:bCs w:val="1"/>
          <w:color w:val="auto"/>
        </w:rPr>
        <w:t xml:space="preserve">ID: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20"/>
        <w:spacing w:after="0"/>
        <w:tabs>
          <w:tab w:leader="none" w:pos="5080" w:val="left"/>
        </w:tabs>
        <w:rPr>
          <w:sz w:val="20"/>
          <w:szCs w:val="20"/>
          <w:color w:val="auto"/>
        </w:rPr>
      </w:pPr>
      <w:r>
        <w:rPr>
          <w:rFonts w:ascii="Times New Roman" w:cs="Times New Roman" w:eastAsia="Times New Roman" w:hAnsi="Times New Roman"/>
          <w:sz w:val="18"/>
          <w:szCs w:val="18"/>
          <w:b w:val="1"/>
          <w:bCs w:val="1"/>
          <w:color w:val="auto"/>
        </w:rPr>
        <w:t>Notice of Grant of Award and Restricted Stock</w:t>
      </w:r>
      <w:r>
        <w:rPr>
          <w:sz w:val="20"/>
          <w:szCs w:val="20"/>
          <w:color w:val="auto"/>
        </w:rPr>
        <w:tab/>
      </w:r>
      <w:r>
        <w:rPr>
          <w:rFonts w:ascii="Times New Roman" w:cs="Times New Roman" w:eastAsia="Times New Roman" w:hAnsi="Times New Roman"/>
          <w:sz w:val="17"/>
          <w:szCs w:val="17"/>
          <w:color w:val="auto"/>
        </w:rPr>
        <w:t>777 Old Saw Mill River Road</w:t>
      </w:r>
    </w:p>
    <w:p>
      <w:pPr>
        <w:spacing w:after="0" w:line="108" w:lineRule="exact"/>
        <w:rPr>
          <w:sz w:val="20"/>
          <w:szCs w:val="20"/>
          <w:color w:val="auto"/>
        </w:rPr>
      </w:pPr>
    </w:p>
    <w:p>
      <w:pPr>
        <w:ind w:left="20"/>
        <w:spacing w:after="0"/>
        <w:tabs>
          <w:tab w:leader="none" w:pos="5080" w:val="left"/>
        </w:tabs>
        <w:rPr>
          <w:sz w:val="20"/>
          <w:szCs w:val="20"/>
          <w:color w:val="auto"/>
        </w:rPr>
      </w:pPr>
      <w:r>
        <w:rPr>
          <w:rFonts w:ascii="Times New Roman" w:cs="Times New Roman" w:eastAsia="Times New Roman" w:hAnsi="Times New Roman"/>
          <w:sz w:val="18"/>
          <w:szCs w:val="18"/>
          <w:b w:val="1"/>
          <w:bCs w:val="1"/>
          <w:color w:val="auto"/>
        </w:rPr>
        <w:t>Agreement</w:t>
      </w:r>
      <w:r>
        <w:rPr>
          <w:sz w:val="20"/>
          <w:szCs w:val="20"/>
          <w:color w:val="auto"/>
        </w:rPr>
        <w:tab/>
      </w:r>
      <w:r>
        <w:rPr>
          <w:rFonts w:ascii="Times New Roman" w:cs="Times New Roman" w:eastAsia="Times New Roman" w:hAnsi="Times New Roman"/>
          <w:sz w:val="18"/>
          <w:szCs w:val="18"/>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38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RSA Number:</w:t>
            </w:r>
          </w:p>
        </w:tc>
        <w:tc>
          <w:tcPr>
            <w:tcW w:w="5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t>
            </w:r>
          </w:p>
        </w:tc>
        <w:tc>
          <w:tcPr>
            <w:tcW w:w="4240" w:type="dxa"/>
            <w:vAlign w:val="bottom"/>
          </w:tcPr>
          <w:p>
            <w:pPr>
              <w:jc w:val="right"/>
              <w:ind w:right="3772"/>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3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338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Plan:</w:t>
            </w:r>
          </w:p>
        </w:tc>
        <w:tc>
          <w:tcPr>
            <w:tcW w:w="5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t>
            </w:r>
          </w:p>
        </w:tc>
        <w:tc>
          <w:tcPr>
            <w:tcW w:w="4240" w:type="dxa"/>
            <w:vAlign w:val="bottom"/>
          </w:tcPr>
          <w:p>
            <w:pPr>
              <w:jc w:val="right"/>
              <w:ind w:right="3772"/>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310"/>
        </w:trPr>
        <w:tc>
          <w:tcPr>
            <w:tcW w:w="3040" w:type="dxa"/>
            <w:vAlign w:val="bottom"/>
          </w:tcPr>
          <w:p>
            <w:pPr>
              <w:spacing w:after="0"/>
              <w:rPr>
                <w:sz w:val="24"/>
                <w:szCs w:val="24"/>
                <w:color w:val="auto"/>
              </w:rPr>
            </w:pPr>
          </w:p>
        </w:tc>
        <w:tc>
          <w:tcPr>
            <w:tcW w:w="338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ID:</w:t>
            </w:r>
          </w:p>
        </w:tc>
        <w:tc>
          <w:tcPr>
            <w:tcW w:w="5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t>
            </w:r>
          </w:p>
        </w:tc>
        <w:tc>
          <w:tcPr>
            <w:tcW w:w="4240" w:type="dxa"/>
            <w:vAlign w:val="bottom"/>
          </w:tcPr>
          <w:p>
            <w:pPr>
              <w:jc w:val="right"/>
              <w:ind w:right="3772"/>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79"/>
        </w:trPr>
        <w:tc>
          <w:tcPr>
            <w:tcW w:w="30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4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Effective &lt;date&gt; (the “Grant Date”) you have been granted an award of [ These shares are restricted until the vest date(s) shown below.</w:t>
      </w:r>
    </w:p>
    <w:p>
      <w:pPr>
        <w:spacing w:after="0" w:line="14" w:lineRule="exact"/>
        <w:rPr>
          <w:sz w:val="20"/>
          <w:szCs w:val="20"/>
          <w:color w:val="auto"/>
        </w:rPr>
      </w:pPr>
    </w:p>
    <w:p>
      <w:pPr>
        <w:spacing w:after="0"/>
        <w:tabs>
          <w:tab w:leader="none" w:pos="3280" w:val="left"/>
        </w:tabs>
        <w:rPr>
          <w:sz w:val="20"/>
          <w:szCs w:val="20"/>
          <w:color w:val="auto"/>
        </w:rPr>
      </w:pPr>
      <w:r>
        <w:rPr>
          <w:rFonts w:ascii="Times New Roman" w:cs="Times New Roman" w:eastAsia="Times New Roman" w:hAnsi="Times New Roman"/>
          <w:sz w:val="18"/>
          <w:szCs w:val="18"/>
          <w:color w:val="auto"/>
        </w:rPr>
        <w:t>The current total value of the award is $[</w:t>
      </w:r>
      <w:r>
        <w:rPr>
          <w:sz w:val="20"/>
          <w:szCs w:val="20"/>
          <w:color w:val="auto"/>
        </w:rPr>
        <w:tab/>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award will vest in full on the date(s) shown.</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Shares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of Regeneron Pharmaceuticals, Inc. (the “Company”)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3"/>
          <w:szCs w:val="13"/>
          <w:b w:val="1"/>
          <w:bCs w:val="1"/>
          <w:color w:val="auto"/>
        </w:rPr>
        <w:t>Full Vest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78740</wp:posOffset>
            </wp:positionV>
            <wp:extent cx="7132320" cy="2311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2">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2">
            <w:col w:w="5260" w:space="220"/>
            <w:col w:w="5760"/>
          </w:cols>
          <w:pgMar w:left="320" w:top="108" w:right="339" w:bottom="1440" w:gutter="0" w:footer="0" w:header="0"/>
          <w:type w:val="continuous"/>
        </w:sectPr>
      </w:pPr>
    </w:p>
    <w:p>
      <w:pPr>
        <w:ind w:left="20"/>
        <w:spacing w:after="0"/>
        <w:tabs>
          <w:tab w:leader="none" w:pos="660" w:val="left"/>
          <w:tab w:leader="none" w:pos="6220" w:val="left"/>
          <w:tab w:leader="none" w:pos="6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right="240"/>
        <w:spacing w:after="0" w:line="236" w:lineRule="auto"/>
        <w:rPr>
          <w:sz w:val="20"/>
          <w:szCs w:val="20"/>
          <w:color w:val="auto"/>
        </w:rPr>
      </w:pPr>
      <w:r>
        <w:rPr>
          <w:rFonts w:ascii="Times New Roman" w:cs="Times New Roman" w:eastAsia="Times New Roman" w:hAnsi="Times New Roman"/>
          <w:sz w:val="17"/>
          <w:szCs w:val="17"/>
          <w:color w:val="auto"/>
        </w:rPr>
        <w:t>You and the Company agree that this award is granted under and governed by the terms and conditions of the Second Amended and Restated Regeneron Pharmaceuticals, Inc. 2014 Long Term Incentive Plan, as amended from time to time, and the enclosed Restricted Stock Agreement, both of which are</w:t>
      </w:r>
    </w:p>
    <w:p>
      <w:pPr>
        <w:ind w:left="20"/>
        <w:spacing w:after="0"/>
        <w:rPr>
          <w:sz w:val="20"/>
          <w:szCs w:val="20"/>
          <w:color w:val="auto"/>
        </w:rPr>
      </w:pPr>
      <w:r>
        <w:rPr>
          <w:rFonts w:ascii="Times New Roman" w:cs="Times New Roman" w:eastAsia="Times New Roman" w:hAnsi="Times New Roman"/>
          <w:sz w:val="18"/>
          <w:szCs w:val="18"/>
          <w:color w:val="auto"/>
        </w:rPr>
        <w:t>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310" w:lineRule="exact"/>
        <w:rPr>
          <w:sz w:val="20"/>
          <w:szCs w:val="20"/>
          <w:color w:val="auto"/>
        </w:rPr>
      </w:pPr>
    </w:p>
    <w:p>
      <w:pPr>
        <w:ind w:left="540" w:hanging="51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will vest 50% on the second anniversary of the Grant Date and 50% on the fourth anniversary of the Grant Date.</w:t>
      </w:r>
    </w:p>
    <w:p>
      <w:pPr>
        <w:sectPr>
          <w:pgSz w:w="11900" w:h="16838" w:orient="portrait"/>
          <w:cols w:equalWidth="0" w:num="1">
            <w:col w:w="11240"/>
          </w:cols>
          <w:pgMar w:left="320" w:top="108" w:right="339" w:bottom="1440" w:gutter="0" w:footer="0" w:header="0"/>
          <w:type w:val="continuous"/>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5"/>
          <w:szCs w:val="25"/>
          <w:b w:val="1"/>
          <w:bCs w:val="1"/>
          <w:color w:val="800000"/>
        </w:rPr>
        <w:t>REGENERON PHARMACEUTICALS, INC.</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AGREEMENT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SECOND AMENDED AND RESTATED REGENERON PHARMACEUTICALS,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2014 LONG-TERM INCENTIVE PLAN</w:t>
      </w:r>
    </w:p>
    <w:p>
      <w:pPr>
        <w:spacing w:after="0" w:line="297"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THIS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made as of the date on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by and between Regeneron Pharmaceuticals, Inc., a New York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employee named on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Any capitalized term used but not defined in this Agreement shall have the meaning given to such term in the Plan (as defined below).</w:t>
      </w:r>
    </w:p>
    <w:p>
      <w:pPr>
        <w:spacing w:after="0" w:line="6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WHEREAS, the Recipient is an employee of the Company (or a Subsidiary of the Company) and the Company desires to afford the Recipient the opportunity to acquire or enlarge the Recipient’s stock ownership in the Company so that the Recipient may have a direct proprietary interest in the Company’s success; and</w:t>
      </w:r>
    </w:p>
    <w:p>
      <w:pPr>
        <w:spacing w:after="0" w:line="6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Committee administering the Second Amended and Restated Regeneron Pharmaceuticals, Inc. 2014 Long-Term Incentive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has granted (as of the effective date of grant specified in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xml:space="preserve">) to the Recipient the shares of Restricted Stock as set forth in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NOW, THEREFORE, in consideration of the covenants and agreements herein contained, the parties agree as follows:</w:t>
      </w:r>
    </w:p>
    <w:p>
      <w:pPr>
        <w:spacing w:after="0" w:line="100" w:lineRule="exact"/>
        <w:rPr>
          <w:sz w:val="20"/>
          <w:szCs w:val="20"/>
          <w:color w:val="auto"/>
        </w:rPr>
      </w:pPr>
    </w:p>
    <w:p>
      <w:pPr>
        <w:jc w:val="both"/>
        <w:ind w:firstLine="1304"/>
        <w:spacing w:after="0" w:line="225" w:lineRule="auto"/>
        <w:tabs>
          <w:tab w:leader="none" w:pos="194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Award</w:t>
      </w:r>
      <w:r>
        <w:rPr>
          <w:rFonts w:ascii="Times New Roman" w:cs="Times New Roman" w:eastAsia="Times New Roman" w:hAnsi="Times New Roman"/>
          <w:sz w:val="18"/>
          <w:szCs w:val="18"/>
          <w:color w:val="auto"/>
        </w:rPr>
        <w:t>. Pursuant to Section 8 of the Plan, the Company grants to the Recipient, subject to the terms and conditions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Plan and subject further to the terms and conditions set forth herein, the number of shares of Restricted Stock as shown on the </w:t>
      </w:r>
      <w:r>
        <w:rPr>
          <w:rFonts w:ascii="Times New Roman" w:cs="Times New Roman" w:eastAsia="Times New Roman" w:hAnsi="Times New Roman"/>
          <w:sz w:val="18"/>
          <w:szCs w:val="18"/>
          <w:i w:val="1"/>
          <w:iCs w:val="1"/>
          <w:color w:val="auto"/>
        </w:rPr>
        <w:t>Notice of Grant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The Recipient’s grant and record of Restricted Stock share ownership shall be kept on the books of the Company until the restrictions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have lapsed. At the Recipient’s request, vested shares may be evidenced by stock certificates or book-entry registration.</w:t>
      </w:r>
    </w:p>
    <w:p>
      <w:pPr>
        <w:spacing w:after="0" w:line="47" w:lineRule="exact"/>
        <w:rPr>
          <w:rFonts w:ascii="Times New Roman" w:cs="Times New Roman" w:eastAsia="Times New Roman" w:hAnsi="Times New Roman"/>
          <w:sz w:val="18"/>
          <w:szCs w:val="18"/>
          <w:color w:val="auto"/>
        </w:rPr>
      </w:pPr>
    </w:p>
    <w:p>
      <w:pPr>
        <w:jc w:val="both"/>
        <w:ind w:firstLine="1304"/>
        <w:spacing w:after="0" w:line="205" w:lineRule="auto"/>
        <w:tabs>
          <w:tab w:leader="none" w:pos="194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(a) The shares of Restricted Stock granted to the Recipient shall vest in installments as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Notice of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of Restricted Stock</w:t>
      </w:r>
      <w:r>
        <w:rPr>
          <w:rFonts w:ascii="Times New Roman" w:cs="Times New Roman" w:eastAsia="Times New Roman" w:hAnsi="Times New Roman"/>
          <w:sz w:val="18"/>
          <w:szCs w:val="18"/>
          <w:color w:val="auto"/>
        </w:rPr>
        <w:t>. The vesting schedule in the</w:t>
      </w:r>
      <w:r>
        <w:rPr>
          <w:rFonts w:ascii="Times New Roman" w:cs="Times New Roman" w:eastAsia="Times New Roman" w:hAnsi="Times New Roman"/>
          <w:sz w:val="18"/>
          <w:szCs w:val="18"/>
          <w:i w:val="1"/>
          <w:iCs w:val="1"/>
          <w:color w:val="auto"/>
        </w:rPr>
        <w:t xml:space="preserve"> Notice of Grant of Restricted Stock </w:t>
      </w:r>
      <w:r>
        <w:rPr>
          <w:rFonts w:ascii="Times New Roman" w:cs="Times New Roman" w:eastAsia="Times New Roman" w:hAnsi="Times New Roman"/>
          <w:sz w:val="18"/>
          <w:szCs w:val="18"/>
          <w:color w:val="auto"/>
        </w:rPr>
        <w:t>indicates each date upon which the restrictions on transfer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number of shares of Restricted Stock shall lapse, entitling the Recipient to freely transfer such shares, provided that the Recipient has not [(except with respect to retirement on the terms set forth below)]</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incurred a termination of employment with the Company and all Subsidiaries (the Company and its Subsidiaries shall be referred to herein, collectively, as the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xml:space="preserve">”). There shall be no proportionate or partial vesting in the periods between the Full Vest Dates specified in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xml:space="preserve"> and all vesting shall occur only on such Full Vest Dates. Subject to the final sentence of Section 3 hereof, no vesting shall occur after such date as the Recipient ceases to be employed by the Employer for any reason [(except with respect to retirement on the terms set forth below)]</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The provisions of this Section 2(a) are subject to (i) the provisions set forth in the </w:t>
      </w:r>
      <w:r>
        <w:rPr>
          <w:rFonts w:ascii="Times New Roman" w:cs="Times New Roman" w:eastAsia="Times New Roman" w:hAnsi="Times New Roman"/>
          <w:sz w:val="18"/>
          <w:szCs w:val="18"/>
          <w:i w:val="1"/>
          <w:iCs w:val="1"/>
          <w:color w:val="auto"/>
        </w:rPr>
        <w:t>Notice of Grant of 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or any employment agreement, consulting agreement, change in control agreement or plan, or similar agreement or plan in effect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Employer and the Recipient (or otherwise applicable to the Recipient) on the date of grant specified in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xml:space="preserve"> and (ii) the Committee’s determination in accordance with Section 8(h) of the Plan.</w:t>
      </w:r>
    </w:p>
    <w:p>
      <w:pPr>
        <w:spacing w:after="0" w:line="51" w:lineRule="exact"/>
        <w:rPr>
          <w:sz w:val="20"/>
          <w:szCs w:val="20"/>
          <w:color w:val="auto"/>
        </w:rPr>
      </w:pPr>
    </w:p>
    <w:p>
      <w:pPr>
        <w:jc w:val="both"/>
        <w:ind w:firstLine="1304"/>
        <w:spacing w:after="0" w:line="218" w:lineRule="auto"/>
        <w:tabs>
          <w:tab w:leader="none" w:pos="193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(except the following sentence) or in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xml:space="preserve"> to the contrary, but subject to the provisions of any employment agreement, consulting agreement, change in control agreement or plan, or similar agreement or plan in effect between the Employer and the Recipient (or otherwise applicable to the Recipient) on the date of grant specified in the </w:t>
      </w:r>
      <w:r>
        <w:rPr>
          <w:rFonts w:ascii="Times New Roman" w:cs="Times New Roman" w:eastAsia="Times New Roman" w:hAnsi="Times New Roman"/>
          <w:sz w:val="18"/>
          <w:szCs w:val="18"/>
          <w:i w:val="1"/>
          <w:iCs w:val="1"/>
          <w:color w:val="auto"/>
        </w:rPr>
        <w:t>Notice of Grant of 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the Restricted Stock granted to Recipient shall be fully vested on the date the Recipient’s employment with the Employer is terminated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Recipient’s employment with the Employer is terminated on or within two years after the occurrence of a Change in Control by the Employer (other than for Cause) or by the Recipient for Good Reason. Except as otherwise provided in any employment agreement, consulting agreement, change in control agreement or plan, or similar agreement or plan in effect between the Employer and the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6459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88" w:lineRule="exact"/>
        <w:rPr>
          <w:sz w:val="20"/>
          <w:szCs w:val="20"/>
          <w:color w:val="auto"/>
        </w:rPr>
      </w:pPr>
    </w:p>
    <w:p>
      <w:pPr>
        <w:ind w:left="120" w:hanging="112"/>
        <w:spacing w:after="0"/>
        <w:tabs>
          <w:tab w:leader="none" w:pos="120" w:val="left"/>
        </w:tabs>
        <w:numPr>
          <w:ilvl w:val="0"/>
          <w:numId w:val="7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Only applicable to Restricted Stock Agreements for George D. Yancopoulos, M.D., Ph.D.</w:t>
      </w:r>
    </w:p>
    <w:p>
      <w:pPr>
        <w:spacing w:after="0" w:line="1"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Only applicable to Restricted Stock Agreements for George D. Yancopoulos, M.D., Ph.D.</w:t>
      </w:r>
    </w:p>
    <w:p>
      <w:pPr>
        <w:sectPr>
          <w:pgSz w:w="11900" w:h="16838" w:orient="portrait"/>
          <w:cols w:equalWidth="0" w:num="1">
            <w:col w:w="11240"/>
          </w:cols>
          <w:pgMar w:left="320" w:top="1406" w:right="339" w:bottom="1440" w:gutter="0" w:footer="0" w:header="0"/>
        </w:sectPr>
      </w:pPr>
    </w:p>
    <w:bookmarkStart w:id="146" w:name="page147"/>
    <w:bookmarkEnd w:id="146"/>
    <w:p>
      <w:pPr>
        <w:spacing w:after="0" w:line="7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(or otherwise applicable to the Recipient) on the date of grant specified in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if the application of the provision in the foregoing sentence, similar provisions in other stock option or restricted stock grants, and other payments and benefits payable to the Recipient upon</w:t>
      </w:r>
    </w:p>
    <w:p>
      <w:pPr>
        <w:jc w:val="both"/>
        <w:spacing w:after="0" w:line="208" w:lineRule="auto"/>
        <w:rPr>
          <w:sz w:val="20"/>
          <w:szCs w:val="20"/>
          <w:color w:val="auto"/>
        </w:rPr>
      </w:pPr>
      <w:r>
        <w:rPr>
          <w:rFonts w:ascii="Times New Roman" w:cs="Times New Roman" w:eastAsia="Times New Roman" w:hAnsi="Times New Roman"/>
          <w:sz w:val="18"/>
          <w:szCs w:val="18"/>
          <w:color w:val="auto"/>
        </w:rPr>
        <w:t>termination of employment with the Employer (collectively, the “</w:t>
      </w:r>
      <w:r>
        <w:rPr>
          <w:rFonts w:ascii="Times New Roman" w:cs="Times New Roman" w:eastAsia="Times New Roman" w:hAnsi="Times New Roman"/>
          <w:sz w:val="18"/>
          <w:szCs w:val="18"/>
          <w:u w:val="single" w:color="auto"/>
          <w:color w:val="auto"/>
        </w:rPr>
        <w:t>Company Payments</w:t>
      </w:r>
      <w:r>
        <w:rPr>
          <w:rFonts w:ascii="Times New Roman" w:cs="Times New Roman" w:eastAsia="Times New Roman" w:hAnsi="Times New Roman"/>
          <w:sz w:val="18"/>
          <w:szCs w:val="18"/>
          <w:color w:val="auto"/>
        </w:rPr>
        <w:t>”) would result in the Recipient being subject to excise tax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payable under Section 4999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the amount of any Company Payments shall be automatically reduced to an amount one dollar less than an amount that would subject the Recipient to the Excise Tax;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reduction shall occur only if the reduced Company Payments received by the Recipient (after taking into account further reductions for applicable federal, state and local income, social security and other taxes) would be greater than the unreduced Company Payments to be received by the Recipient minus (i) the Excise Tax payable with respect to such Company Payments and (ii) all applicable federal, state and local income, social security and other taxes 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such Company Payments. If the Company Payments are to be reduced in accordance with the foregoing, the Company Payments shall be reduced as mutually agreed between the Employer and the Recipient or, in the event the parties cannot agree, in the following order: (1) acceleration of vesting of any option where the exercise price exceeds the fair market value of the underlying shares at the time the acceleration would otherwise occur; (2) any lump-sum</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severance based on a multiple of base salary or bonus; (3) any other cash amounts payable to the Recipient; (4) any benefits valued as parachute payments; and (5) acceleration of vesting of any equity not covered by (1) above.</w:t>
      </w:r>
    </w:p>
    <w:p>
      <w:pPr>
        <w:spacing w:after="0" w:line="49" w:lineRule="exact"/>
        <w:rPr>
          <w:sz w:val="20"/>
          <w:szCs w:val="20"/>
          <w:color w:val="auto"/>
        </w:rPr>
      </w:pPr>
    </w:p>
    <w:p>
      <w:pPr>
        <w:jc w:val="both"/>
        <w:ind w:firstLine="1304"/>
        <w:spacing w:after="0" w:line="213" w:lineRule="auto"/>
        <w:tabs>
          <w:tab w:leader="none" w:pos="194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shall mean (i) in the case where there is no employment agreement, consulting agreement, change in control agreement or plan, or similar agreement or plan in effect between the Employer and the Recipient (or otherwise applicable to the Recipient) on the date of grant specified in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xml:space="preserve"> (or where there is such an agreement or plan but it does not define “cause” (or words of like import)) (A) the willful and continued failure by the Recipient substantially to perform his or her duties and obligations to the Employer (other than any such failure resulting from his or her incapacity due to physical or mental illness), including without limitation, repeated refusal to follow the reasonable directions of the Employer, violation of the Employer’s Code of Business Conduct and Ethics, knowing violation of law in the course of performance of the duties of the Recipient’s employment with the Employer, repeated absences from work without a reasonable excuse, or intoxication with alcohol or illegal drugs while on the Employer’s premises during regular business hours;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Recipient (or otherwise applicable to the Recipient) on the date of grant specified on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xml:space="preserve"> that defines “cause” (or words of like import), as defined under such agreement or plan. For purposes of this Section 2(c), no act, or failure to act, on the Recipient’s part shall be considered “willful” unless done, or omitted to be done, by the Recipient in bad faith and without reasonable belief that his or her action or omission was in the best interest of the Employer. Any determination of Cause made prior to a Change in Control shall be made by the Committee in its sole discretion.</w:t>
      </w:r>
    </w:p>
    <w:p>
      <w:pPr>
        <w:spacing w:after="0" w:line="60" w:lineRule="exact"/>
        <w:rPr>
          <w:rFonts w:ascii="Times New Roman" w:cs="Times New Roman" w:eastAsia="Times New Roman" w:hAnsi="Times New Roman"/>
          <w:sz w:val="18"/>
          <w:szCs w:val="18"/>
          <w:color w:val="auto"/>
        </w:rPr>
      </w:pPr>
    </w:p>
    <w:p>
      <w:pPr>
        <w:jc w:val="both"/>
        <w:ind w:firstLine="1304"/>
        <w:spacing w:after="0" w:line="211" w:lineRule="auto"/>
        <w:tabs>
          <w:tab w:leader="none" w:pos="193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shall mean (i) in the case where there is no employment agreement, consulting agreement, change in control agreement or plan, or similar agreement or plan in effect between the Employer and the Recipient (or otherwise applicable to the Recipient) on the date of grant specified in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xml:space="preserve"> (or where there is such an agreement or plan but it does not define “good reason” (or words of like import)) a termination of employment by the Recipient within one hundred twenty (120) days after the occurrence of one of the following events after the occurrence of a Change in Control unless such events are fully corrected in all material respects by the Employer within thirty (30) days following written notification by the Recipient to the Employer that Recipient intends to terminate his employment hereunder for one of the reasons set forth below: (A) (1) any material diminution in the Recipient’s duties and responsibilities from those which existed immediately prior to a Change in Control (except in each case in connection with the termination of the Recipient’s employment for Cause or as a result of the Recipient’s death, or temporarily as a result of the Recipient’s illness or other absence), or (2) the assignment to the Recipient of duties and responsibilities materially inconsistent with the position held by the Recipient; (B) any material breach by the Employer of any material provision of any written agreement with the Recipient or failure to timely pay any compensation obligation to the Recipient; (C) a reduction in the Recipient’s annual base salary or target bonus opportunity (if any) from that which existed immediately prior to a Change in Control; or (D) if the Recipient is based at the Employer’s principal executive office, any relocation therefrom or, in any event, a relocation of the Recipient’s primary office of more than fifty (50) miles from the location immediately prior to a Change in Control; or (ii) in the case where there is an employment agreement, consulting agreement, change in control agreement or plan, or similar agreement or plan in effect between the Employer and the Recipient (or otherwise applicable to the Recipient) on the date on the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Grant of Restricted Stock </w:t>
      </w:r>
      <w:r>
        <w:rPr>
          <w:rFonts w:ascii="Times New Roman" w:cs="Times New Roman" w:eastAsia="Times New Roman" w:hAnsi="Times New Roman"/>
          <w:sz w:val="18"/>
          <w:szCs w:val="18"/>
          <w:color w:val="auto"/>
        </w:rPr>
        <w:t>that defines “good reason” (or words of like import), as defined under such agreement or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definition shall be deemed, solely for purposes of this Agreement, to include as one of the reasons that the employment of Leonard S. Schleifer, M.D. Ph.D. with the Company under the Amended and Restated Employment Agreement, dated as of November 14, 2008, by and between Dr. Schleifer and</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7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as in effect from time to time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has ended due to Dr. Schleifer’s Involuntary Termination (as defined in the Employment Agreement)]</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1304"/>
        <w:spacing w:after="0" w:line="201" w:lineRule="auto"/>
        <w:tabs>
          <w:tab w:leader="none" w:pos="19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Service</w:t>
      </w:r>
      <w:r>
        <w:rPr>
          <w:rFonts w:ascii="Times New Roman" w:cs="Times New Roman" w:eastAsia="Times New Roman" w:hAnsi="Times New Roman"/>
          <w:sz w:val="18"/>
          <w:szCs w:val="18"/>
          <w:color w:val="auto"/>
        </w:rPr>
        <w:t>. Subject to the terms of the Plan and Section 2(b) hereof, if the Recipient’s employment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terminated for any reason (other than as set forth in Section 2(b) hereof and as a result of Recipient’s [retirement on the terms set forth below or]</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death), the Recipient shall forfeit any or all of the shares of Restricted Stock that have not vested in accordance with Section 2 hereof (the “</w:t>
      </w:r>
      <w:r>
        <w:rPr>
          <w:rFonts w:ascii="Times New Roman" w:cs="Times New Roman" w:eastAsia="Times New Roman" w:hAnsi="Times New Roman"/>
          <w:sz w:val="18"/>
          <w:szCs w:val="18"/>
          <w:u w:val="single" w:color="auto"/>
          <w:color w:val="auto"/>
        </w:rPr>
        <w:t>Unvested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[Notwithstanding the preceding sentence, upon the Recipient’s retirement (as defined in the applicable Company policy as in effect on the date hereof), shares of Restricted Stock granted to the Recipient shall continue to vest in installments as provided in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xml:space="preserve"> as if the Recipient had continued to be employed by the Employer.]</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Shares of Restricted Stock granted to the Recipient in the Notice of Grant of Restricted Stock shall become fully vested as of the date of death of the Recipient, provided that the Recipient is employed by the Employer on the date of his/her death. Unless otherwise determined by the Committee in its sole discretion, for purposes of this Award, a termination of the Recipient’s employment with the Employer shall constitute a termination of service hereunder, notwithstanding any continued service with the Employer as a consultant, independent contractor or similar capacity.</w:t>
      </w:r>
    </w:p>
    <w:p>
      <w:pPr>
        <w:spacing w:after="0" w:line="50" w:lineRule="exact"/>
        <w:rPr>
          <w:rFonts w:ascii="Times New Roman" w:cs="Times New Roman" w:eastAsia="Times New Roman" w:hAnsi="Times New Roman"/>
          <w:sz w:val="18"/>
          <w:szCs w:val="18"/>
          <w:color w:val="auto"/>
        </w:rPr>
      </w:pPr>
    </w:p>
    <w:p>
      <w:pPr>
        <w:ind w:firstLine="1304"/>
        <w:spacing w:after="0" w:line="239" w:lineRule="auto"/>
        <w:tabs>
          <w:tab w:leader="none" w:pos="19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Restrictions on Transfer</w:t>
      </w:r>
      <w:r>
        <w:rPr>
          <w:rFonts w:ascii="Times New Roman" w:cs="Times New Roman" w:eastAsia="Times New Roman" w:hAnsi="Times New Roman"/>
          <w:sz w:val="18"/>
          <w:szCs w:val="18"/>
          <w:color w:val="auto"/>
        </w:rPr>
        <w:t>. Unvested Shares may not be transferred or otherwise disposed of by the Recipient including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way of sale, assignment, transfer, pledge, hypothecation or otherwise, except as permitted by the Committee in its sole discretion.</w:t>
      </w:r>
    </w:p>
    <w:p>
      <w:pPr>
        <w:spacing w:after="0" w:line="60" w:lineRule="exact"/>
        <w:rPr>
          <w:rFonts w:ascii="Times New Roman" w:cs="Times New Roman" w:eastAsia="Times New Roman" w:hAnsi="Times New Roman"/>
          <w:sz w:val="18"/>
          <w:szCs w:val="18"/>
          <w:color w:val="auto"/>
        </w:rPr>
      </w:pPr>
    </w:p>
    <w:p>
      <w:pPr>
        <w:jc w:val="both"/>
        <w:ind w:firstLine="1304"/>
        <w:spacing w:after="0" w:line="227" w:lineRule="auto"/>
        <w:tabs>
          <w:tab w:leader="none" w:pos="19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Securities Laws Requirements</w:t>
      </w:r>
      <w:r>
        <w:rPr>
          <w:rFonts w:ascii="Times New Roman" w:cs="Times New Roman" w:eastAsia="Times New Roman" w:hAnsi="Times New Roman"/>
          <w:sz w:val="18"/>
          <w:szCs w:val="18"/>
          <w:color w:val="auto"/>
        </w:rPr>
        <w:t>. The Company shall not be obligated to transfer any Unvested Shares or other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Stock to the Recipient, if such transfer, in the opinion of counsel for the Company, would violate the Securities Act (or any other federal or state statutes having similar requirements as may be in effect at that time).</w:t>
      </w:r>
    </w:p>
    <w:p>
      <w:pPr>
        <w:spacing w:after="0" w:line="60" w:lineRule="exact"/>
        <w:rPr>
          <w:rFonts w:ascii="Times New Roman" w:cs="Times New Roman" w:eastAsia="Times New Roman" w:hAnsi="Times New Roman"/>
          <w:sz w:val="18"/>
          <w:szCs w:val="18"/>
          <w:color w:val="auto"/>
        </w:rPr>
      </w:pPr>
    </w:p>
    <w:p>
      <w:pPr>
        <w:jc w:val="both"/>
        <w:ind w:firstLine="1304"/>
        <w:spacing w:after="0" w:line="218" w:lineRule="auto"/>
        <w:tabs>
          <w:tab w:leader="none" w:pos="19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Invalid Transfers</w:t>
      </w:r>
      <w:r>
        <w:rPr>
          <w:rFonts w:ascii="Times New Roman" w:cs="Times New Roman" w:eastAsia="Times New Roman" w:hAnsi="Times New Roman"/>
          <w:sz w:val="18"/>
          <w:szCs w:val="18"/>
          <w:color w:val="auto"/>
        </w:rPr>
        <w:t>. No purported sale, assignment, mortgage, hypothecation, transfer, pledge, encumbrance, gift, transfer in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or other) or other disposition of, or creation of a security interest in or lien on, any of the shares of Restricted Stock by any holder thereof in violation of the provisions of this Agreement or the Certificate of Incorporation or the By-Laws of the Company, shall be valid, and the Company will not transfer any of said shares of Restricted Stock on its books nor will any of said shares of Restricted Stock be entitled to vote, nor will any dividends be paid thereon, unless and until there has been full compliance with said provisions to the satisfaction of the Company. The foregoing restrictions are in addition to and not in lieu of any other remedies, legal or equitable, available to enforce said provisions.</w:t>
      </w:r>
    </w:p>
    <w:p>
      <w:pPr>
        <w:spacing w:after="0" w:line="59" w:lineRule="exact"/>
        <w:rPr>
          <w:rFonts w:ascii="Times New Roman" w:cs="Times New Roman" w:eastAsia="Times New Roman" w:hAnsi="Times New Roman"/>
          <w:sz w:val="18"/>
          <w:szCs w:val="18"/>
          <w:color w:val="auto"/>
        </w:rPr>
      </w:pPr>
    </w:p>
    <w:p>
      <w:pPr>
        <w:jc w:val="both"/>
        <w:ind w:firstLine="1304"/>
        <w:spacing w:after="0" w:line="214" w:lineRule="auto"/>
        <w:tabs>
          <w:tab w:leader="none" w:pos="19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The Recipient shall promptly notify the Company of any election made pursuant to Section 83(b) of the Code.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Recipient shall pay to the Company, at the time the Recipient recognizes taxable income in respect to the shares of Restricted Stock as a result of having made an election under Section 83(b) of the Code in connection with such grant, an amount equal to the federal, state and/or local taxes the Company determines it is required to withhold under applicable tax laws with respect to the shares of Restricted Stock. The Recipient may satisfy the foregoing requirement by making a payment to the Company in cash or, with the consent of the Company, by authorizing the Company to withhold cash otherwise due to the Recipient. In all other cases (except as may be otherwise determined by the Board of Directors or the Committee from time to time (including following the date hereof)), any such withholding obligation shall be satisfied by surrendering to the Company a portion of the shares of Restricted Stock the vesting of which gives rise to the withholding obligation (but only to the extent of the minimum withholding required by law). Shares so surrendered by the Recipient shall be credited against any such withholding obligation at the Fair Market Value of such shares on the date of such vesting (and the amount equal to the Fair Market Value of such shares shall be remitted by the Company to the appropriate tax authorities). The Recipient understands that he or she (and not the Company) shall be responsible for any tax liability that may arise as a result of the transactions contemplated by this Agreement.</w:t>
      </w:r>
    </w:p>
    <w:p>
      <w:pPr>
        <w:spacing w:after="0" w:line="6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RECIPIENT ACKNOWLEDGES THAT IT IS THE RECIPIENT'S SOLE RESPONSIBILITY, AND NOT THE COMPANY’S, TO FILE TIMELY THE ELECTION UNDER SECTION 83(b) OF THE CODE, IN THE EVENT THAT THE RECIPIENT DESIRES TO MAKE THE ELECTION.</w:t>
      </w:r>
    </w:p>
    <w:p>
      <w:pPr>
        <w:spacing w:after="0" w:line="50" w:lineRule="exact"/>
        <w:rPr>
          <w:sz w:val="20"/>
          <w:szCs w:val="20"/>
          <w:color w:val="auto"/>
        </w:rPr>
      </w:pPr>
    </w:p>
    <w:p>
      <w:pPr>
        <w:jc w:val="both"/>
        <w:ind w:firstLine="1304"/>
        <w:spacing w:after="0" w:line="221" w:lineRule="auto"/>
        <w:tabs>
          <w:tab w:leader="none" w:pos="19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a Shareholder</w:t>
      </w:r>
      <w:r>
        <w:rPr>
          <w:rFonts w:ascii="Times New Roman" w:cs="Times New Roman" w:eastAsia="Times New Roman" w:hAnsi="Times New Roman"/>
          <w:sz w:val="18"/>
          <w:szCs w:val="18"/>
          <w:color w:val="auto"/>
        </w:rPr>
        <w:t>. Pursuant to Section 8(e) of the Plan, the Company shall hold in escrow all dividends, if any,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with respect to the Unvested Shares until all restrictions on such shares have lapsed. For the avoidance of doubt, the Recipient agrees that any dividends held in escrow shall be forfeited to the same extent as the Unvested Shares in accordance with Section 3 hereof. Pursuant to Section 8(f) of the Plan, the Recipient agrees (i) that the right to vote any Unvested Shares will be held by the Company and (ii) to execute an irrevocable proxy in favor of the Company in such form supplied by the Company. The Company may, in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6459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2" w:lineRule="exact"/>
        <w:rPr>
          <w:sz w:val="20"/>
          <w:szCs w:val="20"/>
          <w:color w:val="auto"/>
        </w:rPr>
      </w:pPr>
    </w:p>
    <w:p>
      <w:pPr>
        <w:ind w:left="120" w:hanging="112"/>
        <w:spacing w:after="0"/>
        <w:tabs>
          <w:tab w:leader="none" w:pos="120" w:val="left"/>
        </w:tabs>
        <w:numPr>
          <w:ilvl w:val="0"/>
          <w:numId w:val="8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Only applicable to Restricted Stock Agreements for George D. Yancopoulos, M.D., Ph.D.</w:t>
      </w:r>
    </w:p>
    <w:p>
      <w:pPr>
        <w:spacing w:after="0" w:line="1" w:lineRule="exact"/>
        <w:rPr>
          <w:rFonts w:ascii="Times New Roman" w:cs="Times New Roman" w:eastAsia="Times New Roman" w:hAnsi="Times New Roman"/>
          <w:sz w:val="23"/>
          <w:szCs w:val="23"/>
          <w:color w:val="auto"/>
          <w:vertAlign w:val="superscript"/>
        </w:rPr>
      </w:pPr>
    </w:p>
    <w:p>
      <w:pPr>
        <w:jc w:val="both"/>
        <w:ind w:right="4660"/>
        <w:spacing w:after="0" w:line="302"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7"/>
          <w:szCs w:val="17"/>
          <w:color w:val="auto"/>
        </w:rPr>
        <w:t xml:space="preserve"> Only applicable to Restricted Stock Agreements for George D. Yancopoulos, M.D., Ph.D.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7"/>
          <w:szCs w:val="17"/>
          <w:color w:val="auto"/>
        </w:rPr>
        <w:t xml:space="preserve"> Only applicable to Restricted Stock Agreements for George D. Yancopoulos, M.D., Ph.D.</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72"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discretion, determine to deliver any documents related to participation in the Plan or deliverable to the Recipient in the Recipient’s capacity as a shareholder of the Company by electronic means. The Recipient hereby consents to receive any and all such documents by electronic delivery to the extent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such delivery method from time to time.</w:t>
      </w:r>
    </w:p>
    <w:p>
      <w:pPr>
        <w:spacing w:after="0" w:line="53" w:lineRule="exact"/>
        <w:rPr>
          <w:sz w:val="20"/>
          <w:szCs w:val="20"/>
          <w:color w:val="auto"/>
        </w:rPr>
      </w:pPr>
    </w:p>
    <w:p>
      <w:pPr>
        <w:jc w:val="both"/>
        <w:ind w:firstLine="1304"/>
        <w:spacing w:after="0" w:line="218" w:lineRule="auto"/>
        <w:tabs>
          <w:tab w:leader="none" w:pos="19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 and Regulations</w:t>
      </w:r>
      <w:r>
        <w:rPr>
          <w:rFonts w:ascii="Times New Roman" w:cs="Times New Roman" w:eastAsia="Times New Roman" w:hAnsi="Times New Roman"/>
          <w:sz w:val="18"/>
          <w:szCs w:val="18"/>
          <w:color w:val="auto"/>
        </w:rPr>
        <w:t>. This Agreement, the award hereunder and any obligation of the Company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subject to all applicable federal, state and local laws, rules and regulations and to such approvals by any government or regulatory agency as may be required. The Company may require, as a condition of the issuance and delivery of certificates or the registration of book entries evidencing Restricted Stock pursuant to the terms hereof, that the certificates or book entries bear or be subject to such legends as set forth in the Plan, in addition to any other legends required under federal and state securities laws or as otherwise determined by the Committee. Except to the extent preempted by any federal law, this Agreement shall be construed and administered in accordance with the laws of the State of New York without reference to its principles of conflicts of law.</w:t>
      </w:r>
    </w:p>
    <w:p>
      <w:pPr>
        <w:spacing w:after="0" w:line="47" w:lineRule="exact"/>
        <w:rPr>
          <w:rFonts w:ascii="Times New Roman" w:cs="Times New Roman" w:eastAsia="Times New Roman" w:hAnsi="Times New Roman"/>
          <w:sz w:val="18"/>
          <w:szCs w:val="18"/>
          <w:color w:val="auto"/>
        </w:rPr>
      </w:pPr>
    </w:p>
    <w:p>
      <w:pPr>
        <w:jc w:val="both"/>
        <w:ind w:firstLine="1304"/>
        <w:spacing w:after="0" w:line="232" w:lineRule="auto"/>
        <w:tabs>
          <w:tab w:leader="none" w:pos="193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Recipient Bound by Plan</w:t>
      </w:r>
      <w:r>
        <w:rPr>
          <w:rFonts w:ascii="Times New Roman" w:cs="Times New Roman" w:eastAsia="Times New Roman" w:hAnsi="Times New Roman"/>
          <w:sz w:val="18"/>
          <w:szCs w:val="18"/>
          <w:color w:val="auto"/>
        </w:rPr>
        <w:t>. The Recipient acknowledges receipt of a copy of this Agreement and the Plan and agrees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bound by all the terms and provisions 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47"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notice or communication given hereunder shall be in writing and shall be deemed given when delivered in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by United States mail, at the following addresses: (i) if to the Company, 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Section 11.</w:t>
      </w:r>
    </w:p>
    <w:p>
      <w:pPr>
        <w:spacing w:after="0" w:line="46" w:lineRule="exact"/>
        <w:rPr>
          <w:rFonts w:ascii="Times New Roman" w:cs="Times New Roman" w:eastAsia="Times New Roman" w:hAnsi="Times New Roman"/>
          <w:sz w:val="18"/>
          <w:szCs w:val="18"/>
          <w:color w:val="auto"/>
        </w:rPr>
      </w:pPr>
    </w:p>
    <w:p>
      <w:pPr>
        <w:ind w:firstLine="1304"/>
        <w:spacing w:after="0" w:line="239" w:lineRule="auto"/>
        <w:tabs>
          <w:tab w:leader="none" w:pos="193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Obligation to Continue Employment</w:t>
      </w:r>
      <w:r>
        <w:rPr>
          <w:rFonts w:ascii="Times New Roman" w:cs="Times New Roman" w:eastAsia="Times New Roman" w:hAnsi="Times New Roman"/>
          <w:sz w:val="18"/>
          <w:szCs w:val="18"/>
          <w:color w:val="auto"/>
        </w:rPr>
        <w:t>. This Agreement does not guarantee that the Employer will employ or continue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of the Recipient for any specified time period, nor does it modify in any respect the Recipient’s employment or compensation.</w:t>
      </w:r>
    </w:p>
    <w:p>
      <w:pPr>
        <w:spacing w:after="0" w:line="168"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3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Recoupment</w:t>
      </w:r>
      <w:r>
        <w:rPr>
          <w:rFonts w:ascii="Times New Roman" w:cs="Times New Roman" w:eastAsia="Times New Roman" w:hAnsi="Times New Roman"/>
          <w:sz w:val="18"/>
          <w:szCs w:val="18"/>
          <w:color w:val="auto"/>
        </w:rPr>
        <w:t>. By entering into this Agreement and accepting the award hereunder, the Recipient agrees to be bound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Company’s Policy Regarding Recoupment or Reduction of Incentive Compensation for Compliance Violations, as in effect from time to time (or any successor policy thereto) (the “</w:t>
      </w:r>
      <w:r>
        <w:rPr>
          <w:rFonts w:ascii="Times New Roman" w:cs="Times New Roman" w:eastAsia="Times New Roman" w:hAnsi="Times New Roman"/>
          <w:sz w:val="18"/>
          <w:szCs w:val="18"/>
          <w:u w:val="single" w:color="auto"/>
          <w:color w:val="auto"/>
        </w:rPr>
        <w:t>Recoupment Policy</w:t>
      </w:r>
      <w:r>
        <w:rPr>
          <w:rFonts w:ascii="Times New Roman" w:cs="Times New Roman" w:eastAsia="Times New Roman" w:hAnsi="Times New Roman"/>
          <w:sz w:val="18"/>
          <w:szCs w:val="18"/>
          <w:color w:val="auto"/>
        </w:rPr>
        <w:t>”), and further acknowledges and agrees that the Recoupment Policy shall apply to the shares of Restricted Stock granted hereunder (including after all restrictions on such shares have lapsed).</w:t>
      </w:r>
    </w:p>
    <w:p>
      <w:pPr>
        <w:sectPr>
          <w:pgSz w:w="11900" w:h="16838" w:orient="portrait"/>
          <w:cols w:equalWidth="0" w:num="1">
            <w:col w:w="11240"/>
          </w:cols>
          <w:pgMar w:left="320" w:top="1440"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color w:val="auto"/>
        </w:rPr>
        <w:t>Exhibit 10.3.10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346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w w:val="98"/>
              </w:rPr>
              <w:t>Regeneron Pharmaceuticals, Inc.</w:t>
            </w:r>
          </w:p>
        </w:tc>
      </w:tr>
      <w:tr>
        <w:trPr>
          <w:trHeight w:val="311"/>
        </w:trPr>
        <w:tc>
          <w:tcPr>
            <w:tcW w:w="4080" w:type="dxa"/>
            <w:vAlign w:val="bottom"/>
          </w:tcPr>
          <w:p>
            <w:pPr>
              <w:spacing w:after="0"/>
              <w:rPr>
                <w:sz w:val="24"/>
                <w:szCs w:val="24"/>
                <w:color w:val="auto"/>
              </w:rPr>
            </w:pPr>
          </w:p>
        </w:tc>
        <w:tc>
          <w:tcPr>
            <w:tcW w:w="160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 xml:space="preserve">ID: </w:t>
            </w:r>
            <w:r>
              <w:rPr>
                <w:rFonts w:ascii="Times New Roman" w:cs="Times New Roman" w:eastAsia="Times New Roman" w:hAnsi="Times New Roman"/>
                <w:sz w:val="18"/>
                <w:szCs w:val="18"/>
                <w:color w:val="auto"/>
              </w:rPr>
              <w:t>[</w:t>
            </w:r>
          </w:p>
        </w:tc>
        <w:tc>
          <w:tcPr>
            <w:tcW w:w="186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Notice of Grant of Restricted Stock Units</w:t>
            </w:r>
          </w:p>
        </w:tc>
        <w:tc>
          <w:tcPr>
            <w:tcW w:w="34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777 Old Saw Mill River Road</w:t>
            </w:r>
          </w:p>
        </w:tc>
      </w:tr>
      <w:tr>
        <w:trPr>
          <w:trHeight w:val="3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 Restricted Stock Unit Agreement</w:t>
            </w:r>
          </w:p>
        </w:tc>
        <w:tc>
          <w:tcPr>
            <w:tcW w:w="34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Tarrytown, New York 10591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40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RSU Number:</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t>
            </w:r>
          </w:p>
        </w:tc>
        <w:tc>
          <w:tcPr>
            <w:tcW w:w="4180" w:type="dxa"/>
            <w:vAlign w:val="bottom"/>
          </w:tcPr>
          <w:p>
            <w:pPr>
              <w:jc w:val="right"/>
              <w:ind w:right="3692"/>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31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340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Plan:</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t>
            </w:r>
          </w:p>
        </w:tc>
        <w:tc>
          <w:tcPr>
            <w:tcW w:w="4180" w:type="dxa"/>
            <w:vAlign w:val="bottom"/>
          </w:tcPr>
          <w:p>
            <w:pPr>
              <w:jc w:val="right"/>
              <w:ind w:right="3692"/>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311"/>
        </w:trPr>
        <w:tc>
          <w:tcPr>
            <w:tcW w:w="3020" w:type="dxa"/>
            <w:vAlign w:val="bottom"/>
          </w:tcPr>
          <w:p>
            <w:pPr>
              <w:spacing w:after="0"/>
              <w:rPr>
                <w:sz w:val="24"/>
                <w:szCs w:val="24"/>
                <w:color w:val="auto"/>
              </w:rPr>
            </w:pPr>
          </w:p>
        </w:tc>
        <w:tc>
          <w:tcPr>
            <w:tcW w:w="340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ID:</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t>
            </w:r>
          </w:p>
        </w:tc>
        <w:tc>
          <w:tcPr>
            <w:tcW w:w="4180" w:type="dxa"/>
            <w:vAlign w:val="bottom"/>
          </w:tcPr>
          <w:p>
            <w:pPr>
              <w:jc w:val="right"/>
              <w:ind w:right="3692"/>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78"/>
        </w:trPr>
        <w:tc>
          <w:tcPr>
            <w:tcW w:w="30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41" w:lineRule="exact"/>
        <w:rPr>
          <w:sz w:val="20"/>
          <w:szCs w:val="20"/>
          <w:color w:val="auto"/>
        </w:rPr>
      </w:pPr>
    </w:p>
    <w:p>
      <w:pPr>
        <w:ind w:right="520"/>
        <w:spacing w:after="0" w:line="297" w:lineRule="auto"/>
        <w:rPr>
          <w:sz w:val="20"/>
          <w:szCs w:val="20"/>
          <w:color w:val="auto"/>
        </w:rPr>
      </w:pPr>
      <w:r>
        <w:rPr>
          <w:rFonts w:ascii="Times New Roman" w:cs="Times New Roman" w:eastAsia="Times New Roman" w:hAnsi="Times New Roman"/>
          <w:sz w:val="18"/>
          <w:szCs w:val="18"/>
          <w:color w:val="auto"/>
        </w:rPr>
        <w:t>Effective &lt;date&gt; (the “Grant Date”) you have been granted restricted stock units with respect to [ ] shares of Regeneron Pharmaceuticals, Inc. (the “Company”) stock.</w:t>
      </w:r>
    </w:p>
    <w:p>
      <w:pPr>
        <w:spacing w:after="0" w:line="55" w:lineRule="exact"/>
        <w:rPr>
          <w:sz w:val="20"/>
          <w:szCs w:val="20"/>
          <w:color w:val="auto"/>
        </w:rPr>
      </w:pPr>
    </w:p>
    <w:p>
      <w:pPr>
        <w:spacing w:after="0"/>
        <w:tabs>
          <w:tab w:leader="none" w:pos="3140" w:val="left"/>
        </w:tabs>
        <w:rPr>
          <w:sz w:val="20"/>
          <w:szCs w:val="20"/>
          <w:color w:val="auto"/>
        </w:rPr>
      </w:pPr>
      <w:r>
        <w:rPr>
          <w:rFonts w:ascii="Times New Roman" w:cs="Times New Roman" w:eastAsia="Times New Roman" w:hAnsi="Times New Roman"/>
          <w:sz w:val="18"/>
          <w:szCs w:val="18"/>
          <w:color w:val="auto"/>
        </w:rPr>
        <w:t>The total current value of the award is $[</w:t>
      </w:r>
      <w:r>
        <w:rPr>
          <w:sz w:val="20"/>
          <w:szCs w:val="20"/>
          <w:color w:val="auto"/>
        </w:rPr>
        <w:tab/>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Full Vest Dates: These restricted stock units will vest (i) on the date of the Company’s [ ]* Annual Meeting of Shareholders with respect to a pro-rata portion of the total number of shares underlying the award equal to the portion of one year that has elapsed from the date of grant to the date of the Company’s [ ]* Annual Meeting of Shareholders, and (ii) on [ / / ]** with respect to the remainder of the shares underlying the award. Assuming the [ ]* Annual Meeting of Shareholders occurs on [ / / ] as currently planned, these restricted stock units will vest respect to [ ] underlying shares on</w:t>
      </w:r>
    </w:p>
    <w:p>
      <w:pPr>
        <w:spacing w:after="0" w:line="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 / / ] and with respect to [ ] underlying shares on [ / / ]**. Vested restricted stock units remain subject to the tax deferral provisions set forth in the enclosed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right="460"/>
        <w:spacing w:after="0" w:line="226" w:lineRule="auto"/>
        <w:rPr>
          <w:sz w:val="20"/>
          <w:szCs w:val="20"/>
          <w:color w:val="auto"/>
        </w:rPr>
      </w:pPr>
      <w:r>
        <w:rPr>
          <w:rFonts w:ascii="Times New Roman" w:cs="Times New Roman" w:eastAsia="Times New Roman" w:hAnsi="Times New Roman"/>
          <w:sz w:val="18"/>
          <w:szCs w:val="18"/>
          <w:color w:val="auto"/>
        </w:rPr>
        <w:t>You and the Company agree that these restricted stock units are granted under and governed by the terms and conditions of the Second Amended and Restated Regeneron Pharmaceuticals, Inc. 2014 Long Term Incentive Plan, as amended from time to time, and the enclosed Restricted Stock Unit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310" w:lineRule="exact"/>
        <w:rPr>
          <w:sz w:val="20"/>
          <w:szCs w:val="20"/>
          <w:color w:val="auto"/>
        </w:rPr>
      </w:pPr>
    </w:p>
    <w:p>
      <w:pPr>
        <w:ind w:left="20" w:right="5780" w:firstLine="6"/>
        <w:spacing w:after="0" w:line="610" w:lineRule="auto"/>
        <w:tabs>
          <w:tab w:leader="none" w:pos="53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 Annual Meeting of Shareholders following the Grant Date. ** First anniversary of the Grant Date.</w:t>
      </w:r>
    </w:p>
    <w:p>
      <w:pPr>
        <w:sectPr>
          <w:pgSz w:w="11900" w:h="16838" w:orient="portrait"/>
          <w:cols w:equalWidth="0" w:num="1">
            <w:col w:w="11240"/>
          </w:cols>
          <w:pgMar w:left="320" w:top="121"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5"/>
          <w:szCs w:val="25"/>
          <w:b w:val="1"/>
          <w:bCs w:val="1"/>
          <w:color w:val="800000"/>
        </w:rPr>
        <w:t>REGENERON PHARMACEUTICALS, INC.</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SECOND AMENDED AND RESTATED REGENERON PHARMACEUTICALS,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2014 LONG-TERM INCENTIVE PLAN</w:t>
      </w:r>
    </w:p>
    <w:p>
      <w:pPr>
        <w:spacing w:after="0" w:line="8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18"/>
          <w:szCs w:val="18"/>
          <w:color w:val="auto"/>
        </w:rPr>
        <w:t>THIS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made as of the date on the </w:t>
      </w:r>
      <w:r>
        <w:rPr>
          <w:rFonts w:ascii="Times New Roman" w:cs="Times New Roman" w:eastAsia="Times New Roman" w:hAnsi="Times New Roman"/>
          <w:sz w:val="18"/>
          <w:szCs w:val="18"/>
          <w:i w:val="1"/>
          <w:iCs w:val="1"/>
          <w:color w:val="auto"/>
        </w:rPr>
        <w:t>Notice of Grant of Restricted Stock Units</w:t>
      </w:r>
      <w:r>
        <w:rPr>
          <w:rFonts w:ascii="Times New Roman" w:cs="Times New Roman" w:eastAsia="Times New Roman" w:hAnsi="Times New Roman"/>
          <w:sz w:val="18"/>
          <w:szCs w:val="18"/>
          <w:color w:val="auto"/>
        </w:rPr>
        <w:t>, by and between Regeneron Pharmaceuticals, Inc., a New York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individual named on the </w:t>
      </w:r>
      <w:r>
        <w:rPr>
          <w:rFonts w:ascii="Times New Roman" w:cs="Times New Roman" w:eastAsia="Times New Roman" w:hAnsi="Times New Roman"/>
          <w:sz w:val="18"/>
          <w:szCs w:val="18"/>
          <w:i w:val="1"/>
          <w:iCs w:val="1"/>
          <w:color w:val="auto"/>
        </w:rPr>
        <w:t>Notice of Grant of Restricted Stock Units</w:t>
      </w:r>
      <w:r>
        <w:rPr>
          <w:rFonts w:ascii="Times New Roman" w:cs="Times New Roman" w:eastAsia="Times New Roman" w:hAnsi="Times New Roman"/>
          <w:sz w:val="18"/>
          <w:szCs w:val="18"/>
          <w:color w:val="auto"/>
        </w:rPr>
        <w:t xml:space="preserve"> (the</w:t>
      </w: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Any capitalized term used but not defined in this Agreement shall have the meaning given to such term in the Plan (as defined below).</w:t>
      </w:r>
    </w:p>
    <w:p>
      <w:pPr>
        <w:spacing w:after="0" w:line="11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WHEREAS, the Recipient is a non-employee member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the Company desires to afford the Recipient the opportunity to acquire or enlarge the Recipient’s stock ownership in the Company so that the Recipient may have a direct proprietary interest in the Company’s success; and</w:t>
      </w:r>
    </w:p>
    <w:p>
      <w:pPr>
        <w:spacing w:after="0" w:line="6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the Committee administering the Second Amended and Restated Regeneron Pharmaceuticals, Inc. 2014 Long-Term Incentive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has granted (as of the effective date of grant specified in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Units</w:t>
      </w:r>
      <w:r>
        <w:rPr>
          <w:rFonts w:ascii="Times New Roman" w:cs="Times New Roman" w:eastAsia="Times New Roman" w:hAnsi="Times New Roman"/>
          <w:sz w:val="18"/>
          <w:szCs w:val="18"/>
          <w:color w:val="auto"/>
        </w:rPr>
        <w:t>) to the Recipient a Restricted Stock Unit (as defined below) with respect to the number of shares of Company Stock as set forth in the</w:t>
      </w:r>
      <w:r>
        <w:rPr>
          <w:rFonts w:ascii="Times New Roman" w:cs="Times New Roman" w:eastAsia="Times New Roman" w:hAnsi="Times New Roman"/>
          <w:sz w:val="18"/>
          <w:szCs w:val="18"/>
          <w:i w:val="1"/>
          <w:iCs w:val="1"/>
          <w:color w:val="auto"/>
        </w:rPr>
        <w:t xml:space="preserve"> Notice of Grant of Restricted Stock Units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covenants and agreements herein contained, the parties agree as follows:</w:t>
      </w:r>
    </w:p>
    <w:p>
      <w:pPr>
        <w:spacing w:after="0" w:line="100" w:lineRule="exact"/>
        <w:rPr>
          <w:sz w:val="20"/>
          <w:szCs w:val="20"/>
          <w:color w:val="auto"/>
        </w:rPr>
      </w:pPr>
    </w:p>
    <w:p>
      <w:pPr>
        <w:ind w:firstLine="1304"/>
        <w:spacing w:after="0" w:line="224" w:lineRule="auto"/>
        <w:tabs>
          <w:tab w:leader="none" w:pos="194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Award</w:t>
      </w:r>
      <w:r>
        <w:rPr>
          <w:rFonts w:ascii="Times New Roman" w:cs="Times New Roman" w:eastAsia="Times New Roman" w:hAnsi="Times New Roman"/>
          <w:sz w:val="18"/>
          <w:szCs w:val="18"/>
          <w:color w:val="auto"/>
        </w:rPr>
        <w:t>. Pursuant to Section 9 of the Plan, the Company grants to the Recipient, subject to the terms and conditions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and subject further to the terms and conditions set forth herein, a restricted stock unit (referred to in the Plan as “Phantom Stock”) (each such unit, a “</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with respect to the number of shares of Company Stock as shown on the Notice of Grant of Restricted Stock Units. The Recipient’s record of Company Stock ownership shall be recorded in the books of the Company only when the Restricted Stock Units vest and the shares of Company Stock are issued. At the Recipient’s request, vested shares may be evidenced by stock certificates or book-entry registration.</w:t>
      </w:r>
    </w:p>
    <w:p>
      <w:pPr>
        <w:spacing w:after="0" w:line="46" w:lineRule="exact"/>
        <w:rPr>
          <w:rFonts w:ascii="Times New Roman" w:cs="Times New Roman" w:eastAsia="Times New Roman" w:hAnsi="Times New Roman"/>
          <w:sz w:val="18"/>
          <w:szCs w:val="18"/>
          <w:color w:val="auto"/>
        </w:rPr>
      </w:pPr>
    </w:p>
    <w:p>
      <w:pPr>
        <w:ind w:right="60" w:firstLine="1304"/>
        <w:spacing w:after="0" w:line="214" w:lineRule="auto"/>
        <w:tabs>
          <w:tab w:leader="none" w:pos="194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Delivery</w:t>
      </w:r>
      <w:r>
        <w:rPr>
          <w:rFonts w:ascii="Times New Roman" w:cs="Times New Roman" w:eastAsia="Times New Roman" w:hAnsi="Times New Roman"/>
          <w:sz w:val="18"/>
          <w:szCs w:val="18"/>
          <w:color w:val="auto"/>
        </w:rPr>
        <w:t>. (a) The Restricted Stock Units granted to the Recipient shall vest in installments as provided in the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of Restricted Stock Units. The vesting schedule in the Notice of Grant of Restricted Stock Units indicates each date upon which the Restricted Stock Units shall vest, entitling the Recipient to receive the underlying shares of Company Stock, provided that the Recipient has not incurred a termination of service as a member of the Board. There shall be no proportionate or partial vesting in the periods between the Full Vest Dates specified in the Notice of Grant of Restricted Stock Units and all vesting shall occur only on such Full Vest Dates. No vesting shall occur after the termination of the Recipient’s service as a member of the Board for any reason. Notwithstanding the preceding sentence, upon the Recipient’s Retirement from service on the Board, the Restricted Stock Units shall continue to vest in installments as provided on the Notice of Grant of Restricted Stock Units as if the Recipient had remained in service on the Board. For purposes of this Agreement, “Retirement” shall mean a voluntary termination of service on the Board (including by not standing for re-election) by the Recipient at a time when the Recipient meets both of the following criteria: the Recipient has served as a member of the Board for a minimum of three (3) years, and the combination of the Recipient’s age and total years of service as a member of the Board equals a minimum of 80.</w:t>
      </w:r>
    </w:p>
    <w:p>
      <w:pPr>
        <w:spacing w:after="0" w:line="66" w:lineRule="exact"/>
        <w:rPr>
          <w:sz w:val="20"/>
          <w:szCs w:val="20"/>
          <w:color w:val="auto"/>
        </w:rPr>
      </w:pPr>
    </w:p>
    <w:p>
      <w:pPr>
        <w:ind w:firstLine="1304"/>
        <w:spacing w:after="0" w:line="214" w:lineRule="auto"/>
        <w:tabs>
          <w:tab w:leader="none" w:pos="193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(except the following sentence) or in the Notice of Grant of Restricted Stock Units to the contrary, outstanding Restricted Stock Units granted to Recipient shall be fully vested on the date of a Change in Control or upon the Recipient’s death. If the application of the provision in the foregoing sentence, similar provisions in other stock option or equity compensation grants, and other payments and benefits payable to the Recipient (collectively, the “</w:t>
      </w:r>
      <w:r>
        <w:rPr>
          <w:rFonts w:ascii="Times New Roman" w:cs="Times New Roman" w:eastAsia="Times New Roman" w:hAnsi="Times New Roman"/>
          <w:sz w:val="18"/>
          <w:szCs w:val="18"/>
          <w:u w:val="single" w:color="auto"/>
          <w:color w:val="auto"/>
        </w:rPr>
        <w:t>Company Payments</w:t>
      </w:r>
      <w:r>
        <w:rPr>
          <w:rFonts w:ascii="Times New Roman" w:cs="Times New Roman" w:eastAsia="Times New Roman" w:hAnsi="Times New Roman"/>
          <w:sz w:val="18"/>
          <w:szCs w:val="18"/>
          <w:color w:val="auto"/>
        </w:rPr>
        <w:t>”) would result in the Recipient being subject to excise tax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payable under Section 4999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the amount of any Company Payments shall be automatically reduced to an amount one dollar less than an amount that would subject the Recipient to the Excise Tax;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reduction shall occur only if the reduced Company Payments received by the Recipient (after taking into account further reductions for applicable federal, state and local income, social security and other taxes) would be greater than the unreduced Company Payments to be received by the Recipient minus (i) the Excise Tax payable with respect to such</w:t>
      </w:r>
    </w:p>
    <w:p>
      <w:pPr>
        <w:sectPr>
          <w:pgSz w:w="11900" w:h="16838" w:orient="portrait"/>
          <w:cols w:equalWidth="0" w:num="1">
            <w:col w:w="11240"/>
          </w:cols>
          <w:pgMar w:left="320" w:top="1406" w:right="339" w:bottom="1440" w:gutter="0" w:footer="0" w:header="0"/>
        </w:sectPr>
      </w:pPr>
    </w:p>
    <w:bookmarkStart w:id="151" w:name="page152"/>
    <w:bookmarkEnd w:id="151"/>
    <w:p>
      <w:pPr>
        <w:spacing w:after="0" w:line="72" w:lineRule="exact"/>
        <w:rPr>
          <w:sz w:val="20"/>
          <w:szCs w:val="20"/>
          <w:color w:val="auto"/>
        </w:rPr>
      </w:pPr>
    </w:p>
    <w:p>
      <w:pPr>
        <w:ind w:right="200"/>
        <w:spacing w:after="0" w:line="222" w:lineRule="auto"/>
        <w:rPr>
          <w:sz w:val="20"/>
          <w:szCs w:val="20"/>
          <w:color w:val="auto"/>
        </w:rPr>
      </w:pPr>
      <w:r>
        <w:rPr>
          <w:rFonts w:ascii="Times New Roman" w:cs="Times New Roman" w:eastAsia="Times New Roman" w:hAnsi="Times New Roman"/>
          <w:sz w:val="18"/>
          <w:szCs w:val="18"/>
          <w:color w:val="auto"/>
        </w:rPr>
        <w:t>Company Payments and (ii) all applicable federal, state and local income, social security and other taxes on such Company Payments. If the Company Payments are to be reduced in accordance with the foregoing, the Company Payments shall be reduced as mutually agreed between the Company and the</w:t>
      </w:r>
    </w:p>
    <w:p>
      <w:pPr>
        <w:spacing w:after="0" w:line="2" w:lineRule="exact"/>
        <w:rPr>
          <w:sz w:val="20"/>
          <w:szCs w:val="20"/>
          <w:color w:val="auto"/>
        </w:rPr>
      </w:pPr>
    </w:p>
    <w:p>
      <w:pPr>
        <w:jc w:val="both"/>
        <w:ind w:right="40"/>
        <w:spacing w:after="0" w:line="208" w:lineRule="auto"/>
        <w:rPr>
          <w:sz w:val="20"/>
          <w:szCs w:val="20"/>
          <w:color w:val="auto"/>
        </w:rPr>
      </w:pPr>
      <w:r>
        <w:rPr>
          <w:rFonts w:ascii="Times New Roman" w:cs="Times New Roman" w:eastAsia="Times New Roman" w:hAnsi="Times New Roman"/>
          <w:sz w:val="18"/>
          <w:szCs w:val="18"/>
          <w:color w:val="auto"/>
        </w:rPr>
        <w:t>Recipient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Recipient; (4) any benefits valued as parachute payments; and (5) acceleration of vesting of any equity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covered by (1) above.</w:t>
      </w:r>
    </w:p>
    <w:p>
      <w:pPr>
        <w:spacing w:after="0" w:line="165" w:lineRule="exact"/>
        <w:rPr>
          <w:sz w:val="20"/>
          <w:szCs w:val="20"/>
          <w:color w:val="auto"/>
        </w:rPr>
      </w:pPr>
    </w:p>
    <w:p>
      <w:pPr>
        <w:ind w:right="100" w:firstLine="1304"/>
        <w:spacing w:after="0" w:line="215" w:lineRule="auto"/>
        <w:tabs>
          <w:tab w:leader="none" w:pos="194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later delivery date is elected by the Recipient at a time and in a manner which complies with the requirements of Section 409A of the Code (and the regulations thereunder), shares of Company Stock issuable pursuant to the vesting of Restricted Stock Units shall be delivered on the earlier of (1) the termination of the Recipient’s service as a member of the Board, (2) the seventh anniversary of the date of grant of the Restricted Stock Units and (3) the date of a Change in Control (provided that the shares of Company Stock may be delivered upon such Change in Control without violating Section 409A of the Code). With respect to Restricted Stock Units which become vested following termination of the Recipient’s service as a member of the Board pursuant to the last two sentences of Section 2(a), shares of Company Stock with respect thereto shall be delivered as soon as practicable following vesting, unless a later delivery date is elected by the Recipient at a time and in a manner which complies with the requirements of Section 409A of the Code (and the regulations thereunder).</w:t>
      </w:r>
    </w:p>
    <w:p>
      <w:pPr>
        <w:spacing w:after="0" w:line="173" w:lineRule="exact"/>
        <w:rPr>
          <w:sz w:val="20"/>
          <w:szCs w:val="20"/>
          <w:color w:val="auto"/>
        </w:rPr>
      </w:pPr>
    </w:p>
    <w:p>
      <w:pPr>
        <w:ind w:right="260" w:firstLine="1304"/>
        <w:spacing w:after="0" w:line="227" w:lineRule="auto"/>
        <w:tabs>
          <w:tab w:leader="none" w:pos="19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Service</w:t>
      </w:r>
      <w:r>
        <w:rPr>
          <w:rFonts w:ascii="Times New Roman" w:cs="Times New Roman" w:eastAsia="Times New Roman" w:hAnsi="Times New Roman"/>
          <w:sz w:val="18"/>
          <w:szCs w:val="18"/>
          <w:color w:val="auto"/>
        </w:rPr>
        <w:t>. Subject to the terms of the Plan and Section 2 hereof, if the Recipient’s service on the Board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for any reason (other than as set forth in Section 2 hereof), the Recipient shall forfeit any or all of the shares of Company Stock subject to the Restricted Stock Unit that have not vested in accordance with Section 2 hereof.</w:t>
      </w:r>
    </w:p>
    <w:p>
      <w:pPr>
        <w:spacing w:after="0" w:line="60" w:lineRule="exact"/>
        <w:rPr>
          <w:rFonts w:ascii="Times New Roman" w:cs="Times New Roman" w:eastAsia="Times New Roman" w:hAnsi="Times New Roman"/>
          <w:sz w:val="18"/>
          <w:szCs w:val="18"/>
          <w:color w:val="auto"/>
        </w:rPr>
      </w:pPr>
    </w:p>
    <w:p>
      <w:pPr>
        <w:jc w:val="both"/>
        <w:ind w:firstLine="1304"/>
        <w:spacing w:after="0" w:line="227" w:lineRule="auto"/>
        <w:tabs>
          <w:tab w:leader="none" w:pos="19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Securities Laws Requirements</w:t>
      </w:r>
      <w:r>
        <w:rPr>
          <w:rFonts w:ascii="Times New Roman" w:cs="Times New Roman" w:eastAsia="Times New Roman" w:hAnsi="Times New Roman"/>
          <w:sz w:val="18"/>
          <w:szCs w:val="18"/>
          <w:color w:val="auto"/>
        </w:rPr>
        <w:t>. The Company shall not be obligated to transfer any shares of Company Stock to the Recipient,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such transfer, in the opinion of counsel for the Company, would violate the Securities Act (or any other federal or state statutes having similar requirements as may be in effect at that time).</w:t>
      </w:r>
    </w:p>
    <w:p>
      <w:pPr>
        <w:spacing w:after="0" w:line="60" w:lineRule="exact"/>
        <w:rPr>
          <w:rFonts w:ascii="Times New Roman" w:cs="Times New Roman" w:eastAsia="Times New Roman" w:hAnsi="Times New Roman"/>
          <w:sz w:val="18"/>
          <w:szCs w:val="18"/>
          <w:color w:val="auto"/>
        </w:rPr>
      </w:pPr>
    </w:p>
    <w:p>
      <w:pPr>
        <w:ind w:right="20" w:firstLine="1304"/>
        <w:spacing w:after="0" w:line="225" w:lineRule="auto"/>
        <w:tabs>
          <w:tab w:leader="none" w:pos="19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Invalid Transfers</w:t>
      </w:r>
      <w:r>
        <w:rPr>
          <w:rFonts w:ascii="Times New Roman" w:cs="Times New Roman" w:eastAsia="Times New Roman" w:hAnsi="Times New Roman"/>
          <w:sz w:val="18"/>
          <w:szCs w:val="18"/>
          <w:color w:val="auto"/>
        </w:rPr>
        <w:t>. No purported sale, assignment, mortgage, hypothecation, transfer, pledge, encumbrance, gift, transfer in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or other) or other disposition of, or creation of a security interest in or lien on, any of the Restricted Stock Units by any holder thereof in violation of the provisions of this Agreement or the Certificate of Incorporation or the By-Laws of the Company shall be valid. The foregoing restrictions are in addition to and not in lieu of any other remedies, legal or equitable, available to enforce said provisions.</w:t>
      </w:r>
    </w:p>
    <w:p>
      <w:pPr>
        <w:spacing w:after="0" w:line="47" w:lineRule="exact"/>
        <w:rPr>
          <w:rFonts w:ascii="Times New Roman" w:cs="Times New Roman" w:eastAsia="Times New Roman" w:hAnsi="Times New Roman"/>
          <w:sz w:val="18"/>
          <w:szCs w:val="18"/>
          <w:color w:val="auto"/>
        </w:rPr>
      </w:pPr>
    </w:p>
    <w:p>
      <w:pPr>
        <w:ind w:right="160" w:firstLine="1304"/>
        <w:spacing w:after="0" w:line="221" w:lineRule="auto"/>
        <w:tabs>
          <w:tab w:leader="none" w:pos="19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a Shareholder</w:t>
      </w:r>
      <w:r>
        <w:rPr>
          <w:rFonts w:ascii="Times New Roman" w:cs="Times New Roman" w:eastAsia="Times New Roman" w:hAnsi="Times New Roman"/>
          <w:sz w:val="18"/>
          <w:szCs w:val="18"/>
          <w:color w:val="auto"/>
        </w:rPr>
        <w:t>. The Recipient will not have the rights of a shareholder with respect to shares of Company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Restricted Stock Units until the vesting of the Restricted Stock Units and the delivery of shares of Company Stock with respect to such vesting. The Company may, in its sole discretion, determine to deliver any documents related to participation in the Plan or deliverable to the Recipient in the Recipient’s capacity as a shareholder of the Company by electronic means. The Recipient hereby consents to receive any and all such documents by electronic delivery to the extent the Company utilizes such delivery method from time to time.</w:t>
      </w:r>
    </w:p>
    <w:p>
      <w:pPr>
        <w:spacing w:after="0" w:line="59" w:lineRule="exact"/>
        <w:rPr>
          <w:rFonts w:ascii="Times New Roman" w:cs="Times New Roman" w:eastAsia="Times New Roman" w:hAnsi="Times New Roman"/>
          <w:sz w:val="18"/>
          <w:szCs w:val="18"/>
          <w:color w:val="auto"/>
        </w:rPr>
      </w:pPr>
    </w:p>
    <w:p>
      <w:pPr>
        <w:ind w:firstLine="1304"/>
        <w:spacing w:after="0" w:line="216" w:lineRule="auto"/>
        <w:tabs>
          <w:tab w:leader="none" w:pos="19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Dividend Equivalent Rights</w:t>
      </w:r>
      <w:r>
        <w:rPr>
          <w:rFonts w:ascii="Times New Roman" w:cs="Times New Roman" w:eastAsia="Times New Roman" w:hAnsi="Times New Roman"/>
          <w:sz w:val="18"/>
          <w:szCs w:val="18"/>
          <w:color w:val="auto"/>
        </w:rPr>
        <w:t>. To the extent that the Company declares a cash dividend while all or a portion of the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Units are unvested, the Recipient shall be credited with dividend equivalent rights with respect to each share of Company Stock subject to the unvested portion of the Restricted Stock Units in an amount equal to the cash amount of such dividend. Such dividend equivalent right will entitle the Recipient to payment of such dividend, in cash, only upon vesting of the corresponding portion of the Restricted Stock Unit; and such right will be forfeited to the extent the corresponding portion of the Restricted Stock Unit is forfeited. To the extent that the Company declares a cash dividend during the deferral period applicable to any vested portion of the Restricted Stock Units pursuant to Section 2(c), the Recipient shall be credited with dividend equivalent rights with respect to each share of Company Stock subject to the vested portion of the Restricted Stock Units and such dividend equivalent rights shall be payable in cash on or as soon as practicable following the applicable dividend payment date.</w:t>
      </w:r>
    </w:p>
    <w:p>
      <w:pPr>
        <w:spacing w:after="0" w:line="48" w:lineRule="exact"/>
        <w:rPr>
          <w:rFonts w:ascii="Times New Roman" w:cs="Times New Roman" w:eastAsia="Times New Roman" w:hAnsi="Times New Roman"/>
          <w:sz w:val="18"/>
          <w:szCs w:val="18"/>
          <w:color w:val="auto"/>
        </w:rPr>
      </w:pPr>
    </w:p>
    <w:p>
      <w:pPr>
        <w:jc w:val="both"/>
        <w:ind w:right="140" w:firstLine="1304"/>
        <w:spacing w:after="0" w:line="225" w:lineRule="auto"/>
        <w:tabs>
          <w:tab w:leader="none" w:pos="19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 and Regulations</w:t>
      </w:r>
      <w:r>
        <w:rPr>
          <w:rFonts w:ascii="Times New Roman" w:cs="Times New Roman" w:eastAsia="Times New Roman" w:hAnsi="Times New Roman"/>
          <w:sz w:val="18"/>
          <w:szCs w:val="18"/>
          <w:color w:val="auto"/>
        </w:rPr>
        <w:t>. This Agreement, the award hereunder and any obligation of the Company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subject to all applicable federal, state and local laws, rules and regulations and to such approvals by any government or regulatory agency as may be required. Except to the extent preempted by any federal law, this Agreement shall be construed and administered in accordance with the laws of the State of New York without reference to its principles of conflicts of law.</w:t>
      </w:r>
    </w:p>
    <w:p>
      <w:pPr>
        <w:spacing w:after="0" w:line="47" w:lineRule="exact"/>
        <w:rPr>
          <w:rFonts w:ascii="Times New Roman" w:cs="Times New Roman" w:eastAsia="Times New Roman" w:hAnsi="Times New Roman"/>
          <w:sz w:val="18"/>
          <w:szCs w:val="18"/>
          <w:color w:val="auto"/>
        </w:rPr>
      </w:pPr>
    </w:p>
    <w:p>
      <w:pPr>
        <w:jc w:val="both"/>
        <w:ind w:firstLine="1304"/>
        <w:spacing w:after="0" w:line="232" w:lineRule="auto"/>
        <w:tabs>
          <w:tab w:leader="none" w:pos="194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Recipient Bound by Plan</w:t>
      </w:r>
      <w:r>
        <w:rPr>
          <w:rFonts w:ascii="Times New Roman" w:cs="Times New Roman" w:eastAsia="Times New Roman" w:hAnsi="Times New Roman"/>
          <w:sz w:val="18"/>
          <w:szCs w:val="18"/>
          <w:color w:val="auto"/>
        </w:rPr>
        <w:t>. The Recipient acknowledges receipt of a copy of this Agreement and the Plan and agrees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bound by all the terms and provisions 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68" w:lineRule="exact"/>
        <w:rPr>
          <w:sz w:val="20"/>
          <w:szCs w:val="20"/>
          <w:color w:val="auto"/>
        </w:rPr>
      </w:pPr>
    </w:p>
    <w:p>
      <w:pPr>
        <w:jc w:val="both"/>
        <w:ind w:left="-1120" w:firstLine="1304"/>
        <w:spacing w:after="0" w:line="221" w:lineRule="auto"/>
        <w:tabs>
          <w:tab w:leader="none" w:pos="8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notice or communication given hereunder shall be in writing and shall be deemed given when delivered in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by United States mail, at the following addresses: (i) if to the Company, 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Section 10.</w:t>
      </w:r>
    </w:p>
    <w:p>
      <w:pPr>
        <w:spacing w:after="0" w:line="59" w:lineRule="exact"/>
        <w:rPr>
          <w:rFonts w:ascii="Times New Roman" w:cs="Times New Roman" w:eastAsia="Times New Roman" w:hAnsi="Times New Roman"/>
          <w:sz w:val="18"/>
          <w:szCs w:val="18"/>
          <w:color w:val="auto"/>
        </w:rPr>
      </w:pPr>
    </w:p>
    <w:p>
      <w:pPr>
        <w:jc w:val="both"/>
        <w:ind w:left="-1120" w:firstLine="1304"/>
        <w:spacing w:after="0" w:line="214" w:lineRule="auto"/>
        <w:tabs>
          <w:tab w:leader="none" w:pos="81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409A Compliance. </w:t>
      </w:r>
      <w:r>
        <w:rPr>
          <w:rFonts w:ascii="Times New Roman" w:cs="Times New Roman" w:eastAsia="Times New Roman" w:hAnsi="Times New Roman"/>
          <w:sz w:val="18"/>
          <w:szCs w:val="18"/>
          <w:color w:val="auto"/>
        </w:rPr>
        <w:t>It is intended that the Plan and this Agreement comply with, or be exempt from,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of the Code and any related guidance promulgated with respect to such Section by the U.S. Department of the Treasury or the Internal Revenue Service. Accordingly, to the maximum extent permitted, this Agreement shall be interpreted and administered to be in compliance therewith or exempt therefrom. Notwithstanding anything contained herein to the contrary, to the extent required in order to avoid accelerated taxation and/or tax penalties under Section 409A: (i) the Recipient shall not be considered to have terminated employment with, or service to, the Company for purposes of this Agreement until the Recipient would be considered to have incurred a “separation from service” from the Company within the meaning of Section 409A; and (ii) any amounts which are considered “deferred compensation” within the meaning of Section 409A and are payable hereunder due to the separation from service of a Recipient who is a “specified employee” within the meaning of Section 409A shall be paid on the first business day after the date that is six months following the Recipient’s separation from service (or upon the Recipient’s death, if earlier) irrespective of the maximum payout period noted throughout this Agreement. Each amount to be paid or benefit to be provided pursuant to this Agreement shall be construed as a separate identified payment for purposes of Section 409A.</w:t>
      </w:r>
    </w:p>
    <w:p>
      <w:pPr>
        <w:sectPr>
          <w:pgSz w:w="11900" w:h="16838" w:orient="portrait"/>
          <w:cols w:equalWidth="0" w:num="1">
            <w:col w:w="10120"/>
          </w:cols>
          <w:pgMar w:left="1440" w:top="1440"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REGENERON PHARMACEUTICALS,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noted, each of the entities listed below is directly or indirectly wholly owned by Regeneron Pharmaceuticals, Inc.</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0" w:type="dxa"/>
            <w:vAlign w:val="bottom"/>
          </w:tcPr>
          <w:p>
            <w:pPr>
              <w:spacing w:after="0"/>
              <w:rPr>
                <w:sz w:val="1"/>
                <w:szCs w:val="1"/>
                <w:color w:val="auto"/>
              </w:rPr>
            </w:pPr>
          </w:p>
        </w:tc>
      </w:tr>
      <w:tr>
        <w:trPr>
          <w:trHeight w:val="156"/>
        </w:trPr>
        <w:tc>
          <w:tcPr>
            <w:tcW w:w="5000" w:type="dxa"/>
            <w:vAlign w:val="bottom"/>
            <w:gridSpan w:val="2"/>
            <w:vMerge w:val="continue"/>
          </w:tcPr>
          <w:p>
            <w:pPr>
              <w:spacing w:after="0"/>
              <w:rPr>
                <w:sz w:val="13"/>
                <w:szCs w:val="13"/>
                <w:color w:val="auto"/>
              </w:rPr>
            </w:pPr>
          </w:p>
        </w:tc>
        <w:tc>
          <w:tcPr>
            <w:tcW w:w="22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20" w:type="dxa"/>
            <w:vAlign w:val="bottom"/>
            <w:shd w:val="clear" w:color="auto" w:fill="000000"/>
          </w:tcPr>
          <w:p>
            <w:pPr>
              <w:spacing w:after="0"/>
              <w:rPr>
                <w:sz w:val="2"/>
                <w:szCs w:val="2"/>
                <w:color w:val="auto"/>
              </w:rPr>
            </w:pPr>
          </w:p>
        </w:tc>
        <w:tc>
          <w:tcPr>
            <w:tcW w:w="3480" w:type="dxa"/>
            <w:vAlign w:val="bottom"/>
          </w:tcPr>
          <w:p>
            <w:pPr>
              <w:spacing w:after="0"/>
              <w:rPr>
                <w:sz w:val="2"/>
                <w:szCs w:val="2"/>
                <w:color w:val="auto"/>
              </w:rPr>
            </w:pPr>
          </w:p>
        </w:tc>
        <w:tc>
          <w:tcPr>
            <w:tcW w:w="2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Checkmate Pharmaceuticals, Inc.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Decibel Therapeutics, Inc.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Eastside Campus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Loop Road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Old Saw Mill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Oxular Acquisitions Limited</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Oxular Inc.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Oxular Limited</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Assurance, Inc.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Austria GmbH</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Austria</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Belgium SRL</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Canada Company</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Clinical Genomics Laboratory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France SAS</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Genetics Center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GmbH</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Healthcare Solutions, Inc.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India Private Limited</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International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Ireland Designated Activity Company</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Italy S.r.l.</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Japan KK</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NL B.V.</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Spain, S.L.U.</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Switzerland GmbH</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UK Limited</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Ventures, L.P.*</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Rock County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Rockwood Road Holdings LLC</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RV Holding Corp.</w:t>
            </w: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3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60" w:right="2060" w:firstLine="2"/>
        <w:spacing w:after="0" w:line="229" w:lineRule="auto"/>
        <w:tabs>
          <w:tab w:leader="none" w:pos="14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limited partner of Regeneron Ventures, L.P. is RV Holding Corp., which is wholly owned by Regeneron Pharmaceuticals, Inc. The general partner of Regeneron Ventures, L.P. is a third-party investment manager.</w:t>
      </w:r>
    </w:p>
    <w:p>
      <w:pPr>
        <w:sectPr>
          <w:pgSz w:w="11900" w:h="16838" w:orient="portrait"/>
          <w:cols w:equalWidth="0" w:num="1">
            <w:col w:w="11240"/>
          </w:cols>
          <w:pgMar w:left="320" w:top="985"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5"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333-282927) and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(Nos. 333-198794, 333-218669, and 333-239209) of Regeneron Pharmaceuticals, Inc. of our report dated February 4, 2026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2026</w:t>
      </w:r>
    </w:p>
    <w:p>
      <w:pPr>
        <w:sectPr>
          <w:pgSz w:w="11900" w:h="16838" w:orient="portrait"/>
          <w:cols w:equalWidth="0" w:num="1">
            <w:col w:w="11240"/>
          </w:cols>
          <w:pgMar w:left="320" w:top="891"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04" w:lineRule="exact"/>
        <w:rPr>
          <w:sz w:val="20"/>
          <w:szCs w:val="20"/>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February 4, 2026</w:t>
            </w:r>
          </w:p>
        </w:tc>
        <w:tc>
          <w:tcPr>
            <w:tcW w:w="11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Leonard S. Schleifer</w:t>
            </w:r>
          </w:p>
        </w:tc>
        <w:tc>
          <w:tcPr>
            <w:tcW w:w="0" w:type="dxa"/>
            <w:vAlign w:val="bottom"/>
          </w:tcPr>
          <w:p>
            <w:pPr>
              <w:spacing w:after="0"/>
              <w:rPr>
                <w:sz w:val="1"/>
                <w:szCs w:val="1"/>
                <w:color w:val="auto"/>
              </w:rPr>
            </w:pPr>
          </w:p>
        </w:tc>
      </w:tr>
      <w:tr>
        <w:trPr>
          <w:trHeight w:val="20"/>
        </w:trPr>
        <w:tc>
          <w:tcPr>
            <w:tcW w:w="310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100" w:type="dxa"/>
            <w:vAlign w:val="bottom"/>
            <w:vMerge w:val="continue"/>
          </w:tcPr>
          <w:p>
            <w:pPr>
              <w:spacing w:after="0"/>
              <w:rPr>
                <w:sz w:val="7"/>
                <w:szCs w:val="7"/>
                <w:color w:val="auto"/>
              </w:rPr>
            </w:pPr>
          </w:p>
        </w:tc>
        <w:tc>
          <w:tcPr>
            <w:tcW w:w="1120" w:type="dxa"/>
            <w:vAlign w:val="bottom"/>
            <w:vMerge w:val="restart"/>
          </w:tcPr>
          <w:p>
            <w:pPr>
              <w:spacing w:after="0"/>
              <w:rPr>
                <w:sz w:val="7"/>
                <w:szCs w:val="7"/>
                <w:color w:val="auto"/>
              </w:rPr>
            </w:pPr>
          </w:p>
        </w:tc>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spacing w:after="0"/>
              <w:rPr>
                <w:sz w:val="19"/>
                <w:szCs w:val="19"/>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93"/>
        </w:trPr>
        <w:tc>
          <w:tcPr>
            <w:tcW w:w="3100" w:type="dxa"/>
            <w:vAlign w:val="bottom"/>
            <w:tcBorders>
              <w:bottom w:val="single" w:sz="8" w:color="666666"/>
            </w:tcBorders>
          </w:tcPr>
          <w:p>
            <w:pPr>
              <w:spacing w:after="0"/>
              <w:rPr>
                <w:sz w:val="24"/>
                <w:szCs w:val="24"/>
                <w:color w:val="auto"/>
              </w:rPr>
            </w:pPr>
          </w:p>
        </w:tc>
        <w:tc>
          <w:tcPr>
            <w:tcW w:w="112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Fenimore, certify that:</w:t>
      </w:r>
    </w:p>
    <w:p>
      <w:pPr>
        <w:spacing w:after="0" w:line="104"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February 4, 2026</w:t>
            </w:r>
          </w:p>
        </w:tc>
        <w:tc>
          <w:tcPr>
            <w:tcW w:w="11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Christopher Fenimore</w:t>
            </w:r>
          </w:p>
        </w:tc>
        <w:tc>
          <w:tcPr>
            <w:tcW w:w="0" w:type="dxa"/>
            <w:vAlign w:val="bottom"/>
          </w:tcPr>
          <w:p>
            <w:pPr>
              <w:spacing w:after="0"/>
              <w:rPr>
                <w:sz w:val="1"/>
                <w:szCs w:val="1"/>
                <w:color w:val="auto"/>
              </w:rPr>
            </w:pPr>
          </w:p>
        </w:tc>
      </w:tr>
      <w:tr>
        <w:trPr>
          <w:trHeight w:val="88"/>
        </w:trPr>
        <w:tc>
          <w:tcPr>
            <w:tcW w:w="3100" w:type="dxa"/>
            <w:vAlign w:val="bottom"/>
            <w:vMerge w:val="continue"/>
          </w:tcPr>
          <w:p>
            <w:pPr>
              <w:spacing w:after="0"/>
              <w:rPr>
                <w:sz w:val="7"/>
                <w:szCs w:val="7"/>
                <w:color w:val="auto"/>
              </w:rPr>
            </w:pPr>
          </w:p>
        </w:tc>
        <w:tc>
          <w:tcPr>
            <w:tcW w:w="1120" w:type="dxa"/>
            <w:vAlign w:val="bottom"/>
            <w:vMerge w:val="restart"/>
          </w:tcPr>
          <w:p>
            <w:pPr>
              <w:spacing w:after="0"/>
              <w:rPr>
                <w:sz w:val="7"/>
                <w:szCs w:val="7"/>
                <w:color w:val="auto"/>
              </w:rPr>
            </w:pPr>
          </w:p>
        </w:tc>
        <w:tc>
          <w:tcPr>
            <w:tcW w:w="18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Christopher Fenimore</w:t>
            </w:r>
          </w:p>
        </w:tc>
        <w:tc>
          <w:tcPr>
            <w:tcW w:w="51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800" w:type="dxa"/>
            <w:vAlign w:val="bottom"/>
            <w:vMerge w:val="continue"/>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8100" w:type="dxa"/>
            <w:vAlign w:val="bottom"/>
            <w:gridSpan w:val="3"/>
          </w:tcPr>
          <w:p>
            <w:pPr>
              <w:ind w:left="1120"/>
              <w:spacing w:after="0" w:line="181" w:lineRule="exact"/>
              <w:rPr>
                <w:sz w:val="20"/>
                <w:szCs w:val="20"/>
                <w:color w:val="auto"/>
              </w:rPr>
            </w:pPr>
            <w:r>
              <w:rPr>
                <w:rFonts w:ascii="Times New Roman" w:cs="Times New Roman" w:eastAsia="Times New Roman" w:hAnsi="Times New Roman"/>
                <w:sz w:val="18"/>
                <w:szCs w:val="18"/>
                <w:color w:val="auto"/>
              </w:rPr>
              <w:t>Executive Vice President, Finance and Chief</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38"/>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493"/>
        </w:trPr>
        <w:tc>
          <w:tcPr>
            <w:tcW w:w="3100" w:type="dxa"/>
            <w:vAlign w:val="bottom"/>
            <w:tcBorders>
              <w:bottom w:val="single" w:sz="8" w:color="666666"/>
            </w:tcBorders>
          </w:tcPr>
          <w:p>
            <w:pPr>
              <w:spacing w:after="0"/>
              <w:rPr>
                <w:sz w:val="24"/>
                <w:szCs w:val="24"/>
                <w:color w:val="auto"/>
              </w:rPr>
            </w:pPr>
          </w:p>
        </w:tc>
        <w:tc>
          <w:tcPr>
            <w:tcW w:w="1120" w:type="dxa"/>
            <w:vAlign w:val="bottom"/>
            <w:tcBorders>
              <w:bottom w:val="single" w:sz="8" w:color="666666"/>
            </w:tcBorders>
          </w:tcPr>
          <w:p>
            <w:pPr>
              <w:spacing w:after="0"/>
              <w:rPr>
                <w:sz w:val="24"/>
                <w:szCs w:val="24"/>
                <w:color w:val="auto"/>
              </w:rPr>
            </w:pPr>
          </w:p>
        </w:tc>
        <w:tc>
          <w:tcPr>
            <w:tcW w:w="1800" w:type="dxa"/>
            <w:vAlign w:val="bottom"/>
            <w:tcBorders>
              <w:bottom w:val="single" w:sz="8" w:color="666666"/>
            </w:tcBorders>
          </w:tcPr>
          <w:p>
            <w:pPr>
              <w:spacing w:after="0"/>
              <w:rPr>
                <w:sz w:val="24"/>
                <w:szCs w:val="24"/>
                <w:color w:val="auto"/>
              </w:rPr>
            </w:pPr>
          </w:p>
        </w:tc>
        <w:tc>
          <w:tcPr>
            <w:tcW w:w="51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2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Regeneron Pharmaceuticals, Inc. (the "Company") on Form 10-K for the year ended December 31, 2025 as filed with the Securities and Exchange Commission on the date hereof (the "Report"), Leonard S. Schleifer, M.D., Ph.D., as Principal Executive Officer of the Company, and Christopher Fenimore, as Principal Financial Officer of the Company, each hereby certifies, pursuant to 18 U.S.C. Section 1350, as adopted pursuant to Section 906 of the Sarbanes-Oxley Act of 2002, to the best of his knowledge, that:</w:t>
      </w:r>
    </w:p>
    <w:p>
      <w:pPr>
        <w:spacing w:after="0" w:line="58" w:lineRule="exact"/>
        <w:rPr>
          <w:sz w:val="20"/>
          <w:szCs w:val="20"/>
          <w:color w:val="auto"/>
        </w:rPr>
      </w:pPr>
    </w:p>
    <w:p>
      <w:pPr>
        <w:ind w:left="640" w:hanging="308"/>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4, 2026</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Christopher Fenimore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Fenimore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Finance and Chief</w:t>
      </w:r>
    </w:p>
    <w:p>
      <w:pPr>
        <w:ind w:left="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4, 2026</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1)"/>
      <w:numFmt w:val="lowerLetter"/>
      <w:start w:val="1"/>
    </w:lvl>
  </w:abstractNum>
  <w:abstractNum w:abstractNumId="4">
    <w:nsid w:val="32FFF902"/>
    <w:multiLevelType w:val="hybridMultilevel"/>
    <w:lvl w:ilvl="0">
      <w:lvlJc w:val="left"/>
      <w:lvlText w:val="(%1)"/>
      <w:numFmt w:val="lowerLetter"/>
      <w:start w:val="1"/>
    </w:lvl>
  </w:abstractNum>
  <w:abstractNum w:abstractNumId="5">
    <w:nsid w:val="684A481A"/>
    <w:multiLevelType w:val="hybridMultilevel"/>
    <w:lvl w:ilvl="0">
      <w:lvlJc w:val="left"/>
      <w:lvlText w:val="(%1)"/>
      <w:numFmt w:val="lowerLetter"/>
      <w:start w:val="1"/>
    </w:lvl>
  </w:abstractNum>
  <w:abstractNum w:abstractNumId="6">
    <w:nsid w:val="579478FE"/>
    <w:multiLevelType w:val="hybridMultilevel"/>
    <w:lvl w:ilvl="0">
      <w:lvlJc w:val="left"/>
      <w:lvlText w:val="(%1)"/>
      <w:numFmt w:val="lowerLetter"/>
      <w:start w:val="1"/>
    </w:lvl>
  </w:abstractNum>
  <w:abstractNum w:abstractNumId="7">
    <w:nsid w:val="749ABB43"/>
    <w:multiLevelType w:val="hybridMultilevel"/>
    <w:lvl w:ilvl="0">
      <w:lvlJc w:val="left"/>
      <w:lvlText w:val="(%1)"/>
      <w:numFmt w:val="lowerLetter"/>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lvl w:ilvl="1">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1)"/>
      <w:numFmt w:val="lowerLetter"/>
      <w:start w:val="1"/>
    </w:lvl>
  </w:abstractNum>
  <w:abstractNum w:abstractNumId="25">
    <w:nsid w:val="354FE9F9"/>
    <w:multiLevelType w:val="hybridMultilevel"/>
    <w:lvl w:ilvl="0">
      <w:lvlJc w:val="left"/>
      <w:lvlText w:val="(%1)"/>
      <w:numFmt w:val="lowerLetter"/>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1)"/>
      <w:numFmt w:val="lowerLetter"/>
      <w:start w:val="1"/>
    </w:lvl>
  </w:abstractNum>
  <w:abstractNum w:abstractNumId="28">
    <w:nsid w:val="D34B6A8"/>
    <w:multiLevelType w:val="hybridMultilevel"/>
    <w:lvl w:ilvl="0">
      <w:lvlJc w:val="left"/>
      <w:lvlText w:val="(%1)"/>
      <w:numFmt w:val="lowerLetter"/>
      <w:start w:val="1"/>
    </w:lvl>
  </w:abstractNum>
  <w:abstractNum w:abstractNumId="29">
    <w:nsid w:val="10233C99"/>
    <w:multiLevelType w:val="hybridMultilevel"/>
    <w:lvl w:ilvl="0">
      <w:lvlJc w:val="left"/>
      <w:lvlText w:val="(%1)"/>
      <w:numFmt w:val="lowerLetter"/>
      <w:start w:val="1"/>
    </w:lvl>
  </w:abstractNum>
  <w:abstractNum w:abstractNumId="30">
    <w:nsid w:val="3F6AB60F"/>
    <w:multiLevelType w:val="hybridMultilevel"/>
    <w:lvl w:ilvl="0">
      <w:lvlJc w:val="left"/>
      <w:lvlText w:val="(%1)"/>
      <w:numFmt w:val="lowerLetter"/>
      <w:start w:val="1"/>
    </w:lvl>
  </w:abstractNum>
  <w:abstractNum w:abstractNumId="31">
    <w:nsid w:val="61574095"/>
    <w:multiLevelType w:val="hybridMultilevel"/>
    <w:lvl w:ilvl="0">
      <w:lvlJc w:val="left"/>
      <w:lvlText w:val="(%1)"/>
      <w:numFmt w:val="lowerLetter"/>
      <w:start w:val="1"/>
    </w:lvl>
  </w:abstractNum>
  <w:abstractNum w:abstractNumId="32">
    <w:nsid w:val="7E0C57B1"/>
    <w:multiLevelType w:val="hybridMultilevel"/>
    <w:lvl w:ilvl="0">
      <w:lvlJc w:val="left"/>
      <w:lvlText w:val="(%1)"/>
      <w:numFmt w:val="lowerLetter"/>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1)"/>
      <w:numFmt w:val="lowerLetter"/>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1)"/>
      <w:numFmt w:val="lowerLetter"/>
      <w:start w:val="1"/>
    </w:lvl>
  </w:abstractNum>
  <w:abstractNum w:abstractNumId="37">
    <w:nsid w:val="2F305DEF"/>
    <w:multiLevelType w:val="hybridMultilevel"/>
    <w:lvl w:ilvl="0">
      <w:lvlJc w:val="left"/>
      <w:lvlText w:val="%1"/>
      <w:numFmt w:val="decimal"/>
      <w:start w:val="32"/>
    </w:lvl>
  </w:abstractNum>
  <w:abstractNum w:abstractNumId="38">
    <w:nsid w:val="25A70BF7"/>
    <w:multiLevelType w:val="hybridMultilevel"/>
    <w:lvl w:ilvl="0">
      <w:lvlJc w:val="left"/>
      <w:lvlText w:val="%1"/>
      <w:numFmt w:val="decimal"/>
      <w:start w:val="101"/>
    </w:lvl>
  </w:abstractNum>
  <w:abstractNum w:abstractNumId="39">
    <w:nsid w:val="1DBABF00"/>
    <w:multiLevelType w:val="hybridMultilevel"/>
    <w:lvl w:ilvl="0">
      <w:lvlJc w:val="left"/>
      <w:lvlText w:val="%1"/>
      <w:numFmt w:val="decimal"/>
      <w:start w:val="104"/>
    </w:lvl>
    <w:lvl w:ilvl="1">
      <w:lvlJc w:val="left"/>
      <w:lvlText w:val="*"/>
      <w:numFmt w:val="bullet"/>
      <w:start w:val="1"/>
    </w:lvl>
  </w:abstractNum>
  <w:abstractNum w:abstractNumId="40">
    <w:nsid w:val="4AD084E9"/>
    <w:multiLevelType w:val="hybridMultilevel"/>
    <w:lvl w:ilvl="0">
      <w:lvlJc w:val="left"/>
      <w:lvlText w:val="%1"/>
      <w:numFmt w:val="decimal"/>
      <w:start w:val="1"/>
    </w:lvl>
    <w:lvl w:ilvl="1">
      <w:lvlJc w:val="left"/>
      <w:lvlText w:val="**"/>
      <w:numFmt w:val="bullet"/>
      <w:start w:val="1"/>
    </w:lvl>
  </w:abstractNum>
  <w:abstractNum w:abstractNumId="41">
    <w:nsid w:val="1F48EAA1"/>
    <w:multiLevelType w:val="hybridMultilevel"/>
    <w:lvl w:ilvl="0">
      <w:lvlJc w:val="left"/>
      <w:lvlText w:val="%1"/>
      <w:numFmt w:val="decimal"/>
      <w:start w:val="1"/>
    </w:lvl>
    <w:lvl w:ilvl="1">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1)"/>
      <w:numFmt w:val="lowerLetter"/>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1)"/>
      <w:numFmt w:val="lowerLetter"/>
      <w:start w:val="1"/>
    </w:lvl>
  </w:abstractNum>
  <w:abstractNum w:abstractNumId="51">
    <w:nsid w:val="42C296BD"/>
    <w:multiLevelType w:val="hybridMultilevel"/>
    <w:lvl w:ilvl="0">
      <w:lvlJc w:val="left"/>
      <w:lvlText w:val="(%1)"/>
      <w:numFmt w:val="lowerLetter"/>
      <w:start w:val="4"/>
    </w:lvl>
  </w:abstractNum>
  <w:abstractNum w:abstractNumId="52">
    <w:nsid w:val="168E121F"/>
    <w:multiLevelType w:val="hybridMultilevel"/>
    <w:lvl w:ilvl="0">
      <w:lvlJc w:val="left"/>
      <w:lvlText w:val="(%1)"/>
      <w:numFmt w:val="lowerLetter"/>
      <w:start w:val="1"/>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1)"/>
      <w:numFmt w:val="decimal"/>
      <w:start w:val="2"/>
    </w:lvl>
  </w:abstractNum>
  <w:abstractNum w:abstractNumId="55">
    <w:nsid w:val="5DC79EA8"/>
    <w:multiLevelType w:val="hybridMultilevel"/>
    <w:lvl w:ilvl="0">
      <w:lvlJc w:val="left"/>
      <w:lvlText w:val="•"/>
      <w:numFmt w:val="bullet"/>
      <w:start w:val="1"/>
    </w:lvl>
    <w:lvl w:ilvl="1">
      <w:lvlJc w:val="left"/>
      <w:lvlText w:val="◦"/>
      <w:numFmt w:val="bullet"/>
      <w:start w:val="1"/>
    </w:lvl>
  </w:abstractNum>
  <w:abstractNum w:abstractNumId="56">
    <w:nsid w:val="540A471C"/>
    <w:multiLevelType w:val="hybridMultilevel"/>
    <w:lvl w:ilvl="0">
      <w:lvlJc w:val="left"/>
      <w:lvlText w:val="(%1)"/>
      <w:numFmt w:val="lowerRoman"/>
      <w:start w:val="2"/>
    </w:lvl>
    <w:lvl w:ilvl="1">
      <w:lvlJc w:val="left"/>
      <w:lvlText w:val="•"/>
      <w:numFmt w:val="bullet"/>
      <w:start w:val="1"/>
    </w:lvl>
    <w:lvl w:ilvl="2">
      <w:lvlJc w:val="left"/>
      <w:lvlText w:val="◦"/>
      <w:numFmt w:val="bullet"/>
      <w:start w:val="1"/>
    </w:lvl>
  </w:abstractNum>
  <w:abstractNum w:abstractNumId="57">
    <w:nsid w:val="7BD3EE7B"/>
    <w:multiLevelType w:val="hybridMultilevel"/>
    <w:lvl w:ilvl="0">
      <w:lvlJc w:val="left"/>
      <w:lvlText w:val="(%1)"/>
      <w:numFmt w:val="lowerLetter"/>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1."/>
      <w:numFmt w:val="decimal"/>
      <w:start w:val="1"/>
    </w:lvl>
  </w:abstractNum>
  <w:abstractNum w:abstractNumId="62">
    <w:nsid w:val="42963E5A"/>
    <w:multiLevelType w:val="hybridMultilevel"/>
    <w:lvl w:ilvl="0">
      <w:lvlJc w:val="left"/>
      <w:lvlText w:val="(%1)"/>
      <w:numFmt w:val="lowerLetter"/>
      <w:start w:val="2"/>
    </w:lvl>
  </w:abstractNum>
  <w:abstractNum w:abstractNumId="63">
    <w:nsid w:val="A0382C5"/>
    <w:multiLevelType w:val="hybridMultilevel"/>
    <w:lvl w:ilvl="0">
      <w:lvlJc w:val="left"/>
      <w:lvlText w:val="1"/>
      <w:numFmt w:val="bullet"/>
      <w:start w:val="1"/>
    </w:lvl>
  </w:abstractNum>
  <w:abstractNum w:abstractNumId="64">
    <w:nsid w:val="8F2B15E"/>
    <w:multiLevelType w:val="hybridMultilevel"/>
    <w:lvl w:ilvl="0">
      <w:lvlJc w:val="left"/>
      <w:lvlText w:val="(%1)"/>
      <w:numFmt w:val="lowerLetter"/>
      <w:start w:val="3"/>
    </w:lvl>
  </w:abstractNum>
  <w:abstractNum w:abstractNumId="65">
    <w:nsid w:val="1A32234B"/>
    <w:multiLevelType w:val="hybridMultilevel"/>
    <w:lvl w:ilvl="0">
      <w:lvlJc w:val="left"/>
      <w:lvlText w:val="%1"/>
      <w:numFmt w:val="upperLetter"/>
      <w:start w:val="1"/>
    </w:lvl>
    <w:lvl w:ilvl="1">
      <w:lvlJc w:val="left"/>
      <w:lvlText w:val="%2."/>
      <w:numFmt w:val="decimal"/>
      <w:start w:val="3"/>
    </w:lvl>
  </w:abstractNum>
  <w:abstractNum w:abstractNumId="66">
    <w:nsid w:val="3B0FD379"/>
    <w:multiLevelType w:val="hybridMultilevel"/>
    <w:lvl w:ilvl="0">
      <w:lvlJc w:val="left"/>
      <w:lvlText w:val="(%1)"/>
      <w:numFmt w:val="upperLetter"/>
      <w:start w:val="3"/>
    </w:lvl>
    <w:lvl w:ilvl="1">
      <w:lvlJc w:val="left"/>
      <w:lvlText w:val="%2"/>
      <w:numFmt w:val="decimal"/>
      <w:start w:val="1"/>
    </w:lvl>
  </w:abstractNum>
  <w:abstractNum w:abstractNumId="67">
    <w:nsid w:val="68EB2F63"/>
    <w:multiLevelType w:val="hybridMultilevel"/>
    <w:lvl w:ilvl="0">
      <w:lvlJc w:val="left"/>
      <w:lvlText w:val="2"/>
      <w:numFmt w:val="bullet"/>
      <w:start w:val="1"/>
    </w:lvl>
  </w:abstractNum>
  <w:abstractNum w:abstractNumId="68">
    <w:nsid w:val="4962813B"/>
    <w:multiLevelType w:val="hybridMultilevel"/>
    <w:lvl w:ilvl="0">
      <w:lvlJc w:val="left"/>
      <w:lvlText w:val="%1"/>
      <w:numFmt w:val="decimal"/>
      <w:start w:val="1"/>
    </w:lvl>
    <w:lvl w:ilvl="1">
      <w:lvlJc w:val="left"/>
      <w:lvlText w:val="(%2)"/>
      <w:numFmt w:val="lowerLetter"/>
      <w:start w:val="2"/>
    </w:lvl>
  </w:abstractNum>
  <w:abstractNum w:abstractNumId="69">
    <w:nsid w:val="60B6DF70"/>
    <w:multiLevelType w:val="hybridMultilevel"/>
    <w:lvl w:ilvl="0">
      <w:lvlJc w:val="left"/>
      <w:lvlText w:val="(%1)"/>
      <w:numFmt w:val="decimal"/>
      <w:start w:val="30"/>
    </w:lvl>
    <w:lvl w:ilvl="1">
      <w:lvlJc w:val="left"/>
      <w:lvlText w:val="%2"/>
      <w:numFmt w:val="lowerLetter"/>
      <w:start w:val="1"/>
    </w:lvl>
  </w:abstractNum>
  <w:abstractNum w:abstractNumId="70">
    <w:nsid w:val="6A5EE64"/>
    <w:multiLevelType w:val="hybridMultilevel"/>
    <w:lvl w:ilvl="0">
      <w:lvlJc w:val="left"/>
      <w:lvlText w:val="%1."/>
      <w:numFmt w:val="decimal"/>
      <w:start w:val="4"/>
    </w:lvl>
  </w:abstractNum>
  <w:abstractNum w:abstractNumId="71">
    <w:nsid w:val="14330624"/>
    <w:multiLevelType w:val="hybridMultilevel"/>
    <w:lvl w:ilvl="0">
      <w:lvlJc w:val="left"/>
      <w:lvlText w:val="8"/>
      <w:numFmt w:val="bullet"/>
      <w:start w:val="1"/>
    </w:lvl>
  </w:abstractNum>
  <w:abstractNum w:abstractNumId="72">
    <w:nsid w:val="7FFFCA11"/>
    <w:multiLevelType w:val="hybridMultilevel"/>
    <w:lvl w:ilvl="0">
      <w:lvlJc w:val="left"/>
      <w:lvlText w:val="%1."/>
      <w:numFmt w:val="decimal"/>
      <w:start w:val="6"/>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1."/>
      <w:numFmt w:val="decimal"/>
      <w:start w:val="1"/>
    </w:lvl>
  </w:abstractNum>
  <w:abstractNum w:abstractNumId="75">
    <w:nsid w:val="100F59DC"/>
    <w:multiLevelType w:val="hybridMultilevel"/>
    <w:lvl w:ilvl="0">
      <w:lvlJc w:val="left"/>
      <w:lvlText w:val="(%1)"/>
      <w:numFmt w:val="lowerLetter"/>
      <w:start w:val="2"/>
    </w:lvl>
  </w:abstractNum>
  <w:abstractNum w:abstractNumId="76">
    <w:nsid w:val="7FB7E0AA"/>
    <w:multiLevelType w:val="hybridMultilevel"/>
    <w:lvl w:ilvl="0">
      <w:lvlJc w:val="left"/>
      <w:lvlText w:val="1"/>
      <w:numFmt w:val="bullet"/>
      <w:start w:val="1"/>
    </w:lvl>
  </w:abstractNum>
  <w:abstractNum w:abstractNumId="77">
    <w:nsid w:val="6EB5BD4"/>
    <w:multiLevelType w:val="hybridMultilevel"/>
    <w:lvl w:ilvl="0">
      <w:lvlJc w:val="left"/>
      <w:lvlText w:val="(%1)"/>
      <w:numFmt w:val="lowerLetter"/>
      <w:start w:val="3"/>
    </w:lvl>
  </w:abstractNum>
  <w:abstractNum w:abstractNumId="78">
    <w:nsid w:val="6F6DD9AC"/>
    <w:multiLevelType w:val="hybridMultilevel"/>
    <w:lvl w:ilvl="0">
      <w:lvlJc w:val="left"/>
      <w:lvlText w:val="%1."/>
      <w:numFmt w:val="decimal"/>
      <w:start w:val="3"/>
    </w:lvl>
  </w:abstractNum>
  <w:abstractNum w:abstractNumId="79">
    <w:nsid w:val="94211F2"/>
    <w:multiLevelType w:val="hybridMultilevel"/>
    <w:lvl w:ilvl="0">
      <w:lvlJc w:val="left"/>
      <w:lvlText w:val="%1."/>
      <w:numFmt w:val="decimal"/>
      <w:start w:val="8"/>
    </w:lvl>
  </w:abstractNum>
  <w:abstractNum w:abstractNumId="80">
    <w:nsid w:val="885E1B"/>
    <w:multiLevelType w:val="hybridMultilevel"/>
    <w:lvl w:ilvl="0">
      <w:lvlJc w:val="left"/>
      <w:lvlText w:val="3"/>
      <w:numFmt w:val="bullet"/>
      <w:start w:val="1"/>
    </w:lvl>
  </w:abstractNum>
  <w:abstractNum w:abstractNumId="81">
    <w:nsid w:val="76272110"/>
    <w:multiLevelType w:val="hybridMultilevel"/>
    <w:lvl w:ilvl="0">
      <w:lvlJc w:val="left"/>
      <w:lvlText w:val="%1."/>
      <w:numFmt w:val="decimal"/>
      <w:start w:val="9"/>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1."/>
      <w:numFmt w:val="decimal"/>
      <w:start w:val="1"/>
    </w:lvl>
  </w:abstractNum>
  <w:abstractNum w:abstractNumId="84">
    <w:nsid w:val="14E17E33"/>
    <w:multiLevelType w:val="hybridMultilevel"/>
    <w:lvl w:ilvl="0">
      <w:lvlJc w:val="left"/>
      <w:lvlText w:val="(%1)"/>
      <w:numFmt w:val="lowerLetter"/>
      <w:start w:val="2"/>
    </w:lvl>
  </w:abstractNum>
  <w:abstractNum w:abstractNumId="85">
    <w:nsid w:val="3222E7CD"/>
    <w:multiLevelType w:val="hybridMultilevel"/>
    <w:lvl w:ilvl="0">
      <w:lvlJc w:val="left"/>
      <w:lvlText w:val="(%1)"/>
      <w:numFmt w:val="lowerLetter"/>
      <w:start w:val="3"/>
    </w:lvl>
  </w:abstractNum>
  <w:abstractNum w:abstractNumId="86">
    <w:nsid w:val="74DE0EE3"/>
    <w:multiLevelType w:val="hybridMultilevel"/>
    <w:lvl w:ilvl="0">
      <w:lvlJc w:val="left"/>
      <w:lvlText w:val="%1."/>
      <w:numFmt w:val="decimal"/>
      <w:start w:val="3"/>
    </w:lvl>
  </w:abstractNum>
  <w:abstractNum w:abstractNumId="87">
    <w:nsid w:val="68EBC550"/>
    <w:multiLevelType w:val="hybridMultilevel"/>
    <w:lvl w:ilvl="0">
      <w:lvlJc w:val="left"/>
      <w:lvlText w:val="%1."/>
      <w:numFmt w:val="decimal"/>
      <w:start w:val="10"/>
    </w:lvl>
  </w:abstractNum>
  <w:abstractNum w:abstractNumId="88">
    <w:nsid w:val="2DF6D648"/>
    <w:multiLevelType w:val="hybridMultilevel"/>
    <w:lvl w:ilvl="0">
      <w:lvlJc w:val="left"/>
      <w:lvlText w:val="*"/>
      <w:numFmt w:val="bullet"/>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lvl w:ilvl="1">
      <w:lvlJc w:val="left"/>
      <w:lvlText w:val="%2."/>
      <w:numFmt w:val="lowerLetter"/>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65" Type="http://schemas.openxmlformats.org/officeDocument/2006/relationships/image" Target="media/image111.png"/><Relationship Id="rId166" Type="http://schemas.openxmlformats.org/officeDocument/2006/relationships/image" Target="media/image112.png"/><Relationship Id="rId176" Type="http://schemas.openxmlformats.org/officeDocument/2006/relationships/image" Target="media/image113.png"/><Relationship Id="rId178" Type="http://schemas.openxmlformats.org/officeDocument/2006/relationships/image" Target="media/image114.png"/><Relationship Id="rId179" Type="http://schemas.openxmlformats.org/officeDocument/2006/relationships/image" Target="media/image115.png"/><Relationship Id="rId180" Type="http://schemas.openxmlformats.org/officeDocument/2006/relationships/image" Target="media/image116.png"/><Relationship Id="rId181" Type="http://schemas.openxmlformats.org/officeDocument/2006/relationships/image" Target="media/image117.png"/><Relationship Id="rId182" Type="http://schemas.openxmlformats.org/officeDocument/2006/relationships/image" Target="media/image118.png"/><Relationship Id="rId183" Type="http://schemas.openxmlformats.org/officeDocument/2006/relationships/image" Target="media/image119.png"/><Relationship Id="rId184" Type="http://schemas.openxmlformats.org/officeDocument/2006/relationships/image" Target="media/image120.png"/><Relationship Id="rId185" Type="http://schemas.openxmlformats.org/officeDocument/2006/relationships/image" Target="media/image121.png"/><Relationship Id="rId186" Type="http://schemas.openxmlformats.org/officeDocument/2006/relationships/image" Target="media/image122.png"/><Relationship Id="rId187" Type="http://schemas.openxmlformats.org/officeDocument/2006/relationships/image" Target="media/image123.png"/><Relationship Id="rId188" Type="http://schemas.openxmlformats.org/officeDocument/2006/relationships/image" Target="media/image124.png"/><Relationship Id="rId189" Type="http://schemas.openxmlformats.org/officeDocument/2006/relationships/image" Target="media/image125.png"/><Relationship Id="rId190" Type="http://schemas.openxmlformats.org/officeDocument/2006/relationships/image" Target="media/image126.png"/><Relationship Id="rId191" Type="http://schemas.openxmlformats.org/officeDocument/2006/relationships/image" Target="media/image127.png"/><Relationship Id="rId192" Type="http://schemas.openxmlformats.org/officeDocument/2006/relationships/image" Target="media/image128.png"/><Relationship Id="rId193" Type="http://schemas.openxmlformats.org/officeDocument/2006/relationships/image" Target="media/image129.png"/><Relationship Id="rId194" Type="http://schemas.openxmlformats.org/officeDocument/2006/relationships/image" Target="media/image130.png"/><Relationship Id="rId195" Type="http://schemas.openxmlformats.org/officeDocument/2006/relationships/image" Target="media/image131.png"/><Relationship Id="rId196" Type="http://schemas.openxmlformats.org/officeDocument/2006/relationships/image" Target="media/image132.png"/><Relationship Id="rId197" Type="http://schemas.openxmlformats.org/officeDocument/2006/relationships/image" Target="media/image133.png"/><Relationship Id="rId198" Type="http://schemas.openxmlformats.org/officeDocument/2006/relationships/image" Target="media/image134.png"/><Relationship Id="rId199" Type="http://schemas.openxmlformats.org/officeDocument/2006/relationships/image" Target="media/image135.png"/><Relationship Id="rId200" Type="http://schemas.openxmlformats.org/officeDocument/2006/relationships/image" Target="media/image136.png"/><Relationship Id="rId201" Type="http://schemas.openxmlformats.org/officeDocument/2006/relationships/image" Target="media/image137.png"/><Relationship Id="rId202" Type="http://schemas.openxmlformats.org/officeDocument/2006/relationships/image" Target="media/image138.png"/><Relationship Id="rId203" Type="http://schemas.openxmlformats.org/officeDocument/2006/relationships/image" Target="media/image139.png"/><Relationship Id="rId204" Type="http://schemas.openxmlformats.org/officeDocument/2006/relationships/image" Target="media/image140.png"/><Relationship Id="rId205" Type="http://schemas.openxmlformats.org/officeDocument/2006/relationships/image" Target="media/image141.png"/><Relationship Id="rId206" Type="http://schemas.openxmlformats.org/officeDocument/2006/relationships/image" Target="media/image142.png"/><Relationship Id="rId207" Type="http://schemas.openxmlformats.org/officeDocument/2006/relationships/image" Target="media/image143.png"/><Relationship Id="rId208" Type="http://schemas.openxmlformats.org/officeDocument/2006/relationships/image" Target="media/image144.png"/><Relationship Id="rId209" Type="http://schemas.openxmlformats.org/officeDocument/2006/relationships/image" Target="media/image145.png"/><Relationship Id="rId210" Type="http://schemas.openxmlformats.org/officeDocument/2006/relationships/image" Target="media/image146.png"/><Relationship Id="rId211" Type="http://schemas.openxmlformats.org/officeDocument/2006/relationships/image" Target="media/image147.png"/><Relationship Id="rId212" Type="http://schemas.openxmlformats.org/officeDocument/2006/relationships/image" Target="media/image148.png"/><Relationship Id="rId213" Type="http://schemas.openxmlformats.org/officeDocument/2006/relationships/image" Target="media/image149.png"/><Relationship Id="rId214" Type="http://schemas.openxmlformats.org/officeDocument/2006/relationships/image" Target="media/image150.png"/><Relationship Id="rId215" Type="http://schemas.openxmlformats.org/officeDocument/2006/relationships/image" Target="media/image151.png"/><Relationship Id="rId216" Type="http://schemas.openxmlformats.org/officeDocument/2006/relationships/image" Target="media/image152.png"/><Relationship Id="rId217" Type="http://schemas.openxmlformats.org/officeDocument/2006/relationships/image" Target="media/image153.png"/><Relationship Id="rId218" Type="http://schemas.openxmlformats.org/officeDocument/2006/relationships/image" Target="media/image154.png"/><Relationship Id="rId219" Type="http://schemas.openxmlformats.org/officeDocument/2006/relationships/image" Target="media/image155.png"/><Relationship Id="rId220" Type="http://schemas.openxmlformats.org/officeDocument/2006/relationships/image" Target="media/image156.png"/><Relationship Id="rId221" Type="http://schemas.openxmlformats.org/officeDocument/2006/relationships/image" Target="media/image157.png"/><Relationship Id="rId222" Type="http://schemas.openxmlformats.org/officeDocument/2006/relationships/image" Target="media/image158.png"/><Relationship Id="rId223" Type="http://schemas.openxmlformats.org/officeDocument/2006/relationships/image" Target="media/image159.png"/><Relationship Id="rId224" Type="http://schemas.openxmlformats.org/officeDocument/2006/relationships/image" Target="media/image160.png"/><Relationship Id="rId225" Type="http://schemas.openxmlformats.org/officeDocument/2006/relationships/image" Target="media/image161.png"/><Relationship Id="rId226" Type="http://schemas.openxmlformats.org/officeDocument/2006/relationships/image" Target="media/image162.png"/><Relationship Id="rId227" Type="http://schemas.openxmlformats.org/officeDocument/2006/relationships/image" Target="media/image163.png"/><Relationship Id="rId228" Type="http://schemas.openxmlformats.org/officeDocument/2006/relationships/image" Target="media/image164.png"/><Relationship Id="rId229" Type="http://schemas.openxmlformats.org/officeDocument/2006/relationships/image" Target="media/image165.png"/><Relationship Id="rId230" Type="http://schemas.openxmlformats.org/officeDocument/2006/relationships/image" Target="media/image166.png"/><Relationship Id="rId231" Type="http://schemas.openxmlformats.org/officeDocument/2006/relationships/image" Target="media/image167.png"/><Relationship Id="rId232" Type="http://schemas.openxmlformats.org/officeDocument/2006/relationships/image" Target="media/image168.png"/><Relationship Id="rId233" Type="http://schemas.openxmlformats.org/officeDocument/2006/relationships/image" Target="media/image169.png"/><Relationship Id="rId234" Type="http://schemas.openxmlformats.org/officeDocument/2006/relationships/image" Target="media/image170.png"/><Relationship Id="rId235" Type="http://schemas.openxmlformats.org/officeDocument/2006/relationships/image" Target="media/image171.png"/><Relationship Id="rId236" Type="http://schemas.openxmlformats.org/officeDocument/2006/relationships/image" Target="media/image172.png"/><Relationship Id="rId237" Type="http://schemas.openxmlformats.org/officeDocument/2006/relationships/image" Target="media/image173.png"/><Relationship Id="rId238" Type="http://schemas.openxmlformats.org/officeDocument/2006/relationships/image" Target="media/image174.png"/><Relationship Id="rId239" Type="http://schemas.openxmlformats.org/officeDocument/2006/relationships/image" Target="media/image175.png"/><Relationship Id="rId240" Type="http://schemas.openxmlformats.org/officeDocument/2006/relationships/image" Target="media/image176.png"/><Relationship Id="rId241" Type="http://schemas.openxmlformats.org/officeDocument/2006/relationships/image" Target="media/image177.png"/><Relationship Id="rId242" Type="http://schemas.openxmlformats.org/officeDocument/2006/relationships/image" Target="media/image178.png"/><Relationship Id="rId243" Type="http://schemas.openxmlformats.org/officeDocument/2006/relationships/image" Target="media/image179.png"/><Relationship Id="rId244" Type="http://schemas.openxmlformats.org/officeDocument/2006/relationships/image" Target="media/image180.png"/><Relationship Id="rId245" Type="http://schemas.openxmlformats.org/officeDocument/2006/relationships/image" Target="media/image181.png"/><Relationship Id="rId246" Type="http://schemas.openxmlformats.org/officeDocument/2006/relationships/image" Target="media/image182.png"/><Relationship Id="rId247" Type="http://schemas.openxmlformats.org/officeDocument/2006/relationships/image" Target="media/image183.png"/><Relationship Id="rId248" Type="http://schemas.openxmlformats.org/officeDocument/2006/relationships/image" Target="media/image184.png"/><Relationship Id="rId249" Type="http://schemas.openxmlformats.org/officeDocument/2006/relationships/image" Target="media/image185.png"/><Relationship Id="rId250" Type="http://schemas.openxmlformats.org/officeDocument/2006/relationships/image" Target="media/image186.png"/><Relationship Id="rId114" Type="http://schemas.openxmlformats.org/officeDocument/2006/relationships/hyperlink" Target="https://www.sec.gov/Archives/edgar/data/872589/000087258925000019/regn-ex_31x06302025.htm" TargetMode="External"/><Relationship Id="rId115" Type="http://schemas.openxmlformats.org/officeDocument/2006/relationships/hyperlink" Target="https://www.sec.gov/Archives/edgar/data/872589/000110465916163216/a16-23471_1ex3d2.htm" TargetMode="External"/><Relationship Id="rId116" Type="http://schemas.openxmlformats.org/officeDocument/2006/relationships/hyperlink" Target="https://www.sec.gov/Archives/edgar/data/872589/000110465923071187/tm2318622d1_ex3-2.htm" TargetMode="External"/><Relationship Id="rId117" Type="http://schemas.openxmlformats.org/officeDocument/2006/relationships/hyperlink" Target="https://www.sec.gov/Archives/edgar/data/872589/000110465920093924/tm2027319d1_ex4-1.htm" TargetMode="External"/><Relationship Id="rId118" Type="http://schemas.openxmlformats.org/officeDocument/2006/relationships/hyperlink" Target="https://www.sec.gov/Archives/edgar/data/872589/000110465920093924/tm2027319d1_ex4-2.htm" TargetMode="External"/><Relationship Id="rId119" Type="http://schemas.openxmlformats.org/officeDocument/2006/relationships/hyperlink" Target="https://www.sec.gov/Archives/edgar/data/872589/000119312514237593/d741943dex991.htm" TargetMode="External"/><Relationship Id="rId120" Type="http://schemas.openxmlformats.org/officeDocument/2006/relationships/hyperlink" Target="https://www.sec.gov/Archives/edgar/data/872589/000110465915080234/a15-23696_1ex10d1.htm" TargetMode="External"/><Relationship Id="rId121" Type="http://schemas.openxmlformats.org/officeDocument/2006/relationships/hyperlink" Target="https://www.sec.gov/Archives/edgar/data/872589/000153217616000045/regn-ex_10210x12312015x10k.htm" TargetMode="External"/><Relationship Id="rId122" Type="http://schemas.openxmlformats.org/officeDocument/2006/relationships/hyperlink" Target="https://www.sec.gov/Archives/edgar/data/872589/000110465917038718/a17-14867_1ex99d1.htm" TargetMode="External"/><Relationship Id="rId123" Type="http://schemas.openxmlformats.org/officeDocument/2006/relationships/hyperlink" Target="https://www.sec.gov/Archives/edgar/data/872589/000153217618000013/regn-ex_10211xar2014ltipnq.htm" TargetMode="External"/><Relationship Id="rId124" Type="http://schemas.openxmlformats.org/officeDocument/2006/relationships/hyperlink" Target="https://www.sec.gov/Archives/edgar/data/872589/000153217618000013/regn-ex_10216xar2014ltipnq.htm" TargetMode="External"/><Relationship Id="rId125" Type="http://schemas.openxmlformats.org/officeDocument/2006/relationships/hyperlink" Target="https://www.sec.gov/Archives/edgar/data/872589/000153217619000009/regn-ex_10217xstockoptiona.htm" TargetMode="External"/><Relationship Id="rId126" Type="http://schemas.openxmlformats.org/officeDocument/2006/relationships/hyperlink" Target="https://www.sec.gov/Archives/edgar/data/872589/000153217619000009/regn-ex_10220xar2014ltipnq.htm" TargetMode="External"/><Relationship Id="rId129" Type="http://schemas.openxmlformats.org/officeDocument/2006/relationships/hyperlink" Target="https://www.sec.gov/Archives/edgar/data/872589/000153217619000009/regn-ex_10221xar2014ltiprs.htm" TargetMode="External"/><Relationship Id="rId130" Type="http://schemas.openxmlformats.org/officeDocument/2006/relationships/hyperlink" Target="https://www.sec.gov/Archives/edgar/data/872589/000153217620000008/regn-ex10217ar2014ltip.htm" TargetMode="External"/><Relationship Id="rId131" Type="http://schemas.openxmlformats.org/officeDocument/2006/relationships/hyperlink" Target="https://www.sec.gov/Archives/edgar/data/872589/000153217620000008/regn-ex10220ar2014ltip.htm" TargetMode="External"/><Relationship Id="rId132" Type="http://schemas.openxmlformats.org/officeDocument/2006/relationships/hyperlink" Target="https://www.sec.gov/Archives/edgar/data/872589/000153217620000008/regn-ex10221ar2014ltip.htm" TargetMode="External"/><Relationship Id="rId133" Type="http://schemas.openxmlformats.org/officeDocument/2006/relationships/hyperlink" Target="https://www.sec.gov/Archives/edgar/data/872589/000110465920073764/tm2022552d1_ex99-1.htm" TargetMode="External"/><Relationship Id="rId134" Type="http://schemas.openxmlformats.org/officeDocument/2006/relationships/hyperlink" Target="https://www.sec.gov/Archives/edgar/data/872589/000180422021000008/regn-ex_1031x12312020x10k.htm" TargetMode="External"/><Relationship Id="rId135" Type="http://schemas.openxmlformats.org/officeDocument/2006/relationships/hyperlink" Target="https://www.sec.gov/Archives/edgar/data/872589/000180422021000008/regn-ex_1033x12312020x10k.htm" TargetMode="External"/><Relationship Id="rId136" Type="http://schemas.openxmlformats.org/officeDocument/2006/relationships/hyperlink" Target="https://www.sec.gov/Archives/edgar/data/872589/000180422021000008/regn-ex_1035x12312020x10k.htm" TargetMode="External"/><Relationship Id="rId137" Type="http://schemas.openxmlformats.org/officeDocument/2006/relationships/hyperlink" Target="https://www.sec.gov/Archives/edgar/data/872589/000180422021000008/regn-ex_1036x12312020x10k.htm" TargetMode="External"/><Relationship Id="rId138" Type="http://schemas.openxmlformats.org/officeDocument/2006/relationships/hyperlink" Target="https://www.sec.gov/Archives/edgar/data/872589/000180422021000008/regn-ex_1037x12312020x10k.htm" TargetMode="External"/><Relationship Id="rId139" Type="http://schemas.openxmlformats.org/officeDocument/2006/relationships/hyperlink" Target="https://www.sec.gov/Archives/edgar/data/872589/000180422024000009/regn-ex_1036x12312023x10k.htm" TargetMode="External"/><Relationship Id="rId140" Type="http://schemas.openxmlformats.org/officeDocument/2006/relationships/hyperlink" Target="https://www.sec.gov/Archives/edgar/data/872589/000180422024000009/regn-ex_1037x12312023x10k.htm" TargetMode="External"/><Relationship Id="rId141" Type="http://schemas.openxmlformats.org/officeDocument/2006/relationships/hyperlink" Target="https://www.sec.gov/Archives/edgar/data/872589/000120677409000338/exhibit10-3.htm" TargetMode="External"/><Relationship Id="rId142" Type="http://schemas.openxmlformats.org/officeDocument/2006/relationships/hyperlink" Target="https://www.sec.gov/Archives/edgar/data/872589/000180422023000023/regn-ex_103x6302023x10q.htm" TargetMode="External"/><Relationship Id="rId145" Type="http://schemas.openxmlformats.org/officeDocument/2006/relationships/hyperlink" Target="https://www.sec.gov/Archives/edgar/data/872589/000120677409000338/exhibit10-5.htm" TargetMode="External"/><Relationship Id="rId146" Type="http://schemas.openxmlformats.org/officeDocument/2006/relationships/hyperlink" Target="https://www.sec.gov/Archives/edgar/data/872589/000110465915045962/a15-14252_1ex10d1.htm" TargetMode="External"/><Relationship Id="rId147" Type="http://schemas.openxmlformats.org/officeDocument/2006/relationships/hyperlink" Target="https://www.sec.gov/Archives/edgar/data/872589/000180422023000016/regn-ex_101x3312023x10q.htm" TargetMode="External"/><Relationship Id="rId148" Type="http://schemas.openxmlformats.org/officeDocument/2006/relationships/hyperlink" Target="https://www.sec.gov/Archives/edgar/data/872589/000120677409001498/exhibit10-1.htm" TargetMode="External"/><Relationship Id="rId149" Type="http://schemas.openxmlformats.org/officeDocument/2006/relationships/hyperlink" Target="https://www.sec.gov/Archives/edgar/data/872589/000095012306013527/y26593exv10w1.htm" TargetMode="External"/><Relationship Id="rId150" Type="http://schemas.openxmlformats.org/officeDocument/2006/relationships/hyperlink" Target="https://www.sec.gov/Archives/edgar/data/872589/000180422025000011/regn-ex_1081x12312024x10k.htm" TargetMode="External"/><Relationship Id="rId151" Type="http://schemas.openxmlformats.org/officeDocument/2006/relationships/hyperlink" Target="https://www.sec.gov/Archives/edgar/data/872589/000153217620000008/regn-ex10102secondamen.htm" TargetMode="External"/><Relationship Id="rId152" Type="http://schemas.openxmlformats.org/officeDocument/2006/relationships/hyperlink" Target="https://www.sec.gov/Archives/edgar/data/872589/000120677410001385/exhibit10-15.htm" TargetMode="External"/><Relationship Id="rId153" Type="http://schemas.openxmlformats.org/officeDocument/2006/relationships/hyperlink" Target="https://www.sec.gov/Archives/edgar/data/872589/000180422023000023/regn-ex_101x6302023x10q.htm" TargetMode="External"/><Relationship Id="rId154" Type="http://schemas.openxmlformats.org/officeDocument/2006/relationships/hyperlink" Target="https://www.sec.gov/Archives/edgar/data/872589/000087258925000019/regn-ex_101x06302025.htm" TargetMode="External"/><Relationship Id="rId155" Type="http://schemas.openxmlformats.org/officeDocument/2006/relationships/hyperlink" Target="https://www.sec.gov/Archives/edgar/data/872589/000180422020000022/regn-ex103x06302020x10q.htm" TargetMode="External"/><Relationship Id="rId156" Type="http://schemas.openxmlformats.org/officeDocument/2006/relationships/hyperlink" Target="https://www.sec.gov/Archives/edgar/data/872589/000180422022000007/regen-ex_10144x12312021x10k.htm" TargetMode="External"/><Relationship Id="rId157" Type="http://schemas.openxmlformats.org/officeDocument/2006/relationships/hyperlink" Target="https://www.sec.gov/Archives/edgar/data/872589/000180422022000023/regn-ex_103x6302022x10q.htm" TargetMode="External"/><Relationship Id="rId158" Type="http://schemas.openxmlformats.org/officeDocument/2006/relationships/hyperlink" Target="https://www.sec.gov/Archives/edgar/data/872589/000180422020000022/regn-ex104x06302020x10q.htm" TargetMode="External"/><Relationship Id="rId159" Type="http://schemas.openxmlformats.org/officeDocument/2006/relationships/hyperlink" Target="https://www.sec.gov/Archives/edgar/data/872589/000119312514008775/d659864dex101.htm" TargetMode="External"/><Relationship Id="rId160" Type="http://schemas.openxmlformats.org/officeDocument/2006/relationships/hyperlink" Target="https://www.sec.gov/Archives/edgar/data/872589/000110465920067752/tm2021201d1_ex10-2.htm" TargetMode="External"/><Relationship Id="rId161" Type="http://schemas.openxmlformats.org/officeDocument/2006/relationships/hyperlink" Target="https://www.sec.gov/Archives/edgar/data/872589/000110465922128613/tm2233051d1_ex10-1.htm" TargetMode="External"/><Relationship Id="rId162" Type="http://schemas.openxmlformats.org/officeDocument/2006/relationships/hyperlink" Target="https://www.sec.gov/Archives/edgar/data/872589/000180422022000023/regn-ex_102x06302022x10q.htm" TargetMode="External"/><Relationship Id="rId163" Type="http://schemas.openxmlformats.org/officeDocument/2006/relationships/hyperlink" Target="https://www.sec.gov/Archives/edgar/data/872589/000153217617000008/regn-ex_1035xlandmarkpsaex.htm" TargetMode="External"/><Relationship Id="rId164" Type="http://schemas.openxmlformats.org/officeDocument/2006/relationships/hyperlink" Target="https://www.sec.gov/Archives/edgar/data/872589/000110465923038299/tm2310647d1_ex10-1.htm" TargetMode="External"/><Relationship Id="rId167" Type="http://schemas.openxmlformats.org/officeDocument/2006/relationships/hyperlink" Target="https://www.sec.gov/Archives/edgar/data/872589/000110465923038299/tm2310647d1_ex10-2.htm" TargetMode="External"/><Relationship Id="rId168" Type="http://schemas.openxmlformats.org/officeDocument/2006/relationships/hyperlink" Target="https://www.sec.gov/Archives/edgar/data/872589/000110465923038299/tm2310647d1_ex10-3.htm" TargetMode="External"/><Relationship Id="rId169" Type="http://schemas.openxmlformats.org/officeDocument/2006/relationships/hyperlink" Target="https://www.sec.gov/Archives/edgar/data/872589/000153217619000026/regn-ex104.htm" TargetMode="External"/><Relationship Id="rId170" Type="http://schemas.openxmlformats.org/officeDocument/2006/relationships/hyperlink" Target="https://www.sec.gov/Archives/edgar/data/872589/000153217619000026/regn-ex1041.htm" TargetMode="External"/><Relationship Id="rId171" Type="http://schemas.openxmlformats.org/officeDocument/2006/relationships/hyperlink" Target="https://www.sec.gov/Archives/edgar/data/872589/000153217619000026/regn-ex1042.htm" TargetMode="External"/><Relationship Id="rId172" Type="http://schemas.openxmlformats.org/officeDocument/2006/relationships/hyperlink" Target="https://www.sec.gov/Archives/edgar/data/872589/000180422023000023/regn-ex_102x6302023x10q.htm" TargetMode="External"/><Relationship Id="rId173" Type="http://schemas.openxmlformats.org/officeDocument/2006/relationships/hyperlink" Target="https://www.sec.gov/Archives/edgar/data/872589/000180422024000017/regn-ex_101x03312024x10q.htm" TargetMode="External"/><Relationship Id="rId174" Type="http://schemas.openxmlformats.org/officeDocument/2006/relationships/hyperlink" Target="https://www.sec.gov/Archives/edgar/data/872589/000180422024000040/regn-ex_101x9302024x10q.htm" TargetMode="External"/><Relationship Id="rId175" Type="http://schemas.openxmlformats.org/officeDocument/2006/relationships/hyperlink" Target="https://www.sec.gov/Archives/edgar/data/872589/000180422025000011/regn-ex_191x12312024x10k.htm" TargetMode="External"/><Relationship Id="rId177" Type="http://schemas.openxmlformats.org/officeDocument/2006/relationships/hyperlink" Target="https://www.sec.gov/Archives/edgar/data/872589/000180422024000009/regn-ex_971x12312023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2026-02-04T08:18:36Z</dcterms:created>
  <dcterms:modified xsi:type="dcterms:W3CDTF">2026-02-04T08:18:36Z</dcterms:modified>
</cp:coreProperties>
</file>