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2015</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97" w:lineRule="exact"/>
        <w:rPr>
          <w:sz w:val="24"/>
          <w:szCs w:val="24"/>
          <w:color w:val="auto"/>
        </w:rPr>
      </w:pPr>
    </w:p>
    <w:tbl>
      <w:tblPr>
        <w:tblLayout w:type="fixed"/>
        <w:tblInd w:w="236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060" w:type="dxa"/>
            <w:vAlign w:val="bottom"/>
          </w:tcPr>
          <w:p>
            <w:pPr>
              <w:jc w:val="right"/>
              <w:spacing w:after="0"/>
              <w:rPr>
                <w:sz w:val="20"/>
                <w:szCs w:val="20"/>
                <w:color w:val="auto"/>
              </w:rPr>
            </w:pPr>
            <w:r>
              <w:rPr>
                <w:rFonts w:ascii="Arial" w:cs="Arial" w:eastAsia="Arial" w:hAnsi="Arial"/>
                <w:sz w:val="18"/>
                <w:szCs w:val="18"/>
                <w:color w:val="auto"/>
              </w:rPr>
              <w:t>0-19034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102870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3800" w:type="dxa"/>
            <w:vAlign w:val="bottom"/>
            <w:gridSpan w:val="3"/>
          </w:tcPr>
          <w:p>
            <w:pPr>
              <w:jc w:val="center"/>
              <w:ind w:right="3080"/>
              <w:spacing w:after="0"/>
              <w:rPr>
                <w:sz w:val="20"/>
                <w:szCs w:val="20"/>
                <w:color w:val="auto"/>
              </w:rPr>
            </w:pPr>
            <w:r>
              <w:rPr>
                <w:rFonts w:ascii="Arial" w:cs="Arial" w:eastAsia="Arial" w:hAnsi="Arial"/>
                <w:sz w:val="18"/>
                <w:szCs w:val="18"/>
                <w:color w:val="auto"/>
                <w:w w:val="92"/>
              </w:rPr>
              <w:t>New York</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(State or other jurisdiction of</w:t>
            </w: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360" w:type="dxa"/>
            <w:vAlign w:val="bottom"/>
            <w:gridSpan w:val="4"/>
          </w:tcPr>
          <w:p>
            <w:pPr>
              <w:jc w:val="center"/>
              <w:ind w:right="1520"/>
              <w:spacing w:after="0"/>
              <w:rPr>
                <w:sz w:val="20"/>
                <w:szCs w:val="20"/>
                <w:color w:val="auto"/>
              </w:rPr>
            </w:pPr>
            <w:r>
              <w:rPr>
                <w:rFonts w:ascii="Arial" w:cs="Arial" w:eastAsia="Arial" w:hAnsi="Arial"/>
                <w:sz w:val="18"/>
                <w:szCs w:val="18"/>
                <w:color w:val="auto"/>
                <w:w w:val="92"/>
              </w:rPr>
              <w:t>incorporation or organization)</w:t>
            </w:r>
          </w:p>
        </w:tc>
        <w:tc>
          <w:tcPr>
            <w:tcW w:w="2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1520" w:type="dxa"/>
            <w:vAlign w:val="bottom"/>
          </w:tcPr>
          <w:p>
            <w:pPr>
              <w:spacing w:after="0"/>
              <w:rPr>
                <w:sz w:val="24"/>
                <w:szCs w:val="24"/>
                <w:color w:val="auto"/>
              </w:rPr>
            </w:pPr>
          </w:p>
        </w:tc>
        <w:tc>
          <w:tcPr>
            <w:tcW w:w="4140" w:type="dxa"/>
            <w:vAlign w:val="bottom"/>
            <w:gridSpan w:val="3"/>
          </w:tcPr>
          <w:p>
            <w:pPr>
              <w:jc w:val="center"/>
              <w:ind w:left="143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c>
          <w:tcPr>
            <w:tcW w:w="880" w:type="dxa"/>
            <w:vAlign w:val="bottom"/>
          </w:tcPr>
          <w:p>
            <w:pPr>
              <w:spacing w:after="0"/>
              <w:rPr>
                <w:sz w:val="24"/>
                <w:szCs w:val="24"/>
                <w:color w:val="auto"/>
              </w:rPr>
            </w:pPr>
          </w:p>
        </w:tc>
      </w:tr>
    </w:tbl>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(914) 847-7000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-8255</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-187960</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April 16, 2015:</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1,971,868</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101,305,623</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March 31, 2015 and December 31, 2014</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6"/>
            <w:shd w:val="clear" w:color="auto" w:fill="CCEEFF"/>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6"/>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Months Ended March 31, 2015 and 2014</w:t>
              </w:r>
            </w:hyperlink>
          </w:p>
        </w:tc>
        <w:tc>
          <w:tcPr>
            <w:tcW w:w="9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Cash Flows for the Three Months Ended March 31,</w:t>
              </w:r>
            </w:hyperlink>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58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2015 and 2014</w:t>
              </w:r>
            </w:hyperlink>
          </w:p>
        </w:tc>
        <w:tc>
          <w:tcPr>
            <w:tcW w:w="1040" w:type="dxa"/>
            <w:vAlign w:val="bottom"/>
            <w:tcBorders>
              <w:top w:val="single" w:sz="8" w:color="CCEEFF"/>
            </w:tcBorders>
            <w:gridSpan w:val="2"/>
            <w:shd w:val="clear" w:color="auto" w:fill="CCEEFF"/>
          </w:tcPr>
          <w:p>
            <w:pPr>
              <w:spacing w:after="0"/>
              <w:rPr>
                <w:sz w:val="21"/>
                <w:szCs w:val="21"/>
                <w:color w:val="auto"/>
              </w:rPr>
            </w:pPr>
          </w:p>
        </w:tc>
        <w:tc>
          <w:tcPr>
            <w:tcW w:w="660" w:type="dxa"/>
            <w:vAlign w:val="bottom"/>
            <w:tcBorders>
              <w:top w:val="single" w:sz="8" w:color="CCEEFF"/>
            </w:tcBorders>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71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73</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130" w:right="279" w:bottom="1440" w:gutter="0" w:footer="0" w:header="0"/>
          <w:type w:val="continuous"/>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70"/>
        </w:trPr>
        <w:tc>
          <w:tcPr>
            <w:tcW w:w="8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53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507,907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648,719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251,761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1,015,962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739,379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121,058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163,056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156,962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128,861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62,126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49,235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71,486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2,310,714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2,167,461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483,305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460,154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974,309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289,484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289,021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4,198,573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380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462,762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483,489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58,098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97,146</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536,134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654,660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8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48,656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72,367</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103,909</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Facility lease obligations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328,394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310,938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40,855</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1,227,143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1,329,502</w:t>
            </w:r>
          </w:p>
        </w:tc>
        <w:tc>
          <w:tcPr>
            <w:tcW w:w="0" w:type="dxa"/>
            <w:vAlign w:val="bottom"/>
          </w:tcPr>
          <w:p>
            <w:pPr>
              <w:spacing w:after="0"/>
              <w:rPr>
                <w:sz w:val="1"/>
                <w:szCs w:val="1"/>
                <w:color w:val="auto"/>
              </w:rPr>
            </w:pPr>
          </w:p>
        </w:tc>
      </w:tr>
      <w:tr>
        <w:trPr>
          <w:trHeight w:val="277"/>
        </w:trPr>
        <w:tc>
          <w:tcPr>
            <w:tcW w:w="8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2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1,971,868 in 2015 and 1,973,368 in 2014</w:t>
            </w: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160,000,000 shares authorized; shares issued - 103,418,736 in 2015 and</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102,475,154 in 2014</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2,812,573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2,465,008</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292,665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2,163,980 shares in 2015 and 2,017,732 in 2014</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(169,530)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2,971,430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2,564,477</w:t>
            </w:r>
          </w:p>
        </w:tc>
        <w:tc>
          <w:tcPr>
            <w:tcW w:w="0" w:type="dxa"/>
            <w:vAlign w:val="bottom"/>
          </w:tcPr>
          <w:p>
            <w:pPr>
              <w:spacing w:after="0"/>
              <w:rPr>
                <w:sz w:val="1"/>
                <w:szCs w:val="1"/>
                <w:color w:val="auto"/>
              </w:rPr>
            </w:pP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4,198,573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651"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30" w:right="259" w:bottom="651"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81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6960" w:type="dxa"/>
            <w:vAlign w:val="bottom"/>
          </w:tcPr>
          <w:p>
            <w:pPr>
              <w:jc w:val="center"/>
              <w:ind w:left="2050"/>
              <w:spacing w:after="0"/>
              <w:rPr>
                <w:sz w:val="20"/>
                <w:szCs w:val="20"/>
                <w:color w:val="auto"/>
              </w:rPr>
            </w:pPr>
            <w:r>
              <w:rPr>
                <w:rFonts w:ascii="Arial" w:cs="Arial" w:eastAsia="Arial" w:hAnsi="Arial"/>
                <w:sz w:val="18"/>
                <w:szCs w:val="18"/>
                <w:b w:val="1"/>
                <w:bCs w:val="1"/>
                <w:color w:val="auto"/>
                <w:w w:val="93"/>
              </w:rPr>
              <w:t>(Unaudited)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2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gridSpan w:val="4"/>
          </w:tcPr>
          <w:p>
            <w:pPr>
              <w:jc w:val="right"/>
              <w:ind w:right="65"/>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544,573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362,378</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173,356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130,508</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123,846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125,312</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Technology licensing and other revenue</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7,542</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69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869,612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625,740</w:t>
            </w:r>
          </w:p>
        </w:tc>
      </w:tr>
      <w:tr>
        <w:trPr>
          <w:trHeight w:val="277"/>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343,113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287,379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158,991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103,227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42,570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27,473</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41,385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16,099</w:t>
            </w: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586,059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434,178</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283,553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191,562</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and other income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812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(11,613)</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(10,676)</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276,523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180,886</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(200,502)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(112,581)</w:t>
            </w:r>
          </w:p>
        </w:tc>
      </w:tr>
      <w:tr>
        <w:trPr>
          <w:trHeight w:val="27"/>
        </w:trPr>
        <w:tc>
          <w:tcPr>
            <w:tcW w:w="1160" w:type="dxa"/>
            <w:vAlign w:val="bottom"/>
            <w:tcBorders>
              <w:bottom w:val="single" w:sz="8" w:color="CCEEFF"/>
            </w:tcBorders>
          </w:tcPr>
          <w:p>
            <w:pPr>
              <w:spacing w:after="0"/>
              <w:rPr>
                <w:sz w:val="2"/>
                <w:szCs w:val="2"/>
                <w:color w:val="auto"/>
              </w:rPr>
            </w:pPr>
          </w:p>
        </w:tc>
        <w:tc>
          <w:tcPr>
            <w:tcW w:w="6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76,021</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68,305</w:t>
            </w:r>
          </w:p>
        </w:tc>
      </w:tr>
      <w:tr>
        <w:trPr>
          <w:trHeight w:val="271"/>
        </w:trPr>
        <w:tc>
          <w:tcPr>
            <w:tcW w:w="1160" w:type="dxa"/>
            <w:vAlign w:val="bottom"/>
            <w:shd w:val="clear" w:color="auto" w:fill="CCEEFF"/>
          </w:tcPr>
          <w:p>
            <w:pPr>
              <w:spacing w:after="0"/>
              <w:rPr>
                <w:sz w:val="23"/>
                <w:szCs w:val="23"/>
                <w:color w:val="auto"/>
              </w:rPr>
            </w:pPr>
          </w:p>
        </w:tc>
        <w:tc>
          <w:tcPr>
            <w:tcW w:w="69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0.69</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0.61</w:t>
            </w:r>
          </w:p>
        </w:tc>
      </w:tr>
      <w:tr>
        <w:trPr>
          <w:trHeight w:val="284"/>
        </w:trPr>
        <w:tc>
          <w:tcPr>
            <w:tcW w:w="1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102,227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98,709</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114,519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112,151</w:t>
            </w: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69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Other comprehensive (loss) income: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6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gain on marketable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2,653</w:t>
            </w:r>
          </w:p>
        </w:tc>
      </w:tr>
      <w:tr>
        <w:trPr>
          <w:trHeight w:val="25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71,674</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70,958</w:t>
            </w:r>
          </w:p>
        </w:tc>
      </w:tr>
      <w:tr>
        <w:trPr>
          <w:trHeight w:val="20"/>
        </w:trPr>
        <w:tc>
          <w:tcPr>
            <w:tcW w:w="1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4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48"/>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7180" w:type="dxa"/>
            <w:vAlign w:val="bottom"/>
          </w:tcPr>
          <w:p>
            <w:pPr>
              <w:jc w:val="center"/>
              <w:ind w:left="1830"/>
              <w:spacing w:after="0"/>
              <w:rPr>
                <w:sz w:val="20"/>
                <w:szCs w:val="20"/>
                <w:color w:val="auto"/>
              </w:rPr>
            </w:pPr>
            <w:r>
              <w:rPr>
                <w:rFonts w:ascii="Arial" w:cs="Arial" w:eastAsia="Arial" w:hAnsi="Arial"/>
                <w:sz w:val="18"/>
                <w:szCs w:val="18"/>
                <w:b w:val="1"/>
                <w:bCs w:val="1"/>
                <w:color w:val="auto"/>
              </w:rPr>
              <w:t>REGENERON PHARMACEUTICALS, INC.</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gridSpan w:val="2"/>
          </w:tcPr>
          <w:p>
            <w:pPr>
              <w:jc w:val="center"/>
              <w:ind w:left="1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jc w:val="center"/>
              <w:ind w:left="1830"/>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w w:val="99"/>
              </w:rPr>
              <w:t>Three Months Ended</w:t>
            </w: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76,021</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68,305</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16,027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11,530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75,785</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Non-cash interest expense</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5,916</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3,761</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Increase in Sanofi, Bayer HealthCare, and trade accounts receivable</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(92,529)</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Increase in inventories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(15,550)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Decrease (increase) in prepaid expenses and other assets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(20,898)</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480"/>
              <w:spacing w:after="0"/>
              <w:rPr>
                <w:sz w:val="20"/>
                <w:szCs w:val="20"/>
                <w:color w:val="auto"/>
              </w:rPr>
            </w:pPr>
            <w:r>
              <w:rPr>
                <w:rFonts w:ascii="Arial" w:cs="Arial" w:eastAsia="Arial" w:hAnsi="Arial"/>
                <w:sz w:val="18"/>
                <w:szCs w:val="18"/>
                <w:color w:val="auto"/>
              </w:rPr>
              <w:t>(Decrease) increase in deferred revenue</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37,107</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Increase (decrease) in accounts payable, accrued expenses, and other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(14,139)</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(163,523)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operating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53,527</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(95,775)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(253,878)</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82,469</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(114,162)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(64,822)</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(129,481)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(236,231)</w:t>
            </w:r>
          </w:p>
        </w:tc>
      </w:tr>
      <w:tr>
        <w:trPr>
          <w:trHeight w:val="27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(payments) in connection with facility and capital lease obligations</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(124,531)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76,273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55,042</w:t>
            </w:r>
          </w:p>
        </w:tc>
      </w:tr>
      <w:tr>
        <w:trPr>
          <w:trHeight w:val="243"/>
        </w:trPr>
        <w:tc>
          <w:tcPr>
            <w:tcW w:w="20" w:type="dxa"/>
            <w:vAlign w:val="bottom"/>
          </w:tcPr>
          <w:p>
            <w:pPr>
              <w:spacing w:after="0"/>
              <w:rPr>
                <w:sz w:val="21"/>
                <w:szCs w:val="21"/>
                <w:color w:val="auto"/>
              </w:rPr>
            </w:pPr>
          </w:p>
        </w:tc>
        <w:tc>
          <w:tcPr>
            <w:tcW w:w="8320" w:type="dxa"/>
            <w:vAlign w:val="bottom"/>
            <w:gridSpan w:val="2"/>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(63,086)</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155,569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117,260</w:t>
            </w:r>
          </w:p>
        </w:tc>
      </w:tr>
      <w:tr>
        <w:trPr>
          <w:trHeight w:val="237"/>
        </w:trPr>
        <w:tc>
          <w:tcPr>
            <w:tcW w:w="20" w:type="dxa"/>
            <w:vAlign w:val="bottom"/>
          </w:tcPr>
          <w:p>
            <w:pPr>
              <w:spacing w:after="0"/>
              <w:rPr>
                <w:sz w:val="20"/>
                <w:szCs w:val="20"/>
                <w:color w:val="auto"/>
              </w:rPr>
            </w:pPr>
          </w:p>
        </w:tc>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108,954</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(140,812)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(73,750)</w:t>
            </w: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648,719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535,608</w:t>
            </w:r>
          </w:p>
        </w:tc>
      </w:tr>
      <w:tr>
        <w:trPr>
          <w:trHeight w:val="27"/>
        </w:trPr>
        <w:tc>
          <w:tcPr>
            <w:tcW w:w="20" w:type="dxa"/>
            <w:vAlign w:val="bottom"/>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71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8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507,907</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461,858</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18" w:right="25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interim Condensed Consolidated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2014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2014.</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the previously issued (i) Consolidated Balance Sheet as of December 31, 2014 contained in the Company's Annual Report on Form 10-K for the year ended December 31, 2014, and (ii) Condensed Consolidated Statement of Operations and Comprehensive Income for the three months ended March 31, 2014 and Condensed Consolidated Statement of Cash Flows for the three months ended March 31, 2014 contained in the Company's Quarterly Report on Form 10-Q for the quarterly period ended March 31, 2014, have each been revised in this Quarterly Report on Form 10-Q to reflect a correction in the Company's accounting for certain stock option awards. See Note 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03" w:lineRule="auto"/>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in the United States totaled $541.1 million and $359.0 million for the three months ended March 31, 2015 and 2014, respectively. In addition, ARCALYST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product sales totaled $3.5 million and $3.4 million for the three months ended March 31, 2015 and 2014, respectively.</w:t>
      </w:r>
    </w:p>
    <w:p>
      <w:pPr>
        <w:spacing w:after="0" w:line="25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2015 and 2014, the Company recorded 69% and 79%,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these sales-related deductions during the three months ended March 31, 2015 and 2014.</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24,781</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24,781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37,517</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(24,226)</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March 31, 2015</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32,911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38,072</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24,601</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related to current period sales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24,192</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(23,428)</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25,365</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81"/>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324"/>
        <w:spacing w:after="0" w:line="226" w:lineRule="auto"/>
        <w:rPr>
          <w:sz w:val="20"/>
          <w:szCs w:val="20"/>
          <w:color w:val="auto"/>
        </w:rPr>
      </w:pPr>
      <w:r>
        <w:rPr>
          <w:rFonts w:ascii="Arial" w:cs="Arial" w:eastAsia="Arial" w:hAnsi="Arial"/>
          <w:sz w:val="18"/>
          <w:szCs w:val="18"/>
          <w:color w:val="auto"/>
        </w:rPr>
        <w:t>Sanofi collaboration revenue, as detailed below, consisted primarily of (i) recognition of previously deferred revenue related to the companies' 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collaboration agreement, and (ii) reimbursement for research and development expenses that the Company incurred, partly offset by sharing of pre-launch commercialization expenses, in connection with the companies' antibody collaboration.</w:t>
      </w:r>
    </w:p>
    <w:p>
      <w:pPr>
        <w:spacing w:after="0" w:line="281"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442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380" w:type="dxa"/>
            <w:vAlign w:val="bottom"/>
          </w:tcPr>
          <w:p>
            <w:pPr>
              <w:spacing w:after="0"/>
              <w:rPr>
                <w:sz w:val="17"/>
                <w:szCs w:val="17"/>
                <w:color w:val="auto"/>
              </w:rPr>
            </w:pPr>
          </w:p>
        </w:tc>
        <w:tc>
          <w:tcPr>
            <w:tcW w:w="130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jc w:val="right"/>
              <w:ind w:right="57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2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commercialization of ZALTRAP</w:t>
            </w:r>
          </w:p>
        </w:tc>
        <w:tc>
          <w:tcPr>
            <w:tcW w:w="3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15,236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2,177</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ZALTRAP</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37"/>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2"/>
              </w:rPr>
              <w:t>Reimbursement of Regeneron research and development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168,820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126,822</w:t>
            </w:r>
          </w:p>
        </w:tc>
      </w:tr>
      <w:tr>
        <w:trPr>
          <w:trHeight w:val="229"/>
        </w:trPr>
        <w:tc>
          <w:tcPr>
            <w:tcW w:w="20" w:type="dxa"/>
            <w:vAlign w:val="bottom"/>
          </w:tcPr>
          <w:p>
            <w:pPr>
              <w:spacing w:after="0"/>
              <w:rPr>
                <w:sz w:val="19"/>
                <w:szCs w:val="19"/>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w w:val="93"/>
              </w:rPr>
              <w:t>Reimbursement of Regeneron commercialization-related</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3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8,458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commercialization of antibodies</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3,629</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Antibody</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157,434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130,451</w:t>
            </w:r>
          </w:p>
        </w:tc>
      </w:tr>
      <w:tr>
        <w:trPr>
          <w:trHeight w:val="237"/>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173,356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130,508</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September 2003, the Company entered into a collaboration agreement ("ZALTRAP Collaboration Agreement") with Aventis Pharmaceuticals Inc. (predecessor to Sanofi U.S.) to jointly develop and commercialize ZALTRAP. Under the terms of the ZALTRAP Collaboration Agreement, as amended, Regeneron and Sanofi shared co-promotion rights and profits and losses on sales of ZALTRAP outside of Japan, and the Company was entitled to receive a percentage of sales of ZALTRAP in Japan. 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the third quarter of 2012 and in certain European and other countries in the first quarter of 2013.</w:t>
      </w:r>
    </w:p>
    <w:p>
      <w:pPr>
        <w:spacing w:after="0" w:line="21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2015, the Company and Sanofi entered into an amended and restated ZALTRAP agreement ("Amended ZALTRAP Agreement"), with an effective date of July 1, 2014. Under the terms of the Amended ZALTRAP Agreement, Sanofi will be solely responsible for the development and commercialization of ZALTRAP for cancer indications worldwide. Sanofi will bear the cost of all development and commercialization activities and will reimburse Regeneron for its costs for any such activities. Sanofi will pay the Company a percentage of aggregate net sales of ZALTRAP during each calendar year, which percentage shall be from 15% to 30%, depending on the aggregate net sales of ZALTRAP in such calendar year. The Company will also be paid for all quantities of ZALTRAP manufactured by it, pursuant to a supply agreement, through the earlier of 2021 or the date Sanofi receives regulatory approval to manufacture ZALTRAP at one of its facilities, or a facility of a third party. In addition, Regeneron no longer has a contingent contractual obligation to reimburse Sanofi for 50% of the development expenses that Sanofi previously funded for the development of ZALTRAP under the ZALTRAP Collaboration Agreement. Unless terminated earlier in accordance with</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its provisions, the Amended ZALTRAP Agreement will continue to be in effect until such time as neither Sanofi nor its affiliates or sublicensees is developing or commercializing ZALTRAP.</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a result of entering into the Amended ZALTRAP Agreement, in the first quarter of 2015 the Company recognized $14.9 million of previously deferred revenue under the ZALTRAP Collaboration Agreement, related to (i) amounts that were previously reimbursed by Sanofi for manufacturing commercial supplies of ZALTRAP since the risk of inventory loss no longer exists, and (ii) the unamortized portion of up-front payments from Sanofi as the Company has no further performance obligations. In addition, in the first quarter of 2015, the Company recorded $19.8 million in technology licensing and other revenue, primarily related to (i) revenues earned from Sanofi based on a percentage of net sales of ZALTRAP and (ii) revenues earned from Sanofi for manufacturing ZALTRAP commercial supplies.</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300" w:lineRule="auto"/>
        <w:rPr>
          <w:sz w:val="20"/>
          <w:szCs w:val="20"/>
          <w:color w:val="auto"/>
        </w:rPr>
      </w:pPr>
      <w:r>
        <w:rPr>
          <w:rFonts w:ascii="Arial" w:cs="Arial" w:eastAsia="Arial" w:hAnsi="Arial"/>
          <w:sz w:val="16"/>
          <w:szCs w:val="16"/>
          <w:color w:val="auto"/>
        </w:rPr>
        <w:t>Under the Company's antibody collaboration agreement with Sanofi, agreed upon worldwide research and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During the three months ended March 31, 2015 and 2014, the Company recognized as additional research and development expense $25.0 million and $23.8 million, respectively, of antibody development expenses that the Company was obligated to reimburse to Sanofi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sarilumab.</w:t>
      </w:r>
    </w:p>
    <w:p>
      <w:pPr>
        <w:spacing w:after="0" w:line="11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Effective in the second and fourth quarters of 2014, the Company and Sanofi began sharing pre-launch commercialization expenses related to Praluent and sarilumab, respectively, in accordance with the companies’ antibody collaboration agreement.</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May 2013, the Company acquired from Sanofi full exclusive rights to antibodies targeting the platelet derived growth factor (PDGF) family of receptors and ligands in opthalmology. With respect to PDGF antibodies, the Company made two $5.0 million development milestone payments to Sanofi in the first quarter of 2014, which were recorded as research and development expense. The Company is also obligated to pay up to $30.0 million in additional potential development milestones as well as royalties on any future sales of PDGF antibodies.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and Bayer HealthCare globally collaborate on the development and commercialization of EYLEA outside of the United States. In addition, in January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0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2"/>
              </w:rPr>
              <w:t>Three Months Ended</w:t>
            </w:r>
          </w:p>
        </w:tc>
      </w:t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12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4340" w:type="dxa"/>
            <w:vAlign w:val="bottom"/>
            <w:gridSpan w:val="3"/>
          </w:tcPr>
          <w:p>
            <w:pPr>
              <w:ind w:left="20"/>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440" w:type="dxa"/>
            <w:vAlign w:val="bottom"/>
          </w:tcPr>
          <w:p>
            <w:pPr>
              <w:spacing w:after="0"/>
              <w:rPr>
                <w:sz w:val="17"/>
                <w:szCs w:val="17"/>
                <w:color w:val="auto"/>
              </w:rPr>
            </w:pPr>
          </w:p>
        </w:tc>
        <w:tc>
          <w:tcPr>
            <w:tcW w:w="128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0"/>
              <w:spacing w:after="0" w:line="196" w:lineRule="exact"/>
              <w:rPr>
                <w:sz w:val="20"/>
                <w:szCs w:val="20"/>
                <w:color w:val="auto"/>
              </w:rPr>
            </w:pPr>
            <w:r>
              <w:rPr>
                <w:rFonts w:ascii="Arial" w:cs="Arial" w:eastAsia="Arial" w:hAnsi="Arial"/>
                <w:sz w:val="18"/>
                <w:szCs w:val="18"/>
                <w:b w:val="1"/>
                <w:bCs w:val="1"/>
                <w:color w:val="auto"/>
              </w:rPr>
              <w:t>2014</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44"/>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Regeneron's net profit in connection with</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w w:val="95"/>
              </w:rPr>
              <w:t>commercialization of EYLEA outside the United States</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89,426</w:t>
            </w:r>
          </w:p>
        </w:tc>
        <w:tc>
          <w:tcPr>
            <w:tcW w:w="100" w:type="dxa"/>
            <w:vAlign w:val="bottom"/>
          </w:tcPr>
          <w:p>
            <w:pPr>
              <w:spacing w:after="0"/>
              <w:rPr>
                <w:sz w:val="20"/>
                <w:szCs w:val="20"/>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61,159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Sales milestones</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29"/>
        </w:trPr>
        <w:tc>
          <w:tcPr>
            <w:tcW w:w="20" w:type="dxa"/>
            <w:vAlign w:val="bottom"/>
          </w:tcPr>
          <w:p>
            <w:pPr>
              <w:spacing w:after="0"/>
              <w:rPr>
                <w:sz w:val="19"/>
                <w:szCs w:val="19"/>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Cost-sharing of Regeneron EYLEA development</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20,347</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10,932</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Total EYLEA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119,995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122,438</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80"/>
              <w:spacing w:after="0"/>
              <w:rPr>
                <w:sz w:val="20"/>
                <w:szCs w:val="20"/>
                <w:color w:val="auto"/>
              </w:rPr>
            </w:pPr>
            <w:r>
              <w:rPr>
                <w:rFonts w:ascii="Arial" w:cs="Arial" w:eastAsia="Arial" w:hAnsi="Arial"/>
                <w:sz w:val="18"/>
                <w:szCs w:val="18"/>
                <w:color w:val="auto"/>
                <w:w w:val="99"/>
              </w:rPr>
              <w:t>Cost-sharing of REGN2176-3 development expenses</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Total PDGFR-beta</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Bayer HealthCare collaboration revenue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125,312</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2015, the Company earned a $15.0 million sales milestone from Bayer HealthCare upon total aggregate net sales of specific commercial supplies of EYLEA outside the United States exceeding $200 million over a twelve-month period. In the first quarter of 2014, the Company earned two $15.0 million sales milestones from Bayer HealthCare upon total aggregate net sales of EYLEA outside the United States exceeding $500 million and $600 million, respectively, over a twelve-month period.</w:t>
      </w:r>
    </w:p>
    <w:p>
      <w:pPr>
        <w:spacing w:after="0" w:line="24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January 2014, Bayer HealthCare decided to participate in the global development and commercialization of EYLEA outside the United States for the treatment of macular edema following branch retinal vein occlusion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in the table above. In addition, all future agreed upon global EYLEA development expenses incurred in connection with BRVO are being shared equally, and any profits or losses on sales of EYLEA outside of the United States for the treatment of macular edema following BRVO are also shared (for countries other than Japan). The Company is entitled to receive a tiered percentage of EYLEA net sales in Japan.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January 2014, the Company entered into an agreement with Bayer HealthCare governing the joint development and commercialization outside the United States of an antibody product candidate to PDGFR-beta, including in combination with EYLEA, for the treatment of ocular diseases or disorders. 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The $25.5 million upfront payment was initially recorded as deferred revenue, and will be recognized as revenue over the related performance period. Bayer HealthCare is also obligated to reimburse the Company for 50% of development milestone payments to Sanofi related to the Company's acquisition of rights to antibodies targeting the PDGF family of receptors in May 2013, as described above. In that regard, Bayer HealthCare made two $2.5 million development milestone payments to the Company in the first quarter of 2014 (both of which, for the purpose of revenue recognition, were not considered substantive).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8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The Company recognizes stock-based compensation expense for grants of stock option awards and restricted stock under the Company's 2014 Long-Term Incentive Plan based on the grant-date fair value of those awards. The Company recognized stock-based compensation expense of $103.8 million and $75.8 million in the first quarter of 2015 and 2014, respectively.</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Revisions of Previously-Issued Financial Statements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During the first quarter of 2015, the Company determined that for certain stock option awards granted to an employee in prior periods, the incorrect requisite service period was utilized in determining the period over which the related compensation expense should have been recorded. Such awards were made as part of the Company's annual employee option grants in December of each applicable year. As a result, compensation expense for the three months and years ended December 31, 2014 and 2013 was understated, and compensation expense for the three months ended March 31, 2014 and 2013, June 30, 2014 and 2013, and September 30, 2014 and 2013 was overstated. These revisions consisted entirely of non-cash adjustments, and therefore had no impact on the Company's previously reported total cash flows from operating activities and total cash flows in its Statements of Cash Flows. The Company evaluated the impact of these items on prior periods, assessing materiality quantitatively and qualitatively, and concluded that the errors were not considered to be material to any previously-issued quarterly or annual financial statements. However, the Company concluded that it would revise the applicable prior period amounts in this filing to reflect the impact of these corrections because the cumulative amount of such corrections is expected to be material to the year ending December 31, 2015. The Company's prior-period financial statements will reflect these revisions for the applicable periods presented in future filings.</w:t>
      </w:r>
    </w:p>
    <w:p>
      <w:pPr>
        <w:spacing w:after="0" w:line="22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table below presents the impact of these revisions, including the related tax effect, on the Company's previously-filed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December 31, 2014</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As Revised</w:t>
            </w:r>
          </w:p>
        </w:tc>
        <w:tc>
          <w:tcPr>
            <w:tcW w:w="0" w:type="dxa"/>
            <w:vAlign w:val="bottom"/>
          </w:tcPr>
          <w:p>
            <w:pPr>
              <w:spacing w:after="0"/>
              <w:rPr>
                <w:sz w:val="1"/>
                <w:szCs w:val="1"/>
                <w:color w:val="auto"/>
              </w:rPr>
            </w:pPr>
          </w:p>
        </w:tc>
      </w:tr>
      <w:tr>
        <w:trPr>
          <w:trHeight w:val="27"/>
        </w:trPr>
        <w:tc>
          <w:tcPr>
            <w:tcW w:w="4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(noncurrent)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289,021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2,404,118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2,465,008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255,382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2,564,477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Three Months Ended March 31, 2014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As Revised</w:t>
            </w:r>
          </w:p>
        </w:tc>
        <w:tc>
          <w:tcPr>
            <w:tcW w:w="0" w:type="dxa"/>
            <w:vAlign w:val="bottom"/>
          </w:tcPr>
          <w:p>
            <w:pPr>
              <w:spacing w:after="0"/>
              <w:rPr>
                <w:sz w:val="1"/>
                <w:szCs w:val="1"/>
                <w:color w:val="auto"/>
              </w:rPr>
            </w:pPr>
          </w:p>
        </w:tc>
      </w:tr>
      <w:tr>
        <w:trPr>
          <w:trHeight w:val="27"/>
        </w:trPr>
        <w:tc>
          <w:tcPr>
            <w:tcW w:w="378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8"/>
              </w:rPr>
              <w:t>Consolidated Statement of Operations Data:</w:t>
            </w:r>
          </w:p>
        </w:tc>
        <w:tc>
          <w:tcPr>
            <w:tcW w:w="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103,227</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439,801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434,178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191,562</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175,263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180,886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112,581</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65,443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68,305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594"/>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w w:val="97"/>
              </w:rPr>
              <w:t>Consolidated Statement of Cash Flows Data:</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68,305</w:t>
            </w:r>
          </w:p>
        </w:tc>
        <w:tc>
          <w:tcPr>
            <w:tcW w:w="0" w:type="dxa"/>
            <w:vAlign w:val="bottom"/>
          </w:tcPr>
          <w:p>
            <w:pPr>
              <w:spacing w:after="0"/>
              <w:rPr>
                <w:sz w:val="1"/>
                <w:szCs w:val="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81,408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75,785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w:t>
            </w:r>
          </w:p>
        </w:tc>
        <w:tc>
          <w:tcPr>
            <w:tcW w:w="0" w:type="dxa"/>
            <w:vAlign w:val="bottom"/>
          </w:tcPr>
          <w:p>
            <w:pPr>
              <w:spacing w:after="0"/>
              <w:rPr>
                <w:sz w:val="1"/>
                <w:szCs w:val="1"/>
                <w:color w:val="auto"/>
              </w:rPr>
            </w:pPr>
          </w:p>
        </w:tc>
      </w:tr>
      <w:tr>
        <w:trPr>
          <w:trHeight w:val="594"/>
        </w:trPr>
        <w:tc>
          <w:tcPr>
            <w:tcW w:w="37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30" w:right="1440"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tables below present the impact of these revisions, including the related tax effects, on additional previously-filed interim and year-end Consolidated Statements of Operations (i) for the three and six months ended June 30, 2014, (ii) for the three and nine months ended September 30, 2014, and (iii) for the three months and year ended December 31, 2014.</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June 30, 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Previously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As Previously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Arial" w:cs="Arial" w:eastAsia="Arial" w:hAnsi="Arial"/>
                <w:sz w:val="18"/>
                <w:szCs w:val="18"/>
                <w:b w:val="1"/>
                <w:bCs w:val="1"/>
                <w:color w:val="auto"/>
              </w:rPr>
              <w:t>As Revised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Reported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As Revised</w:t>
            </w:r>
          </w:p>
        </w:tc>
      </w:tr>
      <w:tr>
        <w:trPr>
          <w:trHeight w:val="27"/>
        </w:trPr>
        <w:tc>
          <w:tcPr>
            <w:tcW w:w="20" w:type="dxa"/>
            <w:vAlign w:val="bottom"/>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102,414</w:t>
            </w:r>
          </w:p>
        </w:tc>
        <w:tc>
          <w:tcPr>
            <w:tcW w:w="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96,730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211,264</w:t>
            </w:r>
          </w:p>
        </w:tc>
        <w:tc>
          <w:tcPr>
            <w:tcW w:w="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199,957</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443,294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437,610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883,095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871,788</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222,406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228,090</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408,345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419,652</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203,119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208,803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378,382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11,307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389,689</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110,384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112,452</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220,204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225,033</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92,735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96,351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158,178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6,478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164,656</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0.82</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26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1.46</w:t>
            </w:r>
          </w:p>
        </w:tc>
      </w:tr>
      <w:tr>
        <w:trPr>
          <w:trHeight w:val="60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September 30,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Previously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As Previously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As Revised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Reported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149,748</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144,003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361,012</w:t>
            </w:r>
          </w:p>
        </w:tc>
        <w:tc>
          <w:tcPr>
            <w:tcW w:w="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343,960</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543,069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537,324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1,426,164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1,409,112</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182,719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188,464</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608,116</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176,078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5,745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181,823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554,460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17,052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571,512</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98,448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323,481</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79,720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83,375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237,898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248,031</w:t>
            </w: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0.70</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603"/>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40" w:type="dxa"/>
            <w:vAlign w:val="bottom"/>
            <w:gridSpan w:val="8"/>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Previously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As Previously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As Revised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Reported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r>
      <w:tr>
        <w:trPr>
          <w:trHeight w:val="27"/>
        </w:trPr>
        <w:tc>
          <w:tcPr>
            <w:tcW w:w="2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143,743</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175,307</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504,755</w:t>
            </w:r>
          </w:p>
        </w:tc>
        <w:tc>
          <w:tcPr>
            <w:tcW w:w="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519,267</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554,962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586,526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1,981,126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1,995,638</w:t>
            </w:r>
          </w:p>
        </w:tc>
      </w:tr>
      <w:tr>
        <w:trPr>
          <w:trHeight w:val="27"/>
        </w:trPr>
        <w:tc>
          <w:tcPr>
            <w:tcW w:w="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247,367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215,803</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838,431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823,919</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221,287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189,723</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775,747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761,235</w:t>
            </w:r>
          </w:p>
        </w:tc>
      </w:tr>
      <w:tr>
        <w:trPr>
          <w:trHeight w:val="27"/>
        </w:trPr>
        <w:tc>
          <w:tcPr>
            <w:tcW w:w="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99,628</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423,109</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110,176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90,095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348,074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338,126</w:t>
            </w:r>
          </w:p>
        </w:tc>
      </w:tr>
      <w:tr>
        <w:trPr>
          <w:trHeight w:val="27"/>
        </w:trPr>
        <w:tc>
          <w:tcPr>
            <w:tcW w:w="2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gridSpan w:val="4"/>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gridSpan w:val="4"/>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r>
      <w:tr>
        <w:trPr>
          <w:trHeight w:val="243"/>
        </w:trPr>
        <w:tc>
          <w:tcPr>
            <w:tcW w:w="20" w:type="dxa"/>
            <w:vAlign w:val="bottom"/>
          </w:tcPr>
          <w:p>
            <w:pPr>
              <w:spacing w:after="0"/>
              <w:rPr>
                <w:sz w:val="21"/>
                <w:szCs w:val="21"/>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0.96</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auto"/>
        </w:rPr>
        <w:t>Three Months Ended March</w:t>
      </w:r>
    </w:p>
    <w:p>
      <w:pPr>
        <w:spacing w:after="0" w:line="27"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22860</wp:posOffset>
            </wp:positionV>
            <wp:extent cx="14408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8"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68,305</w:t>
            </w:r>
          </w:p>
        </w:tc>
      </w:tr>
      <w:tr>
        <w:trPr>
          <w:trHeight w:val="20"/>
        </w:trPr>
        <w:tc>
          <w:tcPr>
            <w:tcW w:w="3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Weighted average shares - basic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98,709</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9,879</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43"/>
        </w:trPr>
        <w:tc>
          <w:tcPr>
            <w:tcW w:w="392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3,162</w:t>
            </w: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3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13,442</w:t>
            </w:r>
          </w:p>
        </w:tc>
      </w:tr>
      <w:tr>
        <w:trPr>
          <w:trHeight w:val="297"/>
        </w:trPr>
        <w:tc>
          <w:tcPr>
            <w:tcW w:w="39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114,519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112,151</w:t>
            </w:r>
          </w:p>
        </w:tc>
      </w:tr>
      <w:tr>
        <w:trPr>
          <w:trHeight w:val="203"/>
        </w:trPr>
        <w:tc>
          <w:tcPr>
            <w:tcW w:w="3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0.69</w:t>
            </w: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7"/>
        </w:trPr>
        <w:tc>
          <w:tcPr>
            <w:tcW w:w="3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302" w:lineRule="exact"/>
        <w:rPr>
          <w:sz w:val="20"/>
          <w:szCs w:val="20"/>
          <w:color w:val="auto"/>
        </w:rPr>
      </w:pPr>
    </w:p>
    <w:tbl>
      <w:tblPr>
        <w:tblLayout w:type="fixed"/>
        <w:tblInd w:w="308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2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March 31,</w:t>
            </w:r>
          </w:p>
        </w:tc>
      </w:tr>
      <w:tr>
        <w:trPr>
          <w:trHeight w:val="27"/>
        </w:trPr>
        <w:tc>
          <w:tcPr>
            <w:tcW w:w="2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98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r>
      <w:tr>
        <w:trPr>
          <w:trHeight w:val="27"/>
        </w:trPr>
        <w:tc>
          <w:tcPr>
            <w:tcW w:w="2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4,761</w:t>
            </w:r>
          </w:p>
        </w:tc>
      </w:tr>
      <w:tr>
        <w:trPr>
          <w:trHeight w:val="702"/>
        </w:trPr>
        <w:tc>
          <w:tcPr>
            <w:tcW w:w="216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13</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as of March 31, 2015 and December 31, 2014 consist of both debt securities issued by investment grade institutions as well as equity securities. The Company also held restricted marketable securities as of December 31, 2014, consisting of the Company's investment in Avalanche Biotechnologies, Inc. common shares, which were subject to customary transfer restrictions until January 2015 under a lock-up agreement with the underwriters of Avalanche's initial public offering.</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March 31, 2015</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530,693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531,492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56,433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56,634</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39,807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39,856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89,580</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643,938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73,726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717,562</w:t>
            </w:r>
          </w:p>
        </w:tc>
      </w:tr>
      <w:tr>
        <w:trPr>
          <w:trHeight w:val="67"/>
        </w:trPr>
        <w:tc>
          <w:tcPr>
            <w:tcW w:w="20" w:type="dxa"/>
            <w:vAlign w:val="bottom"/>
            <w:tcBorders>
              <w:bottom w:val="single" w:sz="8" w:color="CCEEFF"/>
            </w:tcBorders>
          </w:tcPr>
          <w:p>
            <w:pPr>
              <w:spacing w:after="0"/>
              <w:rPr>
                <w:sz w:val="5"/>
                <w:szCs w:val="5"/>
                <w:color w:val="auto"/>
              </w:rPr>
            </w:pPr>
          </w:p>
        </w:tc>
        <w:tc>
          <w:tcPr>
            <w:tcW w:w="164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3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56"/>
        </w:trPr>
        <w:tc>
          <w:tcPr>
            <w:tcW w:w="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3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03"/>
        </w:trPr>
        <w:tc>
          <w:tcPr>
            <w:tcW w:w="528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6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548,832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547,506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28,553</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37,044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37,038</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7,379</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616,477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5,550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620,476</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631,477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711,915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Company classifies its debt security investments based on their contractual maturity dates. The debt securities listed as of March 31, 2015 mature at various dates through August 2024. The fair values of debt security investments by contractual maturity consist of the following:</w:t>
      </w:r>
    </w:p>
    <w:p>
      <w:pPr>
        <w:spacing w:after="0" w:line="247"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2014</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392,624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360,208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Maturities after five years through ten years</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627,982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613,097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780" w:type="dxa"/>
            <w:vAlign w:val="bottom"/>
            <w:vMerge w:val="restart"/>
          </w:tcPr>
          <w:p>
            <w:pPr>
              <w:jc w:val="right"/>
              <w:ind w:right="27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2015</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144,797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20" w:type="dxa"/>
            <w:vAlign w:val="bottom"/>
            <w:shd w:val="clear" w:color="auto" w:fill="CCEEFF"/>
          </w:tcPr>
          <w:p>
            <w:pPr>
              <w:spacing w:after="0"/>
              <w:rPr>
                <w:sz w:val="21"/>
                <w:szCs w:val="21"/>
                <w:color w:val="auto"/>
              </w:rPr>
            </w:pPr>
          </w:p>
        </w:tc>
        <w:tc>
          <w:tcPr>
            <w:tcW w:w="3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90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Corporate bonds</w:t>
            </w:r>
          </w:p>
        </w:tc>
        <w:tc>
          <w:tcPr>
            <w:tcW w:w="140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390,613</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21"/>
                <w:szCs w:val="21"/>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390,613</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(1,462)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426,941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months ended March 31, 2015 and 2014, total realized gains and losses on sales of marketable securities were not material.</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Changes in the Company's accumulated other comprehensive income (loss) for the three months ended March 31, 2015 and 2014 related to unrealized gains and losses on available-for-sale marketable securities. For the three months ended March 31, 2015 and 2014, amounts reclassified from accumulated other comprehensive income (loss) into investment income in the Company's Statements of Operations were related to realized gains and losses on sales of marketable securities.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March 31, 2015</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531,492</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56,634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56,634</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39,856</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89,580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717,562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627,982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2014</w:t>
            </w:r>
          </w:p>
        </w:tc>
        <w:tc>
          <w:tcPr>
            <w:tcW w:w="4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220" w:type="dxa"/>
            <w:vAlign w:val="bottom"/>
            <w:gridSpan w:val="4"/>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613,097</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months ended March 31, 2015 and 2014.</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months ended March 31, 2015 and 2014.</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During the three months ended March 31, 2015, transfers of marketable securities from Level 2 to Level 1 were $91.4 million in connection with the lapse of the transfer restrictions on the Company's investment in Avalanche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three months ended March 31, 2015, and there were no transfers of marketable securities between Levels 1, 2, or 3 classifications during the three months ended March 31, 2014.</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of March 31, 2015 and December 31, 2014, the Company had $162.7 million and $169.4 million, respectively, in aggregate principal amount of 1.875% convertible senior notes (the "Notes") that will mature on October 1, 2016 unless earlier converted or repurchased. As described in Note 10, a portion of the Notes was surrendered for conversion during the first quarter of 2015. The fair value of the outstanding Notes was estimated to be $876.0 million and $819.8 million as of March 31, 2015 and December 31, 2014, respectively, and was determined based on Level 2 inputs, such as market and observable sources.</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Additionally, as described in Note 10, pursuant to a November 2014 amendment agreement with a warrant holder, a portion of the Company's warrants were classified as a liability and measured at fair value as of December 31, 2014. The fair value of this liability was estimated to be $87.5 million as of December 31, 2014, and was determined based on Level 2 inputs, such as market and observable sources. During the first quarter of 2015, upon expiration of the November 2014 amendment agreement, the remaining warrants were re-measured at fair value and reclassified back to additional paid-in capital.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8. Inventories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83,990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73,519</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33,651</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128,861</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9. Accounts Payable and Accrued Expenses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99,508</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64,112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92,778</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41,555</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165,511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133,085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116,563</w:t>
            </w:r>
          </w:p>
        </w:tc>
      </w:tr>
      <w:tr>
        <w:trPr>
          <w:trHeight w:val="237"/>
        </w:trPr>
        <w:tc>
          <w:tcPr>
            <w:tcW w:w="24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462,762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483,489</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first quarter of 2015, the Company settled conversion obligations for $16.7 million principal amount of the Company's original $400.0 million aggregate principal amount of Notes that was previously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in the first quarter of 2015, the Company (i) paid $16.7 million in cash, (ii) issued 146,253 shares</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Common Stock, and (iii) allocated $62.6 million of the settlement consideration provided to the Note holders to the reacquisition of the equity component of the Notes, and recognized such amount as a reduction of stockholder's equity. In addition, the Company recognized a $0.9 million loss on the debt extinguishment in connection with the Notes that were surrendered for conversion during the first quarter of 2015.</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connection with the initial offering of the Notes in October 2011, the Company entered into convertible note hedge and warrant transactions with multiple counterparties, which were recorded to additional paid-in capital. As a result of the Note conversions described above, in the first quarter of 2015, the Company also exercised a proportionate amount of its convertible note hedges, for which the Company received 146,248 shares of Common Stock, which was approximately equal to the number of shares the Company was required to issue to settle the non-cash portion of the related Note conversions. The Company recorded the cost of the shares received, or $12.3 million, as Treasury Stock during the first quarter of 2015.</w:t>
      </w:r>
    </w:p>
    <w:p>
      <w:pPr>
        <w:spacing w:after="0" w:line="22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addition to the Note conversions described above, the Company received notification in April 2015 that an additional $127.3 million principal amount of the Notes were surrendered for conversion, and settlement is anticipated during the second quarter of 2015. The Company has elected to settle the related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the Company exercised a proportionate amount of its convertible note hedges, for which the Company expects to receive shares of Common Stock equivalent to the number of shares the Company will be required to issue to settle the non-cash portion of the related Note conversions.</w:t>
      </w:r>
    </w:p>
    <w:p>
      <w:pPr>
        <w:spacing w:after="0" w:line="21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November 2014, the Company entered into an amendment agreement with a warrant holder whereby the parties agreed to reduce a portion of the number of warrants held by the warrant holder by up to a maximum of 493,229.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As a result of the warrant holder closing out a portion of its hedge position prior to December 31, 2014, the Company recorded a $59.8 million accrued liability as of December 31, 2014 in connection with the warrant holder reducing the number of warrants it held. During the first quarter of 2015, the warrant holder closed out additional portions of its hedge position, and, as a result, in February 2015 the Company paid a total of $124.0 million to reduce the number of warrants held by such warrant holder by 416,480. Upon expiration of the November 2014 amended agreement,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23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Additionally, in February 2015, the Company entered into another amendment agreement with the same warrant holder whereby the parties agreed to further reduce a portion of the number of warrants held by the warrant holder by up to a maximum of 76,749, for an aggregate amount payable by the Company not to exceed $24.0 million. The reduction in the number of warrants will be determined based on the number of warrants with respect to which the warrant holder has closed out its hedge position, provided that the warrant holder does not effect any purchases at a price per share exceeding $408.00 per share, during the period starting on March 2, 2015 and ending no later than May 7, 2015. The Company may settle, at its option, any payments due under the amendment agreement in cash or by delivering shares of Common Stock within three days following the warrant holder closing out its hedge position. Therefore, any payments made under the amendment agreement will be recorded to additional paid-in capital, consistent with the original accounting for the warrants under the 2011 issuance. During the first quarter of 2015, the reduction in the number of warrants in accordance with the February 2015 amended agreement was not material.</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Any loans under the Credit Facility have a variable interest rate based on either the London Interbank Offered Rate ("LIBOR") or an alternate base rate, plus an applicable margin that varies with the Company's debt rating and total leverage ratio. The Company had no borrowings outstanding under the Credit Facility as of March 31, 2015.</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March 31,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is subject to U.S. federal, state, and foreign income taxes. The Company recorded an income tax provision in its Statement of Operations of $200.5 million and $112.6 million for the three months ended March 31, 2015 and 2014, respectively. The Company's effective tax rate was 72.5% and 62.2% for the three months ended March 31, 2015 and 2014, respectively. The Company's effective tax rate for the three months ended March 31, 2015 was negatively impacted by (i) losses incurred in foreign jurisdictions with rates lower than the federal statutory rate, (ii) the non-deductible Branded Prescription Drug Fee, and (iii) expiration, at the end of 2014, of the federal tax credit for increased research activities.</w:t>
      </w:r>
    </w:p>
    <w:p>
      <w:pPr>
        <w:spacing w:after="0" w:line="22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Company's effective tax rate for the three months ended March 31, 2014 was negatively impacted by (i) expiration at the end of 2013 of the federal tax credit for increased research activities, (ii) losses incurred in foreign jurisdictions with rates lower than the federal statutory rate, and (iii) New York state tax legislation enacted in the first quarter of 2014. This tax legislation reduced the New York state income tax rate to zero percent for "qualified manufacturers," including Regeneron, effective in 2014; however, it also resulted in the Company reducing its related deferred tax assets as a discrete item in the first quarter of 2014. As a result, this tax legislation caused a net increase in the Company's effective tax rate by 10.4% for the first quarter of 2014.</w:t>
      </w:r>
    </w:p>
    <w:p>
      <w:pPr>
        <w:spacing w:after="0" w:line="21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recorded an income tax benefit in its Statement of Comprehensive Income of $2.5 million for the three months ended March 31, 2015, in connection with unrealized gains (losses) on available-for-sale marketable securities. For the three months ended March 31, 2014, no such income tax provision or benefit was required.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March 31, 2015 and December 31, 2014 were $84.1 million and $56.2 million, respectively, of accrued capital expenditures. Included in accounts payable and accrued expenses as of March 31, 2014 and December 31, 2013 were $17.6 million and $16.1 million, respectively, of accrued capital expenditures</w:t>
      </w:r>
    </w:p>
    <w:p>
      <w:pPr>
        <w:spacing w:after="0" w:line="23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Included in accounts payable and accrued expenses as of December 31, 2014 was $7.5 million for the Company's conversion settlement obligation related to the Company's convertible senior notes. No such amounts were payable as of March 31, 2014 and December 31, 2013, and the amount of such conversion settlement obligation was not material as of March 31, 2015.</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Included in accounts payable and accrued expenses as of December 31, 2014 was $59.8 million related to the Company's payment obligation for a reduction in the number of warrants based on a warrant holder closing out a portion of its hedge position. Additionally, included within other current liabilities as of December 31, 2014 was $87.5 million in connection with the estimated fair value of the remaining warrant liability. See Note 10. There were no such liabilities recorded in connection with warrants as of March 31, 2015, March 31, 2014, and December 31, 2013.</w:t>
      </w:r>
    </w:p>
    <w:p>
      <w:pPr>
        <w:spacing w:after="0" w:line="225"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Company recognized a facility lease obligation of $10.8 million and $19.4 million during the three months ended March 31, 2015 and 2014, respectively, in connection with capitalizing, on the Company's books, the landlord's costs of constructing new facilities that the Company has leased.</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Subsequent event</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April 2015, the Company acquired an approximate 100-acre parcel of undeveloped land adjacent to its current Tarrytown, New York location for an aggregate purchase price of $73.0 million. The Company intends to develop this property to accommodate and support its growth, primarily in connection with expanding its existing research and development and office space.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i w:val="1"/>
          <w:iCs w:val="1"/>
          <w:color w:val="auto"/>
        </w:rPr>
        <w:t xml:space="preserve">287 Patent and </w:t>
      </w:r>
      <w:r>
        <w:rPr>
          <w:rFonts w:ascii="Arial" w:cs="Arial" w:eastAsia="Arial" w:hAnsi="Arial"/>
          <w:sz w:val="18"/>
          <w:szCs w:val="18"/>
          <w:color w:val="auto"/>
        </w:rPr>
        <w:t>'</w:t>
      </w:r>
      <w:r>
        <w:rPr>
          <w:rFonts w:ascii="Arial" w:cs="Arial" w:eastAsia="Arial" w:hAnsi="Arial"/>
          <w:sz w:val="18"/>
          <w:szCs w:val="18"/>
          <w:i w:val="1"/>
          <w:iCs w:val="1"/>
          <w:color w:val="auto"/>
        </w:rPr>
        <w:t>018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involving its European Patent No. 1,360,287 (the "'287 Patent") and its U.S. Patent No. 8,502,018 (the "'018 Patent"), both of which concern genetically altered mice capable of producing chimeric antibodies that are part human and part mouse. Chimeric antibody sequences can be used to produce high-affinity fully human monoclonal antibodies. In these proceedings (the "'287 Patent Infringement Litigation" and "'018 Patent Infringement Litigation," respectively), the Company claims infringement of several claims of the '287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and the '018 Patent (as applicable). At this time the Company is not able to predict the outcome of, or an estimate of gain, if any, related to, these proceedings.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PCSK9 Antibody (Praluent)</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the antibody to PCSK9 for LDL cholesterol reduction Regeneron is jointly developing with Sanofi. On November 11, 2014 and November 17, 2014 Amgen filed complaints against Regeneron, Sanofi, Sanofi-Aventis U.S. LLC, and Aventis Pharmaceuticals, Inc. in the same court seeking the same relief. Amgen asserts U.S. Patent Nos. 8,563,698, 8,829,165, and 8,859,741 in the first complaint, U.S. Patent Nos. 8,871,913 and 8,871,914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This matter has not yet progressed sufficiently through discovery and/or development of important factual information and legal issues to enable the Company to estimate a range of possible loss, if 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Recently Issued Accounting Standards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May 2014, the FASB issued a new standard related to revenue recognition,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sarilumab, and dupilumab; ongoing regulatory obligations and oversight impacting our marketed products (such as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and a rare inflammatory condition and have product candidates in development in other areas of high unmet medical need, including hypercholesterolemia, oncology, rheumatoid arthritis (RA), asthma, and atopic dermatitis.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total revenues were $869.6 million in the first quarter of 2015, compared to $625.7 million in the first quarter 2014. Our net income was $76.0 million, or $0.66 per diluted share, in the first quarter of 2015, compared to net income of $68.3 million, or $0.61 per diluted share, in the first quarter of 2014. Refer to the "Results of Operations" section below for further details of our financial results.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two marketed products:</w:t>
      </w:r>
    </w:p>
    <w:p>
      <w:pPr>
        <w:spacing w:after="0" w:line="275" w:lineRule="exact"/>
        <w:rPr>
          <w:sz w:val="20"/>
          <w:szCs w:val="20"/>
          <w:color w:val="auto"/>
        </w:rPr>
      </w:pPr>
    </w:p>
    <w:p>
      <w:pPr>
        <w:jc w:val="both"/>
        <w:ind w:left="660" w:hanging="328"/>
        <w:spacing w:after="0" w:line="29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EYLEA (aflibercept) Injection</w:t>
      </w:r>
      <w:r>
        <w:rPr>
          <w:rFonts w:ascii="Arial" w:cs="Arial" w:eastAsia="Arial" w:hAnsi="Arial"/>
          <w:sz w:val="16"/>
          <w:szCs w:val="16"/>
          <w:color w:val="auto"/>
        </w:rPr>
        <w:t>, known in the scientific literature as VEGF Trap-Eye, which is available in the United States, European Union</w:t>
      </w:r>
      <w:r>
        <w:rPr>
          <w:rFonts w:ascii="Arial" w:cs="Arial" w:eastAsia="Arial" w:hAnsi="Arial"/>
          <w:sz w:val="16"/>
          <w:szCs w:val="16"/>
          <w:b w:val="1"/>
          <w:bCs w:val="1"/>
          <w:color w:val="auto"/>
        </w:rPr>
        <w:t xml:space="preserve"> </w:t>
      </w:r>
      <w:r>
        <w:rPr>
          <w:rFonts w:ascii="Arial" w:cs="Arial" w:eastAsia="Arial" w:hAnsi="Arial"/>
          <w:sz w:val="16"/>
          <w:szCs w:val="16"/>
          <w:color w:val="auto"/>
        </w:rPr>
        <w:t>(EU), Japan, and certain other countries outside the United States for the treatment of neovascular age-related macular degeneration (wet AMD), macular edema following central retinal vein occlusion (CRVO), and diabetic macular edema (DME). In addition, (i) in October 2014 and February 2015, the U.S. Food and Drug Administration (FDA) and European Commission, respectively, approved EYLEA for the treatment of macular edema following retinal vein occlusion (RVO), which includes macular edema following branch retinal vein occlusion (BRVO), (ii) in September 2014, the Japanese Ministry of Health, Labour and Welfare (MHLW) approved EYLEA for myopic choroidal neovascularization (mCNV), and (iii) in March 2015, the FDA approved EYLEA for the treatment of diabetic retinopathy in patients with DME. Bayer HealthCare has additional regulatory applications for EYLEA for the treatment of wet AMD, macular edema secondary to CRVO and BRVO, DME, and mCNV pending in other countries. We are collaborating with Bayer HealthCare on the global development and commercialization of EYLEA outside the United States.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both"/>
        <w:ind w:left="660" w:hanging="328"/>
        <w:spacing w:after="0" w:line="22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256" w:lineRule="exact"/>
        <w:rPr>
          <w:sz w:val="20"/>
          <w:szCs w:val="20"/>
          <w:color w:val="auto"/>
        </w:rPr>
      </w:pPr>
    </w:p>
    <w:p>
      <w:pPr>
        <w:jc w:val="both"/>
        <w:ind w:firstLine="243"/>
        <w:spacing w:after="0" w:line="242" w:lineRule="auto"/>
        <w:rPr>
          <w:sz w:val="20"/>
          <w:szCs w:val="20"/>
          <w:color w:val="auto"/>
        </w:rPr>
      </w:pPr>
      <w:r>
        <w:rPr>
          <w:rFonts w:ascii="Arial" w:cs="Arial" w:eastAsia="Arial" w:hAnsi="Arial"/>
          <w:sz w:val="17"/>
          <w:szCs w:val="17"/>
          <w:color w:val="auto"/>
        </w:rPr>
        <w:t>In February 2015, we and Sanofi entered into an amended and restated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agreement (Amended ZALTRAP Agreement). Under the terms of the Amended ZALTRAP Agreement, Sanofi will be solely responsible for the development and commercialization of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(ziv-aflibercept) Injection for Intravenous Infusion for cancer indications worldwide. Sanofi will bear the cost of all development and commercialization activities and will reimburse Regeneron for its costs for any such activities. Sanofi will pay us a percentage of aggregate net sales of ZALTRAP during each calendar year, which percentage shall be from 15% to 30%, depending on the aggregate net sales of ZALTRAP in such calendar year. Refer to "Collaboration Agreements - Collaborations with Sanofi - ZALTRAP" below for further details of the Amended ZALTRAP Agreement. ZALTRAP is currently available in the United States, EU, and certain other countries for treatment, in combination with 5-fluorouracil, leucovorin, irinotecan (FOLFIRI), of patients with metastatic colorectal cancer (mCRC) that is resistant to or has progressed following an oxaliplatin-containing regimen.</w:t>
      </w:r>
    </w:p>
    <w:p>
      <w:pPr>
        <w:spacing w:after="0" w:line="26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color w:val="auto"/>
        </w:rPr>
        <w:t xml:space="preserve">We have 16 product candidates in clinical development, all of which were discovered in our research laboratories. These consist of a Trap-based clinical program and 15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4375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40" w:right="80"/>
        <w:spacing w:after="0" w:line="264" w:lineRule="auto"/>
        <w:rPr>
          <w:sz w:val="20"/>
          <w:szCs w:val="20"/>
          <w:color w:val="auto"/>
        </w:rPr>
      </w:pPr>
      <w:r>
        <w:rPr>
          <w:rFonts w:ascii="Arial" w:cs="Arial" w:eastAsia="Arial" w:hAnsi="Arial"/>
          <w:sz w:val="18"/>
          <w:szCs w:val="18"/>
          <w:color w:val="auto"/>
        </w:rPr>
        <w:t>In Phase 3 clinical development for the treatment of wet AMD (Asia) and DME (Asia) in collaboration with Bayer HealthCare. As described below, EYLEA is also being studied in combination with (i) an antibody to Platelet Derived Growth Factor Receptor Beta (PDGFR-beta), and (ii) an antibody to angiopoietin-2 (Ang2).</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 (alirocumab)</w:t>
      </w:r>
    </w:p>
    <w:p>
      <w:pPr>
        <w:spacing w:after="0" w:line="117" w:lineRule="exact"/>
        <w:rPr>
          <w:sz w:val="20"/>
          <w:szCs w:val="20"/>
          <w:color w:val="auto"/>
        </w:rPr>
      </w:pPr>
    </w:p>
    <w:p>
      <w:pPr>
        <w:ind w:left="40" w:right="320"/>
        <w:spacing w:after="0" w:line="277" w:lineRule="auto"/>
        <w:rPr>
          <w:sz w:val="20"/>
          <w:szCs w:val="20"/>
          <w:color w:val="auto"/>
        </w:rPr>
      </w:pPr>
      <w:r>
        <w:rPr>
          <w:rFonts w:ascii="Arial" w:cs="Arial" w:eastAsia="Arial" w:hAnsi="Arial"/>
          <w:sz w:val="18"/>
          <w:szCs w:val="18"/>
          <w:color w:val="auto"/>
        </w:rPr>
        <w:t>Antibody to PCSK9. In Phase 3 clinical development for low-density lipoprotein (LDL) cholesterol reduction and for the prevention of cardiovascular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80"/>
        <w:spacing w:after="0" w:line="342" w:lineRule="auto"/>
        <w:rPr>
          <w:sz w:val="20"/>
          <w:szCs w:val="20"/>
          <w:color w:val="auto"/>
        </w:rPr>
      </w:pPr>
      <w:r>
        <w:rPr>
          <w:rFonts w:ascii="Arial" w:cs="Arial" w:eastAsia="Arial" w:hAnsi="Arial"/>
          <w:sz w:val="16"/>
          <w:szCs w:val="16"/>
          <w:color w:val="auto"/>
        </w:rPr>
        <w:t>Antibody to the interleukin-4 receptor (IL-4R) alpha subunit. In clinical development in atopic dermatitis in adults (Phase 3), atopic dermatitis in children (Phase 2), asthma (Phase 3), nasal polyps in patients who also have chronic sinusitis (NPwCS) (Phase 2), and eosinophilic esophagitis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437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REGN1033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myostatin (GDF8). In Phase 2 clinical development in skeletal muscle disorders.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REGN2222</w:t>
      </w:r>
    </w:p>
    <w:p>
      <w:pPr>
        <w:spacing w:after="0" w:line="117" w:lineRule="exact"/>
        <w:rPr>
          <w:sz w:val="20"/>
          <w:szCs w:val="20"/>
          <w:color w:val="auto"/>
        </w:rPr>
      </w:pPr>
    </w:p>
    <w:p>
      <w:pPr>
        <w:jc w:val="both"/>
        <w:ind w:left="40" w:right="100"/>
        <w:spacing w:after="0" w:line="264" w:lineRule="auto"/>
        <w:rPr>
          <w:sz w:val="20"/>
          <w:szCs w:val="20"/>
          <w:color w:val="auto"/>
        </w:rPr>
      </w:pPr>
      <w:r>
        <w:rPr>
          <w:rFonts w:ascii="Arial" w:cs="Arial" w:eastAsia="Arial" w:hAnsi="Arial"/>
          <w:sz w:val="18"/>
          <w:szCs w:val="18"/>
          <w:color w:val="auto"/>
        </w:rPr>
        <w:t>Antibody against respiratory syncytial virus (RSV). In Phase 1 clinical development. In the fourth quarter of 2014, Sanofi provided notice to Regeneron that it had elected not to continue co-development of REGN2222 effective December 2015, and will be entitled to receive royalties on any future sales of the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437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Antibody-based Clinical Programs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REGN2176-3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342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Combination product comprised of an antibody to PDGFR-beta co-formulated with EYLEA for use in ophthalmology, via intravitreal administration.</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Phase 2 clinical study for the treatment of wet AMD initiated in the second quarter of 2015.</w:t>
      </w:r>
    </w:p>
    <w:p>
      <w:pPr>
        <w:spacing w:after="0" w:line="4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4375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combination in Phase 1/Phase 2 clinical development against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437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REGN1500</w:t>
      </w:r>
      <w:r>
        <w:rPr>
          <w:rFonts w:ascii="Arial" w:cs="Arial" w:eastAsia="Arial" w:hAnsi="Arial"/>
          <w:sz w:val="25"/>
          <w:szCs w:val="25"/>
          <w:b w:val="1"/>
          <w:bCs w:val="1"/>
          <w:i w:val="1"/>
          <w:iCs w:val="1"/>
          <w:color w:val="auto"/>
          <w:vertAlign w:val="superscript"/>
        </w:rPr>
        <w:t>*</w:t>
      </w:r>
    </w:p>
    <w:p>
      <w:pPr>
        <w:ind w:left="40"/>
        <w:spacing w:after="0" w:line="259" w:lineRule="auto"/>
        <w:rPr>
          <w:sz w:val="20"/>
          <w:szCs w:val="20"/>
          <w:color w:val="auto"/>
        </w:rPr>
      </w:pPr>
      <w:r>
        <w:rPr>
          <w:rFonts w:ascii="Arial" w:cs="Arial" w:eastAsia="Arial" w:hAnsi="Arial"/>
          <w:sz w:val="18"/>
          <w:szCs w:val="18"/>
          <w:color w:val="auto"/>
        </w:rPr>
        <w:t>Antibody to Angptl-3. Phase 2 clinical study for the treatment of dyslipidemia in homozygous familial hypercholesterolemia initiated in the first quarter of 2015. Studies are ongoing under a partial clinical hold by the FDA that excludes women of childbearing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4375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REGN1400</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ErbB3. In Phase 1 clinical development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REGN1154</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against an undisclosed target. Phase 1 clinical study in Australia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37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REGN1193</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in Phase 1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Bispecific antibody against CD20 and CD3. In Phase 1 clinical development in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REGN910-3</w:t>
      </w:r>
      <w:r>
        <w:rPr>
          <w:rFonts w:ascii="Arial" w:cs="Arial" w:eastAsia="Arial" w:hAnsi="Arial"/>
          <w:sz w:val="25"/>
          <w:szCs w:val="25"/>
          <w:b w:val="1"/>
          <w:bCs w:val="1"/>
          <w:i w:val="1"/>
          <w:iCs w:val="1"/>
          <w:color w:val="auto"/>
          <w:vertAlign w:val="superscript"/>
        </w:rPr>
        <w:t>**</w:t>
      </w:r>
    </w:p>
    <w:p>
      <w:pPr>
        <w:ind w:left="40" w:right="120"/>
        <w:spacing w:after="0" w:line="259" w:lineRule="auto"/>
        <w:rPr>
          <w:sz w:val="20"/>
          <w:szCs w:val="20"/>
          <w:color w:val="auto"/>
        </w:rPr>
      </w:pPr>
      <w:r>
        <w:rPr>
          <w:rFonts w:ascii="Arial" w:cs="Arial" w:eastAsia="Arial" w:hAnsi="Arial"/>
          <w:sz w:val="18"/>
          <w:szCs w:val="18"/>
          <w:color w:val="auto"/>
        </w:rPr>
        <w:t>Combination product comprised of an antibody to Ang2 co-formulated with EYLEA for use in ophthalmology, via intravitreal administration. In Phase 1 clinical development for the treatment of wet AMD and DME.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REGN2810</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to PD-1. Phase 1 clinical study in oncology initiated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4375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40"/>
        <w:spacing w:after="0" w:line="272" w:lineRule="auto"/>
        <w:rPr>
          <w:sz w:val="20"/>
          <w:szCs w:val="20"/>
          <w:color w:val="auto"/>
        </w:rPr>
      </w:pPr>
      <w:r>
        <w:rPr>
          <w:rFonts w:ascii="Arial" w:cs="Arial" w:eastAsia="Arial" w:hAnsi="Arial"/>
          <w:sz w:val="18"/>
          <w:szCs w:val="18"/>
          <w:color w:val="auto"/>
        </w:rPr>
        <w:t>Antibody to Nerve Growth Factor (NGF). In development for the treatment of pain; currently on partial clinical hold by the FDA limiting duration of trials in osteoarthritis to 16 weeks.</w:t>
      </w:r>
    </w:p>
    <w:p>
      <w:pPr>
        <w:sectPr>
          <w:pgSz w:w="11900" w:h="16838" w:orient="portrait"/>
          <w:cols w:equalWidth="0" w:num="1">
            <w:col w:w="11180"/>
          </w:cols>
          <w:pgMar w:left="240" w:top="130" w:right="479" w:bottom="1440" w:gutter="0" w:footer="0" w:header="0"/>
        </w:sectPr>
      </w:pPr>
    </w:p>
    <w:p>
      <w:pPr>
        <w:spacing w:after="0" w:line="28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80"/>
          </w:cols>
          <w:pgMar w:left="240" w:top="130" w:right="47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40" w:right="160" w:firstLine="9"/>
        <w:spacing w:after="0" w:line="253" w:lineRule="auto"/>
        <w:tabs>
          <w:tab w:leader="none" w:pos="121" w:val="left"/>
        </w:tabs>
        <w:numPr>
          <w:ilvl w:val="0"/>
          <w:numId w:val="5"/>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and we have sole global rights. Under the terms of our agreement, Sanofi is entitled to receive a mid-single digit royalty on any future sales of the product candidate.</w:t>
      </w:r>
    </w:p>
    <w:p>
      <w:pPr>
        <w:spacing w:after="0" w:line="12" w:lineRule="exact"/>
        <w:rPr>
          <w:sz w:val="20"/>
          <w:szCs w:val="20"/>
          <w:color w:val="auto"/>
        </w:rPr>
      </w:pPr>
    </w:p>
    <w:p>
      <w:pPr>
        <w:ind w:left="40" w:right="180" w:firstLine="9"/>
        <w:spacing w:after="0" w:line="253" w:lineRule="auto"/>
        <w:tabs>
          <w:tab w:leader="none" w:pos="163" w:val="left"/>
        </w:tabs>
        <w:numPr>
          <w:ilvl w:val="0"/>
          <w:numId w:val="6"/>
        </w:numPr>
        <w:rPr>
          <w:rFonts w:ascii="Arial" w:cs="Arial" w:eastAsia="Arial" w:hAnsi="Arial"/>
          <w:sz w:val="9"/>
          <w:szCs w:val="9"/>
          <w:color w:val="auto"/>
        </w:rPr>
      </w:pPr>
      <w:r>
        <w:rPr>
          <w:rFonts w:ascii="Arial" w:cs="Arial" w:eastAsia="Arial" w:hAnsi="Arial"/>
          <w:sz w:val="14"/>
          <w:szCs w:val="14"/>
          <w:color w:val="auto"/>
        </w:rPr>
        <w:t>We acquired from Sanofi full exclusive rights to antibodies targeting the Ang2 receptor and ligand in ophthalmology, which were previously included in our antibody collaboration with Sanofi. Under the terms of our agreement, Sanofi is entitled to receive a potential development milestone and royalties on any future sales of the product candidate.</w:t>
      </w:r>
    </w:p>
    <w:p>
      <w:pPr>
        <w:spacing w:after="0" w:line="39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61"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2014, we launched a new human genetics initiative via a wholly owned subsidiary, Regeneron Genetics Center LLC (RGC). RGC performs sequencing and genotyping to generate de-identified genomic data.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leverages laboratory automation and an innovative approach to cloud computing to achieve high-quality throughput at a rate that exceeds 70,000 unique samples per year.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commenced sales of EYLEA in the United States for the treatment of wet AMD in November 2011, macular edema following CRVO in September 2012, DME in July 2014, and macular edema following RVO in October 2014. In addition, in March 2015, the FDA approved EYLEA for the treatment of diabetic retinopathy in patients with DME. Outside the United States, Bayer HealthCare commenced sales of EYLEA for the treatment of wet AMD in the fourth quarter of 2012, macular edema secondary to CRVO in the fourth quarter of 2013, visual impairment due to DME in the third quarter of 2014, and mCNV in Japan in the fourth quarter of 2014. In February 2015, the European Commission approved EYLEA for the treatment of macular edema following RVO, which includes macular edema following BRVO. In the fourth quarter of 2014, Bayer HealthCare submitted a regulatory application in China for EYLEA for the treatment of wet AMD. In addition, Bayer HealthCare has submitted an application to the MHLW seeking marketing authorization in Japan for EYLEA for the treatment of macular edema following BRVO. Bayer HealthCare has additional regulatory applications for EYLEA for the treatment of wet AMD, macular edema secondary to CRVO and BRVO, DME, and mCNV pending in other countries.</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of EYLEA in the United States were $541.1 million in the first quarter of 2015, compared to $359.0 million in the first quarter of 2014. Bayer HealthCare records revenue from sales of EYLEA outside the United States, which were $291.8 million in the first quarter of 2015, compared to $218.1 million in the first quarter of 2014.</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Net product sales of ARCALYST were $3.5 million in the first quarter of 2015, compared to $3.4 million in the first quarter of 2014.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DME</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i w:val="1"/>
          <w:iCs w:val="1"/>
          <w:color w:val="auto"/>
        </w:rPr>
        <w:t>Phase 3 VISTA-DME and VIVID-DME Trials</w:t>
      </w:r>
      <w:r>
        <w:rPr>
          <w:rFonts w:ascii="Arial" w:cs="Arial" w:eastAsia="Arial" w:hAnsi="Arial"/>
          <w:sz w:val="16"/>
          <w:szCs w:val="16"/>
          <w:color w:val="auto"/>
        </w:rPr>
        <w:t>. We conducted the VISTA-DME study in the United States, and Bayer HealthCare is conducting the VIVID-DME study in Europe, Japan, and Australia. Patients in both trials were randomized to receive either EYLEA 2 mg monthly, EYLEA 2 mg every two months (after 5 initial monthly injections), or the comparator treatment of laser photocoagulation. The VIVID-DME trial will continue as planned up to 148 weeks.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March 2015, the FDA approved EYLEA for the treatment of diabetic retinopathy in patients with DME.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VIVID EAST-DME Study. </w:t>
      </w:r>
      <w:r>
        <w:rPr>
          <w:rFonts w:ascii="Arial" w:cs="Arial" w:eastAsia="Arial" w:hAnsi="Arial"/>
          <w:sz w:val="18"/>
          <w:szCs w:val="18"/>
          <w:color w:val="auto"/>
        </w:rPr>
        <w:t>In February 2013, we and Bayer HealthCare initiated a Phase 3 study to evaluate the efficacy and safety of EYLEA in</w:t>
      </w:r>
      <w:r>
        <w:rPr>
          <w:rFonts w:ascii="Arial" w:cs="Arial" w:eastAsia="Arial" w:hAnsi="Arial"/>
          <w:sz w:val="18"/>
          <w:szCs w:val="18"/>
          <w:i w:val="1"/>
          <w:iCs w:val="1"/>
          <w:color w:val="auto"/>
        </w:rPr>
        <w:t xml:space="preserve"> </w:t>
      </w:r>
      <w:r>
        <w:rPr>
          <w:rFonts w:ascii="Arial" w:cs="Arial" w:eastAsia="Arial" w:hAnsi="Arial"/>
          <w:sz w:val="18"/>
          <w:szCs w:val="18"/>
          <w:color w:val="auto"/>
        </w:rPr>
        <w:t>DME in Russia, China, and other Asian countries (VIVID EAST-DME). This trial is fully enrolled.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that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3 ODYSSEY Program</w:t>
      </w:r>
      <w:r>
        <w:rPr>
          <w:rFonts w:ascii="Arial" w:cs="Arial" w:eastAsia="Arial" w:hAnsi="Arial"/>
          <w:sz w:val="17"/>
          <w:szCs w:val="17"/>
          <w:color w:val="auto"/>
        </w:rPr>
        <w:t>. We and Sanofi initiated the global Phase 3 ODYSSEY program for Praluent in the second quarter of 2012. The ODYSSEY</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consists of more than 23,500 patients, and includes clinical trials evaluating the effect of Praluent, dosed every two weeks, on lowering LDL cholesterol. In addition, the potential of Praluent to demonstrate cardiovascular benefit is being prospectively assessed in the ongoing 18,000-patient ODYSSEY OUTCOMES trial. LDL cholesterol reduction is the primary efficacy endpoint for initial regulatory filings. Additionally, the ODYSSEY program includes two trials of Praluent dosed every four weeks, ODYSSEY CHOICE I and ODYSSEY CHOICE II. Patients in the ODYSSEY CHOICE I trial received Praluent 300 mg (most in combination with statins) every four weeks and patients in the CHOICE II trial received Praluent 150 mg monotherapy and in combination with non-statin lipid lowering therapy every four weeks. The ODYSSEY studies are being</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conducted in clinical centers around the world including North America, Western and Eastern Europe, South America, Australia, and Asia.</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2013, we and Sanofi reported data from the ODYSSEY MONO trial, which evaluated the efficacy and safety of Praluent monotherapy versus ezetimibe monotherapy in patients with primary hypercholesterolemia. In 2014, we and Sanofi reported detailed positive results from nine additional Phase 3 ODYSSEY studies. All ten studies (ODYSSEY MONO, LONG TERM, FH I, FH II, HIGH FH, COMBO I, COMBO II, OPTIONS I, OPTIONS II, and ALTERNATIVE) met their primary efficacy endpoint of a greater percent reduction from baseline in LDL-C at 24 weeks compared to placebo or active comparator. Based on the positive results of these studies, a Biologics License Application (BLA) for U.S. regulatory approval of Praluent was submitted, and accepted by the FDA in January 2015. An FDA rare pediatric disease priority review voucher was utilized in connection with this BLA submission, as a result of which the submission was accepted by the FDA for priority review; the target date for an FDA decision on the BLA is July 24, 2015. The FDA's Endocrinologic and Metabolic Drugs Advisory Committee (EMDAC) is scheduled to meet on June 9, 2015 to discuss the BLA for Praluent. In addition, the European Medicines Agency (EMA) has accepted for review the Marketing Authorization Application (MAA) for Praluent.</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All patients in the ten trials received Praluent in addition to standard-of care lipid-lowering therapy, with the exception of patients in ODYSSEY MONO. The ODYSSEY ALTERNATIVE trial specifically focused on patients with a history of documented statin intolerance but allowed patients who were taking certain non-statin lipid-lowering therapies to participate in the trial. The trials included patients with LDL-C not at goal with or without a documented history of cardiovascular disease, including hypercholesterolemic patients who were at high cardiovascular (CV) risk, had an inherited form of high cholesterol known as heterozygous familial hypercholesterolemia (HeFH), and/or a history of intolerance to two or more statins, including one at the lowest dose. The trials evaluated two distinct dosing regimens: 150 mg every two weeks or 75 mg every two weeks increasing to 150 mg if needed to reach protocol-specified LDL-C targets. In the trials that used an individualized approach with 75 mg and 150 mg doses, the majority of patients reached their LDL-C goals while remaining on the 75 mg dose. The 75 mg and the 150 mg doses were delivered with a single, self-administered one-milliliter (mL) injection. A summary of primary efficacy endpoints and most common adverse events (AEs) are as follows:</w:t>
      </w:r>
    </w:p>
    <w:p>
      <w:pPr>
        <w:spacing w:after="0" w:line="365"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2240" w:type="dxa"/>
            <w:vAlign w:val="bottom"/>
            <w:tcBorders>
              <w:top w:val="single" w:sz="8" w:color="auto"/>
              <w:left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464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b w:val="1"/>
                <w:bCs w:val="1"/>
                <w:color w:val="auto"/>
              </w:rPr>
              <w:t>Primary efficacy endpoint</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i w:val="1"/>
                <w:iCs w:val="1"/>
                <w:color w:val="auto"/>
                <w:w w:val="99"/>
              </w:rPr>
              <w:t>(percent change from baseline in LDL-C at 24 weeks)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Borders>
              <w:left w:val="single" w:sz="8" w:color="auto"/>
              <w:right w:val="single" w:sz="8" w:color="auto"/>
            </w:tcBorders>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Study</w:t>
            </w:r>
          </w:p>
        </w:tc>
        <w:tc>
          <w:tcPr>
            <w:tcW w:w="21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Patient group</w:t>
            </w:r>
          </w:p>
        </w:tc>
        <w:tc>
          <w:tcPr>
            <w:tcW w:w="19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Praluent</w:t>
            </w:r>
          </w:p>
        </w:tc>
        <w:tc>
          <w:tcPr>
            <w:tcW w:w="266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Comparator</w:t>
            </w:r>
          </w:p>
        </w:tc>
        <w:tc>
          <w:tcPr>
            <w:tcW w:w="2120" w:type="dxa"/>
            <w:vAlign w:val="bottom"/>
            <w:tcBorders>
              <w:bottom w:val="single" w:sz="8" w:color="auto"/>
              <w:right w:val="single" w:sz="8" w:color="auto"/>
            </w:tcBorders>
          </w:tcPr>
          <w:p>
            <w:pPr>
              <w:ind w:left="280"/>
              <w:spacing w:after="0" w:line="264" w:lineRule="exact"/>
              <w:rPr>
                <w:sz w:val="20"/>
                <w:szCs w:val="20"/>
                <w:color w:val="auto"/>
              </w:rPr>
            </w:pPr>
            <w:r>
              <w:rPr>
                <w:rFonts w:ascii="Arial" w:cs="Arial" w:eastAsia="Arial" w:hAnsi="Arial"/>
                <w:sz w:val="18"/>
                <w:szCs w:val="18"/>
                <w:b w:val="1"/>
                <w:bCs w:val="1"/>
                <w:color w:val="auto"/>
              </w:rPr>
              <w:t>Most common AEs</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LONG TERM</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All patients (high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61% reduction</w:t>
            </w:r>
          </w:p>
        </w:tc>
        <w:tc>
          <w:tcPr>
            <w:tcW w:w="266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1% increase (placebo)</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=1,553) vs. placebo (n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(total n=2,341)</w:t>
            </w: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=788)</w:t>
            </w:r>
          </w:p>
        </w:tc>
        <w:tc>
          <w:tcPr>
            <w:tcW w:w="2120" w:type="dxa"/>
            <w:vAlign w:val="bottom"/>
            <w:tcBorders>
              <w:bottom w:val="single" w:sz="8" w:color="auto"/>
              <w:right w:val="single" w:sz="8" w:color="auto"/>
            </w:tcBorders>
          </w:tcPr>
          <w:p>
            <w:pPr>
              <w:spacing w:after="0"/>
              <w:rPr>
                <w:sz w:val="15"/>
                <w:szCs w:val="15"/>
                <w:color w:val="auto"/>
              </w:rPr>
            </w:pPr>
          </w:p>
        </w:tc>
        <w:tc>
          <w:tcPr>
            <w:tcW w:w="1980" w:type="dxa"/>
            <w:vAlign w:val="bottom"/>
            <w:tcBorders>
              <w:bottom w:val="single" w:sz="8" w:color="auto"/>
              <w:right w:val="single" w:sz="8" w:color="auto"/>
            </w:tcBorders>
          </w:tcPr>
          <w:p>
            <w:pPr>
              <w:spacing w:after="0"/>
              <w:rPr>
                <w:sz w:val="15"/>
                <w:szCs w:val="15"/>
                <w:color w:val="auto"/>
              </w:rPr>
            </w:pPr>
          </w:p>
        </w:tc>
        <w:tc>
          <w:tcPr>
            <w:tcW w:w="2660" w:type="dxa"/>
            <w:vAlign w:val="bottom"/>
            <w:tcBorders>
              <w:bottom w:val="single" w:sz="8" w:color="auto"/>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60"/>
        </w:trPr>
        <w:tc>
          <w:tcPr>
            <w:tcW w:w="2240" w:type="dxa"/>
            <w:vAlign w:val="bottom"/>
            <w:tcBorders>
              <w:left w:val="single" w:sz="8" w:color="auto"/>
              <w:right w:val="single" w:sz="8" w:color="auto"/>
            </w:tcBorders>
          </w:tcPr>
          <w:p>
            <w:pPr>
              <w:spacing w:after="0"/>
              <w:rPr>
                <w:sz w:val="5"/>
                <w:szCs w:val="5"/>
                <w:color w:val="auto"/>
              </w:rPr>
            </w:pPr>
          </w:p>
        </w:tc>
        <w:tc>
          <w:tcPr>
            <w:tcW w:w="2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HeFH subgroup</w:t>
            </w: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56% reduction</w:t>
            </w:r>
          </w:p>
        </w:tc>
        <w:tc>
          <w:tcPr>
            <w:tcW w:w="2660" w:type="dxa"/>
            <w:vAlign w:val="bottom"/>
            <w:tcBorders>
              <w:right w:val="single" w:sz="8" w:color="auto"/>
            </w:tcBorders>
            <w:vMerge w:val="restart"/>
          </w:tcPr>
          <w:p>
            <w:pPr>
              <w:ind w:left="20"/>
              <w:spacing w:after="0" w:line="236" w:lineRule="exact"/>
              <w:rPr>
                <w:sz w:val="20"/>
                <w:szCs w:val="20"/>
                <w:color w:val="auto"/>
              </w:rPr>
            </w:pPr>
            <w:r>
              <w:rPr>
                <w:rFonts w:ascii="Arial" w:cs="Arial" w:eastAsia="Arial" w:hAnsi="Arial"/>
                <w:sz w:val="18"/>
                <w:szCs w:val="18"/>
                <w:color w:val="auto"/>
              </w:rPr>
              <w:t>7% increase (placebo)</w:t>
            </w:r>
            <w:r>
              <w:rPr>
                <w:rFonts w:ascii="Arial" w:cs="Arial" w:eastAsia="Arial" w:hAnsi="Arial"/>
                <w:sz w:val="25"/>
                <w:szCs w:val="25"/>
                <w:color w:val="auto"/>
                <w:vertAlign w:val="superscript"/>
              </w:rPr>
              <w:t>c</w:t>
            </w:r>
          </w:p>
        </w:tc>
        <w:tc>
          <w:tcPr>
            <w:tcW w:w="21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150 mg dose</w:t>
            </w:r>
          </w:p>
        </w:tc>
        <w:tc>
          <w:tcPr>
            <w:tcW w:w="2120" w:type="dxa"/>
            <w:vAlign w:val="bottom"/>
            <w:tcBorders>
              <w:right w:val="single" w:sz="8" w:color="auto"/>
            </w:tcBorders>
            <w:vMerge w:val="continue"/>
          </w:tcPr>
          <w:p>
            <w:pPr>
              <w:spacing w:after="0"/>
              <w:rPr>
                <w:sz w:val="15"/>
                <w:szCs w:val="15"/>
                <w:color w:val="auto"/>
              </w:rPr>
            </w:pPr>
          </w:p>
        </w:tc>
        <w:tc>
          <w:tcPr>
            <w:tcW w:w="1980" w:type="dxa"/>
            <w:vAlign w:val="bottom"/>
            <w:tcBorders>
              <w:right w:val="single" w:sz="8" w:color="auto"/>
            </w:tcBorders>
            <w:vMerge w:val="continue"/>
          </w:tcPr>
          <w:p>
            <w:pPr>
              <w:spacing w:after="0"/>
              <w:rPr>
                <w:sz w:val="15"/>
                <w:szCs w:val="15"/>
                <w:color w:val="auto"/>
              </w:rPr>
            </w:pPr>
          </w:p>
        </w:tc>
        <w:tc>
          <w:tcPr>
            <w:tcW w:w="2660" w:type="dxa"/>
            <w:vAlign w:val="bottom"/>
            <w:tcBorders>
              <w:right w:val="single" w:sz="8" w:color="auto"/>
            </w:tcBorders>
            <w:vMerge w:val="continue"/>
          </w:tcPr>
          <w:p>
            <w:pPr>
              <w:spacing w:after="0"/>
              <w:rPr>
                <w:sz w:val="15"/>
                <w:szCs w:val="15"/>
                <w:color w:val="auto"/>
              </w:rPr>
            </w:pPr>
          </w:p>
        </w:tc>
        <w:tc>
          <w:tcPr>
            <w:tcW w:w="21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w w:val="96"/>
              </w:rPr>
              <w:t>influenza, diarrhea, urinary</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spacing w:after="0"/>
              <w:rPr>
                <w:sz w:val="15"/>
                <w:szCs w:val="15"/>
                <w:color w:val="auto"/>
              </w:rPr>
            </w:pPr>
          </w:p>
        </w:tc>
        <w:tc>
          <w:tcPr>
            <w:tcW w:w="212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(n=415)</w:t>
            </w: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 bronchitis,</w:t>
            </w:r>
          </w:p>
        </w:tc>
        <w:tc>
          <w:tcPr>
            <w:tcW w:w="0" w:type="dxa"/>
            <w:vAlign w:val="bottom"/>
          </w:tcPr>
          <w:p>
            <w:pPr>
              <w:spacing w:after="0"/>
              <w:rPr>
                <w:sz w:val="1"/>
                <w:szCs w:val="1"/>
                <w:color w:val="auto"/>
              </w:rPr>
            </w:pPr>
          </w:p>
        </w:tc>
      </w:tr>
      <w:tr>
        <w:trPr>
          <w:trHeight w:val="73"/>
        </w:trPr>
        <w:tc>
          <w:tcPr>
            <w:tcW w:w="2240" w:type="dxa"/>
            <w:vAlign w:val="bottom"/>
            <w:tcBorders>
              <w:left w:val="single" w:sz="8" w:color="auto"/>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240" w:type="dxa"/>
            <w:vAlign w:val="bottom"/>
            <w:tcBorders>
              <w:left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tcPr>
          <w:p>
            <w:pPr>
              <w:spacing w:after="0"/>
              <w:rPr>
                <w:sz w:val="7"/>
                <w:szCs w:val="7"/>
                <w:color w:val="auto"/>
              </w:rPr>
            </w:pPr>
          </w:p>
        </w:tc>
        <w:tc>
          <w:tcPr>
            <w:tcW w:w="1980" w:type="dxa"/>
            <w:vAlign w:val="bottom"/>
            <w:tcBorders>
              <w:bottom w:val="single" w:sz="8" w:color="auto"/>
              <w:right w:val="single" w:sz="8" w:color="auto"/>
            </w:tcBorders>
          </w:tcPr>
          <w:p>
            <w:pPr>
              <w:spacing w:after="0"/>
              <w:rPr>
                <w:sz w:val="7"/>
                <w:szCs w:val="7"/>
                <w:color w:val="auto"/>
              </w:rPr>
            </w:pPr>
          </w:p>
        </w:tc>
        <w:tc>
          <w:tcPr>
            <w:tcW w:w="2660" w:type="dxa"/>
            <w:vAlign w:val="bottom"/>
            <w:tcBorders>
              <w:bottom w:val="single" w:sz="8" w:color="auto"/>
              <w:right w:val="single" w:sz="8" w:color="auto"/>
            </w:tcBorders>
          </w:tcPr>
          <w:p>
            <w:pPr>
              <w:spacing w:after="0"/>
              <w:rPr>
                <w:sz w:val="7"/>
                <w:szCs w:val="7"/>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myalgia, headache, back</w:t>
            </w:r>
          </w:p>
        </w:tc>
        <w:tc>
          <w:tcPr>
            <w:tcW w:w="0" w:type="dxa"/>
            <w:vAlign w:val="bottom"/>
          </w:tcPr>
          <w:p>
            <w:pPr>
              <w:spacing w:after="0"/>
              <w:rPr>
                <w:sz w:val="1"/>
                <w:szCs w:val="1"/>
                <w:color w:val="auto"/>
              </w:rPr>
            </w:pPr>
          </w:p>
        </w:tc>
      </w:tr>
      <w:tr>
        <w:trPr>
          <w:trHeight w:val="114"/>
        </w:trPr>
        <w:tc>
          <w:tcPr>
            <w:tcW w:w="2240" w:type="dxa"/>
            <w:vAlign w:val="bottom"/>
            <w:tcBorders>
              <w:left w:val="single" w:sz="8" w:color="auto"/>
              <w:right w:val="single" w:sz="8" w:color="auto"/>
            </w:tcBorders>
          </w:tcPr>
          <w:p>
            <w:pPr>
              <w:spacing w:after="0"/>
              <w:rPr>
                <w:sz w:val="9"/>
                <w:szCs w:val="9"/>
                <w:color w:val="auto"/>
              </w:rPr>
            </w:pPr>
          </w:p>
        </w:tc>
        <w:tc>
          <w:tcPr>
            <w:tcW w:w="2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 Non-HeFH subgroup</w:t>
            </w:r>
          </w:p>
        </w:tc>
        <w:tc>
          <w:tcPr>
            <w:tcW w:w="19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62% reduction</w:t>
            </w:r>
          </w:p>
        </w:tc>
        <w:tc>
          <w:tcPr>
            <w:tcW w:w="2660" w:type="dxa"/>
            <w:vAlign w:val="bottom"/>
            <w:tcBorders>
              <w:right w:val="single" w:sz="8" w:color="auto"/>
            </w:tcBorders>
            <w:vMerge w:val="restart"/>
          </w:tcPr>
          <w:p>
            <w:pPr>
              <w:ind w:left="20"/>
              <w:spacing w:after="0" w:line="217" w:lineRule="exact"/>
              <w:rPr>
                <w:sz w:val="20"/>
                <w:szCs w:val="20"/>
                <w:color w:val="auto"/>
              </w:rPr>
            </w:pPr>
            <w:r>
              <w:rPr>
                <w:rFonts w:ascii="Arial" w:cs="Arial" w:eastAsia="Arial" w:hAnsi="Arial"/>
                <w:sz w:val="18"/>
                <w:szCs w:val="18"/>
                <w:color w:val="auto"/>
              </w:rPr>
              <w:t>0.5% reduction (placebo)</w:t>
            </w:r>
            <w:r>
              <w:rPr>
                <w:rFonts w:ascii="Arial" w:cs="Arial" w:eastAsia="Arial" w:hAnsi="Arial"/>
                <w:sz w:val="25"/>
                <w:szCs w:val="25"/>
                <w:color w:val="auto"/>
                <w:vertAlign w:val="superscript"/>
              </w:rPr>
              <w:t>d</w:t>
            </w:r>
          </w:p>
        </w:tc>
        <w:tc>
          <w:tcPr>
            <w:tcW w:w="2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240" w:type="dxa"/>
            <w:vAlign w:val="bottom"/>
            <w:tcBorders>
              <w:left w:val="single" w:sz="8" w:color="auto"/>
              <w:right w:val="single" w:sz="8" w:color="auto"/>
            </w:tcBorders>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1980" w:type="dxa"/>
            <w:vAlign w:val="bottom"/>
            <w:tcBorders>
              <w:right w:val="single" w:sz="8" w:color="auto"/>
            </w:tcBorders>
            <w:vMerge w:val="continue"/>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 arthralgia</w:t>
            </w:r>
          </w:p>
        </w:tc>
        <w:tc>
          <w:tcPr>
            <w:tcW w:w="0" w:type="dxa"/>
            <w:vAlign w:val="bottom"/>
          </w:tcPr>
          <w:p>
            <w:pPr>
              <w:spacing w:after="0"/>
              <w:rPr>
                <w:sz w:val="1"/>
                <w:szCs w:val="1"/>
                <w:color w:val="auto"/>
              </w:rPr>
            </w:pPr>
          </w:p>
        </w:tc>
      </w:tr>
      <w:tr>
        <w:trPr>
          <w:trHeight w:val="127"/>
        </w:trPr>
        <w:tc>
          <w:tcPr>
            <w:tcW w:w="2240" w:type="dxa"/>
            <w:vAlign w:val="bottom"/>
            <w:tcBorders>
              <w:left w:val="single" w:sz="8" w:color="auto"/>
              <w:right w:val="single" w:sz="8" w:color="auto"/>
            </w:tcBorders>
          </w:tcPr>
          <w:p>
            <w:pPr>
              <w:spacing w:after="0"/>
              <w:rPr>
                <w:sz w:val="11"/>
                <w:szCs w:val="11"/>
                <w:color w:val="auto"/>
              </w:rPr>
            </w:pPr>
          </w:p>
        </w:tc>
        <w:tc>
          <w:tcPr>
            <w:tcW w:w="212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i w:val="1"/>
                <w:iCs w:val="1"/>
                <w:color w:val="auto"/>
              </w:rPr>
              <w:t>(n=1,926)</w:t>
            </w:r>
          </w:p>
        </w:tc>
        <w:tc>
          <w:tcPr>
            <w:tcW w:w="1980" w:type="dxa"/>
            <w:vAlign w:val="bottom"/>
            <w:tcBorders>
              <w:right w:val="single" w:sz="8" w:color="auto"/>
            </w:tcBorders>
          </w:tcPr>
          <w:p>
            <w:pPr>
              <w:spacing w:after="0"/>
              <w:rPr>
                <w:sz w:val="11"/>
                <w:szCs w:val="11"/>
                <w:color w:val="auto"/>
              </w:rPr>
            </w:pPr>
          </w:p>
        </w:tc>
        <w:tc>
          <w:tcPr>
            <w:tcW w:w="266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240" w:type="dxa"/>
            <w:vAlign w:val="bottom"/>
            <w:tcBorders>
              <w:left w:val="single" w:sz="8" w:color="auto"/>
              <w:right w:val="single" w:sz="8" w:color="auto"/>
            </w:tcBorders>
          </w:tcPr>
          <w:p>
            <w:pPr>
              <w:spacing w:after="0"/>
              <w:rPr>
                <w:sz w:val="4"/>
                <w:szCs w:val="4"/>
                <w:color w:val="auto"/>
              </w:rPr>
            </w:pPr>
          </w:p>
        </w:tc>
        <w:tc>
          <w:tcPr>
            <w:tcW w:w="2120" w:type="dxa"/>
            <w:vAlign w:val="bottom"/>
            <w:tcBorders>
              <w:right w:val="single" w:sz="8" w:color="auto"/>
            </w:tcBorders>
            <w:vMerge w:val="continue"/>
          </w:tcPr>
          <w:p>
            <w:pPr>
              <w:spacing w:after="0"/>
              <w:rPr>
                <w:sz w:val="4"/>
                <w:szCs w:val="4"/>
                <w:color w:val="auto"/>
              </w:rPr>
            </w:pPr>
          </w:p>
        </w:tc>
        <w:tc>
          <w:tcPr>
            <w:tcW w:w="1980" w:type="dxa"/>
            <w:vAlign w:val="bottom"/>
            <w:tcBorders>
              <w:right w:val="single" w:sz="8" w:color="auto"/>
            </w:tcBorders>
          </w:tcPr>
          <w:p>
            <w:pPr>
              <w:spacing w:after="0"/>
              <w:rPr>
                <w:sz w:val="4"/>
                <w:szCs w:val="4"/>
                <w:color w:val="auto"/>
              </w:rPr>
            </w:pPr>
          </w:p>
        </w:tc>
        <w:tc>
          <w:tcPr>
            <w:tcW w:w="2660" w:type="dxa"/>
            <w:vAlign w:val="bottom"/>
            <w:tcBorders>
              <w:right w:val="single" w:sz="8" w:color="auto"/>
            </w:tcBorders>
          </w:tcPr>
          <w:p>
            <w:pPr>
              <w:spacing w:after="0"/>
              <w:rPr>
                <w:sz w:val="4"/>
                <w:szCs w:val="4"/>
                <w:color w:val="auto"/>
              </w:rPr>
            </w:pPr>
          </w:p>
        </w:tc>
        <w:tc>
          <w:tcPr>
            <w:tcW w:w="2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240" w:type="dxa"/>
            <w:vAlign w:val="bottom"/>
            <w:tcBorders>
              <w:left w:val="single" w:sz="8" w:color="auto"/>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1980" w:type="dxa"/>
            <w:vAlign w:val="bottom"/>
            <w:tcBorders>
              <w:bottom w:val="single" w:sz="8" w:color="auto"/>
              <w:right w:val="single" w:sz="8" w:color="auto"/>
            </w:tcBorders>
          </w:tcPr>
          <w:p>
            <w:pPr>
              <w:spacing w:after="0"/>
              <w:rPr>
                <w:sz w:val="16"/>
                <w:szCs w:val="16"/>
                <w:color w:val="auto"/>
              </w:rPr>
            </w:pPr>
          </w:p>
        </w:tc>
        <w:tc>
          <w:tcPr>
            <w:tcW w:w="2660" w:type="dxa"/>
            <w:vAlign w:val="bottom"/>
            <w:tcBorders>
              <w:bottom w:val="single" w:sz="8" w:color="auto"/>
              <w:right w:val="single" w:sz="8" w:color="auto"/>
            </w:tcBorders>
          </w:tcPr>
          <w:p>
            <w:pPr>
              <w:spacing w:after="0"/>
              <w:rPr>
                <w:sz w:val="16"/>
                <w:szCs w:val="16"/>
                <w:color w:val="auto"/>
              </w:rPr>
            </w:pPr>
          </w:p>
        </w:tc>
        <w:tc>
          <w:tcPr>
            <w:tcW w:w="2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COMBO 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reduction</w:t>
            </w:r>
          </w:p>
        </w:tc>
        <w:tc>
          <w:tcPr>
            <w:tcW w:w="266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2% reduction (placebo)</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 respiratory tract</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=209) vs. placebo (n</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8"/>
              </w:rPr>
              <w:t>infection, nasopharyngitis,</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=107)</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urinary tract infection,</w:t>
            </w:r>
          </w:p>
        </w:tc>
        <w:tc>
          <w:tcPr>
            <w:tcW w:w="0" w:type="dxa"/>
            <w:vAlign w:val="bottom"/>
          </w:tcPr>
          <w:p>
            <w:pPr>
              <w:spacing w:after="0"/>
              <w:rPr>
                <w:sz w:val="1"/>
                <w:szCs w:val="1"/>
                <w:color w:val="auto"/>
              </w:rPr>
            </w:pPr>
          </w:p>
        </w:tc>
      </w:tr>
      <w:tr>
        <w:trPr>
          <w:trHeight w:val="73"/>
        </w:trPr>
        <w:tc>
          <w:tcPr>
            <w:tcW w:w="2240" w:type="dxa"/>
            <w:vAlign w:val="bottom"/>
            <w:tcBorders>
              <w:left w:val="single" w:sz="8" w:color="auto"/>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mg/150 mg dose</w:t>
            </w:r>
          </w:p>
        </w:tc>
        <w:tc>
          <w:tcPr>
            <w:tcW w:w="21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dizziness, sinusitis,</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injection-site reaction</w:t>
            </w:r>
          </w:p>
        </w:tc>
        <w:tc>
          <w:tcPr>
            <w:tcW w:w="0" w:type="dxa"/>
            <w:vAlign w:val="bottom"/>
          </w:tcPr>
          <w:p>
            <w:pPr>
              <w:spacing w:after="0"/>
              <w:rPr>
                <w:sz w:val="1"/>
                <w:szCs w:val="1"/>
                <w:color w:val="auto"/>
              </w:rPr>
            </w:pP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COMBO II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51% reduction</w:t>
            </w:r>
          </w:p>
        </w:tc>
        <w:tc>
          <w:tcPr>
            <w:tcW w:w="266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21% reduction (ezetimibe)</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Upper respiratory tract</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=479) vs. ezetimibe (n</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infection, accidental</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=241)</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overdose, dizziness,</w:t>
            </w:r>
          </w:p>
        </w:tc>
        <w:tc>
          <w:tcPr>
            <w:tcW w:w="0" w:type="dxa"/>
            <w:vAlign w:val="bottom"/>
          </w:tcPr>
          <w:p>
            <w:pPr>
              <w:spacing w:after="0"/>
              <w:rPr>
                <w:sz w:val="1"/>
                <w:szCs w:val="1"/>
                <w:color w:val="auto"/>
              </w:rPr>
            </w:pPr>
          </w:p>
        </w:tc>
      </w:tr>
      <w:tr>
        <w:trPr>
          <w:trHeight w:val="73"/>
        </w:trPr>
        <w:tc>
          <w:tcPr>
            <w:tcW w:w="2240" w:type="dxa"/>
            <w:vAlign w:val="bottom"/>
            <w:tcBorders>
              <w:left w:val="single" w:sz="8" w:color="auto"/>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mg/150 mg dose</w:t>
            </w:r>
          </w:p>
        </w:tc>
        <w:tc>
          <w:tcPr>
            <w:tcW w:w="21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myalgia</w:t>
            </w:r>
          </w:p>
        </w:tc>
        <w:tc>
          <w:tcPr>
            <w:tcW w:w="0" w:type="dxa"/>
            <w:vAlign w:val="bottom"/>
          </w:tcPr>
          <w:p>
            <w:pPr>
              <w:spacing w:after="0"/>
              <w:rPr>
                <w:sz w:val="1"/>
                <w:szCs w:val="1"/>
                <w:color w:val="auto"/>
              </w:rPr>
            </w:pPr>
          </w:p>
        </w:tc>
      </w:tr>
      <w:tr>
        <w:trPr>
          <w:trHeight w:val="27"/>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OPTIONS 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44% - 54% reduction</w:t>
            </w:r>
          </w:p>
        </w:tc>
        <w:tc>
          <w:tcPr>
            <w:tcW w:w="26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21% - 23% reduction</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w w:val="98"/>
              </w:rPr>
              <w:t>[Baseline statin = atorvastatin 20/40</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5"/>
                <w:szCs w:val="15"/>
                <w:color w:val="auto"/>
              </w:rPr>
              <w:t>(ezetimibe)</w:t>
            </w:r>
            <w:r>
              <w:rPr>
                <w:rFonts w:ascii="Arial" w:cs="Arial" w:eastAsia="Arial" w:hAnsi="Arial"/>
                <w:sz w:val="20"/>
                <w:szCs w:val="20"/>
                <w:color w:val="auto"/>
                <w:vertAlign w:val="superscript"/>
              </w:rPr>
              <w:t>f</w:t>
            </w: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mg]</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 5% reduction (double statin</w:t>
            </w: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hypertension, back pain</w:t>
            </w:r>
          </w:p>
        </w:tc>
        <w:tc>
          <w:tcPr>
            <w:tcW w:w="0" w:type="dxa"/>
            <w:vAlign w:val="bottom"/>
          </w:tcPr>
          <w:p>
            <w:pPr>
              <w:spacing w:after="0"/>
              <w:rPr>
                <w:sz w:val="1"/>
                <w:szCs w:val="1"/>
                <w:color w:val="auto"/>
              </w:rPr>
            </w:pPr>
          </w:p>
        </w:tc>
      </w:tr>
      <w:tr>
        <w:trPr>
          <w:trHeight w:val="73"/>
        </w:trPr>
        <w:tc>
          <w:tcPr>
            <w:tcW w:w="2240" w:type="dxa"/>
            <w:vAlign w:val="bottom"/>
            <w:tcBorders>
              <w:left w:val="single" w:sz="8" w:color="auto"/>
              <w:right w:val="single" w:sz="8" w:color="auto"/>
            </w:tcBorders>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=104) vs. ezetimibe (n</w:t>
            </w:r>
          </w:p>
        </w:tc>
        <w:tc>
          <w:tcPr>
            <w:tcW w:w="212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spacing w:after="0"/>
              <w:rPr>
                <w:sz w:val="14"/>
                <w:szCs w:val="14"/>
                <w:color w:val="auto"/>
              </w:rPr>
            </w:pPr>
          </w:p>
        </w:tc>
        <w:tc>
          <w:tcPr>
            <w:tcW w:w="2660" w:type="dxa"/>
            <w:vAlign w:val="bottom"/>
            <w:tcBorders>
              <w:right w:val="single" w:sz="8" w:color="auto"/>
            </w:tcBorders>
          </w:tcPr>
          <w:p>
            <w:pPr>
              <w:ind w:left="20"/>
              <w:spacing w:after="0" w:line="170" w:lineRule="exact"/>
              <w:rPr>
                <w:sz w:val="20"/>
                <w:szCs w:val="20"/>
                <w:color w:val="auto"/>
              </w:rPr>
            </w:pPr>
            <w:r>
              <w:rPr>
                <w:rFonts w:ascii="Arial" w:cs="Arial" w:eastAsia="Arial" w:hAnsi="Arial"/>
                <w:sz w:val="14"/>
                <w:szCs w:val="14"/>
                <w:color w:val="auto"/>
              </w:rPr>
              <w:t>dose)</w:t>
            </w:r>
            <w:r>
              <w:rPr>
                <w:rFonts w:ascii="Arial" w:cs="Arial" w:eastAsia="Arial" w:hAnsi="Arial"/>
                <w:sz w:val="19"/>
                <w:szCs w:val="19"/>
                <w:color w:val="auto"/>
                <w:vertAlign w:val="superscript"/>
              </w:rPr>
              <w:t>b</w:t>
            </w:r>
          </w:p>
        </w:tc>
        <w:tc>
          <w:tcPr>
            <w:tcW w:w="2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Borders>
              <w:left w:val="single" w:sz="8" w:color="auto"/>
              <w:right w:val="single" w:sz="8" w:color="auto"/>
            </w:tcBorders>
          </w:tcPr>
          <w:p>
            <w:pPr>
              <w:ind w:left="20"/>
              <w:spacing w:after="0" w:line="148" w:lineRule="exact"/>
              <w:rPr>
                <w:sz w:val="20"/>
                <w:szCs w:val="20"/>
                <w:color w:val="auto"/>
              </w:rPr>
            </w:pPr>
            <w:r>
              <w:rPr>
                <w:rFonts w:ascii="Arial" w:cs="Arial" w:eastAsia="Arial" w:hAnsi="Arial"/>
                <w:sz w:val="14"/>
                <w:szCs w:val="14"/>
                <w:i w:val="1"/>
                <w:iCs w:val="1"/>
                <w:color w:val="auto"/>
              </w:rPr>
              <w:t>=102) or double atorvastatin (n</w:t>
            </w:r>
          </w:p>
        </w:tc>
        <w:tc>
          <w:tcPr>
            <w:tcW w:w="212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vMerge w:val="restart"/>
          </w:tcPr>
          <w:p>
            <w:pPr>
              <w:ind w:left="20"/>
              <w:spacing w:after="0" w:line="223" w:lineRule="exact"/>
              <w:rPr>
                <w:sz w:val="20"/>
                <w:szCs w:val="20"/>
                <w:color w:val="auto"/>
              </w:rPr>
            </w:pPr>
            <w:r>
              <w:rPr>
                <w:rFonts w:ascii="Arial" w:cs="Arial" w:eastAsia="Arial" w:hAnsi="Arial"/>
                <w:sz w:val="18"/>
                <w:szCs w:val="18"/>
                <w:color w:val="auto"/>
              </w:rPr>
              <w:t>• 21% reduction (statin switch)</w:t>
            </w:r>
            <w:r>
              <w:rPr>
                <w:rFonts w:ascii="Arial" w:cs="Arial" w:eastAsia="Arial" w:hAnsi="Arial"/>
                <w:sz w:val="25"/>
                <w:szCs w:val="25"/>
                <w:color w:val="auto"/>
                <w:vertAlign w:val="superscript"/>
              </w:rPr>
              <w:t>b</w:t>
            </w: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240" w:type="dxa"/>
            <w:vAlign w:val="bottom"/>
            <w:tcBorders>
              <w:left w:val="single" w:sz="8" w:color="auto"/>
              <w:right w:val="single" w:sz="8" w:color="auto"/>
            </w:tcBorders>
          </w:tcPr>
          <w:p>
            <w:pPr>
              <w:ind w:left="1840"/>
              <w:spacing w:after="0" w:line="75" w:lineRule="exact"/>
              <w:rPr>
                <w:sz w:val="20"/>
                <w:szCs w:val="20"/>
                <w:color w:val="auto"/>
              </w:rPr>
            </w:pPr>
            <w:r>
              <w:rPr>
                <w:rFonts w:ascii="Arial" w:cs="Arial" w:eastAsia="Arial" w:hAnsi="Arial"/>
                <w:sz w:val="8"/>
                <w:szCs w:val="8"/>
                <w:i w:val="1"/>
                <w:iCs w:val="1"/>
                <w:color w:val="auto"/>
              </w:rPr>
              <w:t>e</w:t>
            </w:r>
          </w:p>
        </w:tc>
        <w:tc>
          <w:tcPr>
            <w:tcW w:w="2120" w:type="dxa"/>
            <w:vAlign w:val="bottom"/>
            <w:tcBorders>
              <w:right w:val="single" w:sz="8" w:color="auto"/>
            </w:tcBorders>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vMerge w:val="continue"/>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240" w:type="dxa"/>
            <w:vAlign w:val="bottom"/>
            <w:tcBorders>
              <w:left w:val="single" w:sz="8" w:color="auto"/>
              <w:right w:val="single" w:sz="8" w:color="auto"/>
            </w:tcBorders>
          </w:tcPr>
          <w:p>
            <w:pPr>
              <w:ind w:left="20"/>
              <w:spacing w:after="0" w:line="63" w:lineRule="exact"/>
              <w:rPr>
                <w:sz w:val="20"/>
                <w:szCs w:val="20"/>
                <w:color w:val="auto"/>
              </w:rPr>
            </w:pPr>
            <w:r>
              <w:rPr>
                <w:rFonts w:ascii="Arial" w:cs="Arial" w:eastAsia="Arial" w:hAnsi="Arial"/>
                <w:sz w:val="7"/>
                <w:szCs w:val="7"/>
                <w:i w:val="1"/>
                <w:iCs w:val="1"/>
                <w:color w:val="auto"/>
              </w:rPr>
              <w:t>=104) or switch to rosuvastatin (n</w:t>
            </w:r>
          </w:p>
        </w:tc>
        <w:tc>
          <w:tcPr>
            <w:tcW w:w="212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tcPr>
          <w:p>
            <w:pPr>
              <w:spacing w:after="0"/>
              <w:rPr>
                <w:sz w:val="5"/>
                <w:szCs w:val="5"/>
                <w:color w:val="auto"/>
              </w:rPr>
            </w:pPr>
          </w:p>
        </w:tc>
        <w:tc>
          <w:tcPr>
            <w:tcW w:w="2660" w:type="dxa"/>
            <w:vAlign w:val="bottom"/>
            <w:tcBorders>
              <w:right w:val="single" w:sz="8" w:color="auto"/>
            </w:tcBorders>
          </w:tcPr>
          <w:p>
            <w:pPr>
              <w:spacing w:after="0"/>
              <w:rPr>
                <w:sz w:val="5"/>
                <w:szCs w:val="5"/>
                <w:color w:val="auto"/>
              </w:rPr>
            </w:pPr>
          </w:p>
        </w:tc>
        <w:tc>
          <w:tcPr>
            <w:tcW w:w="2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=45)</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 / 150 mg dose</w:t>
            </w:r>
          </w:p>
        </w:tc>
        <w:tc>
          <w:tcPr>
            <w:tcW w:w="2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15"/>
        </w:trPr>
        <w:tc>
          <w:tcPr>
            <w:tcW w:w="2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tcPr>
          <w:p>
            <w:pPr>
              <w:ind w:left="1080"/>
              <w:spacing w:after="0"/>
              <w:rPr>
                <w:sz w:val="20"/>
                <w:szCs w:val="20"/>
                <w:color w:val="auto"/>
              </w:rPr>
            </w:pPr>
            <w:r>
              <w:rPr>
                <w:rFonts w:ascii="Arial" w:cs="Arial" w:eastAsia="Arial" w:hAnsi="Arial"/>
                <w:sz w:val="18"/>
                <w:szCs w:val="18"/>
                <w:color w:val="auto"/>
              </w:rPr>
              <w:t>26</w:t>
            </w:r>
          </w:p>
        </w:tc>
        <w:tc>
          <w:tcPr>
            <w:tcW w:w="26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(continued)</w:t>
      </w:r>
    </w:p>
    <w:p>
      <w:pPr>
        <w:spacing w:after="0" w:line="30" w:lineRule="exact"/>
        <w:rPr>
          <w:sz w:val="20"/>
          <w:szCs w:val="20"/>
          <w:color w:val="auto"/>
        </w:rPr>
      </w:pPr>
    </w:p>
    <w:tbl>
      <w:tblPr>
        <w:tblLayout w:type="fixed"/>
        <w:tblInd w:w="190" w:type="dxa"/>
        <w:tblCellMar>
          <w:top w:w="0" w:type="dxa"/>
          <w:left w:w="0" w:type="dxa"/>
          <w:bottom w:w="0" w:type="dxa"/>
          <w:right w:w="0" w:type="dxa"/>
        </w:tblCellMar>
      </w:tblPr>
      <w:tr>
        <w:trPr>
          <w:trHeight w:val="242"/>
        </w:trPr>
        <w:tc>
          <w:tcPr>
            <w:tcW w:w="2240" w:type="dxa"/>
            <w:vAlign w:val="bottom"/>
            <w:tcBorders>
              <w:top w:val="single" w:sz="8" w:color="auto"/>
              <w:left w:val="single" w:sz="8" w:color="auto"/>
              <w:right w:val="single" w:sz="8" w:color="auto"/>
            </w:tcBorders>
          </w:tcPr>
          <w:p>
            <w:pPr>
              <w:spacing w:after="0"/>
              <w:rPr>
                <w:sz w:val="21"/>
                <w:szCs w:val="21"/>
                <w:color w:val="auto"/>
              </w:rPr>
            </w:pPr>
          </w:p>
        </w:tc>
        <w:tc>
          <w:tcPr>
            <w:tcW w:w="2120" w:type="dxa"/>
            <w:vAlign w:val="bottom"/>
            <w:tcBorders>
              <w:top w:val="single" w:sz="8" w:color="auto"/>
              <w:right w:val="single" w:sz="8" w:color="auto"/>
            </w:tcBorders>
          </w:tcPr>
          <w:p>
            <w:pPr>
              <w:spacing w:after="0"/>
              <w:rPr>
                <w:sz w:val="21"/>
                <w:szCs w:val="21"/>
                <w:color w:val="auto"/>
              </w:rPr>
            </w:pPr>
          </w:p>
        </w:tc>
        <w:tc>
          <w:tcPr>
            <w:tcW w:w="464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b w:val="1"/>
                <w:bCs w:val="1"/>
                <w:color w:val="auto"/>
              </w:rPr>
              <w:t>Primary efficacy endpoint</w:t>
            </w:r>
          </w:p>
        </w:tc>
        <w:tc>
          <w:tcPr>
            <w:tcW w:w="2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gridSpan w:val="2"/>
          </w:tcPr>
          <w:p>
            <w:pPr>
              <w:ind w:left="360"/>
              <w:spacing w:after="0"/>
              <w:rPr>
                <w:sz w:val="20"/>
                <w:szCs w:val="20"/>
                <w:color w:val="auto"/>
              </w:rPr>
            </w:pPr>
            <w:r>
              <w:rPr>
                <w:rFonts w:ascii="Arial" w:cs="Arial" w:eastAsia="Arial" w:hAnsi="Arial"/>
                <w:sz w:val="18"/>
                <w:szCs w:val="18"/>
                <w:i w:val="1"/>
                <w:iCs w:val="1"/>
                <w:color w:val="auto"/>
                <w:w w:val="99"/>
              </w:rPr>
              <w:t>(percent change from baseline in LDL-C at 24 weeks)</w:t>
            </w:r>
          </w:p>
        </w:tc>
        <w:tc>
          <w:tcPr>
            <w:tcW w:w="2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40" w:type="dxa"/>
            <w:vAlign w:val="bottom"/>
            <w:tcBorders>
              <w:left w:val="single" w:sz="8" w:color="auto"/>
              <w:right w:val="single" w:sz="8" w:color="auto"/>
            </w:tcBorders>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40" w:type="dxa"/>
            <w:vAlign w:val="bottom"/>
            <w:tcBorders>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18"/>
                <w:szCs w:val="18"/>
                <w:b w:val="1"/>
                <w:bCs w:val="1"/>
                <w:color w:val="auto"/>
              </w:rPr>
              <w:t>Study</w:t>
            </w:r>
          </w:p>
        </w:tc>
        <w:tc>
          <w:tcPr>
            <w:tcW w:w="21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Patient group</w:t>
            </w:r>
          </w:p>
        </w:tc>
        <w:tc>
          <w:tcPr>
            <w:tcW w:w="1980" w:type="dxa"/>
            <w:vAlign w:val="bottom"/>
            <w:tcBorders>
              <w:bottom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Praluent</w:t>
            </w:r>
          </w:p>
        </w:tc>
        <w:tc>
          <w:tcPr>
            <w:tcW w:w="2660" w:type="dxa"/>
            <w:vAlign w:val="bottom"/>
            <w:tcBorders>
              <w:bottom w:val="single" w:sz="8" w:color="auto"/>
              <w:right w:val="single" w:sz="8" w:color="auto"/>
            </w:tcBorders>
          </w:tcPr>
          <w:p>
            <w:pPr>
              <w:ind w:left="840"/>
              <w:spacing w:after="0"/>
              <w:rPr>
                <w:sz w:val="20"/>
                <w:szCs w:val="20"/>
                <w:color w:val="auto"/>
              </w:rPr>
            </w:pPr>
            <w:r>
              <w:rPr>
                <w:rFonts w:ascii="Arial" w:cs="Arial" w:eastAsia="Arial" w:hAnsi="Arial"/>
                <w:sz w:val="18"/>
                <w:szCs w:val="18"/>
                <w:b w:val="1"/>
                <w:bCs w:val="1"/>
                <w:color w:val="auto"/>
              </w:rPr>
              <w:t>Comparator</w:t>
            </w:r>
          </w:p>
        </w:tc>
        <w:tc>
          <w:tcPr>
            <w:tcW w:w="2120" w:type="dxa"/>
            <w:vAlign w:val="bottom"/>
            <w:tcBorders>
              <w:bottom w:val="single" w:sz="8" w:color="auto"/>
              <w:right w:val="single" w:sz="8" w:color="auto"/>
            </w:tcBorders>
          </w:tcPr>
          <w:p>
            <w:pPr>
              <w:ind w:left="280"/>
              <w:spacing w:after="0" w:line="264" w:lineRule="exact"/>
              <w:rPr>
                <w:sz w:val="20"/>
                <w:szCs w:val="20"/>
                <w:color w:val="auto"/>
              </w:rPr>
            </w:pPr>
            <w:r>
              <w:rPr>
                <w:rFonts w:ascii="Arial" w:cs="Arial" w:eastAsia="Arial" w:hAnsi="Arial"/>
                <w:sz w:val="18"/>
                <w:szCs w:val="18"/>
                <w:b w:val="1"/>
                <w:bCs w:val="1"/>
                <w:color w:val="auto"/>
              </w:rPr>
              <w:t>Most common AEs</w:t>
            </w:r>
            <w:r>
              <w:rPr>
                <w:rFonts w:ascii="Arial" w:cs="Arial" w:eastAsia="Arial" w:hAnsi="Arial"/>
                <w:sz w:val="25"/>
                <w:szCs w:val="25"/>
                <w:b w:val="1"/>
                <w:bCs w:val="1"/>
                <w:color w:val="auto"/>
                <w:vertAlign w:val="superscript"/>
              </w:rPr>
              <w:t>a</w:t>
            </w: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OPTIONS II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High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36% - 51% reduction</w:t>
            </w:r>
          </w:p>
        </w:tc>
        <w:tc>
          <w:tcPr>
            <w:tcW w:w="266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w w:val="93"/>
              </w:rPr>
              <w:t>• 11% -14% reduction (ezetimibe)</w:t>
            </w:r>
            <w:r>
              <w:rPr>
                <w:rFonts w:ascii="Arial" w:cs="Arial" w:eastAsia="Arial" w:hAnsi="Arial"/>
                <w:sz w:val="25"/>
                <w:szCs w:val="25"/>
                <w:color w:val="auto"/>
                <w:w w:val="93"/>
                <w:vertAlign w:val="superscript"/>
              </w:rPr>
              <w:t>g</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 upper</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w w:val="96"/>
              </w:rPr>
              <w:t>[Baseline statin = rosuvastatin 10/20</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5"/>
                <w:szCs w:val="15"/>
                <w:color w:val="auto"/>
              </w:rPr>
              <w:t>• 16% reduction (statin switch)</w:t>
            </w:r>
            <w:r>
              <w:rPr>
                <w:rFonts w:ascii="Arial" w:cs="Arial" w:eastAsia="Arial" w:hAnsi="Arial"/>
                <w:sz w:val="20"/>
                <w:szCs w:val="20"/>
                <w:color w:val="auto"/>
                <w:vertAlign w:val="superscript"/>
              </w:rPr>
              <w:t>g</w:t>
            </w: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rPr>
              <w:t>respiratory tract infection,</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mg]</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hypertension, back pain</w:t>
            </w:r>
          </w:p>
        </w:tc>
        <w:tc>
          <w:tcPr>
            <w:tcW w:w="0" w:type="dxa"/>
            <w:vAlign w:val="bottom"/>
          </w:tcPr>
          <w:p>
            <w:pPr>
              <w:spacing w:after="0"/>
              <w:rPr>
                <w:sz w:val="1"/>
                <w:szCs w:val="1"/>
                <w:color w:val="auto"/>
              </w:rPr>
            </w:pPr>
          </w:p>
        </w:tc>
      </w:tr>
      <w:tr>
        <w:trPr>
          <w:trHeight w:val="88"/>
        </w:trPr>
        <w:tc>
          <w:tcPr>
            <w:tcW w:w="22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i w:val="1"/>
                <w:iCs w:val="1"/>
                <w:color w:val="auto"/>
              </w:rPr>
              <w:t>Praluent (n =103) vs. ezetimibe (n</w:t>
            </w:r>
          </w:p>
        </w:tc>
        <w:tc>
          <w:tcPr>
            <w:tcW w:w="212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240" w:type="dxa"/>
            <w:vAlign w:val="bottom"/>
            <w:tcBorders>
              <w:left w:val="single" w:sz="8" w:color="auto"/>
              <w:right w:val="single" w:sz="8" w:color="auto"/>
            </w:tcBorders>
            <w:vMerge w:val="continue"/>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=101) or double rosuvastatin (n</w:t>
            </w:r>
          </w:p>
        </w:tc>
        <w:tc>
          <w:tcPr>
            <w:tcW w:w="212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=101)</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 / 150 mg dose</w:t>
            </w:r>
          </w:p>
        </w:tc>
        <w:tc>
          <w:tcPr>
            <w:tcW w:w="2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ALTERNATIVE</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High CV risk and history of</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45% reduction</w:t>
            </w:r>
          </w:p>
        </w:tc>
        <w:tc>
          <w:tcPr>
            <w:tcW w:w="266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15% reduction (ezetimibe)</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Myalgia, nasopharyngitis,</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=126) vs. ezetimibe (n</w:t>
            </w: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8"/>
              </w:rPr>
              <w:t>intolerance to two or more</w:t>
            </w: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3"/>
              </w:rPr>
              <w:t>arthralgia, upper respiratory</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=125)</w:t>
            </w: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statins</w:t>
            </w: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 headache,</w:t>
            </w:r>
          </w:p>
        </w:tc>
        <w:tc>
          <w:tcPr>
            <w:tcW w:w="0" w:type="dxa"/>
            <w:vAlign w:val="bottom"/>
          </w:tcPr>
          <w:p>
            <w:pPr>
              <w:spacing w:after="0"/>
              <w:rPr>
                <w:sz w:val="1"/>
                <w:szCs w:val="1"/>
                <w:color w:val="auto"/>
              </w:rPr>
            </w:pPr>
          </w:p>
        </w:tc>
      </w:tr>
      <w:tr>
        <w:trPr>
          <w:trHeight w:val="73"/>
        </w:trPr>
        <w:tc>
          <w:tcPr>
            <w:tcW w:w="2240" w:type="dxa"/>
            <w:vAlign w:val="bottom"/>
            <w:tcBorders>
              <w:left w:val="single" w:sz="8" w:color="auto"/>
              <w:right w:val="single" w:sz="8" w:color="auto"/>
            </w:tcBorders>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1980" w:type="dxa"/>
            <w:vAlign w:val="bottom"/>
            <w:tcBorders>
              <w:right w:val="single" w:sz="8" w:color="auto"/>
            </w:tcBorders>
          </w:tcPr>
          <w:p>
            <w:pPr>
              <w:spacing w:after="0"/>
              <w:rPr>
                <w:sz w:val="6"/>
                <w:szCs w:val="6"/>
                <w:color w:val="auto"/>
              </w:rPr>
            </w:pPr>
          </w:p>
        </w:tc>
        <w:tc>
          <w:tcPr>
            <w:tcW w:w="2660" w:type="dxa"/>
            <w:vAlign w:val="bottom"/>
            <w:tcBorders>
              <w:right w:val="single" w:sz="8" w:color="auto"/>
            </w:tcBorders>
          </w:tcPr>
          <w:p>
            <w:pPr>
              <w:spacing w:after="0"/>
              <w:rPr>
                <w:sz w:val="6"/>
                <w:szCs w:val="6"/>
                <w:color w:val="auto"/>
              </w:rPr>
            </w:pPr>
          </w:p>
        </w:tc>
        <w:tc>
          <w:tcPr>
            <w:tcW w:w="21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[Validation arm = atorvastatin 20</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fatigue</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mg (n =63)]</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 / 150 mg dose</w:t>
            </w:r>
          </w:p>
        </w:tc>
        <w:tc>
          <w:tcPr>
            <w:tcW w:w="2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HIGH FH</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46% reduction</w:t>
            </w:r>
          </w:p>
        </w:tc>
        <w:tc>
          <w:tcPr>
            <w:tcW w:w="266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7% reduction (placebo)</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Nasopharyngitis, injection-</w:t>
            </w:r>
          </w:p>
        </w:tc>
        <w:tc>
          <w:tcPr>
            <w:tcW w:w="0" w:type="dxa"/>
            <w:vAlign w:val="bottom"/>
          </w:tcPr>
          <w:p>
            <w:pPr>
              <w:spacing w:after="0"/>
              <w:rPr>
                <w:sz w:val="1"/>
                <w:szCs w:val="1"/>
                <w:color w:val="auto"/>
              </w:rPr>
            </w:pPr>
          </w:p>
        </w:tc>
      </w:tr>
      <w:tr>
        <w:trPr>
          <w:trHeight w:val="220"/>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w w:val="97"/>
              </w:rPr>
              <w:t>Praluent (n =72) vs. placebo (n =35)</w:t>
            </w:r>
          </w:p>
        </w:tc>
        <w:tc>
          <w:tcPr>
            <w:tcW w:w="212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c>
          <w:tcPr>
            <w:tcW w:w="26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site reaction, diarrhea,</w:t>
            </w:r>
          </w:p>
        </w:tc>
        <w:tc>
          <w:tcPr>
            <w:tcW w:w="0" w:type="dxa"/>
            <w:vAlign w:val="bottom"/>
          </w:tcPr>
          <w:p>
            <w:pPr>
              <w:spacing w:after="0"/>
              <w:rPr>
                <w:sz w:val="1"/>
                <w:szCs w:val="1"/>
                <w:color w:val="auto"/>
              </w:rPr>
            </w:pPr>
          </w:p>
        </w:tc>
      </w:tr>
      <w:tr>
        <w:trPr>
          <w:trHeight w:val="217"/>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150 mg dose</w:t>
            </w:r>
          </w:p>
        </w:tc>
        <w:tc>
          <w:tcPr>
            <w:tcW w:w="2120" w:type="dxa"/>
            <w:vAlign w:val="bottom"/>
            <w:tcBorders>
              <w:right w:val="single" w:sz="8" w:color="auto"/>
            </w:tcBorders>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c>
          <w:tcPr>
            <w:tcW w:w="266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sinusitis, bronchitis,</w:t>
            </w:r>
          </w:p>
        </w:tc>
        <w:tc>
          <w:tcPr>
            <w:tcW w:w="0" w:type="dxa"/>
            <w:vAlign w:val="bottom"/>
          </w:tcPr>
          <w:p>
            <w:pPr>
              <w:spacing w:after="0"/>
              <w:rPr>
                <w:sz w:val="1"/>
                <w:szCs w:val="1"/>
                <w:color w:val="auto"/>
              </w:rPr>
            </w:pPr>
          </w:p>
        </w:tc>
      </w:tr>
      <w:tr>
        <w:trPr>
          <w:trHeight w:val="230"/>
        </w:trPr>
        <w:tc>
          <w:tcPr>
            <w:tcW w:w="224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6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headache, fatigue</w:t>
            </w:r>
          </w:p>
        </w:tc>
        <w:tc>
          <w:tcPr>
            <w:tcW w:w="0" w:type="dxa"/>
            <w:vAlign w:val="bottom"/>
          </w:tcPr>
          <w:p>
            <w:pPr>
              <w:spacing w:after="0"/>
              <w:rPr>
                <w:sz w:val="1"/>
                <w:szCs w:val="1"/>
                <w:color w:val="auto"/>
              </w:rPr>
            </w:pPr>
          </w:p>
        </w:tc>
      </w:tr>
      <w:tr>
        <w:trPr>
          <w:trHeight w:val="26"/>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FH 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reduction</w:t>
            </w:r>
          </w:p>
        </w:tc>
        <w:tc>
          <w:tcPr>
            <w:tcW w:w="2660" w:type="dxa"/>
            <w:vAlign w:val="bottom"/>
            <w:tcBorders>
              <w:right w:val="single" w:sz="8" w:color="auto"/>
            </w:tcBorders>
          </w:tcPr>
          <w:p>
            <w:pPr>
              <w:ind w:left="20"/>
              <w:spacing w:after="0" w:line="217" w:lineRule="exact"/>
              <w:rPr>
                <w:sz w:val="20"/>
                <w:szCs w:val="20"/>
                <w:color w:val="auto"/>
              </w:rPr>
            </w:pPr>
            <w:r>
              <w:rPr>
                <w:rFonts w:ascii="Arial" w:cs="Arial" w:eastAsia="Arial" w:hAnsi="Arial"/>
                <w:sz w:val="18"/>
                <w:szCs w:val="18"/>
                <w:color w:val="auto"/>
              </w:rPr>
              <w:t>9% increase (placebo)</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Injection site reactions,</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=323) vs. placebo (n</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6"/>
              </w:rPr>
              <w:t>nasopharyngitis, influenza,</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=163)</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headache</w:t>
            </w:r>
          </w:p>
        </w:tc>
        <w:tc>
          <w:tcPr>
            <w:tcW w:w="0" w:type="dxa"/>
            <w:vAlign w:val="bottom"/>
          </w:tcPr>
          <w:p>
            <w:pPr>
              <w:spacing w:after="0"/>
              <w:rPr>
                <w:sz w:val="1"/>
                <w:szCs w:val="1"/>
                <w:color w:val="auto"/>
              </w:rPr>
            </w:pPr>
          </w:p>
        </w:tc>
      </w:tr>
      <w:tr>
        <w:trPr>
          <w:trHeight w:val="88"/>
        </w:trPr>
        <w:tc>
          <w:tcPr>
            <w:tcW w:w="2240" w:type="dxa"/>
            <w:vAlign w:val="bottom"/>
            <w:tcBorders>
              <w:left w:val="single" w:sz="8" w:color="auto"/>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 / 150 mg dose</w:t>
            </w:r>
          </w:p>
        </w:tc>
        <w:tc>
          <w:tcPr>
            <w:tcW w:w="2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2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FH II</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HeFH</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49% reduction</w:t>
            </w:r>
          </w:p>
        </w:tc>
        <w:tc>
          <w:tcPr>
            <w:tcW w:w="266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3% increase (placebo)</w:t>
            </w:r>
            <w:r>
              <w:rPr>
                <w:rFonts w:ascii="Arial" w:cs="Arial" w:eastAsia="Arial" w:hAnsi="Arial"/>
                <w:sz w:val="25"/>
                <w:szCs w:val="25"/>
                <w:color w:val="auto"/>
                <w:vertAlign w:val="superscript"/>
              </w:rPr>
              <w:t>b</w:t>
            </w:r>
          </w:p>
        </w:tc>
        <w:tc>
          <w:tcPr>
            <w:tcW w:w="2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2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i w:val="1"/>
                <w:iCs w:val="1"/>
                <w:color w:val="auto"/>
              </w:rPr>
              <w:t>Praluent (n =167) vs. placebo (n</w:t>
            </w:r>
          </w:p>
        </w:tc>
        <w:tc>
          <w:tcPr>
            <w:tcW w:w="212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2660" w:type="dxa"/>
            <w:vAlign w:val="bottom"/>
            <w:tcBorders>
              <w:right w:val="single" w:sz="8" w:color="auto"/>
            </w:tcBorders>
          </w:tcPr>
          <w:p>
            <w:pPr>
              <w:spacing w:after="0"/>
              <w:rPr>
                <w:sz w:val="12"/>
                <w:szCs w:val="12"/>
                <w:color w:val="auto"/>
              </w:rPr>
            </w:pPr>
          </w:p>
        </w:tc>
        <w:tc>
          <w:tcPr>
            <w:tcW w:w="2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=82)</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 / 150 mg dose</w:t>
            </w:r>
          </w:p>
        </w:tc>
        <w:tc>
          <w:tcPr>
            <w:tcW w:w="212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c>
          <w:tcPr>
            <w:tcW w:w="2660" w:type="dxa"/>
            <w:vAlign w:val="bottom"/>
            <w:tcBorders>
              <w:bottom w:val="single" w:sz="8" w:color="auto"/>
              <w:right w:val="single" w:sz="8" w:color="auto"/>
            </w:tcBorders>
          </w:tcPr>
          <w:p>
            <w:pPr>
              <w:spacing w:after="0"/>
              <w:rPr>
                <w:sz w:val="24"/>
                <w:szCs w:val="24"/>
                <w:color w:val="auto"/>
              </w:rPr>
            </w:pPr>
          </w:p>
        </w:tc>
        <w:tc>
          <w:tcPr>
            <w:tcW w:w="2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MONO</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Moderate CV risk</w:t>
            </w:r>
          </w:p>
        </w:tc>
        <w:tc>
          <w:tcPr>
            <w:tcW w:w="19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reduction</w:t>
            </w:r>
          </w:p>
        </w:tc>
        <w:tc>
          <w:tcPr>
            <w:tcW w:w="2660" w:type="dxa"/>
            <w:vAlign w:val="bottom"/>
            <w:tcBorders>
              <w:right w:val="single" w:sz="8" w:color="auto"/>
            </w:tcBorders>
          </w:tcPr>
          <w:p>
            <w:pPr>
              <w:ind w:left="20"/>
              <w:spacing w:after="0" w:line="223" w:lineRule="exact"/>
              <w:rPr>
                <w:sz w:val="20"/>
                <w:szCs w:val="20"/>
                <w:color w:val="auto"/>
              </w:rPr>
            </w:pPr>
            <w:r>
              <w:rPr>
                <w:rFonts w:ascii="Arial" w:cs="Arial" w:eastAsia="Arial" w:hAnsi="Arial"/>
                <w:sz w:val="18"/>
                <w:szCs w:val="18"/>
                <w:color w:val="auto"/>
              </w:rPr>
              <w:t>16% reduction (ezetimibe)</w:t>
            </w:r>
            <w:r>
              <w:rPr>
                <w:rFonts w:ascii="Arial" w:cs="Arial" w:eastAsia="Arial" w:hAnsi="Arial"/>
                <w:sz w:val="25"/>
                <w:szCs w:val="25"/>
                <w:color w:val="auto"/>
                <w:vertAlign w:val="superscript"/>
              </w:rPr>
              <w:t>b</w:t>
            </w:r>
          </w:p>
        </w:tc>
        <w:tc>
          <w:tcPr>
            <w:tcW w:w="2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Nasopharyngitis,</w:t>
            </w:r>
          </w:p>
        </w:tc>
        <w:tc>
          <w:tcPr>
            <w:tcW w:w="0" w:type="dxa"/>
            <w:vAlign w:val="bottom"/>
          </w:tcPr>
          <w:p>
            <w:pPr>
              <w:spacing w:after="0"/>
              <w:rPr>
                <w:sz w:val="1"/>
                <w:szCs w:val="1"/>
                <w:color w:val="auto"/>
              </w:rPr>
            </w:pPr>
          </w:p>
        </w:tc>
      </w:tr>
      <w:tr>
        <w:trPr>
          <w:trHeight w:val="181"/>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Praluent (n =52) vs. ezetimibe (n</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tcPr>
          <w:p>
            <w:pPr>
              <w:ind w:left="20"/>
              <w:spacing w:after="0" w:line="181" w:lineRule="exact"/>
              <w:rPr>
                <w:sz w:val="20"/>
                <w:szCs w:val="20"/>
                <w:color w:val="auto"/>
              </w:rPr>
            </w:pPr>
            <w:r>
              <w:rPr>
                <w:rFonts w:ascii="Arial" w:cs="Arial" w:eastAsia="Arial" w:hAnsi="Arial"/>
                <w:sz w:val="18"/>
                <w:szCs w:val="18"/>
                <w:color w:val="auto"/>
                <w:w w:val="94"/>
              </w:rPr>
              <w:t>influenza, upper respiratory</w:t>
            </w: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=51)</w:t>
            </w:r>
          </w:p>
        </w:tc>
        <w:tc>
          <w:tcPr>
            <w:tcW w:w="212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spacing w:after="0"/>
              <w:rPr>
                <w:sz w:val="15"/>
                <w:szCs w:val="15"/>
                <w:color w:val="auto"/>
              </w:rPr>
            </w:pPr>
          </w:p>
        </w:tc>
        <w:tc>
          <w:tcPr>
            <w:tcW w:w="2660" w:type="dxa"/>
            <w:vAlign w:val="bottom"/>
            <w:tcBorders>
              <w:right w:val="single" w:sz="8" w:color="auto"/>
            </w:tcBorders>
          </w:tcPr>
          <w:p>
            <w:pPr>
              <w:spacing w:after="0"/>
              <w:rPr>
                <w:sz w:val="15"/>
                <w:szCs w:val="15"/>
                <w:color w:val="auto"/>
              </w:rPr>
            </w:pPr>
          </w:p>
        </w:tc>
        <w:tc>
          <w:tcPr>
            <w:tcW w:w="2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tract infection</w:t>
            </w:r>
          </w:p>
        </w:tc>
        <w:tc>
          <w:tcPr>
            <w:tcW w:w="0" w:type="dxa"/>
            <w:vAlign w:val="bottom"/>
          </w:tcPr>
          <w:p>
            <w:pPr>
              <w:spacing w:after="0"/>
              <w:rPr>
                <w:sz w:val="1"/>
                <w:szCs w:val="1"/>
                <w:color w:val="auto"/>
              </w:rPr>
            </w:pPr>
          </w:p>
        </w:tc>
      </w:tr>
      <w:tr>
        <w:trPr>
          <w:trHeight w:val="88"/>
        </w:trPr>
        <w:tc>
          <w:tcPr>
            <w:tcW w:w="2240" w:type="dxa"/>
            <w:vAlign w:val="bottom"/>
            <w:tcBorders>
              <w:left w:val="single" w:sz="8" w:color="auto"/>
              <w:right w:val="single" w:sz="8" w:color="auto"/>
            </w:tcBorders>
          </w:tcPr>
          <w:p>
            <w:pPr>
              <w:spacing w:after="0"/>
              <w:rPr>
                <w:sz w:val="7"/>
                <w:szCs w:val="7"/>
                <w:color w:val="auto"/>
              </w:rPr>
            </w:pPr>
          </w:p>
        </w:tc>
        <w:tc>
          <w:tcPr>
            <w:tcW w:w="212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tcPr>
          <w:p>
            <w:pPr>
              <w:spacing w:after="0"/>
              <w:rPr>
                <w:sz w:val="7"/>
                <w:szCs w:val="7"/>
                <w:color w:val="auto"/>
              </w:rPr>
            </w:pPr>
          </w:p>
        </w:tc>
        <w:tc>
          <w:tcPr>
            <w:tcW w:w="2660" w:type="dxa"/>
            <w:vAlign w:val="bottom"/>
            <w:tcBorders>
              <w:right w:val="single" w:sz="8" w:color="auto"/>
            </w:tcBorders>
          </w:tcPr>
          <w:p>
            <w:pPr>
              <w:spacing w:after="0"/>
              <w:rPr>
                <w:sz w:val="7"/>
                <w:szCs w:val="7"/>
                <w:color w:val="auto"/>
              </w:rPr>
            </w:pPr>
          </w:p>
        </w:tc>
        <w:tc>
          <w:tcPr>
            <w:tcW w:w="2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i w:val="1"/>
                <w:iCs w:val="1"/>
                <w:color w:val="auto"/>
              </w:rPr>
              <w:t>75 mg/150 mg dose</w:t>
            </w:r>
          </w:p>
        </w:tc>
        <w:tc>
          <w:tcPr>
            <w:tcW w:w="212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right w:val="single" w:sz="8" w:color="auto"/>
            </w:tcBorders>
          </w:tcPr>
          <w:p>
            <w:pPr>
              <w:spacing w:after="0"/>
              <w:rPr>
                <w:sz w:val="21"/>
                <w:szCs w:val="21"/>
                <w:color w:val="auto"/>
              </w:rPr>
            </w:pPr>
          </w:p>
        </w:tc>
        <w:tc>
          <w:tcPr>
            <w:tcW w:w="2660" w:type="dxa"/>
            <w:vAlign w:val="bottom"/>
            <w:tcBorders>
              <w:bottom w:val="single" w:sz="8" w:color="auto"/>
              <w:right w:val="single" w:sz="8" w:color="auto"/>
            </w:tcBorders>
          </w:tcPr>
          <w:p>
            <w:pPr>
              <w:spacing w:after="0"/>
              <w:rPr>
                <w:sz w:val="21"/>
                <w:szCs w:val="21"/>
                <w:color w:val="auto"/>
              </w:rPr>
            </w:pPr>
          </w:p>
        </w:tc>
        <w:tc>
          <w:tcPr>
            <w:tcW w:w="21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Occurred in at least 5% of Praluent-treated patients. Rare allergic reactions have also been reported.</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p&lt;0.0001</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95% confidence interval of the least squares (LS) mean difference vs. placebo: 57.5% - 69% reduction</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95% confidence interval of the LS mean difference vs. placebo: 59% - 64% reduction</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45 patients on atorvastatin 40 mg starting dose switched to rosuvastatin 40 mg</w:t>
      </w:r>
    </w:p>
    <w:p>
      <w:pPr>
        <w:spacing w:after="0" w:line="95" w:lineRule="exact"/>
        <w:rPr>
          <w:rFonts w:ascii="Arial" w:cs="Arial" w:eastAsia="Arial" w:hAnsi="Arial"/>
          <w:sz w:val="14"/>
          <w:szCs w:val="14"/>
          <w:color w:val="auto"/>
        </w:rPr>
      </w:pPr>
    </w:p>
    <w:p>
      <w:pPr>
        <w:ind w:left="740" w:hanging="327"/>
        <w:spacing w:after="0"/>
        <w:tabs>
          <w:tab w:leader="none" w:pos="74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patients on atorvastatin 20 mg starting dose p=0.0004; for patients on atorvastatin 40 mg starting dose p&lt;0.0001</w:t>
      </w:r>
    </w:p>
    <w:p>
      <w:pPr>
        <w:spacing w:after="0" w:line="95" w:lineRule="exact"/>
        <w:rPr>
          <w:rFonts w:ascii="Arial" w:cs="Arial" w:eastAsia="Arial" w:hAnsi="Arial"/>
          <w:sz w:val="14"/>
          <w:szCs w:val="14"/>
          <w:color w:val="auto"/>
        </w:rPr>
      </w:pPr>
    </w:p>
    <w:p>
      <w:pPr>
        <w:ind w:left="760" w:hanging="347"/>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patients on rosuvastatin 10 mg starting dose p&lt;0.0001; patients on rosuvastatin 20 mg starting dose did not reach statistical significance</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ODYSSEY ALTERNATIVE trial reassessed statin intolerance, as measured by skeletal muscle AEs, by including a validation arm (atorvastatin 20 mg). Although the trial was not designed to demonstrate differences in AEs between treatment groups, in this trial, there were fewer skeletal muscle AEs in the Praluent group compared to patients treated with atorvastatin (32.5% versus 46%, hazard ratio = 0.61; nominal p value = 0.042), and fewer compared to ezetimibe (41%). In addition, there were numerically fewer discontinuations for skeletal muscle AEs in the Praluent group (Praluent 16%, ezetimibe 20%, atorvastatin 22%). In comparison, the overall rate of discontinuations for skeletal muscle AEs across the Phase 2 and 3 Praluent placebo-controlled studies, where the majority of patients were also on statins, was 0.4% for Praluent (n =2,476) and 0.5% for placebo (n = 1,276).</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January 2015, we and Sanofi announced that the ODYSSEY CHOICE I and ODYSSEY CHOICE II studies met their primary efficacy endpoints. The trials compared the reduction from baseline in LDL-C at 24 weeks with Praluent versus placebo in patients with hypercholesterolemia. In these trials dosing every four weeks, the mean percent reduction in LDL-C from baseline was</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consistent with that seen in previous Phase 3 trials evaluating Praluent in every other week dosing. The most common AEs in the trials (occurring in at least 5% of Praluent-treated patients) were injection site reactions, headache, upper respiratory tract infection, arthralgia, nausea, sinusitis, pain in extremity, and fatigue. Injection site reactions occurred more frequently in the Praluent groups compared to placebo. Detailed data were presented at the American College of Cardiology (ACC) conference in March 2015.</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March 2015, 18-month (78-week) results of the ODYSSEY LONG TERM Phase 3 trial of Praluent were published online in </w:t>
      </w:r>
      <w:r>
        <w:rPr>
          <w:rFonts w:ascii="Arial" w:cs="Arial" w:eastAsia="Arial" w:hAnsi="Arial"/>
          <w:sz w:val="17"/>
          <w:szCs w:val="17"/>
          <w:i w:val="1"/>
          <w:iCs w:val="1"/>
          <w:color w:val="auto"/>
        </w:rPr>
        <w:t>The New England Journal</w:t>
      </w:r>
      <w:r>
        <w:rPr>
          <w:rFonts w:ascii="Arial" w:cs="Arial" w:eastAsia="Arial" w:hAnsi="Arial"/>
          <w:sz w:val="17"/>
          <w:szCs w:val="17"/>
          <w:color w:val="auto"/>
        </w:rPr>
        <w:t xml:space="preserve"> </w:t>
      </w:r>
      <w:r>
        <w:rPr>
          <w:rFonts w:ascii="Arial" w:cs="Arial" w:eastAsia="Arial" w:hAnsi="Arial"/>
          <w:sz w:val="17"/>
          <w:szCs w:val="17"/>
          <w:i w:val="1"/>
          <w:iCs w:val="1"/>
          <w:color w:val="auto"/>
        </w:rPr>
        <w:t>of Medicine</w:t>
      </w:r>
      <w:r>
        <w:rPr>
          <w:rFonts w:ascii="Arial" w:cs="Arial" w:eastAsia="Arial" w:hAnsi="Arial"/>
          <w:sz w:val="17"/>
          <w:szCs w:val="17"/>
          <w:color w:val="auto"/>
        </w:rPr>
        <w:t>. In the ODYSSEY LONG TERM trial, Praluent 150 mg every two weeks reduced LDL-C by an additional 62% at week 24 when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placebo, with consistent LDL-C lowering maintained over 78 weeks. Patients received 78 weeks of treatment followed by an eight-week safety assessment. Patients self-administered a subcutaneous injection every two weeks via a pre-filled syringe. Key results included:</w:t>
      </w:r>
    </w:p>
    <w:p>
      <w:pPr>
        <w:spacing w:after="0" w:line="90" w:lineRule="exact"/>
        <w:rPr>
          <w:sz w:val="20"/>
          <w:szCs w:val="20"/>
          <w:color w:val="auto"/>
        </w:rPr>
      </w:pPr>
    </w:p>
    <w:p>
      <w:pPr>
        <w:ind w:left="660" w:right="27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Efficacy remained consistent throughout treatment, and, at week 78 there was a 56% reduction from baseline in LDL-C for Praluent versus placebo (p&lt;0.001).</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week 24, 81% of patients in the Praluent group achieved their pre-specified LDL-C goal (either 70 mg/dL or 100 mg/dL depending on baseline CV risk) compared to 8.5% for placebo (p&lt;0.001).</w:t>
      </w:r>
    </w:p>
    <w:p>
      <w:pPr>
        <w:jc w:val="both"/>
        <w:ind w:left="660" w:hanging="328"/>
        <w:spacing w:after="0" w:line="26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AEs occurred in 81% of Praluent and 83% of placebo patients, leading to discontinuation in 7.2% and 5.8% of patients, respectively. AEs were similar between groups, apart from differences in injection site reactions (5.9% Praluent, 4.2% placebo), myalgia (5.4% Praluent, 2.9% placebo), neurocognitive events (1.2% Praluent, 0.5% placebo), and ophthalmological events (2.9% Praluent, 1.9% placebo). In a 3,752-patient, pooled safety analysis of nine placebo-controlled Praluent studies, rates of skeletal muscle-related (15.1% Praluent, 15.4% placebo) and neurocognitive events (0.8% Praluent, 0.7% placebo) were generally balanced between Praluent and placebo.</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 week 78, positively adjudicated pre-specified CV AEs (including additional CV AEs beyond those in the</w:t>
      </w:r>
    </w:p>
    <w:p>
      <w:pPr>
        <w:spacing w:after="0" w:line="9" w:lineRule="exact"/>
        <w:rPr>
          <w:rFonts w:ascii="Arial" w:cs="Arial" w:eastAsia="Arial" w:hAnsi="Arial"/>
          <w:sz w:val="18"/>
          <w:szCs w:val="18"/>
          <w:color w:val="auto"/>
        </w:rPr>
      </w:pPr>
    </w:p>
    <w:p>
      <w:pPr>
        <w:jc w:val="both"/>
        <w:ind w:left="660"/>
        <w:spacing w:after="0" w:line="250" w:lineRule="auto"/>
        <w:rPr>
          <w:rFonts w:ascii="Arial" w:cs="Arial" w:eastAsia="Arial" w:hAnsi="Arial"/>
          <w:sz w:val="18"/>
          <w:szCs w:val="18"/>
          <w:color w:val="auto"/>
        </w:rPr>
      </w:pPr>
      <w:r>
        <w:rPr>
          <w:rFonts w:ascii="Arial" w:cs="Arial" w:eastAsia="Arial" w:hAnsi="Arial"/>
          <w:sz w:val="18"/>
          <w:szCs w:val="18"/>
          <w:color w:val="auto"/>
        </w:rPr>
        <w:t>pre-specified ODYSSEY OUTCOMES endpoint of 'major adverse cardiac events' described below) occurred in 4.6% and 5.1% of Praluent and placebo patients, respectively. CV AEs are defined as CHD death including unknown cause, non-fatal myocardial infarction (MI), fatal and non-fatal ischemic stroke, unstable angina requiring hospitalization, congestive heart failure requiring hospitalization and ischemia-driven coronary revascularization procedure.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post hoc analysis using a pre-specified endpoint from the ODYSSEY OUTCOMES study that included CHD death, MI, stroke, or unstable angina requiring hospitalization, a lower rate of adjudicated major adverse cardiac events was observed in the Praluent group (27 of 1,550 patients, 1.7%) compared with the placebo group (26 of 788 patients, 3.3%; hazard ratio 0.52; 95% percent confidence interval (CI), 0.31 to 0.90; nominal p&lt;0.01). The cumulative incidence curves diverged progressively over time.</w:t>
      </w:r>
    </w:p>
    <w:p>
      <w:pPr>
        <w:spacing w:after="0" w:line="1"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ODYSSEY LONG TERM was not designed to evaluate CV outcomes. The number of CV events seen in the post hoc analysis was relatively small, which limits the ability to draw conclusions on the effects of Praluent on CV events. The ongoing ODYSSEY OUTCOMES trial will evaluate the CV benefits of Praluent.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SARIL-RA-MOBILITY Trial</w:t>
      </w:r>
      <w:r>
        <w:rPr>
          <w:rFonts w:ascii="Arial" w:cs="Arial" w:eastAsia="Arial" w:hAnsi="Arial"/>
          <w:sz w:val="18"/>
          <w:szCs w:val="18"/>
          <w:color w:val="auto"/>
        </w:rPr>
        <w:t>. In 2013, we and Sanofi announced that in the SARIL-RA-MOBILITY Phase 3 clinical trial in adult patients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active RA who were inadequate responders to methotrexate (MTX) therapy, sarilumab treatment in combination with MTX improved disease signs and symptoms as well as physical function, and inhibited progression of joint damage. The 52 week SARIL-RA-MOBILITY Phase 3 trial enrolled approximately 1,200 patients with active, moderate-to-severe rheumatoid arthritis, and who were inadequate responders to MTX therapy. Patients were randomized to one of three subcutaneous treatment groups, all in combination with MTX and dosed every other week: sarilumab 200 mg, sarilumab 150 mg, or placebo. Both sarilumab groups showed clinically relevant and statistically significant improvements compared to the placebo group in all three co-primary endpoints (p&lt;0.0001).</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Additional Phase 3 Studies</w:t>
      </w:r>
      <w:r>
        <w:rPr>
          <w:rFonts w:ascii="Arial" w:cs="Arial" w:eastAsia="Arial" w:hAnsi="Arial"/>
          <w:sz w:val="18"/>
          <w:szCs w:val="18"/>
          <w:color w:val="auto"/>
        </w:rPr>
        <w:t>. We and Sanofi have also initiated additional Phase 3 studies, SARIL-RA-TARGET, SARIL-RA-ASCERTAIN, SARIL-RA-ONE, SARIL-RA-MONARCH, SARIL-RA-EASY, and SARIL-RA-KAKEHASI (in Japan). In addition, the SARIL-RA-HARUKA long-term safety trial was initiated in Japan in the first quarter of 2015. SARIL-RA-TARGET, SARIL-RA-ASCERTAIN, SARIL-RA-ONE, and SARIL-RA-EASY are fully enrolled. The broad SARIL-RA clinical development program is focused on adult populations with moderate-to-severe RA who are inadequate responders to either MTX or tumor necrosis factor alpha (TNF-alpha) inhibitor therapy. Patients who complete SARIL-RA-MOBILITY, SARIL-RA-TARGET, SARIL-RA-ASCERTAIN, or SARIL-RA-ONE are offered enrollment into the ongoing SARIL-RA-EXTEND, which is an open-label, long-term safety study of sarilumab.</w:t>
      </w:r>
    </w:p>
    <w:p>
      <w:pPr>
        <w:sectPr>
          <w:pgSz w:w="11900" w:h="16838" w:orient="portrait"/>
          <w:cols w:equalWidth="0" w:num="1">
            <w:col w:w="11420"/>
          </w:cols>
          <w:pgMar w:left="240" w:top="130"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A Phase 2 study, SARIL-NIU-SATURN, was initiated in 2013 and is a placebo-controlled proof-of-concept study</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evaluating the safety and efficacy of sarilumab in non-infectious uveitis.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chronic sinusitis with nasal polyposis, and eosinophilic esophagitis. Dupilumab is a fully human monoclonal antibody generated using our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that is designed to bind to IL-4R alpha subunit and block signaling from both IL-4 and IL-13.</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i w:val="1"/>
          <w:iCs w:val="1"/>
          <w:color w:val="auto"/>
        </w:rPr>
        <w:t>Phase 2b Trial</w:t>
      </w:r>
      <w:r>
        <w:rPr>
          <w:rFonts w:ascii="Arial" w:cs="Arial" w:eastAsia="Arial" w:hAnsi="Arial"/>
          <w:sz w:val="17"/>
          <w:szCs w:val="17"/>
          <w:color w:val="auto"/>
        </w:rPr>
        <w:t>. In July 2014, we and Sanofi announced positive results from a Phase 2b dose-ranging study of dupilumab in adult patients with moderate-to-severe atopic dermatitis. All doses of dupilumab met the primary endpoint of a greater improvement in Eczema Severe Score Index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3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Dupilumab-treated patients showed highly statistically significant and dose-dependent improvements in additional key efficacy measures compared to placebo after 16 weeks of treatment:</w:t>
      </w:r>
    </w:p>
    <w:p>
      <w:pPr>
        <w:spacing w:after="0" w:line="224"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12% to 33% of dupilumab-treated patients achieved clearing or near-clearing of skin lesions, as measured by an Investigator's Global Assessment (IGA) score of 0 or 1, compared to 2% with placebo (p=0.02 to p&lt;0.0001).</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23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 corticosteroid and approximately 20% received a systemic non-steroid immunosuppressant for atopic dermatitis. Approximately 60% of patients had another allergic condition, including approximately 40% of patients who had a history of asthma. The follow-up period of the study is ongoing and patients will be followed for 16 weeks after treatment.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In the fourth quarter of 2014, four Phase 3 trials in atopic dermatitis, LIBERTY AD CHRONOS, LIBERTY AD SOLO 1, LIBERTY AD</w:t>
      </w:r>
      <w:r>
        <w:rPr>
          <w:rFonts w:ascii="Arial" w:cs="Arial" w:eastAsia="Arial" w:hAnsi="Arial"/>
          <w:sz w:val="18"/>
          <w:szCs w:val="18"/>
          <w:i w:val="1"/>
          <w:iCs w:val="1"/>
          <w:color w:val="auto"/>
        </w:rPr>
        <w:t xml:space="preserve"> </w:t>
      </w:r>
      <w:r>
        <w:rPr>
          <w:rFonts w:ascii="Arial" w:cs="Arial" w:eastAsia="Arial" w:hAnsi="Arial"/>
          <w:sz w:val="18"/>
          <w:szCs w:val="18"/>
          <w:color w:val="auto"/>
        </w:rPr>
        <w:t>SOLO 2, and LIBERTY AD Open label Extension, were initiated and are currently enrolling patients. LIBERTY AD CHRONOS is a randomized, double-blind, placebo-controlled, multi-national study with the primary objective of demonstrating the efficacy of dupilumab in adults with moderate-to-severe atopic dermatitis when administered concomitantly with topical corticosteroids through 16 weeks. Secondary objectives of the LIBERTY AD CHRONOS trial will evaluate the long-term safety and efficacy of dupilumab up to 52 weeks. The LIBERTY AD Phase 3 clinical program will consist of patients with moderate-to-severe atopic dermatitis at sites worldwide.</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November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and the determination that atopic dermatitis is a serious disease and preliminary clinical evidence indicates that the drug may demonstrate substantial improvement over existing therapies.</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2 Trial in Adolescents and Children</w:t>
      </w:r>
      <w:r>
        <w:rPr>
          <w:rFonts w:ascii="Arial" w:cs="Arial" w:eastAsia="Arial" w:hAnsi="Arial"/>
          <w:sz w:val="18"/>
          <w:szCs w:val="18"/>
          <w:color w:val="auto"/>
        </w:rPr>
        <w:t>. In March 2015, a Phase 2 pharmacokinetic and safety study in adolescents and children (6-17 years of age)</w:t>
      </w:r>
      <w:r>
        <w:rPr>
          <w:rFonts w:ascii="Arial" w:cs="Arial" w:eastAsia="Arial" w:hAnsi="Arial"/>
          <w:sz w:val="18"/>
          <w:szCs w:val="18"/>
          <w:i w:val="1"/>
          <w:iCs w:val="1"/>
          <w:color w:val="auto"/>
        </w:rPr>
        <w:t xml:space="preserve"> </w:t>
      </w:r>
      <w:r>
        <w:rPr>
          <w:rFonts w:ascii="Arial" w:cs="Arial" w:eastAsia="Arial" w:hAnsi="Arial"/>
          <w:sz w:val="18"/>
          <w:szCs w:val="18"/>
          <w:color w:val="auto"/>
        </w:rPr>
        <w:t>with moderate-to-severe atopic dermatitis was initiated.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Phase 2b Study</w:t>
      </w:r>
      <w:r>
        <w:rPr>
          <w:rFonts w:ascii="Arial" w:cs="Arial" w:eastAsia="Arial" w:hAnsi="Arial"/>
          <w:sz w:val="17"/>
          <w:szCs w:val="17"/>
          <w:color w:val="auto"/>
        </w:rPr>
        <w:t>. In 2014, we and Sanofi announced positive results from the interim analysis of a dose-ranging Phase 2b study of dupilumab in adult</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with uncontrolled persistent asthma. In the study, the three highest doses of dupilumab in combination with standard-of-care therapy met the primary endpoint of a statistically significant improvement from baseline in FEV</w:t>
      </w:r>
      <w:r>
        <w:rPr>
          <w:rFonts w:ascii="Arial" w:cs="Arial" w:eastAsia="Arial" w:hAnsi="Arial"/>
          <w:sz w:val="11"/>
          <w:szCs w:val="11"/>
          <w:color w:val="auto"/>
        </w:rPr>
        <w:t>1</w:t>
      </w:r>
      <w:r>
        <w:rPr>
          <w:rFonts w:ascii="Arial" w:cs="Arial" w:eastAsia="Arial" w:hAnsi="Arial"/>
          <w:sz w:val="17"/>
          <w:szCs w:val="17"/>
          <w:color w:val="auto"/>
        </w:rPr>
        <w:t xml:space="preserve"> at 12 weeks in patients with high blood eosinophils (greater than or equal to 300 cells/microliter), as compared to placebo in combination with standard-of-care therapy. In addition, two doses of dupilumab (200 mg every other week and 300 mg every other week) showed a statistically significant improvement in mean percent change in FEV</w:t>
      </w:r>
      <w:r>
        <w:rPr>
          <w:rFonts w:ascii="Arial" w:cs="Arial" w:eastAsia="Arial" w:hAnsi="Arial"/>
          <w:sz w:val="11"/>
          <w:szCs w:val="11"/>
          <w:color w:val="auto"/>
        </w:rPr>
        <w:t>1</w:t>
      </w:r>
      <w:r>
        <w:rPr>
          <w:rFonts w:ascii="Arial" w:cs="Arial" w:eastAsia="Arial" w:hAnsi="Arial"/>
          <w:sz w:val="17"/>
          <w:szCs w:val="17"/>
          <w:color w:val="auto"/>
        </w:rPr>
        <w:t>, as well as a reduction in severe exacerbations, in both the high eosinophils and overall study population. Key results included:</w:t>
      </w:r>
    </w:p>
    <w:p>
      <w:pPr>
        <w:spacing w:after="0" w:line="233" w:lineRule="exact"/>
        <w:rPr>
          <w:sz w:val="20"/>
          <w:szCs w:val="20"/>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high eosinophils patient group - mean improvements from baseline in FEV</w:t>
      </w:r>
      <w:r>
        <w:rPr>
          <w:rFonts w:ascii="Arial" w:cs="Arial" w:eastAsia="Arial" w:hAnsi="Arial"/>
          <w:sz w:val="12"/>
          <w:szCs w:val="12"/>
          <w:color w:val="auto"/>
        </w:rPr>
        <w:t>1</w:t>
      </w:r>
      <w:r>
        <w:rPr>
          <w:rFonts w:ascii="Arial" w:cs="Arial" w:eastAsia="Arial" w:hAnsi="Arial"/>
          <w:sz w:val="18"/>
          <w:szCs w:val="18"/>
          <w:color w:val="auto"/>
        </w:rPr>
        <w:t xml:space="preserve"> (and mean percent change in FEV</w:t>
      </w:r>
      <w:r>
        <w:rPr>
          <w:rFonts w:ascii="Arial" w:cs="Arial" w:eastAsia="Arial" w:hAnsi="Arial"/>
          <w:sz w:val="12"/>
          <w:szCs w:val="12"/>
          <w:color w:val="auto"/>
        </w:rPr>
        <w:t>1</w:t>
      </w:r>
      <w:r>
        <w:rPr>
          <w:rFonts w:ascii="Arial" w:cs="Arial" w:eastAsia="Arial" w:hAnsi="Arial"/>
          <w:sz w:val="18"/>
          <w:szCs w:val="18"/>
          <w:color w:val="auto"/>
        </w:rPr>
        <w:t>) at 12 weeks, the primary (and a secondary) endpoint of the study were: 390 ml (26%) dupilumab 300 mg every other week (Q2W); 430 ml (26%) dupilumab 200 mg Q2W; 180 ml (10%) placebo. (p&lt;0.01)</w:t>
      </w: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overall population - mean improvements from baseline in FEV</w:t>
      </w:r>
      <w:r>
        <w:rPr>
          <w:rFonts w:ascii="Arial" w:cs="Arial" w:eastAsia="Arial" w:hAnsi="Arial"/>
          <w:sz w:val="12"/>
          <w:szCs w:val="12"/>
          <w:color w:val="auto"/>
        </w:rPr>
        <w:t>1</w:t>
      </w:r>
      <w:r>
        <w:rPr>
          <w:rFonts w:ascii="Arial" w:cs="Arial" w:eastAsia="Arial" w:hAnsi="Arial"/>
          <w:sz w:val="18"/>
          <w:szCs w:val="18"/>
          <w:color w:val="auto"/>
        </w:rPr>
        <w:t xml:space="preserve"> at 12 weeks (and mean percent change in FEV</w:t>
      </w:r>
      <w:r>
        <w:rPr>
          <w:rFonts w:ascii="Arial" w:cs="Arial" w:eastAsia="Arial" w:hAnsi="Arial"/>
          <w:sz w:val="12"/>
          <w:szCs w:val="12"/>
          <w:color w:val="auto"/>
        </w:rPr>
        <w:t>1</w:t>
      </w:r>
      <w:r>
        <w:rPr>
          <w:rFonts w:ascii="Arial" w:cs="Arial" w:eastAsia="Arial" w:hAnsi="Arial"/>
          <w:sz w:val="18"/>
          <w:szCs w:val="18"/>
          <w:color w:val="auto"/>
        </w:rPr>
        <w:t>) were: 280 ml (18%) dupilumab 300 mg Q2W; 310 ml (18%) dupilumab 200 mg Q2W; 120 ml (6%) placebo. (p&lt;0.001)</w:t>
      </w:r>
    </w:p>
    <w:p>
      <w:pPr>
        <w:ind w:left="660" w:hanging="328"/>
        <w:spacing w:after="0" w:line="290"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both the high eosinophils patient group and overall patient group - dupilumab showed a reduction in adjusted annualized rate of severe exacerbations compared to placebo (64% to 75% reduction, p&lt;0.05 for high eosinophils group and p &lt; 0.01 for the overall population)</w:t>
      </w:r>
    </w:p>
    <w:p>
      <w:pPr>
        <w:spacing w:after="0" w:line="16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These results were based on a pre-specified interim analysis, which occurred when all patients had reached week 12 of the 24-week treatment period; the average treatment duration at the time of the analysis was 21.5 weeks. The final analyses on exacerbations and safety will occur at 24 weeks. The most common AE was injection site reaction, which was more frequent in the four dupilumab dose groups (13% to 25%) compared to placebo (12%). Other common AEs in the study included upper respiratory tract infection (10% to 13% dupilumab; 13% placebo), headache (5% to 10% dupilumab; 8% placebo), nasopharyngitis (3% to 10% dupilumab; 6% placebo) and bronchitis (5% to 8% dupilumab; 8% placebo). The incidence of infections was balanced across treatment groups (42% to 45% dupilumab; 46% placebo), as was the incidence of serious AEs (3% to 7% dupilumab; 5% placebo).</w:t>
      </w:r>
    </w:p>
    <w:p>
      <w:pPr>
        <w:spacing w:after="0" w:line="16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double-blind, placebo-controlled, 24-week, dose-ranging study enrolled 776 adult patients with uncontrolled persistent asthma, as defined by the Global Initiative for Asthma 2014 Guidelines. Trial participants were randomized to receive one of four doses of dupilumab (300 mg every other week, 200 mg every other week, 300 mg monthly, 200 mg monthly) or placebo. Approximately 40 percent of patients had high eosinophils across the dose groups. During the treatment period, patients continue their stable medium- or high-dose inhaled corticosteroid and long-acting beta agonist (ICS/LABA) combination product. Patients can administer inhaled rescue medication as needed during the study. A severe exacerbation event during the study is defined as a deterioration of asthma requiring the use of systemic corticosteroids for three or more days, or hospitalization or an emergency room visit. Approximately 77% of randomized patients have a history of atopic disease, which includes atopic dermatitis, allergic conjunctivitis, allergic rhinitis, chronic rhinosinusitis, nasal polyposis, food allergy, and/or hives history.</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24-week treatment period of the study is ongoing, and patients will be followed for 16 weeks after treatment. Full results of the trial will be presented at the upcoming American Thoracic Society meeting.</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study in patients with uncontrolled persistent asthma was initiated in the second quarter of 2015.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 in Patients With Chronic Sinusitis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2 Trial</w:t>
      </w:r>
      <w:r>
        <w:rPr>
          <w:rFonts w:ascii="Arial" w:cs="Arial" w:eastAsia="Arial" w:hAnsi="Arial"/>
          <w:sz w:val="17"/>
          <w:szCs w:val="17"/>
          <w:color w:val="auto"/>
        </w:rPr>
        <w:t>. In 2013, a Phase 2 trial in NPwCS was initiated. In September 2014, we and Sanofi announced positive results from the Phase 2 proof-of-concept study of dupilumab in patients with moderate-to-severe NPwCS who did not respond to intranasal corticosteroids. The randomized, double-blind, placebo-controlled study enrolled 60 adult patients with moderate-to-severe NPwCS. Patients in the study received 300 mg of dupilumab or placebo administered once per week subcutaneously for 16 weeks, following an initial loading dose of 600 mg. All patients in the study also received a standard-of-care nasal corticosteroid spray. Patients were eligible for the study if they continued to have severe NPwCS despite standard treatment for at least one month. Fifty percent of patients in the study had received prior surgery for their condition. Asthma was also present in 58 percent of NPwCS patients in the study. The conditions are often co-morbid and symptoms/exacerbations are frequently interdependent.</w:t>
      </w:r>
    </w:p>
    <w:p>
      <w:pPr>
        <w:spacing w:after="0" w:line="23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the study, dupilumab resulted in a statistically-significant improvement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 Detailed results of the study will be presented at an upcoming medical conference.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14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A Phase 2 study of dupilumab in eosinophilic esophagitis was initiated in the first quarter of 2015. EoE is a chronic allergic inflammatory</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Our preclinical research programs are in the areas of oncology, angiogenesis, ophthalmology, metabolic and related diseases, muscle diseases and disorders, inflammation and immune diseases, bone and cartilage, pain, cardiovascular diseases, and infectious diseases.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24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i w:val="1"/>
          <w:iCs w:val="1"/>
          <w:color w:val="auto"/>
        </w:rPr>
        <w:t xml:space="preserve">Regeneron Genetics Center. </w:t>
      </w:r>
      <w:r>
        <w:rPr>
          <w:rFonts w:ascii="Arial" w:cs="Arial" w:eastAsia="Arial" w:hAnsi="Arial"/>
          <w:sz w:val="17"/>
          <w:szCs w:val="17"/>
          <w:color w:val="auto"/>
        </w:rPr>
        <w:t>In 2014, we launched a new human genetics initiative via a wholly owned subsidiary, Regeneron Genetics Center LLC. RGC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leverages de-identified clinical and molecular data from human volunteers for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both large population-based efforts as well as family- and founder-based approaches. RGC utilizes laboratory automation and an innovative approach to cloud computing to achieve high-quality throughput at a rate that exceeds 70,000 unique samples per year.</w:t>
      </w:r>
    </w:p>
    <w:p>
      <w:pPr>
        <w:spacing w:after="0" w:line="23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Central to the work of RGC is a collaboration with the Geisinger Health System of Pennsylvania. During the initial five-year collaboration term, Geisinger plans to collect samples from more than 100,000 consented patient volunteers, while RGC will perform sequencing and genotyping to generate de-identified genomic data. RGC has expanded on its foundational population-based collaboration with Geisinger with new partners with other institutions such as Columbia University Medical Center, the Clinic for Special Children, Baylor College of Medicine, and SickKids in Toronto.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ZALTRAP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September 2003, we and Sanofi have been parties to a global collaboration (ZALTRAP Collaboration Agreement) for the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commercialization of ZALTRAP. In February 2015, we and Sanofi entered into an Amended ZALTRAP Agreement. Under the terms of the Amended ZALTRAP Agreement, Sanofi will be solely responsible for the development and commercialization of ZALTRAP for cancer indications worldwide. Sanofi will bear the cost of all development and commercialization activities and will reimburse Regeneron for its costs for any such activities. Sanofi will pay us a percentage of aggregate net sales of ZALTRAP during each calendar year, which percentage shall be from 15% to 30%, depending on the aggregate net sales of ZALTRAP in such calendar year. We will also be paid for all quantities of ZALTRAP manufactured by us pursuant to a supply agreement through the earlier of 2021 or the date Sanofi receives regulatory approval to manufacture ZALTRAP at one of its facilities or a facility of a third party. In addition, Regeneron no longer has a contingent contractual obligation (which was approximately $461 million at December 31, 2014) to reimburse Sanofi for 50% of the development expenses that Sanofi previously funded for the development of ZALTRAP under the ZALTRAP Collaboration Agreement.</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Antibodies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November 2007, we and Sanofi have been parties to a global, strategic collaboration to discover, develop, and commercialize fully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human monoclonal antibodies. The collaboration is governed by a Discovery and Preclinical Development Agreement and a License and Collaboration Agreement (each as amended). Pursuant to the collaboration, Sanofi is funding up to $160 million per year of our antibody discovery activities over the period from 2010-2017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4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our collaboration agreement, Sanofi will record product sales and cost of sales for commercialized products, and Regeneron has the right to co-promote such products. We have exercised our option to co-promote Praluent in the United States.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HealthCare have been parties to a license and collaboration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 payments and $165.0 million of sales milestone payments from Bayer HealthCare. During the first quarter of 2015, we earned the final potential milestone payment under our Bayer HealthCare collaboration agreement in connection with EYLEA outside the United States.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initially,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the first quarter of 2014. Further, in connection with our initial development of the PDGFR-beta antibody through completion of the first proof-of-concept study, we are eligible to receive up to $15.0 million in future development milestone payments from Bayer HealthCare, although certain of these development milestone payments could be reduced by half if Bayer HealthCare does not opt-in to the collaboration.</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We also expect to incur substantial costs related to the preparation for potential commercialization of our late-stage antibody product candidates, approximately half of which we expect to be reimbursed by Sanofi under the companies' collaboration agreement. Our operating results may fluctuate from quarter to quarter and will depend on, among other factors, the net sales of our marketed products, the scope and progress of our research and development efforts, the timing of certain expenses, and the continuation of our collaborations with Sanofi and Bayer HealthCare, including our share of collaboration profits or losses from sales of commercialized products and the amount of reimbursement of our research and development expenses that we receive from collaborators.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2015 to date were, and plans for the next twelve months are, as follows: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Trap-based Clinical Programs:</w:t>
      </w:r>
    </w:p>
    <w:p>
      <w:pPr>
        <w:spacing w:after="0" w:line="167" w:lineRule="exact"/>
        <w:rPr>
          <w:sz w:val="20"/>
          <w:szCs w:val="20"/>
          <w:color w:val="auto"/>
        </w:rPr>
      </w:pPr>
    </w:p>
    <w:p>
      <w:pPr>
        <w:ind w:left="2020"/>
        <w:spacing w:after="0"/>
        <w:tabs>
          <w:tab w:leader="none" w:pos="7320" w:val="left"/>
        </w:tabs>
        <w:rPr>
          <w:sz w:val="20"/>
          <w:szCs w:val="20"/>
          <w:color w:val="auto"/>
        </w:rPr>
      </w:pPr>
      <w:r>
        <w:rPr>
          <w:rFonts w:ascii="Arial" w:cs="Arial" w:eastAsia="Arial" w:hAnsi="Arial"/>
          <w:sz w:val="18"/>
          <w:szCs w:val="18"/>
          <w:b w:val="1"/>
          <w:bCs w:val="1"/>
          <w:color w:val="auto"/>
        </w:rPr>
        <w:t>2015 Events to Date</w:t>
      </w:r>
      <w:r>
        <w:rPr>
          <w:sz w:val="20"/>
          <w:szCs w:val="20"/>
          <w:color w:val="auto"/>
        </w:rPr>
        <w:tab/>
      </w:r>
      <w:r>
        <w:rPr>
          <w:rFonts w:ascii="Arial" w:cs="Arial" w:eastAsia="Arial" w:hAnsi="Arial"/>
          <w:sz w:val="16"/>
          <w:szCs w:val="16"/>
          <w:b w:val="1"/>
          <w:bCs w:val="1"/>
          <w:color w:val="auto"/>
        </w:rPr>
        <w:t>2015-2016 Plans (next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ectPr>
          <w:pgSz w:w="11900" w:h="16838" w:orient="portrait"/>
          <w:cols w:equalWidth="0" w:num="1">
            <w:col w:w="11420"/>
          </w:cols>
          <w:pgMar w:left="240" w:top="130" w:right="239" w:bottom="1440" w:gutter="0" w:footer="0" w:header="0"/>
        </w:sectPr>
      </w:pPr>
    </w:p>
    <w:p>
      <w:pPr>
        <w:spacing w:after="0" w:line="63" w:lineRule="exact"/>
        <w:rPr>
          <w:sz w:val="20"/>
          <w:szCs w:val="20"/>
          <w:color w:val="auto"/>
        </w:rPr>
      </w:pPr>
    </w:p>
    <w:p>
      <w:pPr>
        <w:ind w:left="240" w:right="40" w:hanging="196"/>
        <w:spacing w:after="0" w:line="302"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Bayer HealthCare received regulatory approval for EYLEA in certain countries for the treatment of patients with wet AMD, macular edema secondary to CRVO, and DME, and continued to pursue regulatory applications for marketing approval in additional countries</w:t>
      </w:r>
    </w:p>
    <w:p>
      <w:pPr>
        <w:spacing w:after="0" w:line="46" w:lineRule="exact"/>
        <w:rPr>
          <w:rFonts w:ascii="Arial" w:cs="Arial" w:eastAsia="Arial" w:hAnsi="Arial"/>
          <w:sz w:val="16"/>
          <w:szCs w:val="16"/>
          <w:color w:val="auto"/>
        </w:rPr>
      </w:pPr>
    </w:p>
    <w:p>
      <w:pPr>
        <w:ind w:left="240" w:hanging="196"/>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European Commission approved EYLEA for the treatment of macular edema secondary to BRVO</w:t>
      </w:r>
    </w:p>
    <w:p>
      <w:pPr>
        <w:spacing w:after="0" w:line="8" w:lineRule="exact"/>
        <w:rPr>
          <w:rFonts w:ascii="Arial" w:cs="Arial" w:eastAsia="Arial" w:hAnsi="Arial"/>
          <w:sz w:val="18"/>
          <w:szCs w:val="18"/>
          <w:color w:val="auto"/>
        </w:rPr>
      </w:pPr>
    </w:p>
    <w:p>
      <w:pPr>
        <w:ind w:left="240" w:right="260" w:hanging="196"/>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Bayer HeathCare submitted marketing authorization application to EMA for the treatment of mCNV</w:t>
      </w:r>
    </w:p>
    <w:p>
      <w:pPr>
        <w:spacing w:after="0" w:line="8" w:lineRule="exact"/>
        <w:rPr>
          <w:rFonts w:ascii="Arial" w:cs="Arial" w:eastAsia="Arial" w:hAnsi="Arial"/>
          <w:sz w:val="18"/>
          <w:szCs w:val="18"/>
          <w:color w:val="auto"/>
        </w:rPr>
      </w:pPr>
    </w:p>
    <w:p>
      <w:pPr>
        <w:ind w:left="240" w:right="240" w:hanging="196"/>
        <w:spacing w:after="0" w:line="277" w:lineRule="auto"/>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approved EYLEA for the treatment of diabetic retinopathy in patients with DME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4" w:right="480" w:hanging="224"/>
        <w:spacing w:after="0" w:line="277" w:lineRule="auto"/>
        <w:tabs>
          <w:tab w:leader="none" w:pos="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Bayer HealthCare to file for additional ex-US regulatory approvals for various indications</w:t>
      </w:r>
    </w:p>
    <w:p>
      <w:pPr>
        <w:spacing w:after="0" w:line="8" w:lineRule="exact"/>
        <w:rPr>
          <w:rFonts w:ascii="Arial" w:cs="Arial" w:eastAsia="Arial" w:hAnsi="Arial"/>
          <w:sz w:val="18"/>
          <w:szCs w:val="18"/>
          <w:color w:val="auto"/>
        </w:rPr>
      </w:pPr>
    </w:p>
    <w:p>
      <w:pPr>
        <w:ind w:left="224" w:right="240" w:hanging="224"/>
        <w:spacing w:after="0" w:line="277" w:lineRule="auto"/>
        <w:tabs>
          <w:tab w:leader="none" w:pos="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agency decisions on applications outside the United States for various indications</w:t>
      </w:r>
    </w:p>
    <w:p>
      <w:pPr>
        <w:spacing w:after="0" w:line="8" w:lineRule="exact"/>
        <w:rPr>
          <w:rFonts w:ascii="Arial" w:cs="Arial" w:eastAsia="Arial" w:hAnsi="Arial"/>
          <w:sz w:val="18"/>
          <w:szCs w:val="18"/>
          <w:color w:val="auto"/>
        </w:rPr>
      </w:pPr>
    </w:p>
    <w:p>
      <w:pPr>
        <w:ind w:left="224" w:hanging="224"/>
        <w:spacing w:after="0"/>
        <w:tabs>
          <w:tab w:leader="none" w:pos="2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and Bayer HealthCare to report 3-year data from Phase 3 DME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-3573145</wp:posOffset>
            </wp:positionH>
            <wp:positionV relativeFrom="paragraph">
              <wp:posOffset>801370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6" w:lineRule="exact"/>
        <w:rPr>
          <w:sz w:val="20"/>
          <w:szCs w:val="20"/>
          <w:color w:val="auto"/>
        </w:rPr>
      </w:pPr>
    </w:p>
    <w:p>
      <w:pPr>
        <w:sectPr>
          <w:pgSz w:w="11900" w:h="16838" w:orient="portrait"/>
          <w:cols w:equalWidth="0" w:num="2">
            <w:col w:w="5300" w:space="336"/>
            <w:col w:w="5784"/>
          </w:cols>
          <w:pgMar w:left="240" w:top="130" w:right="2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0"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36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4100" w:type="dxa"/>
            <w:vAlign w:val="bottom"/>
          </w:tcPr>
          <w:p>
            <w:pPr>
              <w:spacing w:after="0"/>
              <w:rPr>
                <w:sz w:val="17"/>
                <w:szCs w:val="17"/>
                <w:color w:val="auto"/>
              </w:rPr>
            </w:pPr>
          </w:p>
        </w:tc>
      </w:tr>
      <w:tr>
        <w:trPr>
          <w:trHeight w:val="453"/>
        </w:trPr>
        <w:tc>
          <w:tcPr>
            <w:tcW w:w="26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tcPr>
          <w:p>
            <w:pPr>
              <w:ind w:left="1120"/>
              <w:spacing w:after="0"/>
              <w:rPr>
                <w:sz w:val="20"/>
                <w:szCs w:val="20"/>
                <w:color w:val="auto"/>
              </w:rPr>
            </w:pPr>
            <w:r>
              <w:rPr>
                <w:rFonts w:ascii="Arial" w:cs="Arial" w:eastAsia="Arial" w:hAnsi="Arial"/>
                <w:sz w:val="18"/>
                <w:szCs w:val="18"/>
                <w:b w:val="1"/>
                <w:bCs w:val="1"/>
                <w:color w:val="auto"/>
              </w:rPr>
              <w:t>2015 Events to Date</w:t>
            </w:r>
          </w:p>
        </w:tc>
        <w:tc>
          <w:tcPr>
            <w:tcW w:w="4100" w:type="dxa"/>
            <w:vAlign w:val="bottom"/>
          </w:tcPr>
          <w:p>
            <w:pPr>
              <w:ind w:left="940"/>
              <w:spacing w:after="0"/>
              <w:rPr>
                <w:sz w:val="20"/>
                <w:szCs w:val="20"/>
                <w:color w:val="auto"/>
              </w:rPr>
            </w:pPr>
            <w:r>
              <w:rPr>
                <w:rFonts w:ascii="Arial" w:cs="Arial" w:eastAsia="Arial" w:hAnsi="Arial"/>
                <w:sz w:val="18"/>
                <w:szCs w:val="18"/>
                <w:b w:val="1"/>
                <w:bCs w:val="1"/>
                <w:color w:val="auto"/>
              </w:rPr>
              <w:t>2015-2016 Plans (next 12 months)</w:t>
            </w: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Praluent (PCSK9 Antibody)</w:t>
            </w: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BLA accepted for priority review in the United</w:t>
            </w:r>
          </w:p>
        </w:tc>
        <w:tc>
          <w:tcPr>
            <w:tcW w:w="4100" w:type="dxa"/>
            <w:vAlign w:val="bottom"/>
          </w:tcPr>
          <w:p>
            <w:pPr>
              <w:ind w:left="120"/>
              <w:spacing w:after="0"/>
              <w:rPr>
                <w:sz w:val="20"/>
                <w:szCs w:val="20"/>
                <w:color w:val="auto"/>
              </w:rPr>
            </w:pPr>
            <w:r>
              <w:rPr>
                <w:rFonts w:ascii="Arial" w:cs="Arial" w:eastAsia="Arial" w:hAnsi="Arial"/>
                <w:sz w:val="18"/>
                <w:szCs w:val="18"/>
                <w:color w:val="auto"/>
              </w:rPr>
              <w:t>Ÿ  Continue enrollment of Phase 3 ODYSSEY</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States</w:t>
            </w:r>
          </w:p>
        </w:tc>
        <w:tc>
          <w:tcPr>
            <w:tcW w:w="4100" w:type="dxa"/>
            <w:vAlign w:val="bottom"/>
          </w:tcPr>
          <w:p>
            <w:pPr>
              <w:ind w:left="380"/>
              <w:spacing w:after="0"/>
              <w:rPr>
                <w:sz w:val="20"/>
                <w:szCs w:val="20"/>
                <w:color w:val="auto"/>
              </w:rPr>
            </w:pPr>
            <w:r>
              <w:rPr>
                <w:rFonts w:ascii="Arial" w:cs="Arial" w:eastAsia="Arial" w:hAnsi="Arial"/>
                <w:sz w:val="18"/>
                <w:szCs w:val="18"/>
                <w:color w:val="auto"/>
              </w:rPr>
              <w:t>OUTCOMES trial</w:t>
            </w:r>
          </w:p>
        </w:tc>
      </w:tr>
      <w:tr>
        <w:trPr>
          <w:trHeight w:val="256"/>
        </w:trPr>
        <w:tc>
          <w:tcPr>
            <w:tcW w:w="2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w w:val="95"/>
              </w:rPr>
              <w:t>Ÿ  Regulatory application accepted for review by the</w:t>
            </w:r>
          </w:p>
        </w:tc>
        <w:tc>
          <w:tcPr>
            <w:tcW w:w="4100" w:type="dxa"/>
            <w:vAlign w:val="bottom"/>
          </w:tcPr>
          <w:p>
            <w:pPr>
              <w:ind w:left="120"/>
              <w:spacing w:after="0"/>
              <w:rPr>
                <w:sz w:val="20"/>
                <w:szCs w:val="20"/>
                <w:color w:val="auto"/>
              </w:rPr>
            </w:pPr>
            <w:r>
              <w:rPr>
                <w:rFonts w:ascii="Arial" w:cs="Arial" w:eastAsia="Arial" w:hAnsi="Arial"/>
                <w:sz w:val="18"/>
                <w:szCs w:val="18"/>
                <w:color w:val="auto"/>
                <w:w w:val="94"/>
              </w:rPr>
              <w:t>Ÿ  Report additional results from Phase 3 ODYSSEY</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EMA</w:t>
            </w:r>
          </w:p>
        </w:tc>
        <w:tc>
          <w:tcPr>
            <w:tcW w:w="4100" w:type="dxa"/>
            <w:vAlign w:val="bottom"/>
          </w:tcPr>
          <w:p>
            <w:pPr>
              <w:ind w:left="380"/>
              <w:spacing w:after="0"/>
              <w:rPr>
                <w:sz w:val="20"/>
                <w:szCs w:val="20"/>
                <w:color w:val="auto"/>
              </w:rPr>
            </w:pPr>
            <w:r>
              <w:rPr>
                <w:rFonts w:ascii="Arial" w:cs="Arial" w:eastAsia="Arial" w:hAnsi="Arial"/>
                <w:sz w:val="18"/>
                <w:szCs w:val="18"/>
                <w:color w:val="auto"/>
              </w:rPr>
              <w:t>trials</w:t>
            </w:r>
          </w:p>
        </w:tc>
      </w:tr>
      <w:tr>
        <w:trPr>
          <w:trHeight w:val="256"/>
        </w:trPr>
        <w:tc>
          <w:tcPr>
            <w:tcW w:w="2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Reported positive results from ODYSSEY</w:t>
            </w:r>
          </w:p>
        </w:tc>
        <w:tc>
          <w:tcPr>
            <w:tcW w:w="4100" w:type="dxa"/>
            <w:vAlign w:val="bottom"/>
          </w:tcPr>
          <w:p>
            <w:pPr>
              <w:ind w:left="120"/>
              <w:spacing w:after="0"/>
              <w:rPr>
                <w:sz w:val="20"/>
                <w:szCs w:val="20"/>
                <w:color w:val="auto"/>
              </w:rPr>
            </w:pPr>
            <w:r>
              <w:rPr>
                <w:rFonts w:ascii="Arial" w:cs="Arial" w:eastAsia="Arial" w:hAnsi="Arial"/>
                <w:sz w:val="18"/>
                <w:szCs w:val="18"/>
                <w:color w:val="auto"/>
                <w:w w:val="94"/>
              </w:rPr>
              <w:t>Ÿ  File for additional regulatory approvals outside the</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CHOICE I and CHOICE II trials</w:t>
            </w:r>
          </w:p>
        </w:tc>
        <w:tc>
          <w:tcPr>
            <w:tcW w:w="4100" w:type="dxa"/>
            <w:vAlign w:val="bottom"/>
          </w:tcPr>
          <w:p>
            <w:pPr>
              <w:ind w:left="380"/>
              <w:spacing w:after="0"/>
              <w:rPr>
                <w:sz w:val="20"/>
                <w:szCs w:val="20"/>
                <w:color w:val="auto"/>
              </w:rPr>
            </w:pPr>
            <w:r>
              <w:rPr>
                <w:rFonts w:ascii="Arial" w:cs="Arial" w:eastAsia="Arial" w:hAnsi="Arial"/>
                <w:sz w:val="18"/>
                <w:szCs w:val="18"/>
                <w:color w:val="auto"/>
              </w:rPr>
              <w:t>United States</w:t>
            </w:r>
          </w:p>
        </w:tc>
      </w:tr>
      <w:tr>
        <w:trPr>
          <w:trHeight w:val="256"/>
        </w:trPr>
        <w:tc>
          <w:tcPr>
            <w:tcW w:w="2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ODYSSEY LONG TERM 18-month trial results</w:t>
            </w:r>
          </w:p>
        </w:tc>
        <w:tc>
          <w:tcPr>
            <w:tcW w:w="4100" w:type="dxa"/>
            <w:vAlign w:val="bottom"/>
          </w:tcPr>
          <w:p>
            <w:pPr>
              <w:ind w:left="120"/>
              <w:spacing w:after="0"/>
              <w:rPr>
                <w:sz w:val="20"/>
                <w:szCs w:val="20"/>
                <w:color w:val="auto"/>
              </w:rPr>
            </w:pPr>
            <w:r>
              <w:rPr>
                <w:rFonts w:ascii="Arial" w:cs="Arial" w:eastAsia="Arial" w:hAnsi="Arial"/>
                <w:sz w:val="18"/>
                <w:szCs w:val="18"/>
                <w:color w:val="auto"/>
              </w:rPr>
              <w:t>Ÿ  FDA and EMA decisions on regulatory</w:t>
            </w:r>
          </w:p>
        </w:tc>
      </w:tr>
      <w:tr>
        <w:trPr>
          <w:trHeight w:val="216"/>
        </w:trPr>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 xml:space="preserve">published in </w:t>
            </w:r>
            <w:r>
              <w:rPr>
                <w:rFonts w:ascii="Arial" w:cs="Arial" w:eastAsia="Arial" w:hAnsi="Arial"/>
                <w:sz w:val="18"/>
                <w:szCs w:val="18"/>
                <w:i w:val="1"/>
                <w:iCs w:val="1"/>
                <w:color w:val="auto"/>
              </w:rPr>
              <w:t>The New England Journal of</w:t>
            </w:r>
          </w:p>
        </w:tc>
        <w:tc>
          <w:tcPr>
            <w:tcW w:w="4100" w:type="dxa"/>
            <w:vAlign w:val="bottom"/>
          </w:tcPr>
          <w:p>
            <w:pPr>
              <w:ind w:left="380"/>
              <w:spacing w:after="0"/>
              <w:rPr>
                <w:sz w:val="20"/>
                <w:szCs w:val="20"/>
                <w:color w:val="auto"/>
              </w:rPr>
            </w:pPr>
            <w:r>
              <w:rPr>
                <w:rFonts w:ascii="Arial" w:cs="Arial" w:eastAsia="Arial" w:hAnsi="Arial"/>
                <w:sz w:val="18"/>
                <w:szCs w:val="18"/>
                <w:color w:val="auto"/>
              </w:rPr>
              <w:t>applications</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i w:val="1"/>
                <w:iCs w:val="1"/>
                <w:color w:val="auto"/>
              </w:rPr>
              <w:t>Medicine</w:t>
            </w:r>
          </w:p>
        </w:tc>
        <w:tc>
          <w:tcPr>
            <w:tcW w:w="4100" w:type="dxa"/>
            <w:vAlign w:val="bottom"/>
          </w:tcPr>
          <w:p>
            <w:pPr>
              <w:spacing w:after="0"/>
              <w:rPr>
                <w:sz w:val="20"/>
                <w:szCs w:val="20"/>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Ÿ  Initiated Phase 3 MONARCH study (head-to-head</w:t>
            </w: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  Continue enrollment in Phase 3 SARIL-RA</w:t>
            </w:r>
          </w:p>
        </w:tc>
      </w:tr>
      <w:tr>
        <w:trPr>
          <w:trHeight w:val="230"/>
        </w:trPr>
        <w:tc>
          <w:tcPr>
            <w:tcW w:w="2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monotherapy study against adalimumab)</w:t>
            </w:r>
          </w:p>
        </w:tc>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program</w:t>
            </w:r>
          </w:p>
        </w:tc>
      </w:tr>
      <w:tr>
        <w:trPr>
          <w:trHeight w:val="256"/>
        </w:trPr>
        <w:tc>
          <w:tcPr>
            <w:tcW w:w="26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w:t>
            </w: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HARUKA study in Japan</w:t>
            </w: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  Complete patient enrollment in SARIL-NIU-</w:t>
            </w:r>
          </w:p>
        </w:tc>
      </w:tr>
      <w:tr>
        <w:trPr>
          <w:trHeight w:val="216"/>
        </w:trPr>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SATURN Phase 2 study in</w:t>
            </w:r>
          </w:p>
        </w:tc>
      </w:tr>
      <w:tr>
        <w:trPr>
          <w:trHeight w:val="230"/>
        </w:trPr>
        <w:tc>
          <w:tcPr>
            <w:tcW w:w="26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760" w:type="dxa"/>
            <w:vAlign w:val="bottom"/>
            <w:shd w:val="clear" w:color="auto" w:fill="CCEEFF"/>
          </w:tcPr>
          <w:p>
            <w:pPr>
              <w:spacing w:after="0"/>
              <w:rPr>
                <w:sz w:val="20"/>
                <w:szCs w:val="20"/>
                <w:color w:val="auto"/>
              </w:rPr>
            </w:pPr>
          </w:p>
        </w:tc>
        <w:tc>
          <w:tcPr>
            <w:tcW w:w="41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non-infectious uveitis</w:t>
            </w:r>
          </w:p>
        </w:tc>
      </w:tr>
      <w:tr>
        <w:trPr>
          <w:trHeight w:val="270"/>
        </w:trPr>
        <w:tc>
          <w:tcPr>
            <w:tcW w:w="26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  Report results from additional Phase 3 trials</w:t>
            </w:r>
          </w:p>
        </w:tc>
      </w:tr>
      <w:tr>
        <w:trPr>
          <w:trHeight w:val="302"/>
        </w:trPr>
        <w:tc>
          <w:tcPr>
            <w:tcW w:w="26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4"/>
                <w:szCs w:val="24"/>
                <w:color w:val="auto"/>
              </w:rPr>
            </w:pP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3"/>
              </w:rPr>
              <w:t>Ÿ  Submit for regulatory approval in the United States</w:t>
            </w:r>
          </w:p>
        </w:tc>
      </w:tr>
      <w:tr>
        <w:trPr>
          <w:trHeight w:val="222"/>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Initiated Phase 2 study in EoE</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2"/>
              </w:rPr>
              <w:t>Ÿ  Continue patient enrollment in various Phase 2 and</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00" w:type="dxa"/>
            <w:vAlign w:val="bottom"/>
          </w:tcPr>
          <w:p>
            <w:pPr>
              <w:ind w:left="380"/>
              <w:spacing w:after="0"/>
              <w:rPr>
                <w:sz w:val="20"/>
                <w:szCs w:val="20"/>
                <w:color w:val="auto"/>
              </w:rPr>
            </w:pPr>
            <w:r>
              <w:rPr>
                <w:rFonts w:ascii="Arial" w:cs="Arial" w:eastAsia="Arial" w:hAnsi="Arial"/>
                <w:sz w:val="18"/>
                <w:szCs w:val="18"/>
                <w:color w:val="auto"/>
              </w:rPr>
              <w:t>Phase 3 studies</w:t>
            </w:r>
          </w:p>
        </w:tc>
      </w:tr>
      <w:tr>
        <w:trPr>
          <w:trHeight w:val="256"/>
        </w:trPr>
        <w:tc>
          <w:tcPr>
            <w:tcW w:w="2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Initiated Phase 2 study in atopic dermatitis in</w:t>
            </w:r>
          </w:p>
        </w:tc>
        <w:tc>
          <w:tcPr>
            <w:tcW w:w="4100" w:type="dxa"/>
            <w:vAlign w:val="bottom"/>
          </w:tcPr>
          <w:p>
            <w:pPr>
              <w:ind w:left="120"/>
              <w:spacing w:after="0"/>
              <w:rPr>
                <w:sz w:val="20"/>
                <w:szCs w:val="20"/>
                <w:color w:val="auto"/>
              </w:rPr>
            </w:pPr>
            <w:r>
              <w:rPr>
                <w:rFonts w:ascii="Arial" w:cs="Arial" w:eastAsia="Arial" w:hAnsi="Arial"/>
                <w:sz w:val="18"/>
                <w:szCs w:val="18"/>
                <w:color w:val="auto"/>
              </w:rPr>
              <w:t>Ÿ  Initiate Phase 3 study in NPwCS</w:t>
            </w:r>
          </w:p>
        </w:tc>
      </w:tr>
      <w:tr>
        <w:trPr>
          <w:trHeight w:val="230"/>
        </w:trPr>
        <w:tc>
          <w:tcPr>
            <w:tcW w:w="2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adolescents and children</w:t>
            </w:r>
          </w:p>
        </w:tc>
        <w:tc>
          <w:tcPr>
            <w:tcW w:w="410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Initiated Phase 3 study in asthma</w:t>
            </w:r>
          </w:p>
        </w:tc>
        <w:tc>
          <w:tcPr>
            <w:tcW w:w="4100" w:type="dxa"/>
            <w:vAlign w:val="bottom"/>
          </w:tcPr>
          <w:p>
            <w:pPr>
              <w:spacing w:after="0"/>
              <w:rPr>
                <w:sz w:val="23"/>
                <w:szCs w:val="23"/>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Ÿ  Phase 2 proof-of-concept study in elderly men and</w:t>
            </w: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Ÿ  Determine future development plan</w:t>
            </w:r>
          </w:p>
        </w:tc>
      </w:tr>
      <w:tr>
        <w:trPr>
          <w:trHeight w:val="216"/>
        </w:trPr>
        <w:tc>
          <w:tcPr>
            <w:tcW w:w="2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women with sarcopenia met its primary endpoint,</w:t>
            </w:r>
          </w:p>
        </w:tc>
        <w:tc>
          <w:tcPr>
            <w:tcW w:w="4100" w:type="dxa"/>
            <w:vAlign w:val="bottom"/>
            <w:shd w:val="clear" w:color="auto" w:fill="CCEEFF"/>
          </w:tcPr>
          <w:p>
            <w:pPr>
              <w:spacing w:after="0"/>
              <w:rPr>
                <w:sz w:val="18"/>
                <w:szCs w:val="18"/>
                <w:color w:val="auto"/>
              </w:rPr>
            </w:pPr>
          </w:p>
        </w:tc>
      </w:tr>
      <w:tr>
        <w:trPr>
          <w:trHeight w:val="262"/>
        </w:trPr>
        <w:tc>
          <w:tcPr>
            <w:tcW w:w="26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while secondary, functional endpoints were mixed.</w:t>
            </w:r>
          </w:p>
        </w:tc>
        <w:tc>
          <w:tcPr>
            <w:tcW w:w="4100" w:type="dxa"/>
            <w:vAlign w:val="bottom"/>
            <w:tcBorders>
              <w:bottom w:val="single" w:sz="8" w:color="CCEEFF"/>
            </w:tcBorders>
            <w:shd w:val="clear" w:color="auto" w:fill="CCEEFF"/>
          </w:tcPr>
          <w:p>
            <w:pPr>
              <w:spacing w:after="0"/>
              <w:rPr>
                <w:sz w:val="22"/>
                <w:szCs w:val="22"/>
                <w:color w:val="auto"/>
              </w:rPr>
            </w:pP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6"/>
              </w:rPr>
              <w:t>REGN1908-1909 (target not disclosed)</w:t>
            </w:r>
          </w:p>
        </w:tc>
        <w:tc>
          <w:tcPr>
            <w:tcW w:w="36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Continue patient enrollment in Phase 2 study</w:t>
            </w: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22"/>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REGN1500 (Angptl-3 Antibody)</w:t>
            </w:r>
          </w:p>
        </w:tc>
        <w:tc>
          <w:tcPr>
            <w:tcW w:w="4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Ÿ  Initiated Phase 2 study</w:t>
            </w:r>
          </w:p>
        </w:tc>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Ÿ  Complete patient enrollment in Phase 1 and Phase</w:t>
            </w:r>
          </w:p>
        </w:tc>
      </w:tr>
      <w:tr>
        <w:trPr>
          <w:trHeight w:val="316"/>
        </w:trPr>
        <w:tc>
          <w:tcPr>
            <w:tcW w:w="26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On partial clinical hold by the FDA</w:t>
            </w:r>
          </w:p>
        </w:tc>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 studies</w:t>
            </w:r>
          </w:p>
        </w:tc>
      </w:tr>
      <w:tr>
        <w:trPr>
          <w:trHeight w:val="222"/>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5"/>
              </w:rPr>
              <w:t>REGN2176-3 (PDGFR-beta Antibody in</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4"/>
              </w:rPr>
              <w:t>Ÿ  Received Fast Track designation from the FDA for</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Continue patient enrollment in Phase 2 study</w:t>
            </w: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combination with EYLEA)</w:t>
            </w:r>
          </w:p>
        </w:tc>
        <w:tc>
          <w:tcPr>
            <w:tcW w:w="3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the treatment of patients with wet AMD</w:t>
            </w:r>
          </w:p>
        </w:tc>
        <w:tc>
          <w:tcPr>
            <w:tcW w:w="4100" w:type="dxa"/>
            <w:vAlign w:val="bottom"/>
          </w:tcPr>
          <w:p>
            <w:pPr>
              <w:spacing w:after="0"/>
              <w:rPr>
                <w:sz w:val="20"/>
                <w:szCs w:val="20"/>
                <w:color w:val="auto"/>
              </w:rPr>
            </w:pPr>
          </w:p>
        </w:tc>
      </w:tr>
      <w:tr>
        <w:trPr>
          <w:trHeight w:val="270"/>
        </w:trPr>
        <w:tc>
          <w:tcPr>
            <w:tcW w:w="2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120" w:type="dxa"/>
            <w:vAlign w:val="bottom"/>
            <w:gridSpan w:val="2"/>
          </w:tcPr>
          <w:p>
            <w:pPr>
              <w:ind w:left="120"/>
              <w:spacing w:after="0"/>
              <w:rPr>
                <w:sz w:val="20"/>
                <w:szCs w:val="20"/>
                <w:color w:val="auto"/>
              </w:rPr>
            </w:pPr>
            <w:r>
              <w:rPr>
                <w:rFonts w:ascii="Arial" w:cs="Arial" w:eastAsia="Arial" w:hAnsi="Arial"/>
                <w:sz w:val="18"/>
                <w:szCs w:val="18"/>
                <w:color w:val="auto"/>
              </w:rPr>
              <w:t>Ÿ  Initiated Phase 2 study</w:t>
            </w:r>
          </w:p>
        </w:tc>
        <w:tc>
          <w:tcPr>
            <w:tcW w:w="4100" w:type="dxa"/>
            <w:vAlign w:val="bottom"/>
          </w:tcPr>
          <w:p>
            <w:pPr>
              <w:spacing w:after="0"/>
              <w:rPr>
                <w:sz w:val="23"/>
                <w:szCs w:val="23"/>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REGN1400 (ErbB3 Antibody)</w:t>
            </w:r>
          </w:p>
        </w:tc>
        <w:tc>
          <w:tcPr>
            <w:tcW w:w="360" w:type="dxa"/>
            <w:vAlign w:val="bottom"/>
            <w:tcBorders>
              <w:bottom w:val="single" w:sz="8" w:color="CCEEFF"/>
            </w:tcBorders>
            <w:shd w:val="clear" w:color="auto" w:fill="CCEEFF"/>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2"/>
                <w:szCs w:val="22"/>
                <w:color w:val="auto"/>
              </w:rPr>
            </w:pP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  Determine future development plan</w:t>
            </w: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REGN1154 (target not disclosed)</w:t>
            </w:r>
          </w:p>
        </w:tc>
        <w:tc>
          <w:tcPr>
            <w:tcW w:w="36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Determine future development plan</w:t>
            </w: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REGN1193 (target not disclosed)</w:t>
            </w: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Continued patient enrollment in Phase 1 study</w:t>
            </w: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  Complete patient enrollment in Phase 1 study</w:t>
            </w: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REGN2222 (RSV)</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Completed patient enrollment in Phase 1 study</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Initiate pivotal study</w:t>
            </w: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9"/>
              </w:rPr>
              <w:t>REGN1979 (CD20 and CD3 Antibody)</w:t>
            </w: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Continued patient enrollment in Phase 1 study</w:t>
            </w: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  Complete patient enrollment in Phase 1 study</w:t>
            </w:r>
          </w:p>
        </w:tc>
      </w:tr>
      <w:tr>
        <w:trPr>
          <w:trHeight w:val="222"/>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REGN910-3 (Ang2 Antibody co-</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Completed patient enrollment in Phase 1 study</w:t>
            </w:r>
          </w:p>
        </w:tc>
        <w:tc>
          <w:tcPr>
            <w:tcW w:w="4100" w:type="dxa"/>
            <w:vAlign w:val="bottom"/>
            <w:tcBorders>
              <w:top w:val="single" w:sz="8" w:color="auto"/>
            </w:tcBorders>
          </w:tcPr>
          <w:p>
            <w:pPr>
              <w:spacing w:after="0"/>
              <w:rPr>
                <w:sz w:val="19"/>
                <w:szCs w:val="19"/>
                <w:color w:val="auto"/>
              </w:rPr>
            </w:pPr>
          </w:p>
        </w:tc>
      </w:tr>
      <w:tr>
        <w:trPr>
          <w:trHeight w:val="230"/>
        </w:trPr>
        <w:tc>
          <w:tcPr>
            <w:tcW w:w="32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formulated with EYLEA)</w:t>
            </w:r>
          </w:p>
        </w:tc>
        <w:tc>
          <w:tcPr>
            <w:tcW w:w="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100" w:type="dxa"/>
            <w:vAlign w:val="bottom"/>
          </w:tcPr>
          <w:p>
            <w:pPr>
              <w:spacing w:after="0"/>
              <w:rPr>
                <w:sz w:val="20"/>
                <w:szCs w:val="20"/>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REGN2810 (PD-1 Antibody)</w:t>
            </w:r>
          </w:p>
        </w:tc>
        <w:tc>
          <w:tcPr>
            <w:tcW w:w="41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Ÿ  Initiated Phase 1 study</w:t>
            </w:r>
          </w:p>
        </w:tc>
        <w:tc>
          <w:tcPr>
            <w:tcW w:w="4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Ÿ  Continue patient enrollment in Phase 1 study</w:t>
            </w:r>
          </w:p>
        </w:tc>
      </w:tr>
      <w:tr>
        <w:trPr>
          <w:trHeight w:val="237"/>
        </w:trPr>
        <w:tc>
          <w:tcPr>
            <w:tcW w:w="3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4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On partial clinical hold by the FDA</w:t>
            </w:r>
          </w:p>
        </w:tc>
        <w:tc>
          <w:tcPr>
            <w:tcW w:w="41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Ÿ  Re-enter clinical development</w:t>
            </w:r>
          </w:p>
        </w:tc>
      </w:tr>
      <w:tr>
        <w:trPr>
          <w:trHeight w:val="27"/>
        </w:trPr>
        <w:tc>
          <w:tcPr>
            <w:tcW w:w="26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2"/>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669"/>
        </w:trPr>
        <w:tc>
          <w:tcPr>
            <w:tcW w:w="2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120" w:type="dxa"/>
            <w:vAlign w:val="bottom"/>
            <w:gridSpan w:val="2"/>
          </w:tcPr>
          <w:p>
            <w:pPr>
              <w:ind w:left="2420"/>
              <w:spacing w:after="0"/>
              <w:rPr>
                <w:sz w:val="20"/>
                <w:szCs w:val="20"/>
                <w:color w:val="auto"/>
              </w:rPr>
            </w:pPr>
            <w:r>
              <w:rPr>
                <w:rFonts w:ascii="Arial" w:cs="Arial" w:eastAsia="Arial" w:hAnsi="Arial"/>
                <w:sz w:val="18"/>
                <w:szCs w:val="18"/>
                <w:color w:val="auto"/>
              </w:rPr>
              <w:t>35</w:t>
            </w:r>
          </w:p>
        </w:tc>
        <w:tc>
          <w:tcPr>
            <w:tcW w:w="41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results of operations discussion below reflects certain revisions to previously-issued financial statements. See Note 4 of the Notes to Condensed Consolidated Financial Statements for a description of such revisions.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Months Ended March 31, 2015 and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for the three months ended March 31, 2015 and 2014 consists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625.7</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(434.2)</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4280" w:type="dxa"/>
            <w:vAlign w:val="bottom"/>
          </w:tcPr>
          <w:p>
            <w:pPr>
              <w:ind w:left="26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180.9</w:t>
            </w:r>
          </w:p>
        </w:tc>
      </w:tr>
      <w:tr>
        <w:trPr>
          <w:trHeight w:val="27"/>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w:t>
            </w:r>
          </w:p>
        </w:tc>
      </w:tr>
      <w:tr>
        <w:trPr>
          <w:trHeight w:val="257"/>
        </w:trPr>
        <w:tc>
          <w:tcPr>
            <w:tcW w:w="42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Revenues for the three months ended March 31, 2015 and 2014 consist of the following:</w:t>
      </w:r>
    </w:p>
    <w:p>
      <w:pPr>
        <w:spacing w:after="0" w:line="302"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43"/>
        </w:trPr>
        <w:tc>
          <w:tcPr>
            <w:tcW w:w="432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Technology licensing and other revenue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4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w:t>
            </w:r>
          </w:p>
        </w:tc>
      </w:tr>
      <w:tr>
        <w:trPr>
          <w:trHeight w:val="20"/>
        </w:trPr>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2011, macular edema following CRVO in 2012, DME in July 2014, macular edema following BRVO in October 2014, and diabetic retinopathy in patients with DME in March 2015. For the three months ended March 31, 2015, EYLEA net product sales increased to $541.1 million from $359.0 million for the three months ended March 31, 2014 due to higher sales volume. For the three months ended March 31, 2015 and 2014, we also recognized ARCALYST net product sales of $3.5 million and $3.4 million, respectively.</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three months ended March 31, 2015 and 2014, we recorded 69% and 79%, respectively, of our total gross product revenue from sales to Besse Medical, a subsidiary of AmerisourceBergen Corporation.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Revenue from product sales is recorded net of applicable provisions for rebates and chargebacks under governmental programs, distribution-related fees, and other sales-related deductions. The following table summarizes the provisions, and credits/payments, for sales-related deductions.</w:t>
      </w:r>
    </w:p>
    <w:p>
      <w:pPr>
        <w:spacing w:after="0" w:line="359"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38.1</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w w:val="97"/>
              </w:rPr>
              <w:t>Provision related to current period sales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5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primarily consisted of (i) recognition of previously deferred revenue related to our ZALTRAP Collaboration Agreement, and (ii) reimbursement for research and development expenses that we incurred, partly offset by sharing of pre-launch commercialization expenses, in connection with the companies' antibody collaboration.</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color w:val="auto"/>
              </w:rPr>
              <w:t>Sanofi Collaboration Revenue</w:t>
            </w:r>
          </w:p>
        </w:tc>
        <w:tc>
          <w:tcPr>
            <w:tcW w:w="260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related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130.5</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2003, we and Sanofi entered into a ZALTRAP Collaboration Agreement to jointly develop and commercialize ZALTRAP. Under the terms of ZALTRAP Collaboration Agreement, we and Sanofi shared profits and losses on sales of ZALTRAP outside of Japan, and we were entitled to receive a percentage of sales of ZALTRAP in Japan. Our share of the loss in connection with the commercialization of ZALTRAP in the first quarter of 2014 represents our share of the costs of launching and commercializing ZALTRAP, partly offset by net product sales.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As described above under "Collaboration Agreements - Collaborations with Sanofi - </w:t>
      </w:r>
      <w:r>
        <w:rPr>
          <w:rFonts w:ascii="Arial" w:cs="Arial" w:eastAsia="Arial" w:hAnsi="Arial"/>
          <w:sz w:val="18"/>
          <w:szCs w:val="18"/>
          <w:i w:val="1"/>
          <w:iCs w:val="1"/>
          <w:color w:val="auto"/>
        </w:rPr>
        <w:t>ZALTRAP</w:t>
      </w:r>
      <w:r>
        <w:rPr>
          <w:rFonts w:ascii="Arial" w:cs="Arial" w:eastAsia="Arial" w:hAnsi="Arial"/>
          <w:sz w:val="18"/>
          <w:szCs w:val="18"/>
          <w:color w:val="auto"/>
        </w:rPr>
        <w:t>", in February 2015, we entered into an Amended ZALTRAP Agreement with Sanofi which amended and restated the ZALTRAP Collaboration Agreement. As a result, in the first quarter of 2015 we recognized $14.9 million of previously deferred revenue under the ZALTRAP Collaboration</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Agreement, related to (i) amounts that were previously reimbursed by Sanofi for manufacturing commercial supplies of ZALTRAP since our risk of inventory loss under the collaboration no longer exists, and (ii) the unamortized portion of up-front payments from Sanofi as we have no further performance obligations.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2015, Sanofi's reimbursement of our antibody research and development expenses consisted of $46.0 million under our discovery agreement and $122.8 million under our license agreement, compared to $40.2 million and $86.6 million, respectively, in the first quarter 2014. The higher reimbursement of development costs in the first quarter of 2015, compared to the same period in 2014, was primarily due to increased development activities for Praluent (including manufacturing pre-launch commercial supplies), dupilumab, and REGN1033.</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Effective in the second and fourth quarters of 2014, we and Sanofi began sharing pre-launch commercial expenses related to Praluent and sarilumab, respectively, in accordance with the companies' antibody collaboration agreement. Reimbursement of Regeneron commercialization-related expenses represents reimbursement of internal and external costs in connection with preparing to commercialize these antibody product candidates. In addition, we began recording our share of losses in connection with commercialization of these two antibody product candidates.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March 31, 2015, $62.6 million of the up-front and other payments was deferred and will be recognized as revenue in future periods.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and sales milestones achieved.</w:t>
      </w:r>
    </w:p>
    <w:p>
      <w:pPr>
        <w:spacing w:after="0" w:line="234" w:lineRule="exact"/>
        <w:rPr>
          <w:sz w:val="20"/>
          <w:szCs w:val="20"/>
          <w:color w:val="auto"/>
        </w:rPr>
      </w:pPr>
    </w:p>
    <w:tbl>
      <w:tblPr>
        <w:tblLayout w:type="fixed"/>
        <w:tblInd w:w="2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Bayer HealthCare Collaboration Revenue</w:t>
            </w:r>
          </w:p>
        </w:tc>
        <w:tc>
          <w:tcPr>
            <w:tcW w:w="2620" w:type="dxa"/>
            <w:vAlign w:val="bottom"/>
            <w:gridSpan w:val="5"/>
          </w:tcPr>
          <w:p>
            <w:pPr>
              <w:jc w:val="right"/>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w w:val="97"/>
              </w:rPr>
              <w:t>commercialization of EYLEA outside the 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Sales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w w:val="93"/>
              </w:rPr>
              <w:t>Cost-sharing of Regeneron EYLEA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gridSpan w:val="2"/>
          </w:tcPr>
          <w:p>
            <w:pPr>
              <w:ind w:left="160"/>
              <w:spacing w:after="0"/>
              <w:rPr>
                <w:sz w:val="20"/>
                <w:szCs w:val="20"/>
                <w:color w:val="auto"/>
              </w:rPr>
            </w:pPr>
            <w:r>
              <w:rPr>
                <w:rFonts w:ascii="Arial" w:cs="Arial" w:eastAsia="Arial" w:hAnsi="Arial"/>
                <w:sz w:val="18"/>
                <w:szCs w:val="18"/>
                <w:color w:val="auto"/>
              </w:rPr>
              <w:t>Cost-sharing of REGN2176-3 development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20" w:type="dxa"/>
            <w:vAlign w:val="bottom"/>
          </w:tcPr>
          <w:p>
            <w:pPr>
              <w:spacing w:after="0"/>
              <w:rPr>
                <w:sz w:val="20"/>
                <w:szCs w:val="20"/>
                <w:color w:val="auto"/>
              </w:rPr>
            </w:pP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Total PDGFR-beta antibody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5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Bayer HealthCare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2012, macular edema secondary to CRVO in 2013, visual impairment due to DME in the third quarter of 2014, and mCNV (in Japan) in the fourth quarter of 2014. In addition, in February 2015, the European Commission approved EYLEA for the treatment of macular edema following RVO, which includes macular edema following BRVO. Regeneron's net profit in connection with commercialization of EYLEA outside the United States is summarized below.</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Bayer HealthCare records revenue from sales of EYLEA outside the United States. Bayer HealthCare provides us with an estimate of our share of the profit or loss,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 In the first quarter of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2015, we earned a $15.0 million sales milestone from Bayer HealthCare upon total aggregate net sales of specific commercial supplies of EYLEA outside the United States exceeding $200 million over a twelve-month period. In the first quarter of 2014, we earned two $15.0 million sales milestones from Bayer HealthCare upon total aggregate net sales of EYLEA outside the United States exceeding $500 million and $600 million, respectively, over a twelve-month period.</w:t>
      </w:r>
    </w:p>
    <w:p>
      <w:pPr>
        <w:spacing w:after="0" w:line="24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Cost-sharing of our global EYLEA development expenses with Bayer HealthCare decreased in the first quarter of 2015 compared to the same period in 2014.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 upon global EYLEA development expenses incurred in connection with BRVO are being shared equally, and any future profits or losses on sales of EYLEA outside of the United States for the treatment of macular edema following BRVO are also shared (for countries other than Japan). We are entitled to receive a tiered percentage of EYLEA net sales in Japan.</w:t>
      </w:r>
    </w:p>
    <w:p>
      <w:pPr>
        <w:spacing w:after="0" w:line="22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In addition, other EYLEA revenue includes reimbursements for producing EYLEA commercial supplies for Bayer HealthCare, and recognition of deferred revenue related to EYLEA up-front and 2007 non-substantive milestone payments from Bayer HealthCare. As of March 31, 2015, $13.1 million of the EYLEA up-front and 2007 milestone payments was deferred and will be recognized ratably as revenue in future periods.</w:t>
      </w:r>
    </w:p>
    <w:p>
      <w:pPr>
        <w:spacing w:after="0" w:line="22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Cost-sharing of REGN2176-3 development expenses with Bayer HealthCare commenced in the first quarter of 2014 following the execution of the companies' PDGFR-beta antibody collaboration agreement as described above under "Collaboration Agreements - Collaborations with Bayer HealthCare - </w:t>
      </w:r>
      <w:r>
        <w:rPr>
          <w:rFonts w:ascii="Arial" w:cs="Arial" w:eastAsia="Arial" w:hAnsi="Arial"/>
          <w:sz w:val="17"/>
          <w:szCs w:val="17"/>
          <w:i w:val="1"/>
          <w:iCs w:val="1"/>
          <w:color w:val="auto"/>
        </w:rPr>
        <w:t>PDGFR-beta antibody outside the United States.</w:t>
      </w:r>
      <w:r>
        <w:rPr>
          <w:rFonts w:ascii="Arial" w:cs="Arial" w:eastAsia="Arial" w:hAnsi="Arial"/>
          <w:sz w:val="17"/>
          <w:szCs w:val="17"/>
          <w:color w:val="auto"/>
        </w:rPr>
        <w:t>" Other PDGFR-beta antibody revenue consists of recognition of deferred revenue related to the PDGFR-beta up-front payment and non-substantive milestones received in the first quarter of 2014. As of March 31, 2015, $17.3 million of the PDGFR-beta up-front and 2014 milestone payments was deferred and will be recognized ratably as revenue in future periods.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Licensing and 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the first quarter of both 2015 and 2014, we recognized $5.9 million of revenue related to this agreement. As of March 31, 2015, $75.1 million of the August 2010 technology licensing payment received from Astellas was deferred and will be recognized as revenue in future periods.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February 2015 Amended ZALTRAP Agreement with Sanofi, we recorded $19.8 million of revenue primarily related to (i) manufacturing ZALTRAP commercial supplies for Sanofi and (ii) a percentage of net sales of ZALTRAP for the period from July 1, 2014 through March 31, 2015.</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addition, under a June 2009 agreement with Novartis, we receive royalties on worldwide sales of Novartis' Ilaris (canakinumab). In the first quarter of 2015 and 2014, technology licensing and other revenue included $2.1 million and $1.6 million, respectively, of royalties from Novartis.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Total operating expenses increased to $586.1 million in the first quarter of 2015 from $434.2 million in the first quarter of 2014. Our average headcount in the first quarter of 2015 increased to 3,066 from 2,389 in the same period in 2014, principally in connection with expanding our research and development and commercialization activities.</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Operating expenses in the first quarter of 2015 and 2014 included a total of $103.8 million and $75.8 million, respectively, of non-cash compensation expense related to employee stock option and restricted stock awards (Non-cash Compensation Expense). The increase in total Non-cash Compensation Expense in the first quarter of 2015 was primarily attributable to the higher fair market value of our Common Stock on the date of our annual employee option grants made in December 2014 compared to recent prior years.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Research and development expenses increased to $343.1 million in the first quarter of 2015 from $287.4 million in the same period of 2014. The following table summarizes the major categories of our research and development expenses:</w:t>
      </w:r>
    </w:p>
    <w:p>
      <w:pPr>
        <w:spacing w:after="0" w:line="234"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color w:val="auto"/>
              </w:rPr>
              <w:t>Research and Development Expenses*</w:t>
            </w:r>
          </w:p>
        </w:tc>
        <w:tc>
          <w:tcPr>
            <w:tcW w:w="2700" w:type="dxa"/>
            <w:vAlign w:val="bottom"/>
            <w:gridSpan w:val="6"/>
          </w:tcPr>
          <w:p>
            <w:pPr>
              <w:ind w:left="60"/>
              <w:spacing w:after="0"/>
              <w:rPr>
                <w:sz w:val="20"/>
                <w:szCs w:val="20"/>
                <w:color w:val="auto"/>
              </w:rPr>
            </w:pPr>
            <w:r>
              <w:rPr>
                <w:rFonts w:ascii="Arial" w:cs="Arial" w:eastAsia="Arial" w:hAnsi="Arial"/>
                <w:sz w:val="18"/>
                <w:szCs w:val="18"/>
                <w:b w:val="1"/>
                <w:bCs w:val="1"/>
                <w:color w:val="auto"/>
                <w:w w:val="98"/>
              </w:rPr>
              <w:t>Three Months Ended March 31,</w:t>
            </w:r>
          </w:p>
        </w:tc>
        <w:tc>
          <w:tcPr>
            <w:tcW w:w="160" w:type="dxa"/>
            <w:vAlign w:val="bottom"/>
          </w:tcPr>
          <w:p>
            <w:pPr>
              <w:spacing w:after="0"/>
              <w:rPr>
                <w:sz w:val="17"/>
                <w:szCs w:val="17"/>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37"/>
        </w:trPr>
        <w:tc>
          <w:tcPr>
            <w:tcW w:w="360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Clinical trial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43"/>
        </w:trPr>
        <w:tc>
          <w:tcPr>
            <w:tcW w:w="3600" w:type="dxa"/>
            <w:vAlign w:val="bottom"/>
            <w:gridSpan w:val="3"/>
          </w:tcPr>
          <w:p>
            <w:pPr>
              <w:ind w:left="20"/>
              <w:spacing w:after="0"/>
              <w:rPr>
                <w:sz w:val="20"/>
                <w:szCs w:val="20"/>
                <w:color w:val="auto"/>
              </w:rPr>
            </w:pPr>
            <w:r>
              <w:rPr>
                <w:rFonts w:ascii="Arial" w:cs="Arial" w:eastAsia="Arial" w:hAnsi="Arial"/>
                <w:sz w:val="18"/>
                <w:szCs w:val="18"/>
                <w:color w:val="auto"/>
              </w:rPr>
              <w:t>Research and other development costs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Occupancy and other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3600" w:type="dxa"/>
            <w:vAlign w:val="bottom"/>
            <w:gridSpan w:val="3"/>
          </w:tcPr>
          <w:p>
            <w:pPr>
              <w:ind w:left="20"/>
              <w:spacing w:after="0"/>
              <w:rPr>
                <w:sz w:val="20"/>
                <w:szCs w:val="20"/>
                <w:color w:val="auto"/>
              </w:rPr>
            </w:pPr>
            <w:r>
              <w:rPr>
                <w:rFonts w:ascii="Arial" w:cs="Arial" w:eastAsia="Arial" w:hAnsi="Arial"/>
                <w:sz w:val="18"/>
                <w:szCs w:val="18"/>
                <w:color w:val="auto"/>
                <w:w w:val="98"/>
              </w:rPr>
              <w:t>Cost-sharing of Bayer HealthCare and Sanofi</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7"/>
              </w:rPr>
              <w:t>Total research and development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340" w:hanging="131"/>
        <w:spacing w:after="0"/>
        <w:tabs>
          <w:tab w:leader="none" w:pos="2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Certain prior year amounts have been reclassified to conform to the current year's presentation.</w:t>
      </w: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1140" w:hanging="160"/>
        <w:spacing w:after="0" w:line="232" w:lineRule="auto"/>
        <w:tabs>
          <w:tab w:leader="none" w:pos="117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Non-cash Compensation Expense of $50.2 million for the three months ended March 31, 2015 and $37.6 million for the three months ended March 31, 2014.</w:t>
      </w:r>
    </w:p>
    <w:p>
      <w:pPr>
        <w:spacing w:after="0" w:line="1" w:lineRule="exact"/>
        <w:rPr>
          <w:rFonts w:ascii="Arial" w:cs="Arial" w:eastAsia="Arial" w:hAnsi="Arial"/>
          <w:sz w:val="23"/>
          <w:szCs w:val="23"/>
          <w:color w:val="auto"/>
          <w:vertAlign w:val="superscript"/>
        </w:rPr>
      </w:pPr>
    </w:p>
    <w:p>
      <w:pPr>
        <w:jc w:val="both"/>
        <w:ind w:left="1140" w:hanging="160"/>
        <w:spacing w:after="0" w:line="232" w:lineRule="auto"/>
        <w:tabs>
          <w:tab w:leader="none" w:pos="120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manufacturing facility. Also includes Non-cash Compensation Expense of $9.3 million for the three months ended March 31, 2015 and $5.7 million for the three months ended March 31, 2014.</w:t>
      </w:r>
    </w:p>
    <w:p>
      <w:pPr>
        <w:spacing w:after="0" w:line="2" w:lineRule="exact"/>
        <w:rPr>
          <w:rFonts w:ascii="Arial" w:cs="Arial" w:eastAsia="Arial" w:hAnsi="Arial"/>
          <w:sz w:val="25"/>
          <w:szCs w:val="25"/>
          <w:color w:val="auto"/>
          <w:vertAlign w:val="superscript"/>
        </w:rPr>
      </w:pPr>
    </w:p>
    <w:p>
      <w:pPr>
        <w:jc w:val="both"/>
        <w:ind w:left="1140" w:hanging="160"/>
        <w:spacing w:after="0" w:line="246" w:lineRule="auto"/>
        <w:tabs>
          <w:tab w:leader="none" w:pos="1205"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 and Sanofi’s estimates are reconciled to their actual expenses for such quarter in the subsequent fiscal quarter, and our portion of our collaborators' development expenses that we are obligated to reimburse is adjusted accordingly.</w:t>
      </w:r>
    </w:p>
    <w:p>
      <w:pPr>
        <w:spacing w:after="0" w:line="252"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due primarily to additional costs for clinical studies of dupilumab and early-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stage antibody product candidates, partly offset by lower Praluent- and EYLEA-related costs. Clinical manufacturing costs increased primarily due to additional costs related to manufacturing drug supplies of Praluent. Cost-sharing of Bayer HealthCare and Sanofi development expenses primarily consists of costs related to our obligation to fund 20% of Sanofi's Phase 3 Praluent and sarilumab development costs, which commenced during the fourth quarter of 2013.</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48"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8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Project Costs</w:t>
            </w:r>
          </w:p>
        </w:tc>
        <w:tc>
          <w:tcPr>
            <w:tcW w:w="280" w:type="dxa"/>
            <w:vAlign w:val="bottom"/>
          </w:tcPr>
          <w:p>
            <w:pPr>
              <w:spacing w:after="0"/>
              <w:rPr>
                <w:sz w:val="16"/>
                <w:szCs w:val="16"/>
                <w:color w:val="auto"/>
              </w:rPr>
            </w:pPr>
          </w:p>
        </w:tc>
        <w:tc>
          <w:tcPr>
            <w:tcW w:w="148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March 31,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80" w:type="dxa"/>
            <w:vAlign w:val="bottom"/>
            <w:gridSpan w:val="3"/>
          </w:tcPr>
          <w:p>
            <w:pPr>
              <w:ind w:left="40"/>
              <w:spacing w:after="0"/>
              <w:rPr>
                <w:sz w:val="20"/>
                <w:szCs w:val="20"/>
                <w:color w:val="auto"/>
              </w:rPr>
            </w:pPr>
            <w:r>
              <w:rPr>
                <w:rFonts w:ascii="Arial" w:cs="Arial" w:eastAsia="Arial" w:hAnsi="Arial"/>
                <w:sz w:val="18"/>
                <w:szCs w:val="18"/>
                <w:color w:val="auto"/>
              </w:rPr>
              <w:t>EYLEA</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338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Selling, general, and administrative expenses increased to $159.0 million in the first quarter of 2015 from $103.2 million in the first quarter of 2014 primarily due to higher costs associated with the Branded Prescription Drug Fee, higher headcount and related costs, and higher Non-cash Compensation Expense principally for the reason described under "</w:t>
      </w:r>
      <w:r>
        <w:rPr>
          <w:rFonts w:ascii="Arial" w:cs="Arial" w:eastAsia="Arial" w:hAnsi="Arial"/>
          <w:sz w:val="18"/>
          <w:szCs w:val="18"/>
          <w:i w:val="1"/>
          <w:iCs w:val="1"/>
          <w:color w:val="auto"/>
        </w:rPr>
        <w:t>Expenses</w:t>
      </w:r>
      <w:r>
        <w:rPr>
          <w:rFonts w:ascii="Arial" w:cs="Arial" w:eastAsia="Arial" w:hAnsi="Arial"/>
          <w:sz w:val="18"/>
          <w:szCs w:val="18"/>
          <w:color w:val="auto"/>
        </w:rPr>
        <w:t>" above, partly offset by lower contributions to not-for-profit organizations that assist patients with chronic disease conditions. Selling, general, and administrative expenses included $42.2 million and $32.0 million of Non-cash Compensation Expense in the first quarter of 2015 and 2014,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Cost of goods sold was $42.6 million in the first quarter of 2015 and $27.5 million in the first quarter of 2014. Cost of goods sold, which primarily consists of royalties, as well as costs in connection with producing EYLEA and ARCALYST commercial supplies, increased principally due to the increase in U.S. EYLEA net product sales.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Cost of collaboration and contract manufacturing, which includes costs we incur in connection with producing commercial drug supplies for Sanofi and Bayer HealthCare, increased to $41.4 million in the first quarter of 2015 from $16.1 million in the first quarter of 2014. This increase was primarily due to royalties payable to Genentech in connection with higher sales of EYLEA outside the United States, as well as the recognition of costs associated with commercial supplies of ZALTRAP. Under our collaboration arrangements, when the product is sold by our collaborators to third-party customers, our risk of inventory loss no longer exists, and we therefore recognize our related manufacturing costs for the sold product as cost of collaboration manufacturing. However, as described above, in February 2015, we entered into an Amended ZALTRAP Agreement with Sanofi. As a result, in the first quarter of 2015 we recognized as expense $20.2 million of previously inventoried costs for ZALTRAP commercial supplies that were shipped to Sanofi because our risk of inventory loss no longer exists under the Amended ZALTRAP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Total other expenses (net of other income) decreased to $7.0 million in the first quarter of 2015 from $10.7 million in the first quarter of 2014. Interest expense in the first quarter of 2015 and 2014 primarily includes interest associated with our 1.875% convertible senior notes (the Notes), including amortization of the note discount and debt issuance costs, and interest associated with our facility lease obligations. Interest expense in the first quarter of 2015 decreased compared to the first quarter of 2014 primarily due to $237.3 million principal amount of our convertible senior notes which were surrendered for conversion since the first quarter of 2014. In addition, in the first quarter of 2015, we recognized a $0.9 million loss in connection with $6.7 million principal amount of our Notes which were surrendered for conversion during the first quarter of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quarter of 2015 and 2014, we recorded income tax expense of $200.5 million and $112.6 million, respectively. The effective tax rate was 72.5% and 62.2% for the first quarter of 2015 and 2014, respectively. The first quarter 2015 effective tax rate was negatively impacted by (i) losses incurred in foreign jurisdictions with rates lower than the U.S. federal statutory rate, (ii) the non-tax deductible Branded Prescription Drug Fee, and (iii) expiration, at the end of 2014, of the federal tax credit for increased research activities.</w:t>
      </w:r>
    </w:p>
    <w:p>
      <w:pPr>
        <w:spacing w:after="0" w:line="281" w:lineRule="exact"/>
        <w:rPr>
          <w:sz w:val="20"/>
          <w:szCs w:val="20"/>
          <w:color w:val="auto"/>
        </w:rPr>
      </w:pPr>
    </w:p>
    <w:p>
      <w:pPr>
        <w:jc w:val="both"/>
        <w:ind w:firstLine="243"/>
        <w:spacing w:after="0" w:line="325" w:lineRule="auto"/>
        <w:rPr>
          <w:sz w:val="20"/>
          <w:szCs w:val="20"/>
          <w:color w:val="auto"/>
        </w:rPr>
      </w:pPr>
      <w:r>
        <w:rPr>
          <w:rFonts w:ascii="Arial" w:cs="Arial" w:eastAsia="Arial" w:hAnsi="Arial"/>
          <w:sz w:val="17"/>
          <w:szCs w:val="17"/>
          <w:color w:val="auto"/>
        </w:rPr>
        <w:t>The effective tax rate for the first quarter of 2014 was negatively impacted by (i) expiration at the end of 2013 of the federal tax credit for increased research activities, (ii) losses incurred in foreign jurisdictions with rates lower than the U.S. federal statutory rate, and (iii) New York state tax legislation enacted in the first quarter of 2014. The tax legislation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10.4% for the first quarter of 2014.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sources and uses of cash discussion below reflects certain revisions to previously-issued financial statements. See Note 4 of the Notes to Condensed Consolidated Financial Statements for a description of such revisions.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Three Months Ended March 31, 2015 and 2014</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March 31, 2015, we had $1,225.5 million in cash, cash equivalents, and marketable securities compared with $1,360.6 million as of December 31, 2014. Additionally, as of March 31, 2015, we had borrowing availability of $750.0 million under a revolving credit facility that was entered into during the first quarter of 2015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Operating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operating activities was $87.5 million in the first quarter of 2015. Our net income of $76.0 million in the first quarter of 2015 included Non-cash Compensation Expense of $103.8 million and depreciation and amortization of $16.0 million. In addition, deferred tax assets as of March 31, 2015 increased by $10.9 million, compared to December 31, 2014, primarily due to an increase in Non-cash Compensation Expense, partly offset by a reduction in deferred revenue.</w:t>
      </w:r>
    </w:p>
    <w:p>
      <w:pPr>
        <w:spacing w:after="0" w:line="241"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As of March 31, 2015, Sanofi, Bayer HealthCare, and trade accounts receivable increased by $321.1 million, compared to December 31, 2014, primarily due to higher trade accounts receivable resulting from lengthened payment terms to certain of our U.S. EYLEA customers effective mid-2014. Prepaid expenses and other assets as of March 31, 2015 decreased by $35.9 million, compared to December 31, 2014, primarily due to a decrease in prepaid taxes used to offset current taxes payable. Our deferred revenue as of March 31, 2015 decreased by $16.1 million, compared to December 31, 2014, primarily due to (i) recognition of previously deferred ZALTRAP revenue related to amounts that were previously reimbursed by Sanofi for manufacturing commercial supplies of ZALTRAP, and (ii) amortization of a previously received and deferred $165.0 million payment under our license agreement with Astellas, partly offset by higher deferred revenue in connection with manufacturing commercial supplies of EYLEA for Bayer HealthCare, which is deferred until the product is sold by Bayer HealthCare to third-party customers. Accounts payable, accrued expenses, and other liabilities increased by $25.5 million as of March 31, 2015, compared to December 31, 2014, primarily due to (i) higher income taxes payable and (ii) accruals for sales-related charges (including the impact of the Branded Prescription Drug Fee), deductions, and royalties related to EYLEA, partly offset by (iii) lower payroll-related liabilities as our year-end 2014 employee cash bonuses were paid in the first quarter of 2015.</w:t>
      </w:r>
    </w:p>
    <w:p>
      <w:pPr>
        <w:spacing w:after="0" w:line="23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Net cash provided by operating activities was $53.5 million in the first quarter of 2014. Our net income of $68.3 million in the first quarter of 2014 included the following non-cash expenses: (i) Non-cash Compensation Expense of $75.8 million, (ii) depreciation and amortization of $11.5 million, and (iii) non-cash interest expense of $5.9 million, primarily resulting from the amortization of the discount and debt issuance costs in connection with our convertible senior notes. In addition, deferred tax assets as of March 31, 2014 increased by $5.8 million, compared to end-of-year 2013, primarily due to an increase in Non-cash Compensation Expense and deferred revenue, partly offset by the reduction of our deferred tax assets related to the New York State tax legislation enacted in the first quarter of 2014, which reduced our New York State income tax rate to zero percent effective in 2014.</w:t>
      </w:r>
    </w:p>
    <w:p>
      <w:pPr>
        <w:spacing w:after="0" w:line="232"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As of March 31, 2014, Sanofi, Bayer HealthCare, and trade accounts receivable increased by $92.5 million, compared to December 31, 2013, primarily due to higher trade accounts receivable in connection with U.S. EYLEA product sales, higher amounts receivable from Sanofi in connection with reimbursement of our antibody development costs, and higher amounts receivable from Bayer HealthCare in connection with the commercialization of EYLEA outside the United States. Inventories increased by $15.6 million, compared to December 31, 2013, primarily in connection with increased production of EYLEA commercial supplies. Prepaid expenses and other assets increased by $20.9 million, compared to end-of-year 2013, primarily due to higher prepaid sales-related fees. Our deferred revenue as of March 31, 2014 decreased by $37.1 million, compared to December 31, 2013, primarily due to</w:t>
      </w:r>
    </w:p>
    <w:p>
      <w:pPr>
        <w:spacing w:after="0" w:line="5" w:lineRule="exact"/>
        <w:rPr>
          <w:sz w:val="20"/>
          <w:szCs w:val="20"/>
          <w:color w:val="auto"/>
        </w:rPr>
      </w:pPr>
    </w:p>
    <w:p>
      <w:pPr>
        <w:jc w:val="both"/>
        <w:ind w:firstLine="8"/>
        <w:spacing w:after="0" w:line="252" w:lineRule="auto"/>
        <w:tabs>
          <w:tab w:leader="none" w:pos="24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receipt of a $25.5 million upfront payment as well as two $2.5 million non-substantive development milestone payments in connection with our PDGFR-beta antibody collaboration agreement with Bayer HealthCare, and (ii) higher deferred revenue in connection with manufacturing commercial supplies of EYLEA for Bayer HealthCare. This revenue is deferred until the product is sold by Bayer HealthCare to third-party customers. These increases were partly offset by amortization of a previously received and deferred $165.0 million payment under our license agreement with Astellas and amortization of previously deferred payments under our Sanofi and Bayer HealthCare collaborations. Accounts payable, accrued expenses, and other liabilities decreased by $14.1 million as of March 31, 2014, compared to December 31, 2013, primarily due to lower payroll-related liabilities as our year-end 2013 employee cash bonuses were paid in the first quarter of 2014 and lower liabilities for vendor invoices received but not yet paid, partly offset by higher accruals for sales-related charges.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Net cash used in investing activities was $129.5 million and $236.2 million in the first quarter of 2015 and 2014, respectively. In the first quarter of 2015 and 2014, purchases of marketable securities exceeded sales or maturities by $15.3 million and $171.4 million, respectively. Capital expenditures were $114.2 million and $64.8 million in the first quarter of 2015 and 2014, respectively. Capital expenditures in the first quarter of 2015 primarily included costs in connection with renovations of our Limerick, Ireland manufacturing facility and tenant improvement and associated costs related to two new buildings under construction at our leased Tarrytown, New York facilities. Capital expenditures in the first quarter of 2014 primarily included costs in connection with purchasing manufacturing equipment, expanding our Rensselaer, New York manufacturing facilities, and tenant improvement and associated costs related to our leased facilities in Tarrytown, New York.</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Net cash provided by financing activities was $76.2 million and $109.0 million in the first quarter of 2015 and 2014, respectively. In the first quarter of 2015, $16.7 million principal amount of our Notes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the first quarter of 2015, we paid an aggregate amount of $124.5 million to a warrant holder to reduce the maximum number of shares of Common Stock issuable upon exercise of the warrants. Proceeds from issuances of Common Stock, in connection with exercises of employee stock options, were $76.3 million in the first quarter of 2015, compared to $55.0 million in the first quarter of 2014. In addition, payments for employee tax obligations in connection with stock option exercises and vesting of restricted stock were $21.2 million in the first quarter of 2015 compared to $63.1 million in the first quarter of 2014. Cash flows from financing activities also increased by $155.6 million and $117.3 million in the first quarter of 2015 and 2014, respectively, due to utilization of excess tax benefits in connection with stock option exercises, which offset cash tax obligations.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March 31, 2015.</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March 31,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April 2013, we entered into a new lease agreement for approximately 297,000 square feet of additional new laboratory and office space to be constructed in two new buildings (the Buildings), which are expected to be completed in the second half of 2015, at our current Tarrytown, New York location. The term of the lease, which commenced during the second half of 2014, is approximately 15 years and contains three renewal options to extend the term of the lease by five years each. The lease provides for (i) monthly payments over its term, which are expected to commence in the second half of 2015 and will be based on the landlord's costs of construction and tenant allowances, and (ii) additional charges for utilities, taxes, and operating expenses. Based upon various factors, including our involvement in the Buildings' construction and our responsibility for directly paying for a substantial portion of tenant improvements, we are deemed, in substance, to be the owner of the landlord's Buildings in accordance with the application of Financial Accounting Standards Board (FASB) authoritative guidance. Consequently, in addition to capitalizing the tenant improvements, we capitalize the landlord's costs of constructing these new facilities, offset by a corresponding facility lease obligation. In addition, we recognize, as additional facility lease obligation, reimbursements from our landlord for tenant improvement costs that we incurred since, under FASB authoritative guidance, such payments that we receive from our landlord are deemed to be a financing obligation. We will allocate a portion of our future lease payments to the Buildings and the land on which the Buildings are being constructed. The land element of the lease is treated for accounting purposes as an operating lease. As of March 31, 2015 and December 31, 2014, the Buildings' facility lease obligation balance was $170.6 million and $152.8 million,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cash expenditures for property, plant, and equipment totaled $114.2 million in the first quarter of 2015 and $64.8 million in the first quarter of 2014 (as described above under "</w:t>
      </w: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 above). In addition, in April 2015, we acquired an approximate 100-acre parcel of undeveloped land adjacent to our current Tarrytown, New York location for an aggregate purchase price of $73.0 million. We intend to develop this property to accommodate and support our growth, primarily in connection with expanding our existing research and development and office space.</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expect to incur capital expenditures of approximately $535 million to $635 million during the last three quarters of 2015 primarily in connection with renovating our new Limerick, Ireland facility, tenant improvements primarily related to the two new buildings under construction at our leased Tarrytown, New York facilities, expanding and renovating a portion of our manufacturing facilities at our Rensselaer, New York facility, and purchase of the land described above.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expect continued increases in our expenditures, particularly in connection with our research and development activities (including preclinical and clinical testing), capital expenditures, costs related to the preparation for potential commercialization of our late-stage antibody product candidates, and commercialization of EYLEA. We believe that our existing capital resources, borrowing availability under our revolving credit facility, funds generated by anticipated EYLEA net product sales, and funding for reimbursement of development costs that we are entitled to receive under our collaboration agreements will enable us to meet our projected operating needs for the foreseeable future. As described above, research and development expenses that we incur in connection with our antibodies collaboration are generally funded by Sanofi, except that following receipt of the first positive Phase 3 trial results for a co-developed antibody drug candidate, subsequent Phase 3 trial-related costs for that drug candidate are shared 80% by Sanofi and 20% by us. In addition, as described above, we and Bayer HealthCare share (i) agreed-upon development expenses that both companies incur in connection with our EYLEA collaboration, and (ii) development costs under the initial development plan in connection with our PDGFR-beta antibody collaboration.</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our collaboration agreements with Sanofi and Bayer HealthCare,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in connection with EYLEA outside the United States, Bayer HealthCare for a defined percentage (generally 50%) of agreed-upon development expenses incurred by Sanofi and Bayer HealthCare, respectively. These reimbursements would be deducted each quarter, in accordance with a formula, from our share of the collaboration profits (and, for our EYLEA collaboration with Bayer HealthCare, our percentage on product sales in Japan) otherwise payable to us, unless, in some cases, we elect to reimburse these expenses at a faster rate. In particular, as of December 31, 2014, our contingent reimbursement obligation to Bayer HealthCare for EYLEA was approximately $262 million. Therefore, we expect that, for the foreseeable future, a portion of our share of profits from sales of EYLEA outside the United States will be used to reimburse our collaborator for this obligation.</w:t>
      </w:r>
    </w:p>
    <w:p>
      <w:pPr>
        <w:spacing w:after="0" w:line="236"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We enter into research collaboration and licensing agreements that may require us to pay amounts upon the achievement of various development and commercial milestones, which, in the aggregate, could be significant. For example, in May 2013, we acquired from Sanofi full exclusive rights to antibodies targeting the PDGF family of receptors and ligands in ophthalmology and all other indications; consequently, we are obligated to pay up to $30.0 million in potential additional development milestones as well as royalties on any future sales of PDGF antibodies. Additionally, if required by the agreement, we may be required to make royalty payments calculated based on a percentage of net product sales. The payment of these amounts, however, is contingent upon the occurrence of various future events, which have a high degree of uncertainty of occurring and for which the specific timing cannot be predicted.</w:t>
      </w:r>
    </w:p>
    <w:p>
      <w:pPr>
        <w:spacing w:after="0" w:line="21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Our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some or all commercialization costs may be shared with our collaborators). Currently, we are required to pay royalties on sales of commercial products. In the future, if we are able to successfully develop, market, and sell certain of our product candidates, we may be required to pay additional royalties or share the profits from such sales pursuant to our license or collaboration agreements. In addition, under the provisions of the Patient Protection and Affordable Care Act (PPACA) and the Health Care and Education Reconciliation Act of 2010, the Branded Prescription Drug Fee is imposed on pharmaceutical manufacturers that sell branded prescription drugs to specified government programs. This fee is allocated to companies, including Regeneron, based on their market share of total branded prescription drug sales into these government programs.</w:t>
      </w:r>
    </w:p>
    <w:p>
      <w:pPr>
        <w:spacing w:after="0" w:line="22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described above, in the first quarter of 2015 and 2014, we made cash payments of $21.2 million and $63.1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April 2015, we received notification that an additional $127.3 million principal amount of our Notes were surrendered for conversion, and settlement is anticipated during the second quarter of 2015. We elected to settle these conversion obligations through a combination of cash and shares (total payment will be based on the average of the volume-weighted-average prices of the Common Stock during the 40 trading-day cash settlement averaging period specified in the indenture governing the Notes). In connection with these Note conversions, we exercised a proportionate amount of our Note hedges, for which we expect to receive shares of Common Stock equivalent to the number of shares we will be required to issue to settle the non-cash portion of the related Note conversions. In future periods, other holders of these debt securities may surrender their Notes for conversion.</w:t>
      </w:r>
    </w:p>
    <w:p>
      <w:pPr>
        <w:spacing w:after="0" w:line="23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may also from time to time seek to repurchase or retire our outstanding Notes, or other outstanding securities, through cash purchases or exchanges for other securities, in open market purchases, privately negotiated transactions, or otherwise.</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Due primarily to the amounts of our tax credit carry-forwards available for tax purposes, which totaled approximately $143 million as of December 31, 2014, and potential excess tax benefits in connection with stock option exercises, we expect our cash income tax payments for 2015 to be significantly less than the income tax expense recorded in our financial statements in 2015, which is based on an effective tax rate.</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our PDGFR-beta antibody agreement with Bayer HealthCare, we are eligible to receive up to $15.0 million in future development milestone payments from Bayer HealthCare (representing 50% of the development milestone payments potentially due to Sanofi as described above), although certain of these development milestone payments could be reduced by half if Bayer HealthCare does not opt-in to the collaboration. Furthermore, if Bayer HealthCare exercises their right to opt-in to the collaboration, they will be obligated to pay a $20.0 million opt-in payment to us, and pay a $20.0 million development milestone to us upon receipt of the first marketing approval in the EU or Japan. During the first quarter of 2015, we earned our final sales milestone payment ($15.0 million) from Bayer HealthCare in connection with sales of EYLEA outside in the United States.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In May 2014, the FASB issued a new standard related to revenue recognition,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interim and annual reporting periods beginning after December 15, 2016, and early adoption is not permitted.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Around Market Risk" of our Annual Report on Form 10-K for the fiscal year ended December 31, 2014 (filed February 12, 2015). There have been no material changes to our market risks or to our management of such risks as of March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ind w:left="2600"/>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March 31, 2015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in our Annual Report on Form 10-K for the year ended December 31, 2014 (filed February 12, 2015)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287 Patent and </w:t>
      </w:r>
      <w:r>
        <w:rPr>
          <w:rFonts w:ascii="Arial" w:cs="Arial" w:eastAsia="Arial" w:hAnsi="Arial"/>
          <w:sz w:val="18"/>
          <w:szCs w:val="18"/>
          <w:color w:val="auto"/>
        </w:rPr>
        <w:t>'</w:t>
      </w:r>
      <w:r>
        <w:rPr>
          <w:rFonts w:ascii="Arial" w:cs="Arial" w:eastAsia="Arial" w:hAnsi="Arial"/>
          <w:sz w:val="18"/>
          <w:szCs w:val="18"/>
          <w:b w:val="1"/>
          <w:bCs w:val="1"/>
          <w:i w:val="1"/>
          <w:iCs w:val="1"/>
          <w:color w:val="auto"/>
        </w:rPr>
        <w:t>018 Patent</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As previously reported, we had sued Merus B.V., a company based in Utrecht, The Netherlands, for infringement of our European Patent No. 1,360,287 in the District Court of The Hague and for infringement of our U.S. Patent No. 8,502,018 (the '018 Patent) in the United States District Court for the Southern District of New York. Both of these patents concern genetically altered mice capable of producing chimeric antibodies that are part human and part mouse. On November 21, 2014, the United States District Court for the Southern District of New York issued its Opinion and Order on Claim Construction in the '018 Patent infringement litigation, in which it effectively found that Merus did not infringe the '018 Patent and held the '018 Patent invalid. On December 19, 2014, we petitioned the court to enter a final judgment so that we could appeal the court’s ruling. On January 15, 2015, the court declined to enter a final judgment on infringement and validity, resulting in our inability to appeal the court's ruling at this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HealthCare are unable to continue to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three months ended March 31, 2015 and 2014, EYLEA net sales in the United States represented 62% and 57%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We are subject to significant ongoing regulatory obligations and oversight with respect to EYLEA. If we fail to maintain regulatory compliance for EYLEA, we may lose marketing approval, which would materially harm our business, prospects, operating results, and financial condition.</w:t>
      </w:r>
    </w:p>
    <w:p>
      <w:pPr>
        <w:spacing w:after="0" w:line="17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We are subject to significant ongoing regulatory obligations and oversight with respect to EYLEA for its currently approved indications in the United States, EU, and other countries where the product is approved. If we fail to maintain regulatory compliance for EYLEA for its currently approved indications, we may lose marketing approval,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2"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There are risks inherent in intravitreal injections, including intravitreal injections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Our sales in the United States of EYLEA are dependent, in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16"/>
        <w:spacing w:after="0" w:line="227" w:lineRule="auto"/>
        <w:rPr>
          <w:sz w:val="20"/>
          <w:szCs w:val="20"/>
          <w:color w:val="auto"/>
        </w:rPr>
      </w:pPr>
      <w:r>
        <w:rPr>
          <w:rFonts w:ascii="Arial" w:cs="Arial" w:eastAsia="Arial" w:hAnsi="Arial"/>
          <w:sz w:val="17"/>
          <w:szCs w:val="17"/>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for the treatment of wet AMD, macular edema following RVO, DME, visual impairment due to mCNV, diabetic retinopathy in patients with DME, and other eye indications.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approved by the FDA in June 2006 for the treatment of wet AMD, in June 2010 for the treatment of macular edema following RVO (including CRVO and BRVO), in August 2012 for the treatment of DME, and in February 2015 for the treatment of diabetic retinopathy in patients with DME. Lucentis</w:t>
      </w:r>
      <w:r>
        <w:rPr>
          <w:rFonts w:ascii="Arial" w:cs="Arial" w:eastAsia="Arial" w:hAnsi="Arial"/>
          <w:sz w:val="17"/>
          <w:szCs w:val="17"/>
          <w:color w:val="auto"/>
          <w:vertAlign w:val="superscript"/>
        </w:rPr>
        <w:t>®</w:t>
      </w:r>
      <w:r>
        <w:rPr>
          <w:rFonts w:ascii="Arial" w:cs="Arial" w:eastAsia="Arial" w:hAnsi="Arial"/>
          <w:sz w:val="17"/>
          <w:szCs w:val="17"/>
          <w:color w:val="auto"/>
        </w:rPr>
        <w:t xml:space="preserve"> was also approved by the EMA for wet AMD in January 2007, for DME in January 2011, for the treatment of macular edema following RVO (including CRVO and BRVO) in June 2011, and for mCNV in July 2013. Competitors are also exploring the development of a biosimilar version of Lucentis</w:t>
      </w:r>
      <w:r>
        <w:rPr>
          <w:rFonts w:ascii="Arial" w:cs="Arial" w:eastAsia="Arial" w:hAnsi="Arial"/>
          <w:sz w:val="24"/>
          <w:szCs w:val="24"/>
          <w:color w:val="auto"/>
          <w:vertAlign w:val="superscript"/>
        </w:rPr>
        <w:t>®</w:t>
      </w:r>
      <w:r>
        <w:rPr>
          <w:rFonts w:ascii="Arial" w:cs="Arial" w:eastAsia="Arial" w:hAnsi="Arial"/>
          <w:sz w:val="17"/>
          <w:szCs w:val="17"/>
          <w:color w:val="auto"/>
        </w:rPr>
        <w:t>; in particular, Pfenex Inc. is developing PF582, which is currently in a Phase 1b/2a trial in patients with wet AMD. Other competitive or potentially competitive products include Allergan's Ozurdex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(dexamethasone intravitreal implant) (approved by the FDA in June 2009 for the treatment of macular edema following RVO and in September 2014 for the treatment of DME) and Alimera Sciences' Iluvien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(fluocinolone acetonide intravitreal implant)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16"/>
        <w:spacing w:after="0" w:line="220" w:lineRule="auto"/>
        <w:rPr>
          <w:sz w:val="20"/>
          <w:szCs w:val="20"/>
          <w:color w:val="auto"/>
        </w:rPr>
      </w:pPr>
      <w:r>
        <w:rPr>
          <w:rFonts w:ascii="Arial" w:cs="Arial" w:eastAsia="Arial" w:hAnsi="Arial"/>
          <w:sz w:val="18"/>
          <w:szCs w:val="18"/>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in January 2012, Genentech submitted an IND for such an extended delivery device. Novartis is developing ESBA1008 (RTH258), a humanized monoclonal single-chain FV (scFv) antibody fragment targeting VEGF-A for wet AMD, and initiated a non-inferiority Phase 3 trial comparing RTH258 (ESBA1008) and EYLEA in December 2014. Allergan is developing abicipar pegol (an anti-VEGF-A DARPin</w:t>
      </w:r>
      <w:r>
        <w:rPr>
          <w:rFonts w:ascii="Arial" w:cs="Arial" w:eastAsia="Arial" w:hAnsi="Arial"/>
          <w:sz w:val="25"/>
          <w:szCs w:val="25"/>
          <w:color w:val="auto"/>
          <w:vertAlign w:val="superscript"/>
        </w:rPr>
        <w:t>®</w:t>
      </w:r>
      <w:r>
        <w:rPr>
          <w:rFonts w:ascii="Arial" w:cs="Arial" w:eastAsia="Arial" w:hAnsi="Arial"/>
          <w:sz w:val="18"/>
          <w:szCs w:val="18"/>
          <w:color w:val="auto"/>
        </w:rPr>
        <w:t>) for wet AMD and related conditions and a Phase 2 trial has been completed. Additionally, companies are developing products (or combinations of products) to treat wet AMD that act by blocking VEGF and VEGF receptors, as well as other targets (for example, PDGF). Ophthotech Corporation is developing Fovista</w:t>
      </w:r>
      <w:r>
        <w:rPr>
          <w:rFonts w:ascii="Arial" w:cs="Arial" w:eastAsia="Arial" w:hAnsi="Arial"/>
          <w:sz w:val="25"/>
          <w:szCs w:val="25"/>
          <w:color w:val="auto"/>
          <w:vertAlign w:val="superscript"/>
        </w:rPr>
        <w:t>™</w:t>
      </w:r>
      <w:r>
        <w:rPr>
          <w:rFonts w:ascii="Arial" w:cs="Arial" w:eastAsia="Arial" w:hAnsi="Arial"/>
          <w:sz w:val="18"/>
          <w:szCs w:val="18"/>
          <w:color w:val="auto"/>
        </w:rPr>
        <w:t>, an aptamer directed against platelet-derived growth factor subunit B (PDGF-B), as a product candidate intended to be used in combination with an anti-VEGF therapy in wet AMD. In 2013, Ophthotech initiated Phase 3 trials in AMD evaluating multiple combinations of Fovista</w:t>
      </w:r>
      <w:r>
        <w:rPr>
          <w:rFonts w:ascii="Arial" w:cs="Arial" w:eastAsia="Arial" w:hAnsi="Arial"/>
          <w:sz w:val="25"/>
          <w:szCs w:val="25"/>
          <w:color w:val="auto"/>
          <w:vertAlign w:val="superscript"/>
        </w:rPr>
        <w:t>™</w:t>
      </w:r>
      <w:r>
        <w:rPr>
          <w:rFonts w:ascii="Arial" w:cs="Arial" w:eastAsia="Arial" w:hAnsi="Arial"/>
          <w:sz w:val="18"/>
          <w:szCs w:val="18"/>
          <w:color w:val="auto"/>
        </w:rPr>
        <w:t>, including 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 Fovista</w:t>
      </w:r>
      <w:r>
        <w:rPr>
          <w:rFonts w:ascii="Arial" w:cs="Arial" w:eastAsia="Arial" w:hAnsi="Arial"/>
          <w:sz w:val="25"/>
          <w:szCs w:val="25"/>
          <w:color w:val="auto"/>
          <w:vertAlign w:val="superscript"/>
        </w:rPr>
        <w:t>™</w:t>
      </w:r>
      <w:r>
        <w:rPr>
          <w:rFonts w:ascii="Arial" w:cs="Arial" w:eastAsia="Arial" w:hAnsi="Arial"/>
          <w:sz w:val="18"/>
          <w:szCs w:val="18"/>
          <w:color w:val="auto"/>
        </w:rPr>
        <w:t>, 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 + Fovista</w:t>
      </w:r>
      <w:r>
        <w:rPr>
          <w:rFonts w:ascii="Arial" w:cs="Arial" w:eastAsia="Arial" w:hAnsi="Arial"/>
          <w:sz w:val="25"/>
          <w:szCs w:val="25"/>
          <w:color w:val="auto"/>
          <w:vertAlign w:val="superscript"/>
        </w:rPr>
        <w:t>™</w:t>
      </w:r>
      <w:r>
        <w:rPr>
          <w:rFonts w:ascii="Arial" w:cs="Arial" w:eastAsia="Arial" w:hAnsi="Arial"/>
          <w:sz w:val="18"/>
          <w:szCs w:val="18"/>
          <w:color w:val="auto"/>
        </w:rPr>
        <w:t>, and EYLEA + Fovista</w:t>
      </w:r>
      <w:r>
        <w:rPr>
          <w:rFonts w:ascii="Arial" w:cs="Arial" w:eastAsia="Arial" w:hAnsi="Arial"/>
          <w:sz w:val="25"/>
          <w:szCs w:val="25"/>
          <w:color w:val="auto"/>
          <w:vertAlign w:val="superscript"/>
        </w:rPr>
        <w:t>™</w:t>
      </w:r>
      <w:r>
        <w:rPr>
          <w:rFonts w:ascii="Arial" w:cs="Arial" w:eastAsia="Arial" w:hAnsi="Arial"/>
          <w:sz w:val="18"/>
          <w:szCs w:val="18"/>
          <w:color w:val="auto"/>
        </w:rPr>
        <w:t>. Genentech initiated a Phase 1 trial of a bi-specific antibody targeting both VEGF and Ang2 for wet AMD.</w:t>
      </w:r>
    </w:p>
    <w:p>
      <w:pPr>
        <w:spacing w:after="0" w:line="265" w:lineRule="exact"/>
        <w:rPr>
          <w:sz w:val="20"/>
          <w:szCs w:val="20"/>
          <w:color w:val="auto"/>
        </w:rPr>
      </w:pPr>
    </w:p>
    <w:p>
      <w:pPr>
        <w:jc w:val="both"/>
        <w:ind w:firstLine="243"/>
        <w:spacing w:after="0" w:line="218" w:lineRule="auto"/>
        <w:rPr>
          <w:sz w:val="20"/>
          <w:szCs w:val="20"/>
          <w:color w:val="auto"/>
        </w:rPr>
      </w:pPr>
      <w:r>
        <w:rPr>
          <w:rFonts w:ascii="Arial" w:cs="Arial" w:eastAsia="Arial" w:hAnsi="Arial"/>
          <w:sz w:val="17"/>
          <w:szCs w:val="17"/>
          <w:color w:val="auto"/>
        </w:rPr>
        <w:t>In addition, ophthalmologists are using with success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7"/>
          <w:szCs w:val="17"/>
          <w:color w:val="auto"/>
        </w:rPr>
        <w:t>, for the treatment of wet AMD, DME, and RVO. The relatively low cost of therapy with repackaged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in patients with wet AMD presents a significant competitive challenge in this indication. Competitors (including Amgen) are also developing a biosimilar version of Avastin</w:t>
      </w:r>
      <w:r>
        <w:rPr>
          <w:rFonts w:ascii="Arial" w:cs="Arial" w:eastAsia="Arial" w:hAnsi="Arial"/>
          <w:sz w:val="24"/>
          <w:szCs w:val="24"/>
          <w:color w:val="auto"/>
          <w:vertAlign w:val="superscript"/>
        </w:rPr>
        <w:t>®</w:t>
      </w:r>
      <w:r>
        <w:rPr>
          <w:rFonts w:ascii="Arial" w:cs="Arial" w:eastAsia="Arial" w:hAnsi="Arial"/>
          <w:sz w:val="17"/>
          <w:szCs w:val="17"/>
          <w:color w:val="auto"/>
        </w:rPr>
        <w:t>. Long-term, controlled clinical trials comparing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the treatment of wet AMD are being conducted.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mean visual acuity gain; as-needed dosing was </w:t>
      </w:r>
      <w:r>
        <w:rPr>
          <w:rFonts w:ascii="Arial" w:cs="Arial" w:eastAsia="Arial" w:hAnsi="Arial"/>
          <w:sz w:val="17"/>
          <w:szCs w:val="17"/>
          <w:i w:val="1"/>
          <w:iCs w:val="1"/>
          <w:color w:val="auto"/>
        </w:rPr>
        <w:t>not</w:t>
      </w:r>
      <w:r>
        <w:rPr>
          <w:rFonts w:ascii="Arial" w:cs="Arial" w:eastAsia="Arial" w:hAnsi="Arial"/>
          <w:sz w:val="17"/>
          <w:szCs w:val="17"/>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also being evaluated in eye diseases in trials that have been initiated in the United Kingdom, Canada, Brazil, Mexico, Germany, Israel, and other countries. Furthermore,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present significant competitive challenges as doctors and patients have had significant experience using these medicines. Moreover, the reported results of the CATT study, combined with the relatively low cost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treating patients with wet AMD, may well exacerbate the competitive challenge which EYLEA faces in this or other eye indications for which it may be approved. 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 See also "Risks Related to Commercialization of Products - </w:t>
      </w:r>
      <w:r>
        <w:rPr>
          <w:rFonts w:ascii="Arial" w:cs="Arial" w:eastAsia="Arial" w:hAnsi="Arial"/>
          <w:sz w:val="17"/>
          <w:szCs w:val="17"/>
          <w:i w:val="1"/>
          <w:iCs w:val="1"/>
          <w:color w:val="auto"/>
        </w:rPr>
        <w:t>We may be unsuccessful in continuing the commercialization of our marketed products or in commercializing our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candidates or new indications for our marketed products, if approved, which would materially and adversely affect our business, profitability, and future prospects</w:t>
      </w:r>
      <w:r>
        <w:rPr>
          <w:rFonts w:ascii="Arial" w:cs="Arial" w:eastAsia="Arial" w:hAnsi="Arial"/>
          <w:sz w:val="17"/>
          <w:szCs w:val="17"/>
          <w:color w:val="auto"/>
        </w:rPr>
        <w:t>" below.</w:t>
      </w:r>
    </w:p>
    <w:p>
      <w:pPr>
        <w:spacing w:after="0" w:line="26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product sales could be reduced by imports from countries where our products are available at lower prices.</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sales of products in the United States may be reduced if our products are imported into the United States from lower priced markets, whether legally or illegally. Under our arrangement with Bayer HealthCare, pricing and reimbursement for EYLEA outside the United States is the responsibility of Bayer HealthCare. Prices for EYLEA in territories outside the United States will be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These practices are of particular relevance to the EU, where they have been encouraged by the current regulatory framework. These types of imports of our products may exert pressure on the pricing of our products in a particular market or reduce our or our collaborators' sales, thereby adversely affecting our results of operations. In addition, there have been proposals to legalize the import of pharmaceuticals from outside the United States. If such legislation were enacted, our future revenues could be reduced.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Approval of Our Product Candidates and New Indications for Our Marketed Products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we do not obtain and maintain regulatory approval for our products and product candidates or new indications for our marketed products, we will not be able to market or sell them, which would materially and negatively impact our business, prospects, operating results, and financial condition.</w:t>
      </w:r>
    </w:p>
    <w:p>
      <w:pPr>
        <w:spacing w:after="0" w:line="17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 In addition, if we fail to maintain regulatory approval for EYLEA's currently approved indications, we may lose marketing approval and the ability to generate EYLEA product sales revenue, which would materially and negatively impact our business, prospects, operating results, and financial condition.</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27"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(including based on the rare pediatric disease priority review voucher, which we and Sanofi used in connection with the BLA submission for Praluent),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8"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EYLEA is being studied in diseases of the eye in addition to those covered by its currently approved indications. There are many potential safety concerns associated with significant blockade of VEGF that may limit our ability to further successfully develop and/or commercialize EYLEA.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EYLEA, which can cause injury to the eye and other complications. For example, in our Phase 3 trials of EYLEA in wet AMD,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most frequent ocular adverse events were conjunctival hemorrhage, macular degeneration, eye pain, retinal hemorrhage, and vitreous floaters. These and other complications or side effects could harm the development and/or commercialization of EYLEA.</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We and Sanofi are conducting a global development program, currently in Phase 3, studying Praluent, our PCSK9 antibody for the reduction of LDL cholesterol, as discussed above in Part I, Item 1. "Business - Late-Stage Antibody-based Clinical Programs." As part of this development program, we and Sanofi collect adverse events and report them to the FDA and foreign regulatory authorities. As previously reported, in ten Phase 3 ODYSSEY studies, the most common adverse events were nasopharyngitis and upper respiratory tract infection, which were generally balanced between treatment groups. Injection site reactions were more frequent in the Praluent group compared to placebo. Serious adverse events and deaths were generally balanced between treatment groups as were other key adverse events, including musculoskeletal, neurocognitive, and liver-related events. We and Sanofi were advised by the FDA that it had become aware of neurocognitive adverse events in the PCSK9 inhibitor class. Neurocognitive adverse events have also been associated with the use of statins for lowering LDL cholesterol. The FDA had requested that we and Sanofi make an assessment of potential neurocognitive adverse events across the global development program for Praluent, especially in the longer-term studies. Additionally, the FDA requested that we address the feasibility of incorporating neurocognitive testing into at least a subset of patients in our ODYSSEY OUTCOMES trial or other long-term Phase 3 trial(s). While we have reported, based on analyses conducted to date, that neurocognitive adverse events were generally balanced between treatment groups in our Phase 3 studies, if this or another adverse event signal is detected in future analyses or in subsequent data, the possible approval of Praluent may be delayed or fail, or its commercial value diminished, which could severely harm our future prospects.</w:t>
      </w:r>
    </w:p>
    <w:p>
      <w:pPr>
        <w:spacing w:after="0" w:line="22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have studied fasinumab in a variety of pain indications, including osteoarthritis of the knee. In December 2010, the FDA placed fasinumab on clinical hold after a case of rapidly progressive osteoarthritis leading to joint replacement was seen in another company's anti-NGF program due to the FDA's concern that this case was suggestive of a class effect. In December 2012, the FDA removed the clinical hold on fasinumab after reviewing our proposed Phase 3 program in osteoarthritis. However, shortly thereafter, fasinumab was placed on partial clinical hold as a result of preclinical data from other investigational agents targeting NGF in development. There are currently no trials with fasinumab that are either enrolling or treating patients. Discussions with the FDA about fasinumab are expected to continue.</w:t>
      </w:r>
    </w:p>
    <w:p>
      <w:pPr>
        <w:spacing w:after="0" w:line="24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7"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If approved, some of our product candidates may be used with drug delivery devices, which have their own regulatory and other risks.</w:t>
      </w:r>
    </w:p>
    <w:p>
      <w:pPr>
        <w:spacing w:after="0" w:line="29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If approved, some of our product candidates (such as Praluent)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has been the subject of opposition proceedings in the European Patent Office, as described in Part I, Item 3. "Legal Proceedings" of our Annual Report on Form 10-K for the year ended December 31, 2014.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We expect that post-grant review proceedings will become common in the United States and will be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and our U.S. Patent No. 8,502,018, both of which concern genetically altered mice capable of producing chimeric antibodies that are part human and part mouse, as described in Part I, Item 3. "Legal Proceedings" of our Annual Report on Form 10-K for the year ended December 31, 2014 and Part II, Item 1. "Legal Proceedings" of this report. In addition, we are currently parties to patent infringement proceedings initiated by Amgen against us and Sanofi relating to Praluent, the antibody to PCSK9 for LDL cholesterol reduction we are jointly developing with Sanofi, as described in Part I, Item 3. "Legal Proceedings" of our Annual Report on Form 10-K for the year ended December 31, 2014.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and dupilumab, an antibody to IL-4R, for the treatment of atopic dermatitis, asthma, chronic sinusitis with nasal polyposis, and eosinophilic esophagitis.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We are also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nor EYLEA is a recombinant antibody. If any of our antibody product candidates are produced in a manner subject to valid claims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27"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Patent holders could assert claims against us for damages and seek to prevent us from manufacturing, selling, or developing our drug candidates, and a court may find that we are infringing validly issued patents of others. In the event that the manufacture, use, or sale of any of our drug candidates, or our other late-stage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Under the federal Patient Protection and Affordable Care Act, or PPACA, enacted in 2010, there is an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commercialize our other product candidates or other indications for our marketed products if they receive regulatory approval,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facility would be inadequate to produce the active pharmaceutical ingredients of (a) EYLEA, ZALTRAP, and ARCALYST, and (b) our antibody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corporate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permits from the local government,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ability to continue to manufacture EYLEA,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to which those intellectual property rights apply, which could materially harm our business, prospects, operating results, and financial condition.</w:t>
      </w:r>
    </w:p>
    <w:p>
      <w:pPr>
        <w:spacing w:after="0" w:line="243" w:lineRule="exact"/>
        <w:rPr>
          <w:sz w:val="20"/>
          <w:szCs w:val="20"/>
          <w:color w:val="auto"/>
        </w:rPr>
      </w:pPr>
    </w:p>
    <w:p>
      <w:pPr>
        <w:jc w:val="both"/>
        <w:ind w:firstLine="135"/>
        <w:spacing w:after="0" w:line="308" w:lineRule="auto"/>
        <w:rPr>
          <w:sz w:val="20"/>
          <w:szCs w:val="20"/>
          <w:color w:val="auto"/>
        </w:rPr>
      </w:pPr>
      <w:r>
        <w:rPr>
          <w:rFonts w:ascii="Arial" w:cs="Arial" w:eastAsia="Arial" w:hAnsi="Arial"/>
          <w:sz w:val="17"/>
          <w:szCs w:val="17"/>
          <w:b w:val="1"/>
          <w:bCs w:val="1"/>
          <w:i w:val="1"/>
          <w:iCs w:val="1"/>
          <w:color w:val="auto"/>
        </w:rPr>
        <w:t>If sales of EYLEA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0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have large-scale manufacturing operations in Rensselaer, New York.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3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100"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corporate collaborators or contract manufacturers.</w:t>
      </w:r>
    </w:p>
    <w:p>
      <w:pPr>
        <w:spacing w:after="0" w:line="9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30" w:lineRule="auto"/>
        <w:rPr>
          <w:sz w:val="20"/>
          <w:szCs w:val="20"/>
          <w:color w:val="auto"/>
        </w:rPr>
      </w:pPr>
      <w:r>
        <w:rPr>
          <w:rFonts w:ascii="Arial" w:cs="Arial" w:eastAsia="Arial" w:hAnsi="Arial"/>
          <w:sz w:val="17"/>
          <w:szCs w:val="17"/>
          <w:color w:val="auto"/>
        </w:rPr>
        <w:t>Currently, we have two marketed products, EYLEA and ARCALYST. While we have established our own sales and marketing organization for EYLEA in the United States for its currently approved indications, our commercialization experience is still relatively limited and we have no sales, marketing, commercial, or distribution capabilities outside the United States. In addition, EYLEA faces intense competition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from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both of which have been on the market for a number of years and, potentially, from new competitive products currently in clinical development. We expect that the continued commercial success of EYLEA will depend on many factors, including the following:</w:t>
      </w:r>
    </w:p>
    <w:p>
      <w:pPr>
        <w:spacing w:after="0" w:line="125"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right="20" w:hanging="328"/>
        <w:spacing w:after="0" w:line="22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effectively communicate to the marketplace the benefits of the dosing regimen of EYLEA as compared to the dosing regimen of Lucentis</w:t>
      </w:r>
      <w:r>
        <w:rPr>
          <w:rFonts w:ascii="Arial" w:cs="Arial" w:eastAsia="Arial" w:hAnsi="Arial"/>
          <w:sz w:val="24"/>
          <w:szCs w:val="24"/>
          <w:color w:val="auto"/>
          <w:vertAlign w:val="superscript"/>
        </w:rPr>
        <w:t>®</w:t>
      </w:r>
      <w:r>
        <w:rPr>
          <w:rFonts w:ascii="Arial" w:cs="Arial" w:eastAsia="Arial" w:hAnsi="Arial"/>
          <w:sz w:val="17"/>
          <w:szCs w:val="17"/>
          <w:color w:val="auto"/>
        </w:rPr>
        <w:t>, and the willingness of retinal specialists and patients to switch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to EYLEA;</w:t>
      </w:r>
    </w:p>
    <w:p>
      <w:pPr>
        <w:spacing w:after="0" w:line="1" w:lineRule="exact"/>
        <w:rPr>
          <w:rFonts w:ascii="Arial" w:cs="Arial" w:eastAsia="Arial" w:hAnsi="Arial"/>
          <w:sz w:val="17"/>
          <w:szCs w:val="17"/>
          <w:color w:val="auto"/>
        </w:rPr>
      </w:pPr>
    </w:p>
    <w:p>
      <w:pPr>
        <w:ind w:left="660" w:hanging="328"/>
        <w:spacing w:after="0" w:line="28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 of existing and new health care laws and regulations currently being implemented in the United States, including reporting and disclosure requirements of such laws and regulations and the potential impact of such requirements on physician prescription practices.</w:t>
      </w:r>
    </w:p>
    <w:p>
      <w:pPr>
        <w:spacing w:after="0" w:line="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our license and collaboration agreement with Bayer HealthCare, we rely on Bayer HealthCare for sales, marketing, and distribution of EYLEA in countries outside the United States. If we and Bayer HealthCare are unsuccessful in continuing to commercialize EYLEA, our ability to sustain profitability would be materially impaired. In addition, if we or our collaborators are unable to successfully commercialize new product candidates or new indications for our marketed product, our future prospects would be materially impaired.</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 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 and late-stage product candidates. For example, Pfizer (in partnership with Eli Lilly), Johnson &amp; Johnson, and AbbVie are developing antibody product candidates against NGF. Genentech/Roche is marketing an antibody against IL-6R (Actemra</w:t>
      </w:r>
      <w:r>
        <w:rPr>
          <w:rFonts w:ascii="Arial" w:cs="Arial" w:eastAsia="Arial" w:hAnsi="Arial"/>
          <w:sz w:val="22"/>
          <w:szCs w:val="22"/>
          <w:color w:val="auto"/>
          <w:vertAlign w:val="superscript"/>
        </w:rPr>
        <w:t>®</w:t>
      </w:r>
      <w:r>
        <w:rPr>
          <w:rFonts w:ascii="Arial" w:cs="Arial" w:eastAsia="Arial" w:hAnsi="Arial"/>
          <w:sz w:val="16"/>
          <w:szCs w:val="16"/>
          <w:color w:val="auto"/>
        </w:rPr>
        <w:t>) for the treatment of rheumatoid arthritis, and several other companies, including Johnson &amp; Johnson (in partnership with GlaxoSmithKline), Alder Biopharmaceuticals, Ablynx (in partnership with AbbVie), and Pfizer have antibodies against IL-6 or IL-6R in clinical development. Several companies, including Amgen, Pfizer, and Eli Lilly, have development programs for antibodies against PCSK9. Amgen's PCSK9 program appears to be the most advanced of the competitors, having already submitted a BLA with the FDA and a marketing authorization application with the EMA, and may obtain marketing approval in one or more countries before our PCSK9 antibody is approved. Alnylam, in partnership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Praluent (if approved). Certain late-stage inhibitors of cholesterylester transfer protein (CETP), such as Merck's anacetrapib and Eli Lilly's evacetrapib, lower LDL-C and may be launched with supporting data from outcomes trials prior to the completion of our own outcomes trial for Praluent. Another oral agent that lowers LDL-C and that may potentially compete with Praluent, if approved, is Esperion's ETC-1002. A number of companies are developing antibodies that, if approved, may compete with dupilumab, our IL-4R antibody, if it is approved, including Roche (an antibody against IL-13), Teva (an antibody against IL-5), AstraZeneca (antibodies against IL-5R and IL-13), Novartis (a combination antibody against IL-4 and IL-13), and Amgen (in partnership with AstraZeneca) (an antibody against thymic stromal lymphopoietin, or TSLP). For muscle-wasting conditions, Pfizer, Eli Lilly, Bristol-Myers Squibb, and Atara Biotherapeutics have anti-GDF8 monoclonal antibodies in development, and Novartis has a competing antibody targeting ActRIIB.</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10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the Centers for Medicare and Medicaid Services of the Department of Health and Human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77"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w:t>
      </w:r>
      <w:r>
        <w:rPr>
          <w:rFonts w:ascii="Arial" w:cs="Arial" w:eastAsia="Arial" w:hAnsi="Arial"/>
          <w:sz w:val="17"/>
          <w:szCs w:val="17"/>
          <w:color w:val="auto"/>
          <w:vertAlign w:val="superscript"/>
        </w:rPr>
        <w:t>®</w:t>
      </w:r>
      <w:r>
        <w:rPr>
          <w:rFonts w:ascii="Arial" w:cs="Arial" w:eastAsia="Arial" w:hAnsi="Arial"/>
          <w:sz w:val="17"/>
          <w:szCs w:val="17"/>
          <w:color w:val="auto"/>
        </w:rPr>
        <w:t xml:space="preserve"> rather than Lucentis</w:t>
      </w:r>
      <w:r>
        <w:rPr>
          <w:rFonts w:ascii="Arial" w:cs="Arial" w:eastAsia="Arial" w:hAnsi="Arial"/>
          <w:sz w:val="17"/>
          <w:szCs w:val="17"/>
          <w:color w:val="auto"/>
          <w:vertAlign w:val="superscript"/>
        </w:rPr>
        <w:t>®</w:t>
      </w:r>
      <w:r>
        <w:rPr>
          <w:rFonts w:ascii="Arial" w:cs="Arial" w:eastAsia="Arial" w:hAnsi="Arial"/>
          <w:sz w:val="17"/>
          <w:szCs w:val="17"/>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3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Since EYLEA for its currently approved indications will likely continue to be too expensive for most patients to afford without health insurance coverage, if third-party payers, including Medicare and Medicaid in the United States, do not continue to provide adequate coverage and reimbursement for EYLEA, our ability to successfully market it would be materially adversely impacted. 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6"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March 31, 2015 and 2014, we recorded 69% and 79%,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20"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1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part of the PPACA, the federal government has enacted provisions imposing reporting and disclosure requirements on pharmaceutical manufacturers for any "transfers of value" made or distributed to prescribers and other healthcare providers. These statutory provisions and related regulations (commonly known as the "Sunshine Act") require pharmaceutical manufacturers to report annually to the Secretary of the U.S. Department of Health and Human Services payments or other transfers of value made to physicians or teaching hospitals. In February 2013, regulations were released that contain detailed guidance regarding the information that must be collected and reported. We started to be required to collect information regarding such payments in August 2013 and submitted our 2013 Reporting Entity and Payment Aggregate Data in June 2014, as required by the Sunshine Act. Over the next several years, we will need to dedicate significant resources to enhance our systems and processes in order to comply with these regulations. The PPACA also includes various provisions designed to strengthen significantly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and localities, including California, the District of Columbia, Massachusetts, Minnesota, Nevada, New Mexico, Vermont, and West Virginia, have enacted legislation requiring pharmaceutical companies to establish marketing compliance programs, file periodic reports with the state or make periodic public disclosures on sales, marketing, pricing, clinical trials, and other activities. Similar requirements are being considered in other states. Many of these requirements and standards are new and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research institutions and our collaborators.</w:t>
      </w:r>
    </w:p>
    <w:p>
      <w:pPr>
        <w:spacing w:after="0" w:line="18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information, are subject to privacy and security regulations promulgated under the Health Insurance Portability and Accountability Act of 1996 (HIPAA), as amended by the Health Information Technology for Economic and Clinical Health Act. For example, as part of our human genetics initiative, our wholly-owned subsidiary, Regeneron Genetics Center LLC, is collaborating with the Geisinger Health System, which is subject to such regulations, and may enter into collaboration arrangements with additional institutions in the future. Regeneron is not a HIPAA-covered entity and our clinical research efforts are not directly regulated by HIPAA, so we are not subject to civil penalties under HIPAA.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international data protection laws, including the EU Data Protection Directive and legislation of the EU member states implementing it, may apply to some or all of the clinical data obtained from our collaborators outside of the U.S. Failure by those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information, as well as the providers who share this information with us, may have statutory or contractual rights that limit our ability to use and disclose the information.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15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our antibody collaboration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Praluent, sarilumab, and dupilumab,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 out of their development,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and REGN2222, and decided not to opt in to the REGN1154, REGN1193, REGN1500, and other programs.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232"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We cannot assure you that regulatory approvals will be received for EYLEA in additional indications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Termination of the Bayer HealthCare collaboration agreement would create substantial new and additional risks to the successful development and commercialization of EYLEA, particularly outside the United States.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its currently approved indications,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rely on third-party service providers to support the distribution of EYLEA in the United States and for many other related activities in connection with the commercialization of this marketed product. Despite our arrangements with them, these third parties may not perform adequately. If these service providers do not perform their services adequately, our sales of EYLEA will suffer.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w:t>
      </w:r>
    </w:p>
    <w:p>
      <w:pPr>
        <w:spacing w:after="0" w:line="20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Beginning in the first quarter of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ongoing marketing of EYLEA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2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are able to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March 31, 2015, we had $507.9 million in cash and cash equivalents and $717.6 million in marketable securities (including $89.6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5620" w:right="5100" w:hanging="5288"/>
        <w:spacing w:after="0" w:line="449" w:lineRule="auto"/>
        <w:tabs>
          <w:tab w:leader="none" w:pos="6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our operating results, in particular net product sales of EYLEA; 67</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2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increasing its ownership of our Common Stock. As a result, the public float of our Common Stock (i.e.,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April 16, 2015, our five largest shareholders plus Dr. Schleifer, our Chief Executive Officer, beneficially owned approximately 50.4% of our outstanding shares of Common Stock, assuming, in the case of our Chief Executive Officer, the conversion of his Class A Stock into Common Stock and the exercise of all options held by him which are exercisable within 60 days of April 16, 2015. As of April 16, 2015, Sanofi beneficially owned 22,859,144 shares of our Common Stock, representing approximately 22.6%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 Stock through open market purchases and direct purchases from shareholders. In July 2014, Sanofi disclosed in an amendment to its Schedule 13D filed with the SEC its intention to purchase additional shares of our Common Stock to progressively increase its beneficial ownership in 2014 and 2015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16, 2015, holders of Class A Stock held 16.3%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16, 2015:</w:t>
      </w:r>
    </w:p>
    <w:p>
      <w:pPr>
        <w:spacing w:after="0" w:line="232" w:lineRule="exact"/>
        <w:rPr>
          <w:sz w:val="20"/>
          <w:szCs w:val="20"/>
          <w:color w:val="auto"/>
        </w:rPr>
      </w:pPr>
    </w:p>
    <w:p>
      <w:pPr>
        <w:jc w:val="both"/>
        <w:ind w:left="660" w:hanging="328"/>
        <w:spacing w:after="0" w:line="25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10.3% of our outstanding shares of Common Stock, assuming conversion of their Class A Stock into Common Stock and the exercise of all options held by such persons which are exercisable within 60 days of April 16, 2015, and 21.9% of the combined voting power of our outstanding shares of Common Stock and Class A Stock, assuming the exercise of all options held by such persons which are exercisable within 60 days of April 16, 2015;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50.4% of our outstanding shares of Common Stock, assuming, in the case of our Chief Executive Officer, the conversion of his Class A Stock into Common Stock and the exercise of all options held by him which are exercisable within 60 days of April 16, 2015. In addition, these five shareholders plus our Chief Executive Officer held approximately 55.7% of the combined voting power of our outstanding shares of Common Stock and Class A Stock, assuming the exercise of all options held by our Chief Executive Officer which are exercisable within 60 days of April 16, 2015.</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w:t>
      </w:r>
    </w:p>
    <w:p>
      <w:pPr>
        <w:spacing w:after="0" w:line="21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connection with our offering of our 1.875% convertible senior notes due October 1, 2016, we entered into convertible note hedge transactions with four financial institutions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March 31, 2015, an aggregate principal amount of $162.7 million of the notes and 3,122,015 warrants (subject to adjustment from time to time as provided in the applicable warrant agreements) remained outstanding.</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we intend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259"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convertible senior notes and related warrant and hedge transactions, could deter, delay, or prevent an acquisition or other "change in control" of us and could adversely affect the price of our Common Stock.</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line="25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2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(v) other specified events, such as a liquidation or dissolution of our company.</w:t>
      </w:r>
    </w:p>
    <w:p>
      <w:pPr>
        <w:spacing w:after="0" w:line="25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holders of our convertible senior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as described above under "</w:t>
      </w:r>
      <w:r>
        <w:rPr>
          <w:rFonts w:ascii="Arial" w:cs="Arial" w:eastAsia="Arial" w:hAnsi="Arial"/>
          <w:sz w:val="17"/>
          <w:szCs w:val="17"/>
          <w:i w:val="1"/>
          <w:iCs w:val="1"/>
          <w:color w:val="auto"/>
        </w:rPr>
        <w:t>Our existing shareholders may be able to exert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influence over matters requiring shareholder approval and over our management</w:t>
      </w:r>
      <w:r>
        <w:rPr>
          <w:rFonts w:ascii="Arial" w:cs="Arial" w:eastAsia="Arial" w:hAnsi="Arial"/>
          <w:sz w:val="17"/>
          <w:szCs w:val="17"/>
          <w:color w:val="auto"/>
        </w:rPr>
        <w:t>." These contractual provisions may also have the effect of deterring,</w:t>
      </w:r>
      <w:r>
        <w:rPr>
          <w:rFonts w:ascii="Arial" w:cs="Arial" w:eastAsia="Arial" w:hAnsi="Arial"/>
          <w:sz w:val="17"/>
          <w:szCs w:val="17"/>
          <w:i w:val="1"/>
          <w:iCs w:val="1"/>
          <w:color w:val="auto"/>
        </w:rPr>
        <w:t xml:space="preserve"> </w:t>
      </w:r>
      <w:r>
        <w:rPr>
          <w:rFonts w:ascii="Arial" w:cs="Arial" w:eastAsia="Arial" w:hAnsi="Arial"/>
          <w:sz w:val="17"/>
          <w:szCs w:val="17"/>
          <w:color w:val="auto"/>
        </w:rPr>
        <w:t>delaying, or preventing an acquisition or other change in control.</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the first quarter of 2015, we settled the conversion of $16.7 million principal amount of our 1.875% convertible senior notes through the payment of $16.7 million in cash (equal to the principal amount of the converted notes) and issuance of 146,253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this conversion, we exercised a proportionate amount of our convertible note hedges, as a result of which we received from our hedge counterparties 146,248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4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reflects shares of Common Stock withheld by us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 in the first quarter of 2015.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of Shares (or</w:t>
            </w: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Units)</w:t>
            </w:r>
          </w:p>
        </w:tc>
        <w:tc>
          <w:tcPr>
            <w:tcW w:w="27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Purchased as</w:t>
            </w:r>
          </w:p>
        </w:tc>
        <w:tc>
          <w:tcPr>
            <w:tcW w:w="27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Part of</w:t>
            </w:r>
          </w:p>
        </w:tc>
        <w:tc>
          <w:tcPr>
            <w:tcW w:w="27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9"/>
              </w:rPr>
              <w:t>Shares (or Units)</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Publicly</w:t>
            </w: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of Shares (or</w:t>
            </w: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Announced</w:t>
            </w:r>
          </w:p>
        </w:tc>
        <w:tc>
          <w:tcPr>
            <w:tcW w:w="276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89"/>
              </w:rPr>
              <w:t>Purchased Under</w:t>
            </w:r>
          </w:p>
        </w:tc>
      </w:tr>
      <w:tr>
        <w:trPr>
          <w:trHeight w:val="216"/>
        </w:trPr>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Units)</w:t>
            </w: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Paid per Share</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Plans or</w:t>
            </w: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Purchased</w:t>
            </w:r>
          </w:p>
        </w:tc>
        <w:tc>
          <w:tcPr>
            <w:tcW w:w="13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7"/>
              </w:rPr>
              <w:t>(or Unit)</w:t>
            </w: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Programs</w:t>
            </w:r>
          </w:p>
        </w:tc>
        <w:tc>
          <w:tcPr>
            <w:tcW w:w="276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358"/>
        </w:trPr>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gridSpan w:val="2"/>
          </w:tcPr>
          <w:p>
            <w:pPr>
              <w:ind w:left="360"/>
              <w:spacing w:after="0"/>
              <w:rPr>
                <w:sz w:val="20"/>
                <w:szCs w:val="20"/>
                <w:color w:val="auto"/>
              </w:rPr>
            </w:pPr>
            <w:r>
              <w:rPr>
                <w:rFonts w:ascii="Arial" w:cs="Arial" w:eastAsia="Arial" w:hAnsi="Arial"/>
                <w:sz w:val="18"/>
                <w:szCs w:val="18"/>
                <w:color w:val="auto"/>
                <w:w w:val="92"/>
              </w:rPr>
              <w:t>3/1/2015-3/31/2015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5,157</w:t>
            </w:r>
          </w:p>
        </w:tc>
        <w:tc>
          <w:tcPr>
            <w:tcW w:w="10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476.50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760" w:type="dxa"/>
            <w:vAlign w:val="bottom"/>
            <w:gridSpan w:val="2"/>
          </w:tcPr>
          <w:p>
            <w:pPr>
              <w:ind w:left="1200"/>
              <w:spacing w:after="0"/>
              <w:rPr>
                <w:sz w:val="20"/>
                <w:szCs w:val="20"/>
                <w:color w:val="auto"/>
              </w:rPr>
            </w:pPr>
            <w:r>
              <w:rPr>
                <w:rFonts w:ascii="Arial" w:cs="Arial" w:eastAsia="Arial" w:hAnsi="Arial"/>
                <w:sz w:val="18"/>
                <w:szCs w:val="18"/>
                <w:color w:val="auto"/>
              </w:rPr>
              <w:t>—</w:t>
            </w:r>
          </w:p>
        </w:tc>
      </w:tr>
      <w:tr>
        <w:trPr>
          <w:trHeight w:val="351"/>
        </w:trPr>
        <w:tc>
          <w:tcPr>
            <w:tcW w:w="1840" w:type="dxa"/>
            <w:vAlign w:val="bottom"/>
            <w:gridSpan w:val="4"/>
          </w:tcPr>
          <w:p>
            <w:pPr>
              <w:spacing w:after="0"/>
              <w:rPr>
                <w:sz w:val="20"/>
                <w:szCs w:val="20"/>
                <w:color w:val="auto"/>
              </w:rPr>
            </w:pPr>
            <w:r>
              <w:rPr>
                <w:rFonts w:ascii="Arial" w:cs="Arial" w:eastAsia="Arial" w:hAnsi="Arial"/>
                <w:sz w:val="18"/>
                <w:szCs w:val="18"/>
                <w:b w:val="1"/>
                <w:bCs w:val="1"/>
                <w:color w:val="auto"/>
              </w:rPr>
              <w:t>ITEM 6. EXHIBITS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1840" w:type="dxa"/>
            <w:vAlign w:val="bottom"/>
            <w:gridSpan w:val="4"/>
          </w:tcPr>
          <w:p>
            <w:pPr>
              <w:spacing w:after="0"/>
              <w:rPr>
                <w:sz w:val="20"/>
                <w:szCs w:val="20"/>
                <w:color w:val="auto"/>
              </w:rPr>
            </w:pPr>
            <w:r>
              <w:rPr>
                <w:rFonts w:ascii="Arial" w:cs="Arial" w:eastAsia="Arial" w:hAnsi="Arial"/>
                <w:sz w:val="18"/>
                <w:szCs w:val="18"/>
                <w:color w:val="auto"/>
              </w:rPr>
              <w:t>(a)   Exhibits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73"/>
        </w:trPr>
        <w:tc>
          <w:tcPr>
            <w:tcW w:w="7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1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22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
        </w:trPr>
        <w:tc>
          <w:tcPr>
            <w:tcW w:w="7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line="228" w:lineRule="exact"/>
              <w:rPr>
                <w:sz w:val="20"/>
                <w:szCs w:val="20"/>
                <w:color w:val="auto"/>
              </w:rPr>
            </w:pPr>
            <w:r>
              <w:rPr>
                <w:rFonts w:ascii="Arial" w:cs="Arial" w:eastAsia="Arial" w:hAnsi="Arial"/>
                <w:sz w:val="18"/>
                <w:szCs w:val="18"/>
                <w:color w:val="auto"/>
              </w:rPr>
              <w:t>10.1</w:t>
            </w:r>
            <w:r>
              <w:rPr>
                <w:rFonts w:ascii="Arial" w:cs="Arial" w:eastAsia="Arial" w:hAnsi="Arial"/>
                <w:sz w:val="25"/>
                <w:szCs w:val="25"/>
                <w:color w:val="auto"/>
                <w:vertAlign w:val="superscript"/>
              </w:rPr>
              <w:t>*</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1"/>
              </w:rPr>
              <w:t>Amended and Restated</w:t>
            </w:r>
          </w:p>
        </w:tc>
        <w:tc>
          <w:tcPr>
            <w:tcW w:w="6640" w:type="dxa"/>
            <w:vAlign w:val="bottom"/>
            <w:gridSpan w:val="10"/>
            <w:shd w:val="clear" w:color="auto" w:fill="CCEEFF"/>
          </w:tcPr>
          <w:p>
            <w:pPr>
              <w:ind w:left="40"/>
              <w:spacing w:after="0"/>
              <w:rPr>
                <w:sz w:val="20"/>
                <w:szCs w:val="20"/>
                <w:color w:val="auto"/>
              </w:rPr>
            </w:pPr>
            <w:r>
              <w:rPr>
                <w:rFonts w:ascii="Arial" w:cs="Arial" w:eastAsia="Arial" w:hAnsi="Arial"/>
                <w:sz w:val="18"/>
                <w:szCs w:val="18"/>
                <w:color w:val="auto"/>
                <w:w w:val="92"/>
              </w:rPr>
              <w:t>Collaboration Agreement, dated as of February 23, 2015, by and between Sanofi-Aventis</w:t>
            </w:r>
          </w:p>
        </w:tc>
      </w:tr>
      <w:tr>
        <w:trPr>
          <w:trHeight w:val="237"/>
        </w:trPr>
        <w:tc>
          <w:tcPr>
            <w:tcW w:w="74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0" w:type="dxa"/>
            <w:vAlign w:val="bottom"/>
            <w:tcBorders>
              <w:bottom w:val="single" w:sz="8" w:color="CCEEFF"/>
            </w:tcBorders>
            <w:gridSpan w:val="11"/>
            <w:shd w:val="clear" w:color="auto" w:fill="CCEEFF"/>
          </w:tcPr>
          <w:p>
            <w:pPr>
              <w:ind w:left="160"/>
              <w:spacing w:after="0"/>
              <w:rPr>
                <w:sz w:val="20"/>
                <w:szCs w:val="20"/>
                <w:color w:val="auto"/>
              </w:rPr>
            </w:pPr>
            <w:r>
              <w:rPr>
                <w:rFonts w:ascii="Arial" w:cs="Arial" w:eastAsia="Arial" w:hAnsi="Arial"/>
                <w:sz w:val="18"/>
                <w:szCs w:val="18"/>
                <w:color w:val="auto"/>
              </w:rPr>
              <w:t>US LLC and Regeneron Pharmaceuticals, Inc. (the "Registrant").</w:t>
            </w: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9"/>
        </w:trPr>
        <w:tc>
          <w:tcPr>
            <w:tcW w:w="1300" w:type="dxa"/>
            <w:vAlign w:val="bottom"/>
            <w:gridSpan w:val="2"/>
          </w:tcPr>
          <w:p>
            <w:pPr>
              <w:ind w:left="7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560" w:type="dxa"/>
            <w:vAlign w:val="bottom"/>
            <w:gridSpan w:val="13"/>
          </w:tcPr>
          <w:p>
            <w:pPr>
              <w:ind w:left="160"/>
              <w:spacing w:after="0"/>
              <w:rPr>
                <w:sz w:val="20"/>
                <w:szCs w:val="20"/>
                <w:color w:val="auto"/>
              </w:rPr>
            </w:pPr>
            <w:r>
              <w:rPr>
                <w:rFonts w:ascii="Arial" w:cs="Arial" w:eastAsia="Arial" w:hAnsi="Arial"/>
                <w:sz w:val="18"/>
                <w:szCs w:val="18"/>
                <w:color w:val="auto"/>
                <w:w w:val="96"/>
              </w:rPr>
              <w:t>Third Amendment, dated as of February 17, 2015, to the Master Terms and Conditions for Warrants, between</w:t>
            </w:r>
          </w:p>
        </w:tc>
      </w:tr>
      <w:tr>
        <w:trPr>
          <w:trHeight w:val="230"/>
        </w:trPr>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20" w:type="dxa"/>
            <w:vAlign w:val="bottom"/>
            <w:gridSpan w:val="6"/>
          </w:tcPr>
          <w:p>
            <w:pPr>
              <w:ind w:left="160"/>
              <w:spacing w:after="0"/>
              <w:rPr>
                <w:sz w:val="20"/>
                <w:szCs w:val="20"/>
                <w:color w:val="auto"/>
              </w:rPr>
            </w:pPr>
            <w:r>
              <w:rPr>
                <w:rFonts w:ascii="Arial" w:cs="Arial" w:eastAsia="Arial" w:hAnsi="Arial"/>
                <w:sz w:val="18"/>
                <w:szCs w:val="18"/>
                <w:color w:val="auto"/>
              </w:rPr>
              <w:t>Goldman, Sachs &amp; Co. and the Registrant.</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r>
      <w:tr>
        <w:trPr>
          <w:trHeight w:val="229"/>
        </w:trPr>
        <w:tc>
          <w:tcPr>
            <w:tcW w:w="74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w:t>
            </w: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1"/>
              </w:rPr>
              <w:t>Credit Agreement, dated as of March 19, 2015, by and among the Registrant, as a borrower and guarantor; certain</w:t>
            </w:r>
          </w:p>
        </w:tc>
      </w:tr>
      <w:tr>
        <w:trPr>
          <w:trHeight w:val="216"/>
        </w:trPr>
        <w:tc>
          <w:tcPr>
            <w:tcW w:w="74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3"/>
              </w:rPr>
              <w:t>direct and indirect subsidiaries of the Registrant, as the initial subsidiary borrowers; JPMorgan Chase Bank, N.A.,</w:t>
            </w:r>
          </w:p>
        </w:tc>
      </w:tr>
      <w:tr>
        <w:trPr>
          <w:trHeight w:val="216"/>
        </w:trPr>
        <w:tc>
          <w:tcPr>
            <w:tcW w:w="74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5"/>
              </w:rPr>
              <w:t>as administrative agent; Bank of America, N.A. and U.S. Bank National Association, as co-syndication agents;</w:t>
            </w:r>
          </w:p>
        </w:tc>
      </w:tr>
      <w:tr>
        <w:trPr>
          <w:trHeight w:val="216"/>
        </w:trPr>
        <w:tc>
          <w:tcPr>
            <w:tcW w:w="74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7"/>
              </w:rPr>
              <w:t>Barclays Bank PLC, Citibank, N.A., Credit Suisse AG, Cayman Islands Branch, Fifth Third Bank and Morgan</w:t>
            </w:r>
          </w:p>
        </w:tc>
      </w:tr>
      <w:tr>
        <w:trPr>
          <w:trHeight w:val="216"/>
        </w:trPr>
        <w:tc>
          <w:tcPr>
            <w:tcW w:w="74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2"/>
              </w:rPr>
              <w:t>Stanley MUFG Loan Partners, LLC, as co-documentation agents; JPMorgan Chase Bank, N.A., Bank of America,</w:t>
            </w:r>
          </w:p>
        </w:tc>
      </w:tr>
      <w:tr>
        <w:trPr>
          <w:trHeight w:val="216"/>
        </w:trPr>
        <w:tc>
          <w:tcPr>
            <w:tcW w:w="74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560" w:type="dxa"/>
            <w:vAlign w:val="bottom"/>
            <w:gridSpan w:val="13"/>
            <w:shd w:val="clear" w:color="auto" w:fill="CCEEFF"/>
          </w:tcPr>
          <w:p>
            <w:pPr>
              <w:ind w:left="160"/>
              <w:spacing w:after="0"/>
              <w:rPr>
                <w:sz w:val="20"/>
                <w:szCs w:val="20"/>
                <w:color w:val="auto"/>
              </w:rPr>
            </w:pPr>
            <w:r>
              <w:rPr>
                <w:rFonts w:ascii="Arial" w:cs="Arial" w:eastAsia="Arial" w:hAnsi="Arial"/>
                <w:sz w:val="18"/>
                <w:szCs w:val="18"/>
                <w:color w:val="auto"/>
                <w:w w:val="95"/>
              </w:rPr>
              <w:t>N.A. and U.S. Bank National Association, as the issuing banks; JPMorgan Chase Bank, N.A., as the swingline</w:t>
            </w:r>
          </w:p>
        </w:tc>
      </w:tr>
      <w:tr>
        <w:trPr>
          <w:trHeight w:val="237"/>
        </w:trPr>
        <w:tc>
          <w:tcPr>
            <w:tcW w:w="74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540" w:type="dxa"/>
            <w:vAlign w:val="bottom"/>
            <w:tcBorders>
              <w:bottom w:val="single" w:sz="8" w:color="CCEEFF"/>
            </w:tcBorders>
            <w:gridSpan w:val="9"/>
            <w:shd w:val="clear" w:color="auto" w:fill="CCEEFF"/>
          </w:tcPr>
          <w:p>
            <w:pPr>
              <w:ind w:left="160"/>
              <w:spacing w:after="0"/>
              <w:rPr>
                <w:sz w:val="20"/>
                <w:szCs w:val="20"/>
                <w:color w:val="auto"/>
              </w:rPr>
            </w:pPr>
            <w:r>
              <w:rPr>
                <w:rFonts w:ascii="Arial" w:cs="Arial" w:eastAsia="Arial" w:hAnsi="Arial"/>
                <w:sz w:val="18"/>
                <w:szCs w:val="18"/>
                <w:color w:val="auto"/>
                <w:w w:val="90"/>
              </w:rPr>
              <w:t>lender; and the other lenders party thereto from time to time.</w:t>
            </w: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1300" w:type="dxa"/>
            <w:vAlign w:val="bottom"/>
            <w:gridSpan w:val="2"/>
          </w:tcPr>
          <w:p>
            <w:pPr>
              <w:ind w:left="74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560" w:type="dxa"/>
            <w:vAlign w:val="bottom"/>
            <w:gridSpan w:val="13"/>
          </w:tcPr>
          <w:p>
            <w:pPr>
              <w:ind w:left="160"/>
              <w:spacing w:after="0"/>
              <w:rPr>
                <w:sz w:val="20"/>
                <w:szCs w:val="20"/>
                <w:color w:val="auto"/>
              </w:rPr>
            </w:pPr>
            <w:r>
              <w:rPr>
                <w:rFonts w:ascii="Arial" w:cs="Arial" w:eastAsia="Arial" w:hAnsi="Arial"/>
                <w:sz w:val="18"/>
                <w:szCs w:val="18"/>
                <w:color w:val="auto"/>
                <w:w w:val="92"/>
              </w:rPr>
              <w:t>Certification of Principal Executive Officer pursuant to Rule 13a-14(a) under the Securities Exchange Act of 1934.</w:t>
            </w: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20" w:type="dxa"/>
            <w:vAlign w:val="bottom"/>
            <w:gridSpan w:val="12"/>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gridSpan w:val="13"/>
            <w:shd w:val="clear" w:color="auto" w:fill="CCEEFF"/>
          </w:tcPr>
          <w:p>
            <w:pPr>
              <w:ind w:left="160"/>
              <w:spacing w:after="0"/>
              <w:rPr>
                <w:sz w:val="20"/>
                <w:szCs w:val="20"/>
                <w:color w:val="auto"/>
              </w:rPr>
            </w:pPr>
            <w:r>
              <w:rPr>
                <w:rFonts w:ascii="Arial" w:cs="Arial" w:eastAsia="Arial" w:hAnsi="Arial"/>
                <w:sz w:val="18"/>
                <w:szCs w:val="18"/>
                <w:color w:val="auto"/>
                <w:w w:val="93"/>
              </w:rPr>
              <w:t>Certification of Principal Financial Officer pursuant to Rule 13a-14(a) under the Securities Exchange Act of 1934.</w:t>
            </w:r>
          </w:p>
        </w:tc>
      </w:tr>
      <w:tr>
        <w:trPr>
          <w:trHeight w:val="243"/>
        </w:trPr>
        <w:tc>
          <w:tcPr>
            <w:tcW w:w="1300" w:type="dxa"/>
            <w:vAlign w:val="bottom"/>
            <w:gridSpan w:val="2"/>
          </w:tcPr>
          <w:p>
            <w:pPr>
              <w:ind w:left="74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560" w:type="dxa"/>
            <w:vAlign w:val="bottom"/>
            <w:gridSpan w:val="13"/>
          </w:tcPr>
          <w:p>
            <w:pPr>
              <w:ind w:left="160"/>
              <w:spacing w:after="0"/>
              <w:rPr>
                <w:sz w:val="20"/>
                <w:szCs w:val="20"/>
                <w:color w:val="auto"/>
              </w:rPr>
            </w:pPr>
            <w:r>
              <w:rPr>
                <w:rFonts w:ascii="Arial" w:cs="Arial" w:eastAsia="Arial" w:hAnsi="Arial"/>
                <w:sz w:val="18"/>
                <w:szCs w:val="18"/>
                <w:color w:val="auto"/>
                <w:w w:val="96"/>
              </w:rPr>
              <w:t>Certification of Principal Executive Officer and Principal Financial Officer pursuant to 18 U.S.C. Section 1350.</w:t>
            </w: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Interactive Data File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80" w:type="dxa"/>
            <w:vAlign w:val="bottom"/>
            <w:gridSpan w:val="5"/>
          </w:tcPr>
          <w:p>
            <w:pPr>
              <w:ind w:left="160"/>
              <w:spacing w:after="0"/>
              <w:rPr>
                <w:sz w:val="20"/>
                <w:szCs w:val="20"/>
                <w:color w:val="auto"/>
              </w:rPr>
            </w:pPr>
            <w:r>
              <w:rPr>
                <w:rFonts w:ascii="Arial" w:cs="Arial" w:eastAsia="Arial" w:hAnsi="Arial"/>
                <w:sz w:val="18"/>
                <w:szCs w:val="18"/>
                <w:color w:val="auto"/>
              </w:rPr>
              <w:t>XBRL Instance Document</w:t>
            </w: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40" w:type="dxa"/>
            <w:vAlign w:val="bottom"/>
            <w:gridSpan w:val="4"/>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XBRL Taxonomy Extension Schema</w:t>
            </w:r>
          </w:p>
        </w:tc>
        <w:tc>
          <w:tcPr>
            <w:tcW w:w="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20" w:type="dxa"/>
            <w:vAlign w:val="bottom"/>
            <w:gridSpan w:val="6"/>
          </w:tcPr>
          <w:p>
            <w:pPr>
              <w:ind w:left="160"/>
              <w:spacing w:after="0"/>
              <w:rPr>
                <w:sz w:val="20"/>
                <w:szCs w:val="20"/>
                <w:color w:val="auto"/>
              </w:rPr>
            </w:pPr>
            <w:r>
              <w:rPr>
                <w:rFonts w:ascii="Arial" w:cs="Arial" w:eastAsia="Arial" w:hAnsi="Arial"/>
                <w:sz w:val="18"/>
                <w:szCs w:val="18"/>
                <w:color w:val="auto"/>
                <w:w w:val="93"/>
              </w:rPr>
              <w:t>XBRL Taxonomy Extension Calculation Linkbase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80" w:type="dxa"/>
            <w:vAlign w:val="bottom"/>
            <w:gridSpan w:val="5"/>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w w:val="94"/>
              </w:rPr>
              <w:t>XBRL Taxonomy Extension Definition Document</w:t>
            </w: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20" w:type="dxa"/>
            <w:vAlign w:val="bottom"/>
            <w:gridSpan w:val="6"/>
          </w:tcPr>
          <w:p>
            <w:pPr>
              <w:ind w:left="160"/>
              <w:spacing w:after="0"/>
              <w:rPr>
                <w:sz w:val="20"/>
                <w:szCs w:val="20"/>
                <w:color w:val="auto"/>
              </w:rPr>
            </w:pPr>
            <w:r>
              <w:rPr>
                <w:rFonts w:ascii="Arial" w:cs="Arial" w:eastAsia="Arial" w:hAnsi="Arial"/>
                <w:sz w:val="18"/>
                <w:szCs w:val="18"/>
                <w:color w:val="auto"/>
              </w:rPr>
              <w:t>XBRL Taxonomy Extension Label Linkbase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0" w:type="dxa"/>
            <w:vAlign w:val="bottom"/>
            <w:gridSpan w:val="8"/>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40" w:type="dxa"/>
            <w:vAlign w:val="bottom"/>
            <w:tcBorders>
              <w:right w:val="single" w:sz="8" w:color="CCEEFF"/>
            </w:tcBorders>
          </w:tcPr>
          <w:p>
            <w:pPr>
              <w:spacing w:after="0"/>
              <w:rPr>
                <w:sz w:val="21"/>
                <w:szCs w:val="21"/>
                <w:color w:val="auto"/>
              </w:rPr>
            </w:pPr>
          </w:p>
        </w:tc>
        <w:tc>
          <w:tcPr>
            <w:tcW w:w="1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540" w:type="dxa"/>
            <w:vAlign w:val="bottom"/>
            <w:tcBorders>
              <w:bottom w:val="single" w:sz="8" w:color="CCEEFF"/>
            </w:tcBorders>
            <w:gridSpan w:val="9"/>
            <w:shd w:val="clear" w:color="auto" w:fill="CCEEFF"/>
          </w:tcPr>
          <w:p>
            <w:pPr>
              <w:ind w:left="160"/>
              <w:spacing w:after="0"/>
              <w:rPr>
                <w:sz w:val="20"/>
                <w:szCs w:val="20"/>
                <w:color w:val="auto"/>
              </w:rPr>
            </w:pPr>
            <w:r>
              <w:rPr>
                <w:rFonts w:ascii="Arial" w:cs="Arial" w:eastAsia="Arial" w:hAnsi="Arial"/>
                <w:sz w:val="18"/>
                <w:szCs w:val="18"/>
                <w:color w:val="auto"/>
              </w:rPr>
              <w:t>XBRL Taxonomy Extension Presentation Linkbase</w:t>
            </w: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1380" w:type="dxa"/>
            <w:vAlign w:val="bottom"/>
            <w:gridSpan w:val="3"/>
          </w:tcPr>
          <w:p>
            <w:pPr>
              <w:ind w:left="740"/>
              <w:spacing w:after="0"/>
              <w:rPr>
                <w:sz w:val="20"/>
                <w:szCs w:val="20"/>
                <w:color w:val="auto"/>
              </w:rPr>
            </w:pPr>
            <w:r>
              <w:rPr>
                <w:rFonts w:ascii="Arial" w:cs="Arial" w:eastAsia="Arial" w:hAnsi="Arial"/>
                <w:sz w:val="18"/>
                <w:szCs w:val="18"/>
                <w:color w:val="auto"/>
                <w:w w:val="88"/>
              </w:rPr>
              <w:t>_______</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40" w:lineRule="exact"/>
        <w:rPr>
          <w:sz w:val="20"/>
          <w:szCs w:val="20"/>
          <w:color w:val="auto"/>
        </w:rPr>
      </w:pPr>
    </w:p>
    <w:p>
      <w:pPr>
        <w:jc w:val="both"/>
        <w:ind w:left="2340" w:right="720" w:hanging="254"/>
        <w:spacing w:after="0" w:line="264" w:lineRule="auto"/>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Securities and Exchange Commission pursuant to requests for confidential treatment pursuant to Rule 24b-2 under the Securities Exchange Act of 1934, as amended.</w:t>
      </w:r>
    </w:p>
    <w:p>
      <w:pPr>
        <w:spacing w:after="0" w:line="19" w:lineRule="exact"/>
        <w:rPr>
          <w:sz w:val="20"/>
          <w:szCs w:val="20"/>
          <w:color w:val="auto"/>
        </w:rPr>
      </w:pPr>
    </w:p>
    <w:p>
      <w:pPr>
        <w:ind w:left="2340" w:hanging="364"/>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to Exhibit 10.1 to the Form 8-K for the Registrant, filed March 23, 2015.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Confidential Treatment has been requested for the redacted portions of this agreement. The redactions are indicated with four asterisks [****]. A complete version of this agreement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COLLABORATION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and Between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SANOFI-AVENTIS US, LLC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23, 2015</w:t>
      </w:r>
    </w:p>
    <w:p>
      <w:pPr>
        <w:sectPr>
          <w:pgSz w:w="11900" w:h="16838" w:orient="portrait"/>
          <w:cols w:equalWidth="0" w:num="1">
            <w:col w:w="11420"/>
          </w:cols>
          <w:pgMar w:left="240" w:top="621"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81"/>
        </w:trPr>
        <w:tc>
          <w:tcPr>
            <w:tcW w:w="300" w:type="dxa"/>
            <w:vAlign w:val="bottom"/>
          </w:tcPr>
          <w:p>
            <w:pPr>
              <w:spacing w:after="0"/>
              <w:rPr>
                <w:sz w:val="24"/>
                <w:szCs w:val="24"/>
                <w:color w:val="auto"/>
              </w:rPr>
            </w:pPr>
          </w:p>
        </w:tc>
        <w:tc>
          <w:tcPr>
            <w:tcW w:w="8640" w:type="dxa"/>
            <w:vAlign w:val="bottom"/>
          </w:tcPr>
          <w:p>
            <w:pPr>
              <w:ind w:left="4220"/>
              <w:spacing w:after="0"/>
              <w:rPr>
                <w:sz w:val="20"/>
                <w:szCs w:val="20"/>
                <w:color w:val="auto"/>
              </w:rPr>
            </w:pPr>
            <w:r>
              <w:rPr>
                <w:rFonts w:ascii="Arial" w:cs="Arial" w:eastAsia="Arial" w:hAnsi="Arial"/>
                <w:sz w:val="22"/>
                <w:szCs w:val="22"/>
                <w:b w:val="1"/>
                <w:bCs w:val="1"/>
                <w:color w:val="auto"/>
              </w:rPr>
              <w:t>TABLE OF CONTENTS</w:t>
            </w:r>
          </w:p>
        </w:tc>
        <w:tc>
          <w:tcPr>
            <w:tcW w:w="2340" w:type="dxa"/>
            <w:vAlign w:val="bottom"/>
          </w:tcPr>
          <w:p>
            <w:pPr>
              <w:spacing w:after="0"/>
              <w:rPr>
                <w:sz w:val="24"/>
                <w:szCs w:val="24"/>
                <w:color w:val="auto"/>
              </w:rPr>
            </w:pPr>
          </w:p>
        </w:tc>
      </w:tr>
      <w:tr>
        <w:trPr>
          <w:trHeight w:val="621"/>
        </w:trPr>
        <w:tc>
          <w:tcPr>
            <w:tcW w:w="8940" w:type="dxa"/>
            <w:vAlign w:val="bottom"/>
            <w:gridSpan w:val="2"/>
          </w:tcPr>
          <w:p>
            <w:pPr>
              <w:spacing w:after="0"/>
              <w:rPr>
                <w:sz w:val="20"/>
                <w:szCs w:val="20"/>
                <w:color w:val="auto"/>
              </w:rPr>
            </w:pPr>
            <w:r>
              <w:rPr>
                <w:rFonts w:ascii="Arial" w:cs="Arial" w:eastAsia="Arial" w:hAnsi="Arial"/>
                <w:sz w:val="22"/>
                <w:szCs w:val="22"/>
                <w:color w:val="auto"/>
              </w:rPr>
              <w:t>ARTICLE 1 DEFINITIONS</w:t>
            </w:r>
          </w:p>
        </w:tc>
        <w:tc>
          <w:tcPr>
            <w:tcW w:w="2340" w:type="dxa"/>
            <w:vAlign w:val="bottom"/>
          </w:tcPr>
          <w:p>
            <w:pPr>
              <w:jc w:val="right"/>
              <w:spacing w:after="0"/>
              <w:rPr>
                <w:sz w:val="20"/>
                <w:szCs w:val="20"/>
                <w:color w:val="auto"/>
              </w:rPr>
            </w:pPr>
            <w:r>
              <w:rPr>
                <w:rFonts w:ascii="Arial" w:cs="Arial" w:eastAsia="Arial" w:hAnsi="Arial"/>
                <w:sz w:val="22"/>
                <w:szCs w:val="22"/>
                <w:color w:val="auto"/>
              </w:rPr>
              <w:t>2</w:t>
            </w:r>
          </w:p>
        </w:tc>
      </w:tr>
      <w:tr>
        <w:trPr>
          <w:trHeight w:val="594"/>
        </w:trPr>
        <w:tc>
          <w:tcPr>
            <w:tcW w:w="8940" w:type="dxa"/>
            <w:vAlign w:val="bottom"/>
            <w:gridSpan w:val="2"/>
          </w:tcPr>
          <w:p>
            <w:pPr>
              <w:spacing w:after="0"/>
              <w:rPr>
                <w:sz w:val="20"/>
                <w:szCs w:val="20"/>
                <w:color w:val="auto"/>
              </w:rPr>
            </w:pPr>
            <w:r>
              <w:rPr>
                <w:rFonts w:ascii="Arial" w:cs="Arial" w:eastAsia="Arial" w:hAnsi="Arial"/>
                <w:sz w:val="22"/>
                <w:szCs w:val="22"/>
                <w:color w:val="auto"/>
              </w:rPr>
              <w:t>ARTICLE 2 GENERAL</w:t>
            </w:r>
          </w:p>
        </w:tc>
        <w:tc>
          <w:tcPr>
            <w:tcW w:w="23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2.1</w:t>
            </w:r>
          </w:p>
        </w:tc>
        <w:tc>
          <w:tcPr>
            <w:tcW w:w="8640" w:type="dxa"/>
            <w:vAlign w:val="bottom"/>
          </w:tcPr>
          <w:p>
            <w:pPr>
              <w:ind w:left="20"/>
              <w:spacing w:after="0"/>
              <w:rPr>
                <w:sz w:val="20"/>
                <w:szCs w:val="20"/>
                <w:color w:val="auto"/>
              </w:rPr>
            </w:pPr>
            <w:r>
              <w:rPr>
                <w:rFonts w:ascii="Arial" w:cs="Arial" w:eastAsia="Arial" w:hAnsi="Arial"/>
                <w:sz w:val="22"/>
                <w:szCs w:val="22"/>
                <w:color w:val="auto"/>
              </w:rPr>
              <w:t>Compliance With Law</w:t>
            </w:r>
          </w:p>
        </w:tc>
        <w:tc>
          <w:tcPr>
            <w:tcW w:w="23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2.2</w:t>
            </w:r>
          </w:p>
        </w:tc>
        <w:tc>
          <w:tcPr>
            <w:tcW w:w="8640" w:type="dxa"/>
            <w:vAlign w:val="bottom"/>
          </w:tcPr>
          <w:p>
            <w:pPr>
              <w:ind w:left="20"/>
              <w:spacing w:after="0"/>
              <w:rPr>
                <w:sz w:val="20"/>
                <w:szCs w:val="20"/>
                <w:color w:val="auto"/>
              </w:rPr>
            </w:pPr>
            <w:r>
              <w:rPr>
                <w:rFonts w:ascii="Arial" w:cs="Arial" w:eastAsia="Arial" w:hAnsi="Arial"/>
                <w:sz w:val="22"/>
                <w:szCs w:val="22"/>
                <w:color w:val="auto"/>
              </w:rPr>
              <w:t>Commercially Reasonable Efforts</w:t>
            </w:r>
          </w:p>
        </w:tc>
        <w:tc>
          <w:tcPr>
            <w:tcW w:w="23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2.3</w:t>
            </w:r>
          </w:p>
        </w:tc>
        <w:tc>
          <w:tcPr>
            <w:tcW w:w="8640" w:type="dxa"/>
            <w:vAlign w:val="bottom"/>
          </w:tcPr>
          <w:p>
            <w:pPr>
              <w:ind w:left="20"/>
              <w:spacing w:after="0"/>
              <w:rPr>
                <w:sz w:val="20"/>
                <w:szCs w:val="20"/>
                <w:color w:val="auto"/>
              </w:rPr>
            </w:pPr>
            <w:r>
              <w:rPr>
                <w:rFonts w:ascii="Arial" w:cs="Arial" w:eastAsia="Arial" w:hAnsi="Arial"/>
                <w:sz w:val="22"/>
                <w:szCs w:val="22"/>
                <w:color w:val="auto"/>
              </w:rPr>
              <w:t>Further Assurances and Transaction Approvals</w:t>
            </w:r>
          </w:p>
        </w:tc>
        <w:tc>
          <w:tcPr>
            <w:tcW w:w="23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2.4</w:t>
            </w:r>
          </w:p>
        </w:tc>
        <w:tc>
          <w:tcPr>
            <w:tcW w:w="8640" w:type="dxa"/>
            <w:vAlign w:val="bottom"/>
          </w:tcPr>
          <w:p>
            <w:pPr>
              <w:ind w:left="20"/>
              <w:spacing w:after="0"/>
              <w:rPr>
                <w:sz w:val="20"/>
                <w:szCs w:val="20"/>
                <w:color w:val="auto"/>
              </w:rPr>
            </w:pPr>
            <w:r>
              <w:rPr>
                <w:rFonts w:ascii="Arial" w:cs="Arial" w:eastAsia="Arial" w:hAnsi="Arial"/>
                <w:sz w:val="22"/>
                <w:szCs w:val="22"/>
                <w:color w:val="auto"/>
              </w:rPr>
              <w:t>Compliance with Third Party Agreements</w:t>
            </w:r>
          </w:p>
        </w:tc>
        <w:tc>
          <w:tcPr>
            <w:tcW w:w="2340" w:type="dxa"/>
            <w:vAlign w:val="bottom"/>
          </w:tcPr>
          <w:p>
            <w:pPr>
              <w:jc w:val="right"/>
              <w:spacing w:after="0"/>
              <w:rPr>
                <w:sz w:val="20"/>
                <w:szCs w:val="20"/>
                <w:color w:val="auto"/>
              </w:rPr>
            </w:pPr>
            <w:r>
              <w:rPr>
                <w:rFonts w:ascii="Arial" w:cs="Arial" w:eastAsia="Arial" w:hAnsi="Arial"/>
                <w:sz w:val="22"/>
                <w:szCs w:val="22"/>
                <w:color w:val="auto"/>
              </w:rPr>
              <w:t>15</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2.5</w:t>
            </w:r>
          </w:p>
        </w:tc>
        <w:tc>
          <w:tcPr>
            <w:tcW w:w="8640" w:type="dxa"/>
            <w:vAlign w:val="bottom"/>
          </w:tcPr>
          <w:p>
            <w:pPr>
              <w:ind w:left="20"/>
              <w:spacing w:after="0"/>
              <w:rPr>
                <w:sz w:val="20"/>
                <w:szCs w:val="20"/>
                <w:color w:val="auto"/>
              </w:rPr>
            </w:pPr>
            <w:r>
              <w:rPr>
                <w:rFonts w:ascii="Arial" w:cs="Arial" w:eastAsia="Arial" w:hAnsi="Arial"/>
                <w:sz w:val="22"/>
                <w:szCs w:val="22"/>
                <w:color w:val="auto"/>
              </w:rPr>
              <w:t>Plans</w:t>
            </w:r>
          </w:p>
        </w:tc>
        <w:tc>
          <w:tcPr>
            <w:tcW w:w="23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581"/>
        </w:trPr>
        <w:tc>
          <w:tcPr>
            <w:tcW w:w="8940" w:type="dxa"/>
            <w:vAlign w:val="bottom"/>
            <w:gridSpan w:val="2"/>
          </w:tcPr>
          <w:p>
            <w:pPr>
              <w:spacing w:after="0"/>
              <w:rPr>
                <w:sz w:val="20"/>
                <w:szCs w:val="20"/>
                <w:color w:val="auto"/>
              </w:rPr>
            </w:pPr>
            <w:r>
              <w:rPr>
                <w:rFonts w:ascii="Arial" w:cs="Arial" w:eastAsia="Arial" w:hAnsi="Arial"/>
                <w:sz w:val="22"/>
                <w:szCs w:val="22"/>
                <w:color w:val="auto"/>
              </w:rPr>
              <w:t>ARTICLE 3 JOINT ZALTRAP COMMITTEE</w:t>
            </w:r>
          </w:p>
        </w:tc>
        <w:tc>
          <w:tcPr>
            <w:tcW w:w="23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3.1 Joint ZALTRAP Committee</w:t>
            </w:r>
          </w:p>
        </w:tc>
        <w:tc>
          <w:tcPr>
            <w:tcW w:w="2340" w:type="dxa"/>
            <w:vAlign w:val="bottom"/>
          </w:tcPr>
          <w:p>
            <w:pPr>
              <w:jc w:val="right"/>
              <w:spacing w:after="0"/>
              <w:rPr>
                <w:sz w:val="20"/>
                <w:szCs w:val="20"/>
                <w:color w:val="auto"/>
              </w:rPr>
            </w:pPr>
            <w:r>
              <w:rPr>
                <w:rFonts w:ascii="Arial" w:cs="Arial" w:eastAsia="Arial" w:hAnsi="Arial"/>
                <w:sz w:val="22"/>
                <w:szCs w:val="22"/>
                <w:color w:val="auto"/>
              </w:rPr>
              <w:t>16</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3.2Composition; Meetings</w:t>
            </w:r>
          </w:p>
        </w:tc>
        <w:tc>
          <w:tcPr>
            <w:tcW w:w="234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3.3</w:t>
            </w:r>
          </w:p>
        </w:tc>
        <w:tc>
          <w:tcPr>
            <w:tcW w:w="8640" w:type="dxa"/>
            <w:vAlign w:val="bottom"/>
          </w:tcPr>
          <w:p>
            <w:pPr>
              <w:ind w:left="20"/>
              <w:spacing w:after="0"/>
              <w:rPr>
                <w:sz w:val="20"/>
                <w:szCs w:val="20"/>
                <w:color w:val="auto"/>
              </w:rPr>
            </w:pPr>
            <w:r>
              <w:rPr>
                <w:rFonts w:ascii="Arial" w:cs="Arial" w:eastAsia="Arial" w:hAnsi="Arial"/>
                <w:sz w:val="22"/>
                <w:szCs w:val="22"/>
                <w:color w:val="auto"/>
              </w:rPr>
              <w:t>Limitations on Authority</w:t>
            </w:r>
          </w:p>
        </w:tc>
        <w:tc>
          <w:tcPr>
            <w:tcW w:w="2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594"/>
        </w:trPr>
        <w:tc>
          <w:tcPr>
            <w:tcW w:w="8940" w:type="dxa"/>
            <w:vAlign w:val="bottom"/>
            <w:gridSpan w:val="2"/>
          </w:tcPr>
          <w:p>
            <w:pPr>
              <w:spacing w:after="0"/>
              <w:rPr>
                <w:sz w:val="20"/>
                <w:szCs w:val="20"/>
                <w:color w:val="auto"/>
              </w:rPr>
            </w:pPr>
            <w:r>
              <w:rPr>
                <w:rFonts w:ascii="Arial" w:cs="Arial" w:eastAsia="Arial" w:hAnsi="Arial"/>
                <w:sz w:val="22"/>
                <w:szCs w:val="22"/>
                <w:color w:val="auto"/>
              </w:rPr>
              <w:t>ARTICLE 4 LICENSE GRANTS</w:t>
            </w:r>
          </w:p>
        </w:tc>
        <w:tc>
          <w:tcPr>
            <w:tcW w:w="2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4.1</w:t>
            </w:r>
          </w:p>
        </w:tc>
        <w:tc>
          <w:tcPr>
            <w:tcW w:w="8640" w:type="dxa"/>
            <w:vAlign w:val="bottom"/>
          </w:tcPr>
          <w:p>
            <w:pPr>
              <w:ind w:left="20"/>
              <w:spacing w:after="0"/>
              <w:rPr>
                <w:sz w:val="20"/>
                <w:szCs w:val="20"/>
                <w:color w:val="auto"/>
              </w:rPr>
            </w:pPr>
            <w:r>
              <w:rPr>
                <w:rFonts w:ascii="Arial" w:cs="Arial" w:eastAsia="Arial" w:hAnsi="Arial"/>
                <w:sz w:val="22"/>
                <w:szCs w:val="22"/>
                <w:color w:val="auto"/>
              </w:rPr>
              <w:t>Regeneron License Grants</w:t>
            </w:r>
          </w:p>
        </w:tc>
        <w:tc>
          <w:tcPr>
            <w:tcW w:w="2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4.2</w:t>
            </w:r>
          </w:p>
        </w:tc>
        <w:tc>
          <w:tcPr>
            <w:tcW w:w="8640" w:type="dxa"/>
            <w:vAlign w:val="bottom"/>
          </w:tcPr>
          <w:p>
            <w:pPr>
              <w:ind w:left="20"/>
              <w:spacing w:after="0"/>
              <w:rPr>
                <w:sz w:val="20"/>
                <w:szCs w:val="20"/>
                <w:color w:val="auto"/>
              </w:rPr>
            </w:pPr>
            <w:r>
              <w:rPr>
                <w:rFonts w:ascii="Arial" w:cs="Arial" w:eastAsia="Arial" w:hAnsi="Arial"/>
                <w:sz w:val="22"/>
                <w:szCs w:val="22"/>
                <w:color w:val="auto"/>
              </w:rPr>
              <w:t>Aventis License Grants</w:t>
            </w:r>
          </w:p>
        </w:tc>
        <w:tc>
          <w:tcPr>
            <w:tcW w:w="2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4.3</w:t>
            </w:r>
          </w:p>
        </w:tc>
        <w:tc>
          <w:tcPr>
            <w:tcW w:w="8640" w:type="dxa"/>
            <w:vAlign w:val="bottom"/>
          </w:tcPr>
          <w:p>
            <w:pPr>
              <w:ind w:left="20"/>
              <w:spacing w:after="0"/>
              <w:rPr>
                <w:sz w:val="20"/>
                <w:szCs w:val="20"/>
                <w:color w:val="auto"/>
              </w:rPr>
            </w:pPr>
            <w:r>
              <w:rPr>
                <w:rFonts w:ascii="Arial" w:cs="Arial" w:eastAsia="Arial" w:hAnsi="Arial"/>
                <w:sz w:val="22"/>
                <w:szCs w:val="22"/>
                <w:color w:val="auto"/>
              </w:rPr>
              <w:t>Sublicenses; Subcontracting</w:t>
            </w:r>
          </w:p>
        </w:tc>
        <w:tc>
          <w:tcPr>
            <w:tcW w:w="23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4.4</w:t>
            </w:r>
          </w:p>
        </w:tc>
        <w:tc>
          <w:tcPr>
            <w:tcW w:w="8640" w:type="dxa"/>
            <w:vAlign w:val="bottom"/>
          </w:tcPr>
          <w:p>
            <w:pPr>
              <w:ind w:left="20"/>
              <w:spacing w:after="0"/>
              <w:rPr>
                <w:sz w:val="20"/>
                <w:szCs w:val="20"/>
                <w:color w:val="auto"/>
              </w:rPr>
            </w:pPr>
            <w:r>
              <w:rPr>
                <w:rFonts w:ascii="Arial" w:cs="Arial" w:eastAsia="Arial" w:hAnsi="Arial"/>
                <w:sz w:val="22"/>
                <w:szCs w:val="22"/>
                <w:color w:val="auto"/>
              </w:rPr>
              <w:t>No Implied License</w:t>
            </w:r>
          </w:p>
        </w:tc>
        <w:tc>
          <w:tcPr>
            <w:tcW w:w="2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4.5</w:t>
            </w:r>
          </w:p>
        </w:tc>
        <w:tc>
          <w:tcPr>
            <w:tcW w:w="8640" w:type="dxa"/>
            <w:vAlign w:val="bottom"/>
          </w:tcPr>
          <w:p>
            <w:pPr>
              <w:ind w:left="20"/>
              <w:spacing w:after="0"/>
              <w:rPr>
                <w:sz w:val="20"/>
                <w:szCs w:val="20"/>
                <w:color w:val="auto"/>
              </w:rPr>
            </w:pPr>
            <w:r>
              <w:rPr>
                <w:rFonts w:ascii="Arial" w:cs="Arial" w:eastAsia="Arial" w:hAnsi="Arial"/>
                <w:sz w:val="22"/>
                <w:szCs w:val="22"/>
                <w:color w:val="auto"/>
              </w:rPr>
              <w:t>Technology Transfer</w:t>
            </w:r>
          </w:p>
        </w:tc>
        <w:tc>
          <w:tcPr>
            <w:tcW w:w="2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4.6</w:t>
            </w:r>
          </w:p>
        </w:tc>
        <w:tc>
          <w:tcPr>
            <w:tcW w:w="8640" w:type="dxa"/>
            <w:vAlign w:val="bottom"/>
          </w:tcPr>
          <w:p>
            <w:pPr>
              <w:ind w:left="20"/>
              <w:spacing w:after="0"/>
              <w:rPr>
                <w:sz w:val="20"/>
                <w:szCs w:val="20"/>
                <w:color w:val="auto"/>
              </w:rPr>
            </w:pPr>
            <w:r>
              <w:rPr>
                <w:rFonts w:ascii="Arial" w:cs="Arial" w:eastAsia="Arial" w:hAnsi="Arial"/>
                <w:sz w:val="22"/>
                <w:szCs w:val="22"/>
                <w:color w:val="auto"/>
              </w:rPr>
              <w:t>Certain Newly Created Intellectual Property</w:t>
            </w:r>
          </w:p>
        </w:tc>
        <w:tc>
          <w:tcPr>
            <w:tcW w:w="23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594"/>
        </w:trPr>
        <w:tc>
          <w:tcPr>
            <w:tcW w:w="8940" w:type="dxa"/>
            <w:vAlign w:val="bottom"/>
            <w:gridSpan w:val="2"/>
          </w:tcPr>
          <w:p>
            <w:pPr>
              <w:spacing w:after="0"/>
              <w:rPr>
                <w:sz w:val="20"/>
                <w:szCs w:val="20"/>
                <w:color w:val="auto"/>
              </w:rPr>
            </w:pPr>
            <w:r>
              <w:rPr>
                <w:rFonts w:ascii="Arial" w:cs="Arial" w:eastAsia="Arial" w:hAnsi="Arial"/>
                <w:sz w:val="22"/>
                <w:szCs w:val="22"/>
                <w:color w:val="auto"/>
              </w:rPr>
              <w:t>ARTICLE 5 DEVELOPMENT ACTIVITIES</w:t>
            </w:r>
          </w:p>
        </w:tc>
        <w:tc>
          <w:tcPr>
            <w:tcW w:w="2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5.1</w:t>
            </w:r>
          </w:p>
        </w:tc>
        <w:tc>
          <w:tcPr>
            <w:tcW w:w="8640" w:type="dxa"/>
            <w:vAlign w:val="bottom"/>
          </w:tcPr>
          <w:p>
            <w:pPr>
              <w:ind w:left="20"/>
              <w:spacing w:after="0"/>
              <w:rPr>
                <w:sz w:val="20"/>
                <w:szCs w:val="20"/>
                <w:color w:val="auto"/>
              </w:rPr>
            </w:pPr>
            <w:r>
              <w:rPr>
                <w:rFonts w:ascii="Arial" w:cs="Arial" w:eastAsia="Arial" w:hAnsi="Arial"/>
                <w:sz w:val="22"/>
                <w:szCs w:val="22"/>
                <w:color w:val="auto"/>
              </w:rPr>
              <w:t>Development of Licensed Products</w:t>
            </w:r>
          </w:p>
        </w:tc>
        <w:tc>
          <w:tcPr>
            <w:tcW w:w="2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5.2</w:t>
            </w:r>
          </w:p>
        </w:tc>
        <w:tc>
          <w:tcPr>
            <w:tcW w:w="8640" w:type="dxa"/>
            <w:vAlign w:val="bottom"/>
          </w:tcPr>
          <w:p>
            <w:pPr>
              <w:ind w:left="20"/>
              <w:spacing w:after="0"/>
              <w:rPr>
                <w:sz w:val="20"/>
                <w:szCs w:val="20"/>
                <w:color w:val="auto"/>
              </w:rPr>
            </w:pPr>
            <w:r>
              <w:rPr>
                <w:rFonts w:ascii="Arial" w:cs="Arial" w:eastAsia="Arial" w:hAnsi="Arial"/>
                <w:sz w:val="22"/>
                <w:szCs w:val="22"/>
                <w:color w:val="auto"/>
              </w:rPr>
              <w:t>Development Plan</w:t>
            </w:r>
          </w:p>
        </w:tc>
        <w:tc>
          <w:tcPr>
            <w:tcW w:w="23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5.3</w:t>
            </w:r>
          </w:p>
        </w:tc>
        <w:tc>
          <w:tcPr>
            <w:tcW w:w="8640" w:type="dxa"/>
            <w:vAlign w:val="bottom"/>
          </w:tcPr>
          <w:p>
            <w:pPr>
              <w:ind w:left="20"/>
              <w:spacing w:after="0"/>
              <w:rPr>
                <w:sz w:val="20"/>
                <w:szCs w:val="20"/>
                <w:color w:val="auto"/>
              </w:rPr>
            </w:pPr>
            <w:r>
              <w:rPr>
                <w:rFonts w:ascii="Arial" w:cs="Arial" w:eastAsia="Arial" w:hAnsi="Arial"/>
                <w:sz w:val="22"/>
                <w:szCs w:val="22"/>
                <w:color w:val="auto"/>
              </w:rPr>
              <w:t>Additional Development Activities</w:t>
            </w:r>
          </w:p>
        </w:tc>
        <w:tc>
          <w:tcPr>
            <w:tcW w:w="23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5.4</w:t>
            </w:r>
          </w:p>
        </w:tc>
        <w:tc>
          <w:tcPr>
            <w:tcW w:w="8640" w:type="dxa"/>
            <w:vAlign w:val="bottom"/>
          </w:tcPr>
          <w:p>
            <w:pPr>
              <w:ind w:left="20"/>
              <w:spacing w:after="0"/>
              <w:rPr>
                <w:sz w:val="20"/>
                <w:szCs w:val="20"/>
                <w:color w:val="auto"/>
              </w:rPr>
            </w:pPr>
            <w:r>
              <w:rPr>
                <w:rFonts w:ascii="Arial" w:cs="Arial" w:eastAsia="Arial" w:hAnsi="Arial"/>
                <w:sz w:val="22"/>
                <w:szCs w:val="22"/>
                <w:color w:val="auto"/>
              </w:rPr>
              <w:t>Development Reports</w:t>
            </w:r>
          </w:p>
        </w:tc>
        <w:tc>
          <w:tcPr>
            <w:tcW w:w="23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5.5</w:t>
            </w:r>
          </w:p>
        </w:tc>
        <w:tc>
          <w:tcPr>
            <w:tcW w:w="8640" w:type="dxa"/>
            <w:vAlign w:val="bottom"/>
          </w:tcPr>
          <w:p>
            <w:pPr>
              <w:ind w:left="20"/>
              <w:spacing w:after="0"/>
              <w:rPr>
                <w:sz w:val="20"/>
                <w:szCs w:val="20"/>
                <w:color w:val="auto"/>
              </w:rPr>
            </w:pPr>
            <w:r>
              <w:rPr>
                <w:rFonts w:ascii="Arial" w:cs="Arial" w:eastAsia="Arial" w:hAnsi="Arial"/>
                <w:sz w:val="22"/>
                <w:szCs w:val="22"/>
                <w:color w:val="auto"/>
              </w:rPr>
              <w:t>Development Records</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5.6</w:t>
            </w:r>
          </w:p>
        </w:tc>
        <w:tc>
          <w:tcPr>
            <w:tcW w:w="8640" w:type="dxa"/>
            <w:vAlign w:val="bottom"/>
          </w:tcPr>
          <w:p>
            <w:pPr>
              <w:ind w:left="20"/>
              <w:spacing w:after="0"/>
              <w:rPr>
                <w:sz w:val="20"/>
                <w:szCs w:val="20"/>
                <w:color w:val="auto"/>
              </w:rPr>
            </w:pPr>
            <w:r>
              <w:rPr>
                <w:rFonts w:ascii="Arial" w:cs="Arial" w:eastAsia="Arial" w:hAnsi="Arial"/>
                <w:sz w:val="22"/>
                <w:szCs w:val="22"/>
                <w:color w:val="auto"/>
              </w:rPr>
              <w:t>Obligations of The Parties And Their Affiliates</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594"/>
        </w:trPr>
        <w:tc>
          <w:tcPr>
            <w:tcW w:w="8940" w:type="dxa"/>
            <w:vAlign w:val="bottom"/>
            <w:gridSpan w:val="2"/>
          </w:tcPr>
          <w:p>
            <w:pPr>
              <w:spacing w:after="0"/>
              <w:rPr>
                <w:sz w:val="20"/>
                <w:szCs w:val="20"/>
                <w:color w:val="auto"/>
              </w:rPr>
            </w:pPr>
            <w:r>
              <w:rPr>
                <w:rFonts w:ascii="Arial" w:cs="Arial" w:eastAsia="Arial" w:hAnsi="Arial"/>
                <w:sz w:val="22"/>
                <w:szCs w:val="22"/>
                <w:color w:val="auto"/>
              </w:rPr>
              <w:t>ARTICLE 6 COMMERCIALIZATION</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6.1</w:t>
            </w:r>
          </w:p>
        </w:tc>
        <w:tc>
          <w:tcPr>
            <w:tcW w:w="8640" w:type="dxa"/>
            <w:vAlign w:val="bottom"/>
          </w:tcPr>
          <w:p>
            <w:pPr>
              <w:ind w:left="20"/>
              <w:spacing w:after="0"/>
              <w:rPr>
                <w:sz w:val="20"/>
                <w:szCs w:val="20"/>
                <w:color w:val="auto"/>
              </w:rPr>
            </w:pPr>
            <w:r>
              <w:rPr>
                <w:rFonts w:ascii="Arial" w:cs="Arial" w:eastAsia="Arial" w:hAnsi="Arial"/>
                <w:sz w:val="22"/>
                <w:szCs w:val="22"/>
                <w:color w:val="auto"/>
              </w:rPr>
              <w:t>Commercialization of Licensed Products</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6.2</w:t>
            </w:r>
          </w:p>
        </w:tc>
        <w:tc>
          <w:tcPr>
            <w:tcW w:w="8640" w:type="dxa"/>
            <w:vAlign w:val="bottom"/>
          </w:tcPr>
          <w:p>
            <w:pPr>
              <w:ind w:left="20"/>
              <w:spacing w:after="0"/>
              <w:rPr>
                <w:sz w:val="20"/>
                <w:szCs w:val="20"/>
                <w:color w:val="auto"/>
              </w:rPr>
            </w:pPr>
            <w:r>
              <w:rPr>
                <w:rFonts w:ascii="Arial" w:cs="Arial" w:eastAsia="Arial" w:hAnsi="Arial"/>
                <w:sz w:val="22"/>
                <w:szCs w:val="22"/>
                <w:color w:val="auto"/>
              </w:rPr>
              <w:t>Commercialization Plan</w:t>
            </w:r>
          </w:p>
        </w:tc>
        <w:tc>
          <w:tcPr>
            <w:tcW w:w="23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6.3</w:t>
            </w:r>
          </w:p>
        </w:tc>
        <w:tc>
          <w:tcPr>
            <w:tcW w:w="8640" w:type="dxa"/>
            <w:vAlign w:val="bottom"/>
          </w:tcPr>
          <w:p>
            <w:pPr>
              <w:ind w:left="20"/>
              <w:spacing w:after="0"/>
              <w:rPr>
                <w:sz w:val="20"/>
                <w:szCs w:val="20"/>
                <w:color w:val="auto"/>
              </w:rPr>
            </w:pPr>
            <w:r>
              <w:rPr>
                <w:rFonts w:ascii="Arial" w:cs="Arial" w:eastAsia="Arial" w:hAnsi="Arial"/>
                <w:sz w:val="22"/>
                <w:szCs w:val="22"/>
                <w:color w:val="auto"/>
              </w:rPr>
              <w:t>Commercialization Reports</w:t>
            </w:r>
          </w:p>
        </w:tc>
        <w:tc>
          <w:tcPr>
            <w:tcW w:w="2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6.4</w:t>
            </w:r>
          </w:p>
        </w:tc>
        <w:tc>
          <w:tcPr>
            <w:tcW w:w="8640" w:type="dxa"/>
            <w:vAlign w:val="bottom"/>
          </w:tcPr>
          <w:p>
            <w:pPr>
              <w:ind w:left="20"/>
              <w:spacing w:after="0"/>
              <w:rPr>
                <w:sz w:val="20"/>
                <w:szCs w:val="20"/>
                <w:color w:val="auto"/>
              </w:rPr>
            </w:pPr>
            <w:r>
              <w:rPr>
                <w:rFonts w:ascii="Arial" w:cs="Arial" w:eastAsia="Arial" w:hAnsi="Arial"/>
                <w:sz w:val="22"/>
                <w:szCs w:val="22"/>
                <w:color w:val="auto"/>
              </w:rPr>
              <w:t>Commercialization Records</w:t>
            </w:r>
          </w:p>
        </w:tc>
        <w:tc>
          <w:tcPr>
            <w:tcW w:w="23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6.5</w:t>
            </w:r>
          </w:p>
        </w:tc>
        <w:tc>
          <w:tcPr>
            <w:tcW w:w="8640" w:type="dxa"/>
            <w:vAlign w:val="bottom"/>
          </w:tcPr>
          <w:p>
            <w:pPr>
              <w:ind w:left="20"/>
              <w:spacing w:after="0"/>
              <w:rPr>
                <w:sz w:val="20"/>
                <w:szCs w:val="20"/>
                <w:color w:val="auto"/>
              </w:rPr>
            </w:pPr>
            <w:r>
              <w:rPr>
                <w:rFonts w:ascii="Arial" w:cs="Arial" w:eastAsia="Arial" w:hAnsi="Arial"/>
                <w:sz w:val="22"/>
                <w:szCs w:val="22"/>
                <w:color w:val="auto"/>
              </w:rPr>
              <w:t>Booking of Sales and Licensed Product Distribution</w:t>
            </w:r>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6.6</w:t>
            </w:r>
          </w:p>
        </w:tc>
        <w:tc>
          <w:tcPr>
            <w:tcW w:w="8640" w:type="dxa"/>
            <w:vAlign w:val="bottom"/>
          </w:tcPr>
          <w:p>
            <w:pPr>
              <w:ind w:left="20"/>
              <w:spacing w:after="0"/>
              <w:rPr>
                <w:sz w:val="20"/>
                <w:szCs w:val="20"/>
                <w:color w:val="auto"/>
              </w:rPr>
            </w:pPr>
            <w:r>
              <w:rPr>
                <w:rFonts w:ascii="Arial" w:cs="Arial" w:eastAsia="Arial" w:hAnsi="Arial"/>
                <w:sz w:val="22"/>
                <w:szCs w:val="22"/>
                <w:color w:val="auto"/>
              </w:rPr>
              <w:t>[****]</w:t>
            </w:r>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6.7</w:t>
            </w:r>
          </w:p>
        </w:tc>
        <w:tc>
          <w:tcPr>
            <w:tcW w:w="8640" w:type="dxa"/>
            <w:vAlign w:val="bottom"/>
          </w:tcPr>
          <w:p>
            <w:pPr>
              <w:ind w:left="20"/>
              <w:spacing w:after="0"/>
              <w:rPr>
                <w:sz w:val="20"/>
                <w:szCs w:val="20"/>
                <w:color w:val="auto"/>
              </w:rPr>
            </w:pPr>
            <w:r>
              <w:rPr>
                <w:rFonts w:ascii="Arial" w:cs="Arial" w:eastAsia="Arial" w:hAnsi="Arial"/>
                <w:sz w:val="22"/>
                <w:szCs w:val="22"/>
                <w:color w:val="auto"/>
              </w:rPr>
              <w:t>Restrictions on Sales Outside the Field</w:t>
            </w:r>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6.8</w:t>
            </w:r>
          </w:p>
        </w:tc>
        <w:tc>
          <w:tcPr>
            <w:tcW w:w="8640" w:type="dxa"/>
            <w:vAlign w:val="bottom"/>
          </w:tcPr>
          <w:p>
            <w:pPr>
              <w:ind w:left="20"/>
              <w:spacing w:after="0"/>
              <w:rPr>
                <w:sz w:val="20"/>
                <w:szCs w:val="20"/>
                <w:color w:val="auto"/>
              </w:rPr>
            </w:pPr>
            <w:r>
              <w:rPr>
                <w:rFonts w:ascii="Arial" w:cs="Arial" w:eastAsia="Arial" w:hAnsi="Arial"/>
                <w:sz w:val="22"/>
                <w:szCs w:val="22"/>
                <w:color w:val="auto"/>
              </w:rPr>
              <w:t>Inventory Management</w:t>
            </w:r>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6.9</w:t>
            </w:r>
          </w:p>
        </w:tc>
        <w:tc>
          <w:tcPr>
            <w:tcW w:w="8640" w:type="dxa"/>
            <w:vAlign w:val="bottom"/>
          </w:tcPr>
          <w:p>
            <w:pPr>
              <w:ind w:left="20"/>
              <w:spacing w:after="0"/>
              <w:rPr>
                <w:sz w:val="20"/>
                <w:szCs w:val="20"/>
                <w:color w:val="auto"/>
              </w:rPr>
            </w:pPr>
            <w:r>
              <w:rPr>
                <w:rFonts w:ascii="Arial" w:cs="Arial" w:eastAsia="Arial" w:hAnsi="Arial"/>
                <w:sz w:val="22"/>
                <w:szCs w:val="22"/>
                <w:color w:val="auto"/>
              </w:rPr>
              <w:t>Medical and Consumer Inquiries</w:t>
            </w:r>
          </w:p>
        </w:tc>
        <w:tc>
          <w:tcPr>
            <w:tcW w:w="23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6.10 Market Exclusivity Extensions</w:t>
            </w:r>
          </w:p>
        </w:tc>
        <w:tc>
          <w:tcPr>
            <w:tcW w:w="2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6.11 Non-Compete; Activities Outside of the Agreement</w:t>
            </w:r>
          </w:p>
        </w:tc>
        <w:tc>
          <w:tcPr>
            <w:tcW w:w="23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8940" w:type="dxa"/>
            <w:vAlign w:val="bottom"/>
            <w:gridSpan w:val="2"/>
          </w:tcPr>
          <w:p>
            <w:pPr>
              <w:spacing w:after="0"/>
              <w:rPr>
                <w:sz w:val="20"/>
                <w:szCs w:val="20"/>
                <w:color w:val="auto"/>
              </w:rPr>
            </w:pPr>
            <w:r>
              <w:rPr>
                <w:rFonts w:ascii="Arial" w:cs="Arial" w:eastAsia="Arial" w:hAnsi="Arial"/>
                <w:sz w:val="22"/>
                <w:szCs w:val="22"/>
                <w:color w:val="auto"/>
              </w:rPr>
              <w:t>6.12 Post Marketing Clinical Trials</w:t>
            </w:r>
          </w:p>
        </w:tc>
        <w:tc>
          <w:tcPr>
            <w:tcW w:w="2340" w:type="dxa"/>
            <w:vAlign w:val="bottom"/>
          </w:tcPr>
          <w:p>
            <w:pPr>
              <w:jc w:val="right"/>
              <w:spacing w:after="0"/>
              <w:rPr>
                <w:sz w:val="20"/>
                <w:szCs w:val="20"/>
                <w:color w:val="auto"/>
              </w:rPr>
            </w:pPr>
            <w:r>
              <w:rPr>
                <w:rFonts w:ascii="Arial" w:cs="Arial" w:eastAsia="Arial" w:hAnsi="Arial"/>
                <w:sz w:val="22"/>
                <w:szCs w:val="22"/>
                <w:color w:val="auto"/>
              </w:rPr>
              <w:t>27</w:t>
            </w:r>
          </w:p>
        </w:tc>
      </w:tr>
    </w:tbl>
    <w:p>
      <w:pPr>
        <w:spacing w:after="0" w:line="200" w:lineRule="exact"/>
        <w:rPr>
          <w:sz w:val="20"/>
          <w:szCs w:val="20"/>
          <w:color w:val="auto"/>
        </w:rPr>
      </w:pPr>
    </w:p>
    <w:p>
      <w:pPr>
        <w:sectPr>
          <w:pgSz w:w="11900" w:h="16838" w:orient="portrait"/>
          <w:cols w:equalWidth="0" w:num="1">
            <w:col w:w="11280"/>
          </w:cols>
          <w:pgMar w:left="280" w:top="841" w:right="339" w:bottom="1440" w:gutter="0" w:footer="0" w:header="0"/>
        </w:sectPr>
      </w:pP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80"/>
          </w:cols>
          <w:pgMar w:left="280" w:top="841"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75"/>
        </w:trPr>
        <w:tc>
          <w:tcPr>
            <w:tcW w:w="8420" w:type="dxa"/>
            <w:vAlign w:val="bottom"/>
            <w:gridSpan w:val="2"/>
          </w:tcPr>
          <w:p>
            <w:pPr>
              <w:spacing w:after="0"/>
              <w:rPr>
                <w:sz w:val="20"/>
                <w:szCs w:val="20"/>
                <w:color w:val="auto"/>
              </w:rPr>
            </w:pPr>
            <w:r>
              <w:rPr>
                <w:rFonts w:ascii="Arial" w:cs="Arial" w:eastAsia="Arial" w:hAnsi="Arial"/>
                <w:sz w:val="22"/>
                <w:szCs w:val="22"/>
                <w:color w:val="auto"/>
              </w:rPr>
              <w:t>ARTICLE 7 REGULATORY AFFAIRS</w:t>
            </w:r>
          </w:p>
        </w:tc>
        <w:tc>
          <w:tcPr>
            <w:tcW w:w="2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7.1</w:t>
            </w:r>
          </w:p>
        </w:tc>
        <w:tc>
          <w:tcPr>
            <w:tcW w:w="8120" w:type="dxa"/>
            <w:vAlign w:val="bottom"/>
          </w:tcPr>
          <w:p>
            <w:pPr>
              <w:ind w:left="20"/>
              <w:spacing w:after="0"/>
              <w:rPr>
                <w:sz w:val="20"/>
                <w:szCs w:val="20"/>
                <w:color w:val="auto"/>
              </w:rPr>
            </w:pPr>
            <w:r>
              <w:rPr>
                <w:rFonts w:ascii="Arial" w:cs="Arial" w:eastAsia="Arial" w:hAnsi="Arial"/>
                <w:sz w:val="22"/>
                <w:szCs w:val="22"/>
                <w:color w:val="auto"/>
              </w:rPr>
              <w:t>Ownership of Approvals and Registration Filings</w:t>
            </w:r>
          </w:p>
        </w:tc>
        <w:tc>
          <w:tcPr>
            <w:tcW w:w="2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7.2</w:t>
            </w:r>
          </w:p>
        </w:tc>
        <w:tc>
          <w:tcPr>
            <w:tcW w:w="8120" w:type="dxa"/>
            <w:vAlign w:val="bottom"/>
          </w:tcPr>
          <w:p>
            <w:pPr>
              <w:ind w:left="20"/>
              <w:spacing w:after="0"/>
              <w:rPr>
                <w:sz w:val="20"/>
                <w:szCs w:val="20"/>
                <w:color w:val="auto"/>
              </w:rPr>
            </w:pPr>
            <w:r>
              <w:rPr>
                <w:rFonts w:ascii="Arial" w:cs="Arial" w:eastAsia="Arial" w:hAnsi="Arial"/>
                <w:sz w:val="22"/>
                <w:szCs w:val="22"/>
                <w:color w:val="auto"/>
              </w:rPr>
              <w:t>Rights of Reference</w:t>
            </w:r>
          </w:p>
        </w:tc>
        <w:tc>
          <w:tcPr>
            <w:tcW w:w="28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7.3</w:t>
            </w:r>
          </w:p>
        </w:tc>
        <w:tc>
          <w:tcPr>
            <w:tcW w:w="8120" w:type="dxa"/>
            <w:vAlign w:val="bottom"/>
          </w:tcPr>
          <w:p>
            <w:pPr>
              <w:ind w:left="20"/>
              <w:spacing w:after="0"/>
              <w:rPr>
                <w:sz w:val="20"/>
                <w:szCs w:val="20"/>
                <w:color w:val="auto"/>
              </w:rPr>
            </w:pPr>
            <w:r>
              <w:rPr>
                <w:rFonts w:ascii="Arial" w:cs="Arial" w:eastAsia="Arial" w:hAnsi="Arial"/>
                <w:sz w:val="22"/>
                <w:szCs w:val="22"/>
                <w:color w:val="auto"/>
              </w:rPr>
              <w:t>Regulatory Coordination and Assistance</w:t>
            </w:r>
          </w:p>
        </w:tc>
        <w:tc>
          <w:tcPr>
            <w:tcW w:w="28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7.4</w:t>
            </w:r>
          </w:p>
        </w:tc>
        <w:tc>
          <w:tcPr>
            <w:tcW w:w="8120" w:type="dxa"/>
            <w:vAlign w:val="bottom"/>
          </w:tcPr>
          <w:p>
            <w:pPr>
              <w:ind w:left="20"/>
              <w:spacing w:after="0"/>
              <w:rPr>
                <w:sz w:val="20"/>
                <w:szCs w:val="20"/>
                <w:color w:val="auto"/>
              </w:rPr>
            </w:pPr>
            <w:r>
              <w:rPr>
                <w:rFonts w:ascii="Arial" w:cs="Arial" w:eastAsia="Arial" w:hAnsi="Arial"/>
                <w:sz w:val="22"/>
                <w:szCs w:val="22"/>
                <w:color w:val="auto"/>
              </w:rPr>
              <w:t>Pharmacovigilance and Safety Data Exchange</w:t>
            </w:r>
          </w:p>
        </w:tc>
        <w:tc>
          <w:tcPr>
            <w:tcW w:w="2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7.5</w:t>
            </w:r>
          </w:p>
        </w:tc>
        <w:tc>
          <w:tcPr>
            <w:tcW w:w="8120" w:type="dxa"/>
            <w:vAlign w:val="bottom"/>
          </w:tcPr>
          <w:p>
            <w:pPr>
              <w:ind w:left="20"/>
              <w:spacing w:after="0"/>
              <w:rPr>
                <w:sz w:val="20"/>
                <w:szCs w:val="20"/>
                <w:color w:val="auto"/>
              </w:rPr>
            </w:pPr>
            <w:r>
              <w:rPr>
                <w:rFonts w:ascii="Arial" w:cs="Arial" w:eastAsia="Arial" w:hAnsi="Arial"/>
                <w:sz w:val="22"/>
                <w:szCs w:val="22"/>
                <w:color w:val="auto"/>
              </w:rPr>
              <w:t>Regulatory Inspection or Audit</w:t>
            </w:r>
          </w:p>
        </w:tc>
        <w:tc>
          <w:tcPr>
            <w:tcW w:w="28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7.6</w:t>
            </w:r>
          </w:p>
        </w:tc>
        <w:tc>
          <w:tcPr>
            <w:tcW w:w="8120" w:type="dxa"/>
            <w:vAlign w:val="bottom"/>
          </w:tcPr>
          <w:p>
            <w:pPr>
              <w:ind w:left="20"/>
              <w:spacing w:after="0"/>
              <w:rPr>
                <w:sz w:val="20"/>
                <w:szCs w:val="20"/>
                <w:color w:val="auto"/>
              </w:rPr>
            </w:pPr>
            <w:r>
              <w:rPr>
                <w:rFonts w:ascii="Arial" w:cs="Arial" w:eastAsia="Arial" w:hAnsi="Arial"/>
                <w:sz w:val="22"/>
                <w:szCs w:val="22"/>
                <w:color w:val="auto"/>
              </w:rPr>
              <w:t>Recalls and Other Corrective Actions</w:t>
            </w:r>
          </w:p>
        </w:tc>
        <w:tc>
          <w:tcPr>
            <w:tcW w:w="28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7.7</w:t>
            </w:r>
          </w:p>
        </w:tc>
        <w:tc>
          <w:tcPr>
            <w:tcW w:w="8120" w:type="dxa"/>
            <w:vAlign w:val="bottom"/>
          </w:tcPr>
          <w:p>
            <w:pPr>
              <w:ind w:left="20"/>
              <w:spacing w:after="0"/>
              <w:rPr>
                <w:sz w:val="20"/>
                <w:szCs w:val="20"/>
                <w:color w:val="auto"/>
              </w:rPr>
            </w:pPr>
            <w:r>
              <w:rPr>
                <w:rFonts w:ascii="Arial" w:cs="Arial" w:eastAsia="Arial" w:hAnsi="Arial"/>
                <w:sz w:val="22"/>
                <w:szCs w:val="22"/>
                <w:color w:val="auto"/>
              </w:rPr>
              <w:t>Cost of Recalls and Other Corrective Actions</w:t>
            </w:r>
          </w:p>
        </w:tc>
        <w:tc>
          <w:tcPr>
            <w:tcW w:w="28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7.8</w:t>
            </w:r>
          </w:p>
        </w:tc>
        <w:tc>
          <w:tcPr>
            <w:tcW w:w="8120" w:type="dxa"/>
            <w:vAlign w:val="bottom"/>
          </w:tcPr>
          <w:p>
            <w:pPr>
              <w:ind w:left="20"/>
              <w:spacing w:after="0"/>
              <w:rPr>
                <w:sz w:val="20"/>
                <w:szCs w:val="20"/>
                <w:color w:val="auto"/>
              </w:rPr>
            </w:pPr>
            <w:r>
              <w:rPr>
                <w:rFonts w:ascii="Arial" w:cs="Arial" w:eastAsia="Arial" w:hAnsi="Arial"/>
                <w:sz w:val="22"/>
                <w:szCs w:val="22"/>
                <w:color w:val="auto"/>
              </w:rPr>
              <w:t>Licensed Product Labeling</w:t>
            </w:r>
          </w:p>
        </w:tc>
        <w:tc>
          <w:tcPr>
            <w:tcW w:w="28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594"/>
        </w:trPr>
        <w:tc>
          <w:tcPr>
            <w:tcW w:w="8420" w:type="dxa"/>
            <w:vAlign w:val="bottom"/>
            <w:gridSpan w:val="2"/>
          </w:tcPr>
          <w:p>
            <w:pPr>
              <w:spacing w:after="0"/>
              <w:rPr>
                <w:sz w:val="20"/>
                <w:szCs w:val="20"/>
                <w:color w:val="auto"/>
              </w:rPr>
            </w:pPr>
            <w:r>
              <w:rPr>
                <w:rFonts w:ascii="Arial" w:cs="Arial" w:eastAsia="Arial" w:hAnsi="Arial"/>
                <w:sz w:val="22"/>
                <w:szCs w:val="22"/>
                <w:color w:val="auto"/>
              </w:rPr>
              <w:t>ARTICLE 8 MANUFACTURING AND SUPPLY</w:t>
            </w:r>
          </w:p>
        </w:tc>
        <w:tc>
          <w:tcPr>
            <w:tcW w:w="28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8.1</w:t>
            </w:r>
          </w:p>
        </w:tc>
        <w:tc>
          <w:tcPr>
            <w:tcW w:w="8120" w:type="dxa"/>
            <w:vAlign w:val="bottom"/>
          </w:tcPr>
          <w:p>
            <w:pPr>
              <w:ind w:left="20"/>
              <w:spacing w:after="0"/>
              <w:rPr>
                <w:sz w:val="20"/>
                <w:szCs w:val="20"/>
                <w:color w:val="auto"/>
              </w:rPr>
            </w:pPr>
            <w:r>
              <w:rPr>
                <w:rFonts w:ascii="Arial" w:cs="Arial" w:eastAsia="Arial" w:hAnsi="Arial"/>
                <w:sz w:val="22"/>
                <w:szCs w:val="22"/>
                <w:color w:val="auto"/>
              </w:rPr>
              <w:t>Supply Agreement</w:t>
            </w:r>
          </w:p>
        </w:tc>
        <w:tc>
          <w:tcPr>
            <w:tcW w:w="2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8.2</w:t>
            </w:r>
          </w:p>
        </w:tc>
        <w:tc>
          <w:tcPr>
            <w:tcW w:w="8120" w:type="dxa"/>
            <w:vAlign w:val="bottom"/>
          </w:tcPr>
          <w:p>
            <w:pPr>
              <w:ind w:left="20"/>
              <w:spacing w:after="0"/>
              <w:rPr>
                <w:sz w:val="20"/>
                <w:szCs w:val="20"/>
                <w:color w:val="auto"/>
              </w:rPr>
            </w:pPr>
            <w:r>
              <w:rPr>
                <w:rFonts w:ascii="Arial" w:cs="Arial" w:eastAsia="Arial" w:hAnsi="Arial"/>
                <w:sz w:val="22"/>
                <w:szCs w:val="22"/>
                <w:color w:val="auto"/>
              </w:rPr>
              <w:t>Aventis Manufacturing and Supply Obligations</w:t>
            </w:r>
          </w:p>
        </w:tc>
        <w:tc>
          <w:tcPr>
            <w:tcW w:w="2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8.3</w:t>
            </w:r>
          </w:p>
        </w:tc>
        <w:tc>
          <w:tcPr>
            <w:tcW w:w="8120" w:type="dxa"/>
            <w:vAlign w:val="bottom"/>
          </w:tcPr>
          <w:p>
            <w:pPr>
              <w:ind w:left="20"/>
              <w:spacing w:after="0"/>
              <w:rPr>
                <w:sz w:val="20"/>
                <w:szCs w:val="20"/>
                <w:color w:val="auto"/>
              </w:rPr>
            </w:pPr>
            <w:r>
              <w:rPr>
                <w:rFonts w:ascii="Arial" w:cs="Arial" w:eastAsia="Arial" w:hAnsi="Arial"/>
                <w:sz w:val="22"/>
                <w:szCs w:val="22"/>
                <w:color w:val="auto"/>
              </w:rPr>
              <w:t>Funded Assets</w:t>
            </w:r>
          </w:p>
        </w:tc>
        <w:tc>
          <w:tcPr>
            <w:tcW w:w="2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594"/>
        </w:trPr>
        <w:tc>
          <w:tcPr>
            <w:tcW w:w="8420" w:type="dxa"/>
            <w:vAlign w:val="bottom"/>
            <w:gridSpan w:val="2"/>
          </w:tcPr>
          <w:p>
            <w:pPr>
              <w:spacing w:after="0"/>
              <w:rPr>
                <w:sz w:val="20"/>
                <w:szCs w:val="20"/>
                <w:color w:val="auto"/>
              </w:rPr>
            </w:pPr>
            <w:r>
              <w:rPr>
                <w:rFonts w:ascii="Arial" w:cs="Arial" w:eastAsia="Arial" w:hAnsi="Arial"/>
                <w:sz w:val="22"/>
                <w:szCs w:val="22"/>
                <w:color w:val="auto"/>
              </w:rPr>
              <w:t>ARTICLE 9 PAYMENTS</w:t>
            </w:r>
          </w:p>
        </w:tc>
        <w:tc>
          <w:tcPr>
            <w:tcW w:w="2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9.1</w:t>
            </w:r>
          </w:p>
        </w:tc>
        <w:tc>
          <w:tcPr>
            <w:tcW w:w="8120" w:type="dxa"/>
            <w:vAlign w:val="bottom"/>
          </w:tcPr>
          <w:p>
            <w:pPr>
              <w:ind w:left="20"/>
              <w:spacing w:after="0"/>
              <w:rPr>
                <w:sz w:val="20"/>
                <w:szCs w:val="20"/>
                <w:color w:val="auto"/>
              </w:rPr>
            </w:pPr>
            <w:r>
              <w:rPr>
                <w:rFonts w:ascii="Arial" w:cs="Arial" w:eastAsia="Arial" w:hAnsi="Arial"/>
                <w:sz w:val="22"/>
                <w:szCs w:val="22"/>
                <w:color w:val="auto"/>
              </w:rPr>
              <w:t>Payments.</w:t>
            </w:r>
          </w:p>
        </w:tc>
        <w:tc>
          <w:tcPr>
            <w:tcW w:w="28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9.2</w:t>
            </w:r>
          </w:p>
        </w:tc>
        <w:tc>
          <w:tcPr>
            <w:tcW w:w="8120" w:type="dxa"/>
            <w:vAlign w:val="bottom"/>
          </w:tcPr>
          <w:p>
            <w:pPr>
              <w:ind w:left="20"/>
              <w:spacing w:after="0"/>
              <w:rPr>
                <w:sz w:val="20"/>
                <w:szCs w:val="20"/>
                <w:color w:val="auto"/>
              </w:rPr>
            </w:pPr>
            <w:r>
              <w:rPr>
                <w:rFonts w:ascii="Arial" w:cs="Arial" w:eastAsia="Arial" w:hAnsi="Arial"/>
                <w:sz w:val="22"/>
                <w:szCs w:val="22"/>
                <w:color w:val="auto"/>
              </w:rPr>
              <w:t>Development Balance; Other Payment Obligations</w:t>
            </w:r>
          </w:p>
        </w:tc>
        <w:tc>
          <w:tcPr>
            <w:tcW w:w="2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9.3</w:t>
            </w:r>
          </w:p>
        </w:tc>
        <w:tc>
          <w:tcPr>
            <w:tcW w:w="8120" w:type="dxa"/>
            <w:vAlign w:val="bottom"/>
          </w:tcPr>
          <w:p>
            <w:pPr>
              <w:ind w:left="20"/>
              <w:spacing w:after="0"/>
              <w:rPr>
                <w:sz w:val="20"/>
                <w:szCs w:val="20"/>
                <w:color w:val="auto"/>
              </w:rPr>
            </w:pPr>
            <w:r>
              <w:rPr>
                <w:rFonts w:ascii="Arial" w:cs="Arial" w:eastAsia="Arial" w:hAnsi="Arial"/>
                <w:sz w:val="22"/>
                <w:szCs w:val="22"/>
                <w:color w:val="auto"/>
              </w:rPr>
              <w:t>Net Sales Report</w:t>
            </w:r>
          </w:p>
        </w:tc>
        <w:tc>
          <w:tcPr>
            <w:tcW w:w="2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9.4</w:t>
            </w:r>
          </w:p>
        </w:tc>
        <w:tc>
          <w:tcPr>
            <w:tcW w:w="8120" w:type="dxa"/>
            <w:vAlign w:val="bottom"/>
          </w:tcPr>
          <w:p>
            <w:pPr>
              <w:ind w:left="20"/>
              <w:spacing w:after="0"/>
              <w:rPr>
                <w:sz w:val="20"/>
                <w:szCs w:val="20"/>
                <w:color w:val="auto"/>
              </w:rPr>
            </w:pPr>
            <w:r>
              <w:rPr>
                <w:rFonts w:ascii="Arial" w:cs="Arial" w:eastAsia="Arial" w:hAnsi="Arial"/>
                <w:sz w:val="22"/>
                <w:szCs w:val="22"/>
                <w:color w:val="auto"/>
              </w:rPr>
              <w:t>Third Party Payment Amounts</w:t>
            </w:r>
          </w:p>
        </w:tc>
        <w:tc>
          <w:tcPr>
            <w:tcW w:w="2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9.5</w:t>
            </w:r>
          </w:p>
        </w:tc>
        <w:tc>
          <w:tcPr>
            <w:tcW w:w="8120" w:type="dxa"/>
            <w:vAlign w:val="bottom"/>
          </w:tcPr>
          <w:p>
            <w:pPr>
              <w:ind w:left="20"/>
              <w:spacing w:after="0"/>
              <w:rPr>
                <w:sz w:val="20"/>
                <w:szCs w:val="20"/>
                <w:color w:val="auto"/>
              </w:rPr>
            </w:pPr>
            <w:r>
              <w:rPr>
                <w:rFonts w:ascii="Arial" w:cs="Arial" w:eastAsia="Arial" w:hAnsi="Arial"/>
                <w:sz w:val="22"/>
                <w:szCs w:val="22"/>
                <w:color w:val="auto"/>
              </w:rPr>
              <w:t>Regeneron Costs</w:t>
            </w:r>
          </w:p>
        </w:tc>
        <w:tc>
          <w:tcPr>
            <w:tcW w:w="2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9.6</w:t>
            </w:r>
          </w:p>
        </w:tc>
        <w:tc>
          <w:tcPr>
            <w:tcW w:w="8120" w:type="dxa"/>
            <w:vAlign w:val="bottom"/>
          </w:tcPr>
          <w:p>
            <w:pPr>
              <w:ind w:left="20"/>
              <w:spacing w:after="0"/>
              <w:rPr>
                <w:sz w:val="20"/>
                <w:szCs w:val="20"/>
                <w:color w:val="auto"/>
              </w:rPr>
            </w:pPr>
            <w:r>
              <w:rPr>
                <w:rFonts w:ascii="Arial" w:cs="Arial" w:eastAsia="Arial" w:hAnsi="Arial"/>
                <w:sz w:val="22"/>
                <w:szCs w:val="22"/>
                <w:color w:val="auto"/>
              </w:rPr>
              <w:t>Profit Sharing Payment</w:t>
            </w:r>
          </w:p>
        </w:tc>
        <w:tc>
          <w:tcPr>
            <w:tcW w:w="28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9.7</w:t>
            </w:r>
          </w:p>
        </w:tc>
        <w:tc>
          <w:tcPr>
            <w:tcW w:w="8120" w:type="dxa"/>
            <w:vAlign w:val="bottom"/>
          </w:tcPr>
          <w:p>
            <w:pPr>
              <w:ind w:left="20"/>
              <w:spacing w:after="0"/>
              <w:rPr>
                <w:sz w:val="20"/>
                <w:szCs w:val="20"/>
                <w:color w:val="auto"/>
              </w:rPr>
            </w:pPr>
            <w:r>
              <w:rPr>
                <w:rFonts w:ascii="Arial" w:cs="Arial" w:eastAsia="Arial" w:hAnsi="Arial"/>
                <w:sz w:val="22"/>
                <w:szCs w:val="22"/>
                <w:color w:val="auto"/>
              </w:rPr>
              <w:t>Payments with respect to Batches under the Supply Agreement</w:t>
            </w:r>
          </w:p>
        </w:tc>
        <w:tc>
          <w:tcPr>
            <w:tcW w:w="28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9.8</w:t>
            </w:r>
          </w:p>
        </w:tc>
        <w:tc>
          <w:tcPr>
            <w:tcW w:w="8120" w:type="dxa"/>
            <w:vAlign w:val="bottom"/>
          </w:tcPr>
          <w:p>
            <w:pPr>
              <w:ind w:left="20"/>
              <w:spacing w:after="0"/>
              <w:rPr>
                <w:sz w:val="20"/>
                <w:szCs w:val="20"/>
                <w:color w:val="auto"/>
              </w:rPr>
            </w:pPr>
            <w:r>
              <w:rPr>
                <w:rFonts w:ascii="Arial" w:cs="Arial" w:eastAsia="Arial" w:hAnsi="Arial"/>
                <w:sz w:val="22"/>
                <w:szCs w:val="22"/>
                <w:color w:val="auto"/>
              </w:rPr>
              <w:t>Quarterly Invoicing and Payment</w:t>
            </w:r>
          </w:p>
        </w:tc>
        <w:tc>
          <w:tcPr>
            <w:tcW w:w="28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300" w:type="dxa"/>
            <w:vAlign w:val="bottom"/>
          </w:tcPr>
          <w:p>
            <w:pPr>
              <w:spacing w:after="0"/>
              <w:rPr>
                <w:sz w:val="20"/>
                <w:szCs w:val="20"/>
                <w:color w:val="auto"/>
              </w:rPr>
            </w:pPr>
            <w:r>
              <w:rPr>
                <w:rFonts w:ascii="Arial" w:cs="Arial" w:eastAsia="Arial" w:hAnsi="Arial"/>
                <w:sz w:val="22"/>
                <w:szCs w:val="22"/>
                <w:color w:val="auto"/>
                <w:w w:val="91"/>
              </w:rPr>
              <w:t>9.9</w:t>
            </w:r>
          </w:p>
        </w:tc>
        <w:tc>
          <w:tcPr>
            <w:tcW w:w="8120" w:type="dxa"/>
            <w:vAlign w:val="bottom"/>
          </w:tcPr>
          <w:p>
            <w:pPr>
              <w:ind w:left="20"/>
              <w:spacing w:after="0"/>
              <w:rPr>
                <w:sz w:val="20"/>
                <w:szCs w:val="20"/>
                <w:color w:val="auto"/>
              </w:rPr>
            </w:pPr>
            <w:r>
              <w:rPr>
                <w:rFonts w:ascii="Arial" w:cs="Arial" w:eastAsia="Arial" w:hAnsi="Arial"/>
                <w:sz w:val="22"/>
                <w:szCs w:val="22"/>
                <w:color w:val="auto"/>
              </w:rPr>
              <w:t>Payment Method and Currency</w:t>
            </w:r>
          </w:p>
        </w:tc>
        <w:tc>
          <w:tcPr>
            <w:tcW w:w="28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9.10 Late Payments</w:t>
            </w:r>
          </w:p>
        </w:tc>
        <w:tc>
          <w:tcPr>
            <w:tcW w:w="28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9.11 Taxes</w:t>
            </w:r>
          </w:p>
        </w:tc>
        <w:tc>
          <w:tcPr>
            <w:tcW w:w="28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594"/>
        </w:trPr>
        <w:tc>
          <w:tcPr>
            <w:tcW w:w="8420" w:type="dxa"/>
            <w:vAlign w:val="bottom"/>
            <w:gridSpan w:val="2"/>
          </w:tcPr>
          <w:p>
            <w:pPr>
              <w:spacing w:after="0"/>
              <w:rPr>
                <w:sz w:val="20"/>
                <w:szCs w:val="20"/>
                <w:color w:val="auto"/>
              </w:rPr>
            </w:pPr>
            <w:r>
              <w:rPr>
                <w:rFonts w:ascii="Arial" w:cs="Arial" w:eastAsia="Arial" w:hAnsi="Arial"/>
                <w:sz w:val="22"/>
                <w:szCs w:val="22"/>
                <w:color w:val="auto"/>
              </w:rPr>
              <w:t>ARTICLE 10 DISPUTE RESOLUTION</w:t>
            </w:r>
          </w:p>
        </w:tc>
        <w:tc>
          <w:tcPr>
            <w:tcW w:w="28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10.1Resolution of Disputes</w:t>
            </w:r>
          </w:p>
        </w:tc>
        <w:tc>
          <w:tcPr>
            <w:tcW w:w="28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10.2 Legal Disputes</w:t>
            </w:r>
          </w:p>
        </w:tc>
        <w:tc>
          <w:tcPr>
            <w:tcW w:w="28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10.3 Escalation to Executive Officers</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10.4 No Waiver</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594"/>
        </w:trPr>
        <w:tc>
          <w:tcPr>
            <w:tcW w:w="8420" w:type="dxa"/>
            <w:vAlign w:val="bottom"/>
            <w:gridSpan w:val="2"/>
          </w:tcPr>
          <w:p>
            <w:pPr>
              <w:spacing w:after="0"/>
              <w:rPr>
                <w:sz w:val="20"/>
                <w:szCs w:val="20"/>
                <w:color w:val="auto"/>
              </w:rPr>
            </w:pPr>
            <w:r>
              <w:rPr>
                <w:rFonts w:ascii="Arial" w:cs="Arial" w:eastAsia="Arial" w:hAnsi="Arial"/>
                <w:sz w:val="22"/>
                <w:szCs w:val="22"/>
                <w:color w:val="auto"/>
              </w:rPr>
              <w:t>ARTICLE 11 TRADEMARKS AND CORPORATE LOGOS</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11.1 Corporate Logos</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11.2 Selection of Product Trademarks</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11.3 Ownership of Product Trademarks</w:t>
            </w:r>
          </w:p>
        </w:tc>
        <w:tc>
          <w:tcPr>
            <w:tcW w:w="286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11.4 Prosecution and Maintenance of Product Trademarks</w:t>
            </w:r>
          </w:p>
        </w:tc>
        <w:tc>
          <w:tcPr>
            <w:tcW w:w="28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11.5 License to the Licensed Product Trademarks</w:t>
            </w:r>
          </w:p>
        </w:tc>
        <w:tc>
          <w:tcPr>
            <w:tcW w:w="286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11.6 Use of Corporate Names</w:t>
            </w:r>
          </w:p>
        </w:tc>
        <w:tc>
          <w:tcPr>
            <w:tcW w:w="28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594"/>
        </w:trPr>
        <w:tc>
          <w:tcPr>
            <w:tcW w:w="8420" w:type="dxa"/>
            <w:vAlign w:val="bottom"/>
            <w:gridSpan w:val="2"/>
          </w:tcPr>
          <w:p>
            <w:pPr>
              <w:spacing w:after="0"/>
              <w:rPr>
                <w:sz w:val="20"/>
                <w:szCs w:val="20"/>
                <w:color w:val="auto"/>
              </w:rPr>
            </w:pPr>
            <w:r>
              <w:rPr>
                <w:rFonts w:ascii="Arial" w:cs="Arial" w:eastAsia="Arial" w:hAnsi="Arial"/>
                <w:sz w:val="22"/>
                <w:szCs w:val="22"/>
                <w:color w:val="auto"/>
              </w:rPr>
              <w:t>ARTICLE 12 NEWLY CREATED INVENTIONS</w:t>
            </w:r>
          </w:p>
        </w:tc>
        <w:tc>
          <w:tcPr>
            <w:tcW w:w="28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12.1 Ownership of Newly Created Intellectual Property</w:t>
            </w:r>
          </w:p>
        </w:tc>
        <w:tc>
          <w:tcPr>
            <w:tcW w:w="286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297"/>
        </w:trPr>
        <w:tc>
          <w:tcPr>
            <w:tcW w:w="8420" w:type="dxa"/>
            <w:vAlign w:val="bottom"/>
            <w:gridSpan w:val="2"/>
          </w:tcPr>
          <w:p>
            <w:pPr>
              <w:spacing w:after="0"/>
              <w:rPr>
                <w:sz w:val="20"/>
                <w:szCs w:val="20"/>
                <w:color w:val="auto"/>
              </w:rPr>
            </w:pPr>
            <w:r>
              <w:rPr>
                <w:rFonts w:ascii="Arial" w:cs="Arial" w:eastAsia="Arial" w:hAnsi="Arial"/>
                <w:sz w:val="22"/>
                <w:szCs w:val="22"/>
                <w:color w:val="auto"/>
              </w:rPr>
              <w:t>12.2 Prosecution and Maintenance of Patents</w:t>
            </w:r>
          </w:p>
        </w:tc>
        <w:tc>
          <w:tcPr>
            <w:tcW w:w="2860" w:type="dxa"/>
            <w:vAlign w:val="bottom"/>
          </w:tcPr>
          <w:p>
            <w:pPr>
              <w:jc w:val="right"/>
              <w:spacing w:after="0"/>
              <w:rPr>
                <w:sz w:val="20"/>
                <w:szCs w:val="20"/>
                <w:color w:val="auto"/>
              </w:rPr>
            </w:pPr>
            <w:r>
              <w:rPr>
                <w:rFonts w:ascii="Arial" w:cs="Arial" w:eastAsia="Arial" w:hAnsi="Arial"/>
                <w:sz w:val="22"/>
                <w:szCs w:val="22"/>
                <w:color w:val="auto"/>
              </w:rPr>
              <w:t>43</w:t>
            </w:r>
          </w:p>
        </w:tc>
      </w:tr>
    </w:tbl>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80"/>
          </w:cols>
          <w:pgMar w:left="280" w:top="107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75"/>
        </w:trPr>
        <w:tc>
          <w:tcPr>
            <w:tcW w:w="400" w:type="dxa"/>
            <w:vAlign w:val="bottom"/>
          </w:tcPr>
          <w:p>
            <w:pPr>
              <w:spacing w:after="0"/>
              <w:rPr>
                <w:sz w:val="20"/>
                <w:szCs w:val="20"/>
                <w:color w:val="auto"/>
              </w:rPr>
            </w:pPr>
            <w:r>
              <w:rPr>
                <w:rFonts w:ascii="Arial" w:cs="Arial" w:eastAsia="Arial" w:hAnsi="Arial"/>
                <w:sz w:val="22"/>
                <w:szCs w:val="22"/>
                <w:color w:val="auto"/>
                <w:w w:val="88"/>
              </w:rPr>
              <w:t>12.3</w:t>
            </w:r>
          </w:p>
        </w:tc>
        <w:tc>
          <w:tcPr>
            <w:tcW w:w="9140" w:type="dxa"/>
            <w:vAlign w:val="bottom"/>
          </w:tcPr>
          <w:p>
            <w:pPr>
              <w:ind w:left="20"/>
              <w:spacing w:after="0"/>
              <w:rPr>
                <w:sz w:val="20"/>
                <w:szCs w:val="20"/>
                <w:color w:val="auto"/>
              </w:rPr>
            </w:pPr>
            <w:r>
              <w:rPr>
                <w:rFonts w:ascii="Arial" w:cs="Arial" w:eastAsia="Arial" w:hAnsi="Arial"/>
                <w:sz w:val="22"/>
                <w:szCs w:val="22"/>
                <w:color w:val="auto"/>
              </w:rPr>
              <w:t>Interference, Opposition and Reissue</w:t>
            </w:r>
          </w:p>
        </w:tc>
        <w:tc>
          <w:tcPr>
            <w:tcW w:w="17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13 INTELLECTUAL PROPERTY LITIGATION</w:t>
            </w:r>
          </w:p>
        </w:tc>
        <w:tc>
          <w:tcPr>
            <w:tcW w:w="17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13.1</w:t>
            </w:r>
          </w:p>
        </w:tc>
        <w:tc>
          <w:tcPr>
            <w:tcW w:w="9140" w:type="dxa"/>
            <w:vAlign w:val="bottom"/>
          </w:tcPr>
          <w:p>
            <w:pPr>
              <w:ind w:left="20"/>
              <w:spacing w:after="0"/>
              <w:rPr>
                <w:sz w:val="20"/>
                <w:szCs w:val="20"/>
                <w:color w:val="auto"/>
              </w:rPr>
            </w:pPr>
            <w:r>
              <w:rPr>
                <w:rFonts w:ascii="Arial" w:cs="Arial" w:eastAsia="Arial" w:hAnsi="Arial"/>
                <w:sz w:val="22"/>
                <w:szCs w:val="22"/>
                <w:color w:val="auto"/>
              </w:rPr>
              <w:t>Enforcement of Patents and Product Trademarks</w:t>
            </w:r>
          </w:p>
        </w:tc>
        <w:tc>
          <w:tcPr>
            <w:tcW w:w="174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13.2</w:t>
            </w:r>
          </w:p>
        </w:tc>
        <w:tc>
          <w:tcPr>
            <w:tcW w:w="9140" w:type="dxa"/>
            <w:vAlign w:val="bottom"/>
          </w:tcPr>
          <w:p>
            <w:pPr>
              <w:ind w:left="20"/>
              <w:spacing w:after="0"/>
              <w:rPr>
                <w:sz w:val="20"/>
                <w:szCs w:val="20"/>
                <w:color w:val="auto"/>
              </w:rPr>
            </w:pPr>
            <w:r>
              <w:rPr>
                <w:rFonts w:ascii="Arial" w:cs="Arial" w:eastAsia="Arial" w:hAnsi="Arial"/>
                <w:sz w:val="22"/>
                <w:szCs w:val="22"/>
                <w:color w:val="auto"/>
              </w:rPr>
              <w:t>Patent Marking</w:t>
            </w:r>
          </w:p>
        </w:tc>
        <w:tc>
          <w:tcPr>
            <w:tcW w:w="17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13.3</w:t>
            </w:r>
          </w:p>
        </w:tc>
        <w:tc>
          <w:tcPr>
            <w:tcW w:w="9140" w:type="dxa"/>
            <w:vAlign w:val="bottom"/>
          </w:tcPr>
          <w:p>
            <w:pPr>
              <w:ind w:left="20"/>
              <w:spacing w:after="0"/>
              <w:rPr>
                <w:sz w:val="20"/>
                <w:szCs w:val="20"/>
                <w:color w:val="auto"/>
              </w:rPr>
            </w:pPr>
            <w:r>
              <w:rPr>
                <w:rFonts w:ascii="Arial" w:cs="Arial" w:eastAsia="Arial" w:hAnsi="Arial"/>
                <w:sz w:val="22"/>
                <w:szCs w:val="22"/>
                <w:color w:val="auto"/>
              </w:rPr>
              <w:t>Third-Party Infringement Claims</w:t>
            </w:r>
          </w:p>
        </w:tc>
        <w:tc>
          <w:tcPr>
            <w:tcW w:w="174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13.4</w:t>
            </w:r>
          </w:p>
        </w:tc>
        <w:tc>
          <w:tcPr>
            <w:tcW w:w="9140" w:type="dxa"/>
            <w:vAlign w:val="bottom"/>
          </w:tcPr>
          <w:p>
            <w:pPr>
              <w:ind w:left="20"/>
              <w:spacing w:after="0"/>
              <w:rPr>
                <w:sz w:val="20"/>
                <w:szCs w:val="20"/>
                <w:color w:val="auto"/>
              </w:rPr>
            </w:pPr>
            <w:r>
              <w:rPr>
                <w:rFonts w:ascii="Arial" w:cs="Arial" w:eastAsia="Arial" w:hAnsi="Arial"/>
                <w:sz w:val="22"/>
                <w:szCs w:val="22"/>
                <w:color w:val="auto"/>
              </w:rPr>
              <w:t>Invalidity or Unenforceability Defenses or Actions</w:t>
            </w:r>
          </w:p>
        </w:tc>
        <w:tc>
          <w:tcPr>
            <w:tcW w:w="174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14 BOOKS, RECORDS AND INSPECTIONS; AUDITS AND ADJUSTMENTS</w:t>
            </w:r>
          </w:p>
        </w:tc>
        <w:tc>
          <w:tcPr>
            <w:tcW w:w="17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14.1</w:t>
            </w:r>
          </w:p>
        </w:tc>
        <w:tc>
          <w:tcPr>
            <w:tcW w:w="9140" w:type="dxa"/>
            <w:vAlign w:val="bottom"/>
          </w:tcPr>
          <w:p>
            <w:pPr>
              <w:ind w:left="20"/>
              <w:spacing w:after="0"/>
              <w:rPr>
                <w:sz w:val="20"/>
                <w:szCs w:val="20"/>
                <w:color w:val="auto"/>
              </w:rPr>
            </w:pPr>
            <w:r>
              <w:rPr>
                <w:rFonts w:ascii="Arial" w:cs="Arial" w:eastAsia="Arial" w:hAnsi="Arial"/>
                <w:sz w:val="22"/>
                <w:szCs w:val="22"/>
                <w:color w:val="auto"/>
              </w:rPr>
              <w:t>Books and Records</w:t>
            </w:r>
          </w:p>
        </w:tc>
        <w:tc>
          <w:tcPr>
            <w:tcW w:w="17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14.2</w:t>
            </w:r>
          </w:p>
        </w:tc>
        <w:tc>
          <w:tcPr>
            <w:tcW w:w="9140" w:type="dxa"/>
            <w:vAlign w:val="bottom"/>
          </w:tcPr>
          <w:p>
            <w:pPr>
              <w:ind w:left="20"/>
              <w:spacing w:after="0"/>
              <w:rPr>
                <w:sz w:val="20"/>
                <w:szCs w:val="20"/>
                <w:color w:val="auto"/>
              </w:rPr>
            </w:pPr>
            <w:r>
              <w:rPr>
                <w:rFonts w:ascii="Arial" w:cs="Arial" w:eastAsia="Arial" w:hAnsi="Arial"/>
                <w:sz w:val="22"/>
                <w:szCs w:val="22"/>
                <w:color w:val="auto"/>
              </w:rPr>
              <w:t>Audits and Adjustments</w:t>
            </w:r>
          </w:p>
        </w:tc>
        <w:tc>
          <w:tcPr>
            <w:tcW w:w="174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297"/>
        </w:trPr>
        <w:tc>
          <w:tcPr>
            <w:tcW w:w="9540" w:type="dxa"/>
            <w:vAlign w:val="bottom"/>
            <w:gridSpan w:val="2"/>
          </w:tcPr>
          <w:p>
            <w:pPr>
              <w:spacing w:after="0"/>
              <w:rPr>
                <w:sz w:val="20"/>
                <w:szCs w:val="20"/>
                <w:color w:val="auto"/>
              </w:rPr>
            </w:pPr>
            <w:r>
              <w:rPr>
                <w:rFonts w:ascii="Arial" w:cs="Arial" w:eastAsia="Arial" w:hAnsi="Arial"/>
                <w:sz w:val="22"/>
                <w:szCs w:val="22"/>
                <w:color w:val="auto"/>
              </w:rPr>
              <w:t>14.3 GAAP/IAS/IFRS</w:t>
            </w:r>
          </w:p>
        </w:tc>
        <w:tc>
          <w:tcPr>
            <w:tcW w:w="17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15 REPRESENTATIONS AND WARRANTIES</w:t>
            </w:r>
          </w:p>
        </w:tc>
        <w:tc>
          <w:tcPr>
            <w:tcW w:w="17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15.1</w:t>
            </w:r>
          </w:p>
        </w:tc>
        <w:tc>
          <w:tcPr>
            <w:tcW w:w="9140" w:type="dxa"/>
            <w:vAlign w:val="bottom"/>
          </w:tcPr>
          <w:p>
            <w:pPr>
              <w:ind w:left="20"/>
              <w:spacing w:after="0"/>
              <w:rPr>
                <w:sz w:val="20"/>
                <w:szCs w:val="20"/>
                <w:color w:val="auto"/>
              </w:rPr>
            </w:pPr>
            <w:r>
              <w:rPr>
                <w:rFonts w:ascii="Arial" w:cs="Arial" w:eastAsia="Arial" w:hAnsi="Arial"/>
                <w:sz w:val="22"/>
                <w:szCs w:val="22"/>
                <w:color w:val="auto"/>
              </w:rPr>
              <w:t>Due Organization, Valid Existence and Due Authorization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15.2</w:t>
            </w:r>
          </w:p>
        </w:tc>
        <w:tc>
          <w:tcPr>
            <w:tcW w:w="9140" w:type="dxa"/>
            <w:vAlign w:val="bottom"/>
          </w:tcPr>
          <w:p>
            <w:pPr>
              <w:ind w:left="20"/>
              <w:spacing w:after="0"/>
              <w:rPr>
                <w:sz w:val="20"/>
                <w:szCs w:val="20"/>
                <w:color w:val="auto"/>
              </w:rPr>
            </w:pPr>
            <w:r>
              <w:rPr>
                <w:rFonts w:ascii="Arial" w:cs="Arial" w:eastAsia="Arial" w:hAnsi="Arial"/>
                <w:sz w:val="22"/>
                <w:szCs w:val="22"/>
                <w:color w:val="auto"/>
              </w:rPr>
              <w:t>Knowledge of Pending or Threatened Litigation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15.3</w:t>
            </w:r>
          </w:p>
        </w:tc>
        <w:tc>
          <w:tcPr>
            <w:tcW w:w="9140" w:type="dxa"/>
            <w:vAlign w:val="bottom"/>
          </w:tcPr>
          <w:p>
            <w:pPr>
              <w:ind w:left="20"/>
              <w:spacing w:after="0"/>
              <w:rPr>
                <w:sz w:val="20"/>
                <w:szCs w:val="20"/>
                <w:color w:val="auto"/>
              </w:rPr>
            </w:pPr>
            <w:r>
              <w:rPr>
                <w:rFonts w:ascii="Arial" w:cs="Arial" w:eastAsia="Arial" w:hAnsi="Arial"/>
                <w:sz w:val="22"/>
                <w:szCs w:val="22"/>
                <w:color w:val="auto"/>
              </w:rPr>
              <w:t>Disclaimer of Warranties</w:t>
            </w:r>
          </w:p>
        </w:tc>
        <w:tc>
          <w:tcPr>
            <w:tcW w:w="174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16 CONFIDENTIALITY</w:t>
            </w:r>
          </w:p>
        </w:tc>
        <w:tc>
          <w:tcPr>
            <w:tcW w:w="17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16.1</w:t>
            </w:r>
          </w:p>
        </w:tc>
        <w:tc>
          <w:tcPr>
            <w:tcW w:w="9140" w:type="dxa"/>
            <w:vAlign w:val="bottom"/>
          </w:tcPr>
          <w:p>
            <w:pPr>
              <w:ind w:left="20"/>
              <w:spacing w:after="0"/>
              <w:rPr>
                <w:sz w:val="20"/>
                <w:szCs w:val="20"/>
                <w:color w:val="auto"/>
              </w:rPr>
            </w:pPr>
            <w:r>
              <w:rPr>
                <w:rFonts w:ascii="Arial" w:cs="Arial" w:eastAsia="Arial" w:hAnsi="Arial"/>
                <w:sz w:val="22"/>
                <w:szCs w:val="22"/>
                <w:color w:val="auto"/>
              </w:rPr>
              <w:t>Confidential Information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16.2</w:t>
            </w:r>
          </w:p>
        </w:tc>
        <w:tc>
          <w:tcPr>
            <w:tcW w:w="9140" w:type="dxa"/>
            <w:vAlign w:val="bottom"/>
          </w:tcPr>
          <w:p>
            <w:pPr>
              <w:ind w:left="20"/>
              <w:spacing w:after="0"/>
              <w:rPr>
                <w:sz w:val="20"/>
                <w:szCs w:val="20"/>
                <w:color w:val="auto"/>
              </w:rPr>
            </w:pPr>
            <w:r>
              <w:rPr>
                <w:rFonts w:ascii="Arial" w:cs="Arial" w:eastAsia="Arial" w:hAnsi="Arial"/>
                <w:sz w:val="22"/>
                <w:szCs w:val="22"/>
                <w:color w:val="auto"/>
              </w:rPr>
              <w:t>Exclusions</w:t>
            </w:r>
          </w:p>
        </w:tc>
        <w:tc>
          <w:tcPr>
            <w:tcW w:w="17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16.3</w:t>
            </w:r>
          </w:p>
        </w:tc>
        <w:tc>
          <w:tcPr>
            <w:tcW w:w="9140" w:type="dxa"/>
            <w:vAlign w:val="bottom"/>
          </w:tcPr>
          <w:p>
            <w:pPr>
              <w:ind w:left="20"/>
              <w:spacing w:after="0"/>
              <w:rPr>
                <w:sz w:val="20"/>
                <w:szCs w:val="20"/>
                <w:color w:val="auto"/>
              </w:rPr>
            </w:pPr>
            <w:r>
              <w:rPr>
                <w:rFonts w:ascii="Arial" w:cs="Arial" w:eastAsia="Arial" w:hAnsi="Arial"/>
                <w:sz w:val="22"/>
                <w:szCs w:val="22"/>
                <w:color w:val="auto"/>
              </w:rPr>
              <w:t>Permitted Disclosures and Uses</w:t>
            </w:r>
          </w:p>
        </w:tc>
        <w:tc>
          <w:tcPr>
            <w:tcW w:w="174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16.4</w:t>
            </w:r>
          </w:p>
        </w:tc>
        <w:tc>
          <w:tcPr>
            <w:tcW w:w="9140" w:type="dxa"/>
            <w:vAlign w:val="bottom"/>
          </w:tcPr>
          <w:p>
            <w:pPr>
              <w:ind w:left="20"/>
              <w:spacing w:after="0"/>
              <w:rPr>
                <w:sz w:val="20"/>
                <w:szCs w:val="20"/>
                <w:color w:val="auto"/>
              </w:rPr>
            </w:pPr>
            <w:r>
              <w:rPr>
                <w:rFonts w:ascii="Arial" w:cs="Arial" w:eastAsia="Arial" w:hAnsi="Arial"/>
                <w:sz w:val="22"/>
                <w:szCs w:val="22"/>
                <w:color w:val="auto"/>
              </w:rPr>
              <w:t>Injunctive Relief</w:t>
            </w:r>
          </w:p>
        </w:tc>
        <w:tc>
          <w:tcPr>
            <w:tcW w:w="17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16.5</w:t>
            </w:r>
          </w:p>
        </w:tc>
        <w:tc>
          <w:tcPr>
            <w:tcW w:w="9140" w:type="dxa"/>
            <w:vAlign w:val="bottom"/>
          </w:tcPr>
          <w:p>
            <w:pPr>
              <w:ind w:left="20"/>
              <w:spacing w:after="0"/>
              <w:rPr>
                <w:sz w:val="20"/>
                <w:szCs w:val="20"/>
                <w:color w:val="auto"/>
              </w:rPr>
            </w:pPr>
            <w:r>
              <w:rPr>
                <w:rFonts w:ascii="Arial" w:cs="Arial" w:eastAsia="Arial" w:hAnsi="Arial"/>
                <w:sz w:val="22"/>
                <w:szCs w:val="22"/>
                <w:color w:val="auto"/>
              </w:rPr>
              <w:t>Publication of New Information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16.6</w:t>
            </w:r>
          </w:p>
        </w:tc>
        <w:tc>
          <w:tcPr>
            <w:tcW w:w="9140" w:type="dxa"/>
            <w:vAlign w:val="bottom"/>
          </w:tcPr>
          <w:p>
            <w:pPr>
              <w:ind w:left="20"/>
              <w:spacing w:after="0"/>
              <w:rPr>
                <w:sz w:val="20"/>
                <w:szCs w:val="20"/>
                <w:color w:val="auto"/>
              </w:rPr>
            </w:pPr>
            <w:r>
              <w:rPr>
                <w:rFonts w:ascii="Arial" w:cs="Arial" w:eastAsia="Arial" w:hAnsi="Arial"/>
                <w:sz w:val="22"/>
                <w:szCs w:val="22"/>
                <w:color w:val="auto"/>
              </w:rPr>
              <w:t>Other Publications</w:t>
            </w:r>
          </w:p>
        </w:tc>
        <w:tc>
          <w:tcPr>
            <w:tcW w:w="174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17 INDEMNITY</w:t>
            </w:r>
          </w:p>
        </w:tc>
        <w:tc>
          <w:tcPr>
            <w:tcW w:w="17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17.1</w:t>
            </w:r>
          </w:p>
        </w:tc>
        <w:tc>
          <w:tcPr>
            <w:tcW w:w="9140" w:type="dxa"/>
            <w:vAlign w:val="bottom"/>
          </w:tcPr>
          <w:p>
            <w:pPr>
              <w:ind w:left="20"/>
              <w:spacing w:after="0"/>
              <w:rPr>
                <w:sz w:val="20"/>
                <w:szCs w:val="20"/>
                <w:color w:val="auto"/>
              </w:rPr>
            </w:pPr>
            <w:r>
              <w:rPr>
                <w:rFonts w:ascii="Arial" w:cs="Arial" w:eastAsia="Arial" w:hAnsi="Arial"/>
                <w:sz w:val="22"/>
                <w:szCs w:val="22"/>
                <w:color w:val="auto"/>
              </w:rPr>
              <w:t>Indemnity and Insurance</w:t>
            </w:r>
          </w:p>
        </w:tc>
        <w:tc>
          <w:tcPr>
            <w:tcW w:w="174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17.2</w:t>
            </w:r>
          </w:p>
        </w:tc>
        <w:tc>
          <w:tcPr>
            <w:tcW w:w="9140" w:type="dxa"/>
            <w:vAlign w:val="bottom"/>
          </w:tcPr>
          <w:p>
            <w:pPr>
              <w:ind w:left="20"/>
              <w:spacing w:after="0"/>
              <w:rPr>
                <w:sz w:val="20"/>
                <w:szCs w:val="20"/>
                <w:color w:val="auto"/>
              </w:rPr>
            </w:pPr>
            <w:r>
              <w:rPr>
                <w:rFonts w:ascii="Arial" w:cs="Arial" w:eastAsia="Arial" w:hAnsi="Arial"/>
                <w:sz w:val="22"/>
                <w:szCs w:val="22"/>
                <w:color w:val="auto"/>
              </w:rPr>
              <w:t>Indemnity Procedure</w:t>
            </w:r>
          </w:p>
        </w:tc>
        <w:tc>
          <w:tcPr>
            <w:tcW w:w="174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18 FORCE MAJEURE</w:t>
            </w:r>
          </w:p>
        </w:tc>
        <w:tc>
          <w:tcPr>
            <w:tcW w:w="17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19 TERM AND TERMINATION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19.1</w:t>
            </w:r>
          </w:p>
        </w:tc>
        <w:tc>
          <w:tcPr>
            <w:tcW w:w="9140" w:type="dxa"/>
            <w:vAlign w:val="bottom"/>
          </w:tcPr>
          <w:p>
            <w:pPr>
              <w:ind w:left="20"/>
              <w:spacing w:after="0"/>
              <w:rPr>
                <w:sz w:val="20"/>
                <w:szCs w:val="20"/>
                <w:color w:val="auto"/>
              </w:rPr>
            </w:pPr>
            <w:r>
              <w:rPr>
                <w:rFonts w:ascii="Arial" w:cs="Arial" w:eastAsia="Arial" w:hAnsi="Arial"/>
                <w:sz w:val="22"/>
                <w:szCs w:val="22"/>
                <w:color w:val="auto"/>
              </w:rPr>
              <w:t>Term/Expiration of Term</w:t>
            </w:r>
          </w:p>
        </w:tc>
        <w:tc>
          <w:tcPr>
            <w:tcW w:w="17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19.2</w:t>
            </w:r>
          </w:p>
        </w:tc>
        <w:tc>
          <w:tcPr>
            <w:tcW w:w="9140" w:type="dxa"/>
            <w:vAlign w:val="bottom"/>
          </w:tcPr>
          <w:p>
            <w:pPr>
              <w:ind w:left="20"/>
              <w:spacing w:after="0"/>
              <w:rPr>
                <w:sz w:val="20"/>
                <w:szCs w:val="20"/>
                <w:color w:val="auto"/>
              </w:rPr>
            </w:pPr>
            <w:r>
              <w:rPr>
                <w:rFonts w:ascii="Arial" w:cs="Arial" w:eastAsia="Arial" w:hAnsi="Arial"/>
                <w:sz w:val="22"/>
                <w:szCs w:val="22"/>
                <w:color w:val="auto"/>
              </w:rPr>
              <w:t>Termination Without Cause</w:t>
            </w:r>
          </w:p>
        </w:tc>
        <w:tc>
          <w:tcPr>
            <w:tcW w:w="174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19.3</w:t>
            </w:r>
          </w:p>
        </w:tc>
        <w:tc>
          <w:tcPr>
            <w:tcW w:w="9140" w:type="dxa"/>
            <w:vAlign w:val="bottom"/>
          </w:tcPr>
          <w:p>
            <w:pPr>
              <w:ind w:left="20"/>
              <w:spacing w:after="0"/>
              <w:rPr>
                <w:sz w:val="20"/>
                <w:szCs w:val="20"/>
                <w:color w:val="auto"/>
              </w:rPr>
            </w:pPr>
            <w:r>
              <w:rPr>
                <w:rFonts w:ascii="Arial" w:cs="Arial" w:eastAsia="Arial" w:hAnsi="Arial"/>
                <w:sz w:val="22"/>
                <w:szCs w:val="22"/>
                <w:color w:val="auto"/>
              </w:rPr>
              <w:t>Termination For Material Breach</w:t>
            </w:r>
          </w:p>
        </w:tc>
        <w:tc>
          <w:tcPr>
            <w:tcW w:w="17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19.4</w:t>
            </w:r>
          </w:p>
        </w:tc>
        <w:tc>
          <w:tcPr>
            <w:tcW w:w="9140" w:type="dxa"/>
            <w:vAlign w:val="bottom"/>
          </w:tcPr>
          <w:p>
            <w:pPr>
              <w:ind w:left="20"/>
              <w:spacing w:after="0"/>
              <w:rPr>
                <w:sz w:val="20"/>
                <w:szCs w:val="20"/>
                <w:color w:val="auto"/>
              </w:rPr>
            </w:pPr>
            <w:r>
              <w:rPr>
                <w:rFonts w:ascii="Arial" w:cs="Arial" w:eastAsia="Arial" w:hAnsi="Arial"/>
                <w:sz w:val="22"/>
                <w:szCs w:val="22"/>
                <w:color w:val="auto"/>
              </w:rPr>
              <w:t>Termination for Aventis’ Material Breach of the Supply Agreement</w:t>
            </w:r>
          </w:p>
        </w:tc>
        <w:tc>
          <w:tcPr>
            <w:tcW w:w="17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19.5</w:t>
            </w:r>
          </w:p>
        </w:tc>
        <w:tc>
          <w:tcPr>
            <w:tcW w:w="9140" w:type="dxa"/>
            <w:vAlign w:val="bottom"/>
          </w:tcPr>
          <w:p>
            <w:pPr>
              <w:ind w:left="20"/>
              <w:spacing w:after="0"/>
              <w:rPr>
                <w:sz w:val="20"/>
                <w:szCs w:val="20"/>
                <w:color w:val="auto"/>
              </w:rPr>
            </w:pPr>
            <w:r>
              <w:rPr>
                <w:rFonts w:ascii="Arial" w:cs="Arial" w:eastAsia="Arial" w:hAnsi="Arial"/>
                <w:sz w:val="22"/>
                <w:szCs w:val="22"/>
                <w:color w:val="auto"/>
              </w:rPr>
              <w:t>Termination for Insolvency</w:t>
            </w:r>
          </w:p>
        </w:tc>
        <w:tc>
          <w:tcPr>
            <w:tcW w:w="174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19.6</w:t>
            </w:r>
          </w:p>
        </w:tc>
        <w:tc>
          <w:tcPr>
            <w:tcW w:w="9140" w:type="dxa"/>
            <w:vAlign w:val="bottom"/>
          </w:tcPr>
          <w:p>
            <w:pPr>
              <w:ind w:left="20"/>
              <w:spacing w:after="0"/>
              <w:rPr>
                <w:sz w:val="20"/>
                <w:szCs w:val="20"/>
                <w:color w:val="auto"/>
              </w:rPr>
            </w:pPr>
            <w:r>
              <w:rPr>
                <w:rFonts w:ascii="Arial" w:cs="Arial" w:eastAsia="Arial" w:hAnsi="Arial"/>
                <w:sz w:val="22"/>
                <w:szCs w:val="22"/>
                <w:color w:val="auto"/>
              </w:rPr>
              <w:t>Termination for Breach of Investor Agreement</w:t>
            </w:r>
          </w:p>
        </w:tc>
        <w:tc>
          <w:tcPr>
            <w:tcW w:w="17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19.7</w:t>
            </w:r>
          </w:p>
        </w:tc>
        <w:tc>
          <w:tcPr>
            <w:tcW w:w="9140" w:type="dxa"/>
            <w:vAlign w:val="bottom"/>
          </w:tcPr>
          <w:p>
            <w:pPr>
              <w:ind w:left="20"/>
              <w:spacing w:after="0"/>
              <w:rPr>
                <w:sz w:val="20"/>
                <w:szCs w:val="20"/>
                <w:color w:val="auto"/>
              </w:rPr>
            </w:pPr>
            <w:r>
              <w:rPr>
                <w:rFonts w:ascii="Arial" w:cs="Arial" w:eastAsia="Arial" w:hAnsi="Arial"/>
                <w:sz w:val="22"/>
                <w:szCs w:val="22"/>
                <w:color w:val="auto"/>
              </w:rPr>
              <w:t>Effect of Termination/Expiration</w:t>
            </w:r>
          </w:p>
        </w:tc>
        <w:tc>
          <w:tcPr>
            <w:tcW w:w="174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19.8</w:t>
            </w:r>
          </w:p>
        </w:tc>
        <w:tc>
          <w:tcPr>
            <w:tcW w:w="9140" w:type="dxa"/>
            <w:vAlign w:val="bottom"/>
          </w:tcPr>
          <w:p>
            <w:pPr>
              <w:ind w:left="20"/>
              <w:spacing w:after="0"/>
              <w:rPr>
                <w:sz w:val="20"/>
                <w:szCs w:val="20"/>
                <w:color w:val="auto"/>
              </w:rPr>
            </w:pPr>
            <w:r>
              <w:rPr>
                <w:rFonts w:ascii="Arial" w:cs="Arial" w:eastAsia="Arial" w:hAnsi="Arial"/>
                <w:sz w:val="22"/>
                <w:szCs w:val="22"/>
                <w:color w:val="auto"/>
              </w:rPr>
              <w:t>Survival of Obligations</w:t>
            </w:r>
          </w:p>
        </w:tc>
        <w:tc>
          <w:tcPr>
            <w:tcW w:w="174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594"/>
        </w:trPr>
        <w:tc>
          <w:tcPr>
            <w:tcW w:w="9540" w:type="dxa"/>
            <w:vAlign w:val="bottom"/>
            <w:gridSpan w:val="2"/>
          </w:tcPr>
          <w:p>
            <w:pPr>
              <w:spacing w:after="0"/>
              <w:rPr>
                <w:sz w:val="20"/>
                <w:szCs w:val="20"/>
                <w:color w:val="auto"/>
              </w:rPr>
            </w:pPr>
            <w:r>
              <w:rPr>
                <w:rFonts w:ascii="Arial" w:cs="Arial" w:eastAsia="Arial" w:hAnsi="Arial"/>
                <w:sz w:val="22"/>
                <w:szCs w:val="22"/>
                <w:color w:val="auto"/>
              </w:rPr>
              <w:t>ARTICLE 20 MISCELLANEOUS</w:t>
            </w:r>
          </w:p>
        </w:tc>
        <w:tc>
          <w:tcPr>
            <w:tcW w:w="17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20.1</w:t>
            </w:r>
          </w:p>
        </w:tc>
        <w:tc>
          <w:tcPr>
            <w:tcW w:w="9140" w:type="dxa"/>
            <w:vAlign w:val="bottom"/>
          </w:tcPr>
          <w:p>
            <w:pPr>
              <w:ind w:left="20"/>
              <w:spacing w:after="0"/>
              <w:rPr>
                <w:sz w:val="20"/>
                <w:szCs w:val="20"/>
                <w:color w:val="auto"/>
              </w:rPr>
            </w:pPr>
            <w:r>
              <w:rPr>
                <w:rFonts w:ascii="Arial" w:cs="Arial" w:eastAsia="Arial" w:hAnsi="Arial"/>
                <w:sz w:val="22"/>
                <w:szCs w:val="22"/>
                <w:color w:val="auto"/>
              </w:rPr>
              <w:t>Governing Law; Submission to Jurisdiction</w:t>
            </w:r>
          </w:p>
        </w:tc>
        <w:tc>
          <w:tcPr>
            <w:tcW w:w="1740" w:type="dxa"/>
            <w:vAlign w:val="bottom"/>
          </w:tcPr>
          <w:p>
            <w:pPr>
              <w:jc w:val="right"/>
              <w:spacing w:after="0"/>
              <w:rPr>
                <w:sz w:val="20"/>
                <w:szCs w:val="20"/>
                <w:color w:val="auto"/>
              </w:rPr>
            </w:pPr>
            <w:r>
              <w:rPr>
                <w:rFonts w:ascii="Arial" w:cs="Arial" w:eastAsia="Arial" w:hAnsi="Arial"/>
                <w:sz w:val="22"/>
                <w:szCs w:val="22"/>
                <w:color w:val="auto"/>
              </w:rPr>
              <w:t>61</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20.2</w:t>
            </w:r>
          </w:p>
        </w:tc>
        <w:tc>
          <w:tcPr>
            <w:tcW w:w="9140" w:type="dxa"/>
            <w:vAlign w:val="bottom"/>
          </w:tcPr>
          <w:p>
            <w:pPr>
              <w:ind w:left="20"/>
              <w:spacing w:after="0"/>
              <w:rPr>
                <w:sz w:val="20"/>
                <w:szCs w:val="20"/>
                <w:color w:val="auto"/>
              </w:rPr>
            </w:pPr>
            <w:r>
              <w:rPr>
                <w:rFonts w:ascii="Arial" w:cs="Arial" w:eastAsia="Arial" w:hAnsi="Arial"/>
                <w:sz w:val="22"/>
                <w:szCs w:val="22"/>
                <w:color w:val="auto"/>
              </w:rPr>
              <w:t>Waiver</w:t>
            </w:r>
          </w:p>
        </w:tc>
        <w:tc>
          <w:tcPr>
            <w:tcW w:w="1740" w:type="dxa"/>
            <w:vAlign w:val="bottom"/>
          </w:tcPr>
          <w:p>
            <w:pPr>
              <w:jc w:val="right"/>
              <w:spacing w:after="0"/>
              <w:rPr>
                <w:sz w:val="20"/>
                <w:szCs w:val="20"/>
                <w:color w:val="auto"/>
              </w:rPr>
            </w:pPr>
            <w:r>
              <w:rPr>
                <w:rFonts w:ascii="Arial" w:cs="Arial" w:eastAsia="Arial" w:hAnsi="Arial"/>
                <w:sz w:val="22"/>
                <w:szCs w:val="22"/>
                <w:color w:val="auto"/>
              </w:rPr>
              <w:t>61</w:t>
            </w:r>
          </w:p>
        </w:tc>
      </w:tr>
    </w:tbl>
    <w:p>
      <w:pPr>
        <w:spacing w:after="0" w:line="200" w:lineRule="exact"/>
        <w:rPr>
          <w:sz w:val="20"/>
          <w:szCs w:val="20"/>
          <w:color w:val="auto"/>
        </w:rPr>
      </w:pPr>
    </w:p>
    <w:p>
      <w:pPr>
        <w:sectPr>
          <w:pgSz w:w="11900" w:h="16838" w:orient="portrait"/>
          <w:cols w:equalWidth="0" w:num="1">
            <w:col w:w="11280"/>
          </w:cols>
          <w:pgMar w:left="280" w:top="780" w:right="339" w:bottom="1440" w:gutter="0" w:footer="0" w:header="0"/>
        </w:sectPr>
      </w:pP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80"/>
          </w:cols>
          <w:pgMar w:left="280" w:top="780"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75"/>
        </w:trPr>
        <w:tc>
          <w:tcPr>
            <w:tcW w:w="400" w:type="dxa"/>
            <w:vAlign w:val="bottom"/>
          </w:tcPr>
          <w:p>
            <w:pPr>
              <w:spacing w:after="0"/>
              <w:rPr>
                <w:sz w:val="20"/>
                <w:szCs w:val="20"/>
                <w:color w:val="auto"/>
              </w:rPr>
            </w:pPr>
            <w:r>
              <w:rPr>
                <w:rFonts w:ascii="Arial" w:cs="Arial" w:eastAsia="Arial" w:hAnsi="Arial"/>
                <w:sz w:val="22"/>
                <w:szCs w:val="22"/>
                <w:color w:val="auto"/>
                <w:w w:val="88"/>
              </w:rPr>
              <w:t>20.3</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Notices</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20.4</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Entire Agreement</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7520" w:type="dxa"/>
            <w:vAlign w:val="bottom"/>
            <w:gridSpan w:val="3"/>
          </w:tcPr>
          <w:p>
            <w:pPr>
              <w:spacing w:after="0"/>
              <w:rPr>
                <w:sz w:val="20"/>
                <w:szCs w:val="20"/>
                <w:color w:val="auto"/>
              </w:rPr>
            </w:pPr>
            <w:r>
              <w:rPr>
                <w:rFonts w:ascii="Arial" w:cs="Arial" w:eastAsia="Arial" w:hAnsi="Arial"/>
                <w:sz w:val="22"/>
                <w:szCs w:val="22"/>
                <w:color w:val="auto"/>
              </w:rPr>
              <w:t>20.5 Amendments</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20.6</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Headings</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20.7</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Severability</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20.8</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Registration and Filing of the Agreement</w:t>
            </w:r>
          </w:p>
        </w:tc>
        <w:tc>
          <w:tcPr>
            <w:tcW w:w="376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297"/>
        </w:trPr>
        <w:tc>
          <w:tcPr>
            <w:tcW w:w="400" w:type="dxa"/>
            <w:vAlign w:val="bottom"/>
          </w:tcPr>
          <w:p>
            <w:pPr>
              <w:spacing w:after="0"/>
              <w:rPr>
                <w:sz w:val="20"/>
                <w:szCs w:val="20"/>
                <w:color w:val="auto"/>
              </w:rPr>
            </w:pPr>
            <w:r>
              <w:rPr>
                <w:rFonts w:ascii="Arial" w:cs="Arial" w:eastAsia="Arial" w:hAnsi="Arial"/>
                <w:sz w:val="22"/>
                <w:szCs w:val="22"/>
                <w:color w:val="auto"/>
                <w:w w:val="88"/>
              </w:rPr>
              <w:t>20.9</w:t>
            </w:r>
          </w:p>
        </w:tc>
        <w:tc>
          <w:tcPr>
            <w:tcW w:w="7120" w:type="dxa"/>
            <w:vAlign w:val="bottom"/>
            <w:gridSpan w:val="2"/>
          </w:tcPr>
          <w:p>
            <w:pPr>
              <w:ind w:left="20"/>
              <w:spacing w:after="0"/>
              <w:rPr>
                <w:sz w:val="20"/>
                <w:szCs w:val="20"/>
                <w:color w:val="auto"/>
              </w:rPr>
            </w:pPr>
            <w:r>
              <w:rPr>
                <w:rFonts w:ascii="Arial" w:cs="Arial" w:eastAsia="Arial" w:hAnsi="Arial"/>
                <w:sz w:val="22"/>
                <w:szCs w:val="22"/>
                <w:color w:val="auto"/>
              </w:rPr>
              <w:t>Assignment</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20.10</w:t>
            </w:r>
          </w:p>
        </w:tc>
        <w:tc>
          <w:tcPr>
            <w:tcW w:w="7020" w:type="dxa"/>
            <w:vAlign w:val="bottom"/>
          </w:tcPr>
          <w:p>
            <w:pPr>
              <w:ind w:left="40"/>
              <w:spacing w:after="0"/>
              <w:rPr>
                <w:sz w:val="20"/>
                <w:szCs w:val="20"/>
                <w:color w:val="auto"/>
              </w:rPr>
            </w:pPr>
            <w:r>
              <w:rPr>
                <w:rFonts w:ascii="Arial" w:cs="Arial" w:eastAsia="Arial" w:hAnsi="Arial"/>
                <w:sz w:val="22"/>
                <w:szCs w:val="22"/>
                <w:color w:val="auto"/>
              </w:rPr>
              <w:t>Successors and Assigns</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7520" w:type="dxa"/>
            <w:vAlign w:val="bottom"/>
            <w:gridSpan w:val="3"/>
          </w:tcPr>
          <w:p>
            <w:pPr>
              <w:spacing w:after="0"/>
              <w:rPr>
                <w:sz w:val="20"/>
                <w:szCs w:val="20"/>
                <w:color w:val="auto"/>
              </w:rPr>
            </w:pPr>
            <w:r>
              <w:rPr>
                <w:rFonts w:ascii="Arial" w:cs="Arial" w:eastAsia="Arial" w:hAnsi="Arial"/>
                <w:sz w:val="22"/>
                <w:szCs w:val="22"/>
                <w:color w:val="auto"/>
              </w:rPr>
              <w:t>20.11 Affiliates</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20.12</w:t>
            </w:r>
          </w:p>
        </w:tc>
        <w:tc>
          <w:tcPr>
            <w:tcW w:w="7020" w:type="dxa"/>
            <w:vAlign w:val="bottom"/>
          </w:tcPr>
          <w:p>
            <w:pPr>
              <w:ind w:left="40"/>
              <w:spacing w:after="0"/>
              <w:rPr>
                <w:sz w:val="20"/>
                <w:szCs w:val="20"/>
                <w:color w:val="auto"/>
              </w:rPr>
            </w:pPr>
            <w:r>
              <w:rPr>
                <w:rFonts w:ascii="Arial" w:cs="Arial" w:eastAsia="Arial" w:hAnsi="Arial"/>
                <w:sz w:val="22"/>
                <w:szCs w:val="22"/>
                <w:color w:val="auto"/>
              </w:rPr>
              <w:t>Counterparts</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20.13</w:t>
            </w:r>
          </w:p>
        </w:tc>
        <w:tc>
          <w:tcPr>
            <w:tcW w:w="7020" w:type="dxa"/>
            <w:vAlign w:val="bottom"/>
          </w:tcPr>
          <w:p>
            <w:pPr>
              <w:ind w:left="40"/>
              <w:spacing w:after="0"/>
              <w:rPr>
                <w:sz w:val="20"/>
                <w:szCs w:val="20"/>
                <w:color w:val="auto"/>
              </w:rPr>
            </w:pPr>
            <w:r>
              <w:rPr>
                <w:rFonts w:ascii="Arial" w:cs="Arial" w:eastAsia="Arial" w:hAnsi="Arial"/>
                <w:sz w:val="22"/>
                <w:szCs w:val="22"/>
                <w:color w:val="auto"/>
              </w:rPr>
              <w:t>Third-Party Beneficiaries</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20.14</w:t>
            </w:r>
          </w:p>
        </w:tc>
        <w:tc>
          <w:tcPr>
            <w:tcW w:w="7020" w:type="dxa"/>
            <w:vAlign w:val="bottom"/>
          </w:tcPr>
          <w:p>
            <w:pPr>
              <w:ind w:left="40"/>
              <w:spacing w:after="0"/>
              <w:rPr>
                <w:sz w:val="20"/>
                <w:szCs w:val="20"/>
                <w:color w:val="auto"/>
              </w:rPr>
            </w:pPr>
            <w:r>
              <w:rPr>
                <w:rFonts w:ascii="Arial" w:cs="Arial" w:eastAsia="Arial" w:hAnsi="Arial"/>
                <w:sz w:val="22"/>
                <w:szCs w:val="22"/>
                <w:color w:val="auto"/>
              </w:rPr>
              <w:t>Relationship of the Parties</w:t>
            </w:r>
          </w:p>
        </w:tc>
        <w:tc>
          <w:tcPr>
            <w:tcW w:w="376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20.15</w:t>
            </w:r>
          </w:p>
        </w:tc>
        <w:tc>
          <w:tcPr>
            <w:tcW w:w="7020" w:type="dxa"/>
            <w:vAlign w:val="bottom"/>
          </w:tcPr>
          <w:p>
            <w:pPr>
              <w:ind w:left="40"/>
              <w:spacing w:after="0"/>
              <w:rPr>
                <w:sz w:val="20"/>
                <w:szCs w:val="20"/>
                <w:color w:val="auto"/>
              </w:rPr>
            </w:pPr>
            <w:r>
              <w:rPr>
                <w:rFonts w:ascii="Arial" w:cs="Arial" w:eastAsia="Arial" w:hAnsi="Arial"/>
                <w:sz w:val="22"/>
                <w:szCs w:val="22"/>
                <w:color w:val="auto"/>
              </w:rPr>
              <w:t>Limitation of Damages</w:t>
            </w:r>
          </w:p>
        </w:tc>
        <w:tc>
          <w:tcPr>
            <w:tcW w:w="37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20.16</w:t>
            </w:r>
          </w:p>
        </w:tc>
        <w:tc>
          <w:tcPr>
            <w:tcW w:w="7020" w:type="dxa"/>
            <w:vAlign w:val="bottom"/>
          </w:tcPr>
          <w:p>
            <w:pPr>
              <w:ind w:left="40"/>
              <w:spacing w:after="0"/>
              <w:rPr>
                <w:sz w:val="20"/>
                <w:szCs w:val="20"/>
                <w:color w:val="auto"/>
              </w:rPr>
            </w:pPr>
            <w:r>
              <w:rPr>
                <w:rFonts w:ascii="Arial" w:cs="Arial" w:eastAsia="Arial" w:hAnsi="Arial"/>
                <w:sz w:val="22"/>
                <w:szCs w:val="22"/>
                <w:color w:val="auto"/>
              </w:rPr>
              <w:t>Non-Solicitation</w:t>
            </w:r>
          </w:p>
        </w:tc>
        <w:tc>
          <w:tcPr>
            <w:tcW w:w="37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20.17</w:t>
            </w:r>
          </w:p>
        </w:tc>
        <w:tc>
          <w:tcPr>
            <w:tcW w:w="7020" w:type="dxa"/>
            <w:vAlign w:val="bottom"/>
          </w:tcPr>
          <w:p>
            <w:pPr>
              <w:ind w:left="40"/>
              <w:spacing w:after="0"/>
              <w:rPr>
                <w:sz w:val="20"/>
                <w:szCs w:val="20"/>
                <w:color w:val="auto"/>
              </w:rPr>
            </w:pPr>
            <w:r>
              <w:rPr>
                <w:rFonts w:ascii="Arial" w:cs="Arial" w:eastAsia="Arial" w:hAnsi="Arial"/>
                <w:sz w:val="22"/>
                <w:szCs w:val="22"/>
                <w:color w:val="auto"/>
              </w:rPr>
              <w:t>Rejection of Agreement in Bankruptcy</w:t>
            </w:r>
          </w:p>
        </w:tc>
        <w:tc>
          <w:tcPr>
            <w:tcW w:w="376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297"/>
        </w:trPr>
        <w:tc>
          <w:tcPr>
            <w:tcW w:w="500" w:type="dxa"/>
            <w:vAlign w:val="bottom"/>
            <w:gridSpan w:val="2"/>
          </w:tcPr>
          <w:p>
            <w:pPr>
              <w:spacing w:after="0"/>
              <w:rPr>
                <w:sz w:val="20"/>
                <w:szCs w:val="20"/>
                <w:color w:val="auto"/>
              </w:rPr>
            </w:pPr>
            <w:r>
              <w:rPr>
                <w:rFonts w:ascii="Arial" w:cs="Arial" w:eastAsia="Arial" w:hAnsi="Arial"/>
                <w:sz w:val="22"/>
                <w:szCs w:val="22"/>
                <w:color w:val="auto"/>
                <w:w w:val="87"/>
              </w:rPr>
              <w:t>20.18</w:t>
            </w:r>
          </w:p>
        </w:tc>
        <w:tc>
          <w:tcPr>
            <w:tcW w:w="7020" w:type="dxa"/>
            <w:vAlign w:val="bottom"/>
          </w:tcPr>
          <w:p>
            <w:pPr>
              <w:ind w:left="40"/>
              <w:spacing w:after="0"/>
              <w:rPr>
                <w:sz w:val="20"/>
                <w:szCs w:val="20"/>
                <w:color w:val="auto"/>
              </w:rPr>
            </w:pPr>
            <w:r>
              <w:rPr>
                <w:rFonts w:ascii="Arial" w:cs="Arial" w:eastAsia="Arial" w:hAnsi="Arial"/>
                <w:sz w:val="22"/>
                <w:szCs w:val="22"/>
                <w:color w:val="auto"/>
              </w:rPr>
              <w:t>Construction</w:t>
            </w:r>
          </w:p>
        </w:tc>
        <w:tc>
          <w:tcPr>
            <w:tcW w:w="376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80"/>
          </w:cols>
          <w:pgMar w:left="280" w:top="780"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22"/>
          <w:szCs w:val="22"/>
          <w:color w:val="auto"/>
        </w:rPr>
        <w:t>AMENDED AND RESTATED COLLABORATION AGREEMENT</w:t>
      </w:r>
    </w:p>
    <w:p>
      <w:pPr>
        <w:spacing w:after="0" w:line="200" w:lineRule="exact"/>
        <w:rPr>
          <w:sz w:val="20"/>
          <w:szCs w:val="20"/>
          <w:color w:val="auto"/>
        </w:rPr>
      </w:pPr>
    </w:p>
    <w:p>
      <w:pPr>
        <w:spacing w:after="0" w:line="31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THIS AMENDED AND RESTATED COLLABORATION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February 23, 2015 (the “</w:t>
      </w:r>
      <w:r>
        <w:rPr>
          <w:rFonts w:ascii="Arial" w:cs="Arial" w:eastAsia="Arial" w:hAnsi="Arial"/>
          <w:sz w:val="21"/>
          <w:szCs w:val="21"/>
          <w:u w:val="single" w:color="auto"/>
          <w:color w:val="auto"/>
        </w:rPr>
        <w:t>Amendment Execution Date</w:t>
      </w:r>
      <w:r>
        <w:rPr>
          <w:rFonts w:ascii="Arial" w:cs="Arial" w:eastAsia="Arial" w:hAnsi="Arial"/>
          <w:sz w:val="21"/>
          <w:szCs w:val="21"/>
          <w:color w:val="auto"/>
        </w:rPr>
        <w:t>”), amends and restates, effective as of July 1, 2014 (the “</w:t>
      </w:r>
      <w:r>
        <w:rPr>
          <w:rFonts w:ascii="Arial" w:cs="Arial" w:eastAsia="Arial" w:hAnsi="Arial"/>
          <w:sz w:val="21"/>
          <w:szCs w:val="21"/>
          <w:u w:val="single" w:color="auto"/>
          <w:color w:val="auto"/>
        </w:rPr>
        <w:t>Amendment Effective Date</w:t>
      </w:r>
      <w:r>
        <w:rPr>
          <w:rFonts w:ascii="Arial" w:cs="Arial" w:eastAsia="Arial" w:hAnsi="Arial"/>
          <w:sz w:val="21"/>
          <w:szCs w:val="21"/>
          <w:color w:val="auto"/>
        </w:rPr>
        <w:t>”) the Collaboration Agreement, dated as of September 5, 2003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as amended, by and between Sanofi-Aventis US, LLC (as successor in interest to Aventis Pharmaceuticals Inc.), a corporation organized under the laws of Delaware and having a principal place of business at 55 Corporate Drive, Bridgewater, NJ 08807 (“</w:t>
      </w:r>
      <w:r>
        <w:rPr>
          <w:rFonts w:ascii="Arial" w:cs="Arial" w:eastAsia="Arial" w:hAnsi="Arial"/>
          <w:sz w:val="21"/>
          <w:szCs w:val="21"/>
          <w:u w:val="single" w:color="auto"/>
          <w:color w:val="auto"/>
        </w:rPr>
        <w:t>Aventis</w:t>
      </w:r>
      <w:r>
        <w:rPr>
          <w:rFonts w:ascii="Arial" w:cs="Arial" w:eastAsia="Arial" w:hAnsi="Arial"/>
          <w:sz w:val="21"/>
          <w:szCs w:val="21"/>
          <w:color w:val="auto"/>
        </w:rPr>
        <w:t>”), and REGENERON PHARMACEUTICALS, INC., a corporation organized under the laws of New York and having a principal place of business at 777 Old Saw Mill River Road, Tarrytown, New York 10591 (“</w:t>
      </w:r>
      <w:r>
        <w:rPr>
          <w:rFonts w:ascii="Arial" w:cs="Arial" w:eastAsia="Arial" w:hAnsi="Arial"/>
          <w:sz w:val="21"/>
          <w:szCs w:val="21"/>
          <w:u w:val="single" w:color="auto"/>
          <w:color w:val="auto"/>
        </w:rPr>
        <w:t>Regeneron</w:t>
      </w:r>
      <w:r>
        <w:rPr>
          <w:rFonts w:ascii="Arial" w:cs="Arial" w:eastAsia="Arial" w:hAnsi="Arial"/>
          <w:sz w:val="21"/>
          <w:szCs w:val="21"/>
          <w:color w:val="auto"/>
        </w:rPr>
        <w:t>”) (with each of Aventis and Regeneron referred to herein individually as a “</w:t>
      </w:r>
      <w:r>
        <w:rPr>
          <w:rFonts w:ascii="Arial" w:cs="Arial" w:eastAsia="Arial" w:hAnsi="Arial"/>
          <w:sz w:val="21"/>
          <w:szCs w:val="21"/>
          <w:u w:val="single" w:color="auto"/>
          <w:color w:val="auto"/>
        </w:rPr>
        <w:t>Party</w:t>
      </w:r>
      <w:r>
        <w:rPr>
          <w:rFonts w:ascii="Arial" w:cs="Arial" w:eastAsia="Arial" w:hAnsi="Arial"/>
          <w:sz w:val="21"/>
          <w:szCs w:val="21"/>
          <w:color w:val="auto"/>
        </w:rPr>
        <w:t>” and collectively as the “</w:t>
      </w:r>
      <w:r>
        <w:rPr>
          <w:rFonts w:ascii="Arial" w:cs="Arial" w:eastAsia="Arial" w:hAnsi="Arial"/>
          <w:sz w:val="21"/>
          <w:szCs w:val="21"/>
          <w:u w:val="single" w:color="auto"/>
          <w:color w:val="auto"/>
        </w:rPr>
        <w:t>Parties</w:t>
      </w:r>
      <w:r>
        <w:rPr>
          <w:rFonts w:ascii="Arial" w:cs="Arial" w:eastAsia="Arial" w:hAnsi="Arial"/>
          <w:sz w:val="21"/>
          <w:szCs w:val="21"/>
          <w:color w:val="auto"/>
        </w:rPr>
        <w:t>”).</w:t>
      </w:r>
    </w:p>
    <w:p>
      <w:pPr>
        <w:spacing w:after="0" w:line="184"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WHEREAS, Regeneron has developed certain VEGF inhibitor molecules referred to herein as VEGF Trap Products, and Regeneron and Aventis have collaborated on the development and commercialization of certain VEGF Trap Products in the Territory; and</w:t>
      </w:r>
    </w:p>
    <w:p>
      <w:pPr>
        <w:spacing w:after="0" w:line="18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WHEREAS, Regeneron and Aventis wish to amend this Agreement in part and terminate this Agreement in part so that Aventis has the right to continue to commercialize the Licensed Product and to develop the Licensed Product for additional oncology indications on revised financial and other terms, and the rights to other VEGF Products and other indications shall revert to Regeneron all as set forth herein.</w:t>
      </w:r>
    </w:p>
    <w:p>
      <w:pPr>
        <w:spacing w:after="0" w:line="188" w:lineRule="exact"/>
        <w:rPr>
          <w:sz w:val="20"/>
          <w:szCs w:val="20"/>
          <w:color w:val="auto"/>
        </w:rPr>
      </w:pPr>
    </w:p>
    <w:p>
      <w:pPr>
        <w:ind w:right="220" w:firstLine="648"/>
        <w:spacing w:after="0" w:line="287" w:lineRule="auto"/>
        <w:rPr>
          <w:sz w:val="20"/>
          <w:szCs w:val="20"/>
          <w:color w:val="auto"/>
        </w:rPr>
      </w:pPr>
      <w:r>
        <w:rPr>
          <w:rFonts w:ascii="Arial" w:cs="Arial" w:eastAsia="Arial" w:hAnsi="Arial"/>
          <w:sz w:val="21"/>
          <w:szCs w:val="21"/>
          <w:color w:val="auto"/>
        </w:rPr>
        <w:t>NOW, THEREFORE, in consideration of the following mutual promises and obligations, and for other good and valuable consideration the adequacy and sufficiency of which are hereby acknowledged, the Parties agree as follows:</w:t>
      </w:r>
    </w:p>
    <w:p>
      <w:pPr>
        <w:sectPr>
          <w:pgSz w:w="11900" w:h="16838" w:orient="portrait"/>
          <w:cols w:equalWidth="0" w:num="1">
            <w:col w:w="11400"/>
          </w:cols>
          <w:pgMar w:left="240" w:top="631" w:right="25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22"/>
          <w:szCs w:val="22"/>
          <w:b w:val="1"/>
          <w:bCs w:val="1"/>
          <w:color w:val="auto"/>
        </w:rPr>
        <w:t>ARTICLE 1</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w:t>
      </w:r>
    </w:p>
    <w:p>
      <w:pPr>
        <w:spacing w:after="0" w:line="4" w:lineRule="exact"/>
        <w:rPr>
          <w:sz w:val="20"/>
          <w:szCs w:val="20"/>
          <w:color w:val="auto"/>
        </w:rPr>
      </w:pPr>
    </w:p>
    <w:p>
      <w:pPr>
        <w:ind w:right="140" w:firstLine="648"/>
        <w:spacing w:after="0" w:line="246" w:lineRule="auto"/>
        <w:rPr>
          <w:sz w:val="20"/>
          <w:szCs w:val="20"/>
          <w:color w:val="auto"/>
        </w:rPr>
      </w:pPr>
      <w:r>
        <w:rPr>
          <w:rFonts w:ascii="Arial" w:cs="Arial" w:eastAsia="Arial" w:hAnsi="Arial"/>
          <w:sz w:val="22"/>
          <w:szCs w:val="22"/>
          <w:color w:val="auto"/>
        </w:rPr>
        <w:t>Capitalized terms used in this Agreement, whether used in the singular or plural, except as expressly set forth herein, shall have the meanings set forth below:</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Actual Fully Burdened Manufacturing Cost</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11</w:t>
      </w:r>
      <w:r>
        <w:rPr>
          <w:rFonts w:ascii="Arial" w:cs="Arial" w:eastAsia="Arial" w:hAnsi="Arial"/>
          <w:sz w:val="19"/>
          <w:szCs w:val="19"/>
          <w:color w:val="auto"/>
        </w:rPr>
        <w:t>.</w:t>
      </w:r>
    </w:p>
    <w:p>
      <w:pPr>
        <w:spacing w:after="0" w:line="233"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1.2 “</w:t>
      </w:r>
      <w:r>
        <w:rPr>
          <w:rFonts w:ascii="Arial" w:cs="Arial" w:eastAsia="Arial" w:hAnsi="Arial"/>
          <w:sz w:val="22"/>
          <w:szCs w:val="22"/>
          <w:u w:val="single" w:color="auto"/>
          <w:color w:val="auto"/>
        </w:rPr>
        <w:t>Additional Major Market Country</w:t>
      </w:r>
      <w:r>
        <w:rPr>
          <w:rFonts w:ascii="Arial" w:cs="Arial" w:eastAsia="Arial" w:hAnsi="Arial"/>
          <w:sz w:val="22"/>
          <w:szCs w:val="22"/>
          <w:color w:val="auto"/>
        </w:rPr>
        <w:t>” shall mean any country in the Territory, other than the Major Market Countries referred to in clause (a) of the definition thereof, in which Net Sales in the immediately prior Contract Year were [****] or more of aggregate Net Sales in the Territory and such designation shall remain effective from and after January 1 of such Contract Year and each Contract Year thereafter as long as Net Sales in such country in the immediately preceding Contract Year(s) are [****] or more of aggregate Net Sales in the Territory in such Contract Year(s). Notwithstanding the foregoing, the Parties shall have the right to mutually agree that a country that exceeds [****] aggregate Net Sales threshold in a given Contract Year shall not be an Additional Major Market Country if such country is not expected to exceed such [****] aggregate Net Sales threshold on an ongoing basis.</w:t>
      </w:r>
    </w:p>
    <w:p>
      <w:pPr>
        <w:spacing w:after="0" w:line="191"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1.3 “</w:t>
      </w:r>
      <w:r>
        <w:rPr>
          <w:rFonts w:ascii="Arial" w:cs="Arial" w:eastAsia="Arial" w:hAnsi="Arial"/>
          <w:sz w:val="19"/>
          <w:szCs w:val="19"/>
          <w:u w:val="single" w:color="auto"/>
          <w:color w:val="auto"/>
        </w:rPr>
        <w:t>Affiliate</w:t>
      </w:r>
      <w:r>
        <w:rPr>
          <w:rFonts w:ascii="Arial" w:cs="Arial" w:eastAsia="Arial" w:hAnsi="Arial"/>
          <w:sz w:val="19"/>
          <w:szCs w:val="19"/>
          <w:color w:val="auto"/>
        </w:rPr>
        <w:t>” shall mean, with respect to any Person, any other Person that controls, is controlled by or is under common control with such first Person. A Person shall be deemed to control another Person if such first Person possesses, directly or indirectly, the power to direct or cause the direction of the management and policies of such first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Aventis or any of its Affiliates be deemed Affiliates of Regeneron or any of its Affiliates nor shall Regeneron or any of its Affiliates be deemed Affiliates of Aventis or any of its Affiliates.</w:t>
      </w:r>
    </w:p>
    <w:p>
      <w:pPr>
        <w:spacing w:after="0" w:line="15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Aggregate Actual Fully Burdened Manufacturing Cost</w:t>
      </w:r>
      <w:r>
        <w:rPr>
          <w:rFonts w:ascii="Arial" w:cs="Arial" w:eastAsia="Arial" w:hAnsi="Arial"/>
          <w:sz w:val="19"/>
          <w:szCs w:val="19"/>
          <w:color w:val="auto"/>
        </w:rPr>
        <w:t>” shall have the meaning set forth in Section 9.7(c).</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Aggregate Profit Sharing Payment</w:t>
      </w:r>
      <w:r>
        <w:rPr>
          <w:rFonts w:ascii="Arial" w:cs="Arial" w:eastAsia="Arial" w:hAnsi="Arial"/>
          <w:sz w:val="19"/>
          <w:szCs w:val="19"/>
          <w:color w:val="auto"/>
        </w:rPr>
        <w:t>” shall have the meaning set forth in Section 9.6(b).</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shall have the meaning set forth in the introductory paragraph, including all Schedules and Exhibits.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625" w:right="299" w:bottom="1440" w:gutter="0" w:footer="0" w:header="0"/>
        </w:sectPr>
      </w:pPr>
    </w:p>
    <w:bookmarkStart w:id="80" w:name="page81"/>
    <w:bookmarkEnd w:id="80"/>
    <w:p>
      <w:pPr>
        <w:ind w:left="660"/>
        <w:spacing w:after="0"/>
        <w:tabs>
          <w:tab w:leader="none" w:pos="1080" w:val="left"/>
        </w:tabs>
        <w:rPr>
          <w:sz w:val="20"/>
          <w:szCs w:val="20"/>
          <w:color w:val="auto"/>
        </w:rPr>
      </w:pPr>
      <w:r>
        <w:rPr>
          <w:rFonts w:ascii="Arial" w:cs="Arial" w:eastAsia="Arial" w:hAnsi="Arial"/>
          <w:sz w:val="22"/>
          <w:szCs w:val="22"/>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Amendment Execution Date</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Ancillary Agreement</w:t>
      </w:r>
      <w:r>
        <w:rPr>
          <w:rFonts w:ascii="Arial" w:cs="Arial" w:eastAsia="Arial" w:hAnsi="Arial"/>
          <w:sz w:val="19"/>
          <w:szCs w:val="19"/>
          <w:color w:val="auto"/>
        </w:rPr>
        <w:t>” shall mean the Supply Agreement and the Investor Agreement.</w:t>
      </w:r>
    </w:p>
    <w:p>
      <w:pPr>
        <w:spacing w:after="0" w:line="233"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1.10 “</w:t>
      </w:r>
      <w:r>
        <w:rPr>
          <w:rFonts w:ascii="Arial" w:cs="Arial" w:eastAsia="Arial" w:hAnsi="Arial"/>
          <w:sz w:val="22"/>
          <w:szCs w:val="22"/>
          <w:u w:val="single" w:color="auto"/>
          <w:color w:val="auto"/>
        </w:rPr>
        <w:t>Approval</w:t>
      </w:r>
      <w:r>
        <w:rPr>
          <w:rFonts w:ascii="Arial" w:cs="Arial" w:eastAsia="Arial" w:hAnsi="Arial"/>
          <w:sz w:val="22"/>
          <w:szCs w:val="22"/>
          <w:color w:val="auto"/>
        </w:rPr>
        <w:t>” shall mean, with respect to each Licensed Product, any approval (including Marketing Approvals and Pricing Approvals), registration, license or authorization from any Regulatory Authority required for the testing, manufacture, Development, Commercialization, sale, storage or transport of, or expanded labeling for, such Licensed Product in any country, and shall include, without limitation, an approval, registration, license or authorization granted in connection with any Registration Filing.</w:t>
      </w:r>
    </w:p>
    <w:p>
      <w:pPr>
        <w:spacing w:after="0" w:line="19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Assigned Regeneron Regulatory Documentation</w:t>
      </w:r>
      <w:r>
        <w:rPr>
          <w:rFonts w:ascii="Arial" w:cs="Arial" w:eastAsia="Arial" w:hAnsi="Arial"/>
          <w:sz w:val="19"/>
          <w:szCs w:val="19"/>
          <w:color w:val="auto"/>
        </w:rPr>
        <w:t>” has the meaning set forth in Section 7.1.</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u w:val="single" w:color="auto"/>
          <w:color w:val="auto"/>
        </w:rPr>
        <w:t>Aventis Know-How</w:t>
      </w:r>
      <w:r>
        <w:rPr>
          <w:rFonts w:ascii="Arial" w:cs="Arial" w:eastAsia="Arial" w:hAnsi="Arial"/>
          <w:sz w:val="22"/>
          <w:szCs w:val="22"/>
          <w:color w:val="auto"/>
        </w:rPr>
        <w:t xml:space="preserve">” shall mean (a) all Know-How that is conceived, developed, created or otherwise made by or on behalf of Aventis (or its Affiliates or its or their sublicensees or Distributors) under or in connection with this Agreement during the Term (or any transition period as provided in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Schedule 7</w:t>
      </w:r>
      <w:r>
        <w:rPr>
          <w:rFonts w:ascii="Arial" w:cs="Arial" w:eastAsia="Arial" w:hAnsi="Arial"/>
          <w:sz w:val="22"/>
          <w:szCs w:val="22"/>
          <w:color w:val="auto"/>
        </w:rPr>
        <w:t>), and (b) all Know-How that (i) is Controlled as of the Effective Date and at any time during the Term by Aventis or any of its Affiliates (other than by operation of the license and other grants in ARTICLE 4) and (ii) relates to a VEGF Trap, in each case ((a) and (b)), excluding any Joint Inventions. Aventis Know-How shall include New Information of Aventis.</w:t>
      </w:r>
    </w:p>
    <w:p>
      <w:pPr>
        <w:spacing w:after="0" w:line="18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Indemnitees</w:t>
      </w:r>
      <w:r>
        <w:rPr>
          <w:rFonts w:ascii="Arial" w:cs="Arial" w:eastAsia="Arial" w:hAnsi="Arial"/>
          <w:sz w:val="19"/>
          <w:szCs w:val="19"/>
          <w:color w:val="auto"/>
        </w:rPr>
        <w:t>” shall have the meaning set forth in Section 17.1(b).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Intellectual Property</w:t>
      </w:r>
      <w:r>
        <w:rPr>
          <w:rFonts w:ascii="Arial" w:cs="Arial" w:eastAsia="Arial" w:hAnsi="Arial"/>
          <w:sz w:val="19"/>
          <w:szCs w:val="19"/>
          <w:color w:val="auto"/>
        </w:rPr>
        <w:t>” shall mean the Aventis Patent Rights and Aventis Know-How.</w:t>
      </w:r>
    </w:p>
    <w:p>
      <w:pPr>
        <w:spacing w:after="0" w:line="233" w:lineRule="exact"/>
        <w:rPr>
          <w:sz w:val="20"/>
          <w:szCs w:val="20"/>
          <w:color w:val="auto"/>
        </w:rPr>
      </w:pPr>
    </w:p>
    <w:p>
      <w:pPr>
        <w:ind w:right="120" w:firstLine="648"/>
        <w:spacing w:after="0" w:line="251" w:lineRule="auto"/>
        <w:rPr>
          <w:sz w:val="20"/>
          <w:szCs w:val="20"/>
          <w:color w:val="auto"/>
        </w:rPr>
      </w:pPr>
      <w:r>
        <w:rPr>
          <w:rFonts w:ascii="Arial" w:cs="Arial" w:eastAsia="Arial" w:hAnsi="Arial"/>
          <w:sz w:val="22"/>
          <w:szCs w:val="22"/>
          <w:color w:val="auto"/>
        </w:rPr>
        <w:t>1.16 “</w:t>
      </w:r>
      <w:r>
        <w:rPr>
          <w:rFonts w:ascii="Arial" w:cs="Arial" w:eastAsia="Arial" w:hAnsi="Arial"/>
          <w:sz w:val="22"/>
          <w:szCs w:val="22"/>
          <w:u w:val="single" w:color="auto"/>
          <w:color w:val="auto"/>
        </w:rPr>
        <w:t>Aventis Patent Rights</w:t>
      </w:r>
      <w:r>
        <w:rPr>
          <w:rFonts w:ascii="Arial" w:cs="Arial" w:eastAsia="Arial" w:hAnsi="Arial"/>
          <w:sz w:val="22"/>
          <w:szCs w:val="22"/>
          <w:color w:val="auto"/>
        </w:rPr>
        <w:t>” shall mean (a) those Patents Controlled as of the Effective Date or hereafter during the Term by Aventis or any of its Affiliates (other than by operation of the license in ARTICLE 4) that include at least one claim that would be infringed by the manufacture, use, sale, offer for sale or import of any VEGF Product and (b) those Patents that (i) claim or cover the Aventis Know-How and (ii) are Controlled by Aventis or any of its Affiliates (other than by operation of the license and other grants in ARTICLE 4).</w:t>
      </w:r>
    </w:p>
    <w:p>
      <w:pPr>
        <w:spacing w:after="0" w:line="19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Sole Inventions</w:t>
      </w:r>
      <w:r>
        <w:rPr>
          <w:rFonts w:ascii="Arial" w:cs="Arial" w:eastAsia="Arial" w:hAnsi="Arial"/>
          <w:sz w:val="19"/>
          <w:szCs w:val="19"/>
          <w:color w:val="auto"/>
        </w:rPr>
        <w:t>” shall have the meaning set forth in Section 12.1(a).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Aventis Trademarks</w:t>
      </w:r>
      <w:r>
        <w:rPr>
          <w:rFonts w:ascii="Arial" w:cs="Arial" w:eastAsia="Arial" w:hAnsi="Arial"/>
          <w:sz w:val="19"/>
          <w:szCs w:val="19"/>
          <w:color w:val="auto"/>
        </w:rPr>
        <w:t>” shall have the meaning set forth in Section 11.3.</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Batch</w:t>
      </w:r>
      <w:r>
        <w:rPr>
          <w:rFonts w:ascii="Arial" w:cs="Arial" w:eastAsia="Arial" w:hAnsi="Arial"/>
          <w:sz w:val="19"/>
          <w:szCs w:val="19"/>
          <w:color w:val="auto"/>
        </w:rPr>
        <w:t>” shall have the meaning set forth in the Supply Agreement.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81" w:name="page82"/>
    <w:bookmarkEnd w:id="81"/>
    <w:p>
      <w:pPr>
        <w:ind w:left="660"/>
        <w:spacing w:after="0"/>
        <w:tabs>
          <w:tab w:leader="none" w:pos="1200" w:val="left"/>
        </w:tabs>
        <w:rPr>
          <w:sz w:val="20"/>
          <w:szCs w:val="20"/>
          <w:color w:val="auto"/>
        </w:rPr>
      </w:pPr>
      <w:r>
        <w:rPr>
          <w:rFonts w:ascii="Arial" w:cs="Arial" w:eastAsia="Arial" w:hAnsi="Arial"/>
          <w:sz w:val="22"/>
          <w:szCs w:val="22"/>
          <w:color w:val="auto"/>
        </w:rPr>
        <w:t>1.20</w:t>
      </w:r>
      <w:r>
        <w:rPr>
          <w:sz w:val="20"/>
          <w:szCs w:val="20"/>
          <w:color w:val="auto"/>
        </w:rPr>
        <w:tab/>
      </w:r>
      <w:r>
        <w:rPr>
          <w:rFonts w:ascii="Arial" w:cs="Arial" w:eastAsia="Arial" w:hAnsi="Arial"/>
          <w:sz w:val="19"/>
          <w:szCs w:val="19"/>
          <w:u w:val="single" w:color="auto"/>
          <w:color w:val="auto"/>
        </w:rPr>
        <w:t>“Batch Number</w:t>
      </w:r>
      <w:r>
        <w:rPr>
          <w:rFonts w:ascii="Arial" w:cs="Arial" w:eastAsia="Arial" w:hAnsi="Arial"/>
          <w:sz w:val="19"/>
          <w:szCs w:val="19"/>
          <w:color w:val="auto"/>
        </w:rPr>
        <w:t>” shall have the meaning set forth in Section 9.7(c).</w:t>
      </w:r>
    </w:p>
    <w:p>
      <w:pPr>
        <w:spacing w:after="0" w:line="233" w:lineRule="exact"/>
        <w:rPr>
          <w:sz w:val="20"/>
          <w:szCs w:val="20"/>
          <w:color w:val="auto"/>
        </w:rPr>
      </w:pPr>
    </w:p>
    <w:p>
      <w:pPr>
        <w:ind w:right="240" w:firstLine="648"/>
        <w:spacing w:after="0" w:line="278" w:lineRule="auto"/>
        <w:rPr>
          <w:sz w:val="20"/>
          <w:szCs w:val="20"/>
          <w:color w:val="auto"/>
        </w:rPr>
      </w:pPr>
      <w:r>
        <w:rPr>
          <w:rFonts w:ascii="Arial" w:cs="Arial" w:eastAsia="Arial" w:hAnsi="Arial"/>
          <w:sz w:val="21"/>
          <w:szCs w:val="21"/>
          <w:color w:val="auto"/>
        </w:rPr>
        <w:t>1.21 “</w:t>
      </w:r>
      <w:r>
        <w:rPr>
          <w:rFonts w:ascii="Arial" w:cs="Arial" w:eastAsia="Arial" w:hAnsi="Arial"/>
          <w:sz w:val="21"/>
          <w:szCs w:val="21"/>
          <w:u w:val="single" w:color="auto"/>
          <w:color w:val="auto"/>
        </w:rPr>
        <w:t>BLA</w:t>
      </w:r>
      <w:r>
        <w:rPr>
          <w:rFonts w:ascii="Arial" w:cs="Arial" w:eastAsia="Arial" w:hAnsi="Arial"/>
          <w:sz w:val="21"/>
          <w:szCs w:val="21"/>
          <w:color w:val="auto"/>
        </w:rPr>
        <w:t>” shall mean, with respect to each Licensed Product, a biologics license application filed with respect to such Licensed Product, as described in the FDA regulations, including all amendments and supplements to the application, and any equivalent filing with any Regulatory Authority outside of the United States.</w:t>
      </w:r>
    </w:p>
    <w:p>
      <w:pPr>
        <w:spacing w:after="0" w:line="160" w:lineRule="exact"/>
        <w:rPr>
          <w:sz w:val="20"/>
          <w:szCs w:val="20"/>
          <w:color w:val="auto"/>
        </w:rPr>
      </w:pPr>
    </w:p>
    <w:p>
      <w:pPr>
        <w:ind w:right="380" w:firstLine="648"/>
        <w:spacing w:after="0" w:line="301" w:lineRule="auto"/>
        <w:rPr>
          <w:sz w:val="20"/>
          <w:szCs w:val="20"/>
          <w:color w:val="auto"/>
        </w:rPr>
      </w:pPr>
      <w:r>
        <w:rPr>
          <w:rFonts w:ascii="Arial" w:cs="Arial" w:eastAsia="Arial" w:hAnsi="Arial"/>
          <w:sz w:val="21"/>
          <w:szCs w:val="21"/>
          <w:color w:val="auto"/>
        </w:rPr>
        <w:t>1.22 “</w:t>
      </w:r>
      <w:r>
        <w:rPr>
          <w:rFonts w:ascii="Arial" w:cs="Arial" w:eastAsia="Arial" w:hAnsi="Arial"/>
          <w:sz w:val="21"/>
          <w:szCs w:val="21"/>
          <w:u w:val="single" w:color="auto"/>
          <w:color w:val="auto"/>
        </w:rPr>
        <w:t>Business Day</w:t>
      </w:r>
      <w:r>
        <w:rPr>
          <w:rFonts w:ascii="Arial" w:cs="Arial" w:eastAsia="Arial" w:hAnsi="Arial"/>
          <w:sz w:val="21"/>
          <w:szCs w:val="21"/>
          <w:color w:val="auto"/>
        </w:rPr>
        <w:t>” shall mean any day other than a Saturday, a Sunday or a day on which commercial banks in New York, New York, United States or Paris, France are authorized or required by Law to remain closed.</w:t>
      </w:r>
    </w:p>
    <w:p>
      <w:pPr>
        <w:spacing w:after="0" w:line="137"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1.23 “</w:t>
      </w:r>
      <w:r>
        <w:rPr>
          <w:rFonts w:ascii="Arial" w:cs="Arial" w:eastAsia="Arial" w:hAnsi="Arial"/>
          <w:sz w:val="22"/>
          <w:szCs w:val="22"/>
          <w:u w:val="single" w:color="auto"/>
          <w:color w:val="auto"/>
        </w:rPr>
        <w:t>Calendar Quarter</w:t>
      </w:r>
      <w:r>
        <w:rPr>
          <w:rFonts w:ascii="Arial" w:cs="Arial" w:eastAsia="Arial" w:hAnsi="Arial"/>
          <w:sz w:val="22"/>
          <w:szCs w:val="22"/>
          <w:color w:val="auto"/>
        </w:rPr>
        <w:t>” shall mean each successive period of three (3) calendar months commencing on January 1, April 1, July 1 and October 1 during the Term, except that for purposes of ARTICLE 9 the first Calendar Quarter shall commence on the Amendment Effective Date and shall end on December 31, 2014 and the last Calendar Quarter shall end on the last day of the Term.</w:t>
      </w:r>
    </w:p>
    <w:p>
      <w:pPr>
        <w:spacing w:after="0" w:line="185" w:lineRule="exact"/>
        <w:rPr>
          <w:sz w:val="20"/>
          <w:szCs w:val="20"/>
          <w:color w:val="auto"/>
        </w:rPr>
      </w:pPr>
    </w:p>
    <w:p>
      <w:pPr>
        <w:ind w:right="480" w:firstLine="648"/>
        <w:spacing w:after="0" w:line="300"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u w:val="single" w:color="auto"/>
          <w:color w:val="auto"/>
        </w:rPr>
        <w:t>Clinical Supply Requirements</w:t>
      </w:r>
      <w:r>
        <w:rPr>
          <w:rFonts w:ascii="Arial" w:cs="Arial" w:eastAsia="Arial" w:hAnsi="Arial"/>
          <w:sz w:val="19"/>
          <w:szCs w:val="19"/>
          <w:color w:val="auto"/>
        </w:rPr>
        <w:t>” shall mean, with respect to a Licensed Product, the quantities of such Licensed Product that are required by Aventis (a) for Development, including the conduct of pre-clinical studies and Clinical Trials in connection with the Development Plan in order to obtain Approval of such Licensed Product in the Field in any country in the Territory and quantities of such Licensed Product which are required by a Party for submission to a Regulatory Authority in connection with any Registration Filing or Approval in any country in the Territory or (b) for any Non-Approval Trial.</w:t>
      </w:r>
    </w:p>
    <w:p>
      <w:pPr>
        <w:spacing w:after="0" w:line="147"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1.25 “</w:t>
      </w:r>
      <w:r>
        <w:rPr>
          <w:rFonts w:ascii="Arial" w:cs="Arial" w:eastAsia="Arial" w:hAnsi="Arial"/>
          <w:sz w:val="22"/>
          <w:szCs w:val="22"/>
          <w:u w:val="single" w:color="auto"/>
          <w:color w:val="auto"/>
        </w:rPr>
        <w:t>Clinical Trial</w:t>
      </w:r>
      <w:r>
        <w:rPr>
          <w:rFonts w:ascii="Arial" w:cs="Arial" w:eastAsia="Arial" w:hAnsi="Arial"/>
          <w:sz w:val="22"/>
          <w:szCs w:val="22"/>
          <w:color w:val="auto"/>
        </w:rPr>
        <w:t>” shall mean any clinical trial conducted for the purpose of or which results in obtaining data to support or be included in a Registration Filing, including any clinical trial conducted or sponsored by a Party’s medical affairs department which is referenced in a BLA solely in connection with an integrated safety database.</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CMC</w:t>
      </w:r>
      <w:r>
        <w:rPr>
          <w:rFonts w:ascii="Arial" w:cs="Arial" w:eastAsia="Arial" w:hAnsi="Arial"/>
          <w:sz w:val="19"/>
          <w:szCs w:val="19"/>
          <w:color w:val="auto"/>
        </w:rPr>
        <w:t>” shall mean chemistry, manufacturing and controls.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Collaboration Purpose</w:t>
      </w:r>
      <w:r>
        <w:rPr>
          <w:rFonts w:ascii="Arial" w:cs="Arial" w:eastAsia="Arial" w:hAnsi="Arial"/>
          <w:sz w:val="19"/>
          <w:szCs w:val="19"/>
          <w:color w:val="auto"/>
        </w:rPr>
        <w:t>” has the meaning set forth in Section 5.6.</w:t>
      </w:r>
    </w:p>
    <w:p>
      <w:pPr>
        <w:spacing w:after="0" w:line="233" w:lineRule="exact"/>
        <w:rPr>
          <w:sz w:val="20"/>
          <w:szCs w:val="20"/>
          <w:color w:val="auto"/>
        </w:rPr>
      </w:pPr>
    </w:p>
    <w:p>
      <w:pPr>
        <w:jc w:val="both"/>
        <w:ind w:right="120" w:firstLine="648"/>
        <w:spacing w:after="0" w:line="278" w:lineRule="auto"/>
        <w:rPr>
          <w:sz w:val="20"/>
          <w:szCs w:val="20"/>
          <w:color w:val="auto"/>
        </w:rPr>
      </w:pPr>
      <w:r>
        <w:rPr>
          <w:rFonts w:ascii="Arial" w:cs="Arial" w:eastAsia="Arial" w:hAnsi="Arial"/>
          <w:sz w:val="21"/>
          <w:szCs w:val="21"/>
          <w:color w:val="auto"/>
        </w:rPr>
        <w:t>1.28 “</w:t>
      </w:r>
      <w:r>
        <w:rPr>
          <w:rFonts w:ascii="Arial" w:cs="Arial" w:eastAsia="Arial" w:hAnsi="Arial"/>
          <w:sz w:val="21"/>
          <w:szCs w:val="21"/>
          <w:u w:val="single" w:color="auto"/>
          <w:color w:val="auto"/>
        </w:rPr>
        <w:t>Commercial Supply Requirements</w:t>
      </w:r>
      <w:r>
        <w:rPr>
          <w:rFonts w:ascii="Arial" w:cs="Arial" w:eastAsia="Arial" w:hAnsi="Arial"/>
          <w:sz w:val="21"/>
          <w:szCs w:val="21"/>
          <w:color w:val="auto"/>
        </w:rPr>
        <w:t>” shall mean, with respect to each Licensed Product, quantities of such Licensed Product as are required by Aventis to fulfill Aventis’ requirements for commercial sales and product sampling with respect to such Licensed Product in the Field in the Territory or any country in the Territory, as the case may be.</w:t>
      </w:r>
    </w:p>
    <w:p>
      <w:pPr>
        <w:spacing w:after="0" w:line="160" w:lineRule="exact"/>
        <w:rPr>
          <w:sz w:val="20"/>
          <w:szCs w:val="20"/>
          <w:color w:val="auto"/>
        </w:rPr>
      </w:pPr>
    </w:p>
    <w:p>
      <w:pPr>
        <w:ind w:right="540" w:firstLine="648"/>
        <w:spacing w:after="0" w:line="260" w:lineRule="auto"/>
        <w:rPr>
          <w:sz w:val="20"/>
          <w:szCs w:val="20"/>
          <w:color w:val="auto"/>
        </w:rPr>
      </w:pPr>
      <w:r>
        <w:rPr>
          <w:rFonts w:ascii="Arial" w:cs="Arial" w:eastAsia="Arial" w:hAnsi="Arial"/>
          <w:sz w:val="22"/>
          <w:szCs w:val="22"/>
          <w:color w:val="auto"/>
        </w:rPr>
        <w:t>1.29 “</w:t>
      </w:r>
      <w:r>
        <w:rPr>
          <w:rFonts w:ascii="Arial" w:cs="Arial" w:eastAsia="Arial" w:hAnsi="Arial"/>
          <w:sz w:val="22"/>
          <w:szCs w:val="22"/>
          <w:u w:val="single" w:color="auto"/>
          <w:color w:val="auto"/>
        </w:rPr>
        <w:t>Commercialize</w:t>
      </w:r>
      <w:r>
        <w:rPr>
          <w:rFonts w:ascii="Arial" w:cs="Arial" w:eastAsia="Arial" w:hAnsi="Arial"/>
          <w:sz w:val="22"/>
          <w:szCs w:val="22"/>
          <w:color w:val="auto"/>
        </w:rPr>
        <w:t>” or “</w:t>
      </w:r>
      <w:r>
        <w:rPr>
          <w:rFonts w:ascii="Arial" w:cs="Arial" w:eastAsia="Arial" w:hAnsi="Arial"/>
          <w:sz w:val="22"/>
          <w:szCs w:val="22"/>
          <w:u w:val="single" w:color="auto"/>
          <w:color w:val="auto"/>
        </w:rPr>
        <w:t>Commercialization</w:t>
      </w:r>
      <w:r>
        <w:rPr>
          <w:rFonts w:ascii="Arial" w:cs="Arial" w:eastAsia="Arial" w:hAnsi="Arial"/>
          <w:sz w:val="22"/>
          <w:szCs w:val="22"/>
          <w:color w:val="auto"/>
        </w:rPr>
        <w:t>” shall mean any and all activities directed to marketing, promoting, detailing, distributing, importing, commercializing, offering for sale, having sold and/or selling a Licensed Product, including sampling and conducting Non-Approval Trials.</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Commercialization Plan</w:t>
      </w:r>
      <w:r>
        <w:rPr>
          <w:rFonts w:ascii="Arial" w:cs="Arial" w:eastAsia="Arial" w:hAnsi="Arial"/>
          <w:sz w:val="19"/>
          <w:szCs w:val="19"/>
          <w:color w:val="auto"/>
        </w:rPr>
        <w:t>” has the meaning set forth in Section 6.2.</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631" w:right="259" w:bottom="1440" w:gutter="0" w:footer="0" w:header="0"/>
        </w:sectPr>
      </w:pPr>
    </w:p>
    <w:bookmarkStart w:id="82" w:name="page83"/>
    <w:bookmarkEnd w:id="82"/>
    <w:p>
      <w:pPr>
        <w:ind w:firstLine="648"/>
        <w:spacing w:after="0" w:line="286" w:lineRule="auto"/>
        <w:rPr>
          <w:sz w:val="20"/>
          <w:szCs w:val="20"/>
          <w:color w:val="auto"/>
        </w:rPr>
      </w:pPr>
      <w:r>
        <w:rPr>
          <w:rFonts w:ascii="Arial" w:cs="Arial" w:eastAsia="Arial" w:hAnsi="Arial"/>
          <w:sz w:val="19"/>
          <w:szCs w:val="19"/>
          <w:color w:val="auto"/>
        </w:rPr>
        <w:t>1.31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xml:space="preserve">” shall mean, with respect to the efforts to be expended by a Party with respect to any objective, reasonable, diligent, good faith efforts to accomplish such objective as such Party would normally use to accomplish a similar objective under similar circumstances, it being understood and agreed that such efforts shall be consistent with the Collaboration Purpose, and substantially equivalent to those efforts and resources commonly used by a Party for a product owned by it, which product is at a similar stage in its development or product life and is of similar market potential. Commercially Reasonable Efforts shall be determined on a market-by-market and product-by-product basis in view of conditions prevailing at the time, and evaluated taking into account all relevant factors, including without limitation, the efficacy, safety, anticipated regulatory authority approved labeling, competitiveness of alternative products that are in the marketplace or under development by Third Parties and other technical, scientific, legal, medical marketing and competitive factors. It is anticipated that the level of effort will change over time. In determining whether a Party has used Commercially Reasonable Efforts, the payments made or required to be made hereunder or under the Supply Agreement shall not be factors weighed (that is, a Party may not apply lesser resources or efforts in support of a Licensed Product because it must make any payments hereunder or under the Supply Agreement). In determining whether Aventis has used Commercially Reasonable Efforts with respect to the Commercialization of Licensed Products, a failure by Regeneron to satisfy its obligations to supply Formulated Bulk Licensed Product pursuant to Section 3.1 of the Supply Agreement, to the extent amounts supplied by Regeneron are insufficient to meet the Commercial Supply Requirements of Licensed Product, shall be a relevant factor to take into account;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for clarity, in no event shall this sentence apply with respect to Aventis’ obligations under Section 8.2.</w:t>
      </w:r>
    </w:p>
    <w:p>
      <w:pPr>
        <w:spacing w:after="0" w:line="166" w:lineRule="exact"/>
        <w:rPr>
          <w:sz w:val="20"/>
          <w:szCs w:val="20"/>
          <w:color w:val="auto"/>
        </w:rPr>
      </w:pPr>
    </w:p>
    <w:p>
      <w:pPr>
        <w:jc w:val="both"/>
        <w:ind w:right="160" w:firstLine="648"/>
        <w:spacing w:after="0" w:line="260" w:lineRule="auto"/>
        <w:rPr>
          <w:sz w:val="20"/>
          <w:szCs w:val="20"/>
          <w:color w:val="auto"/>
        </w:rPr>
      </w:pPr>
      <w:r>
        <w:rPr>
          <w:rFonts w:ascii="Arial" w:cs="Arial" w:eastAsia="Arial" w:hAnsi="Arial"/>
          <w:sz w:val="22"/>
          <w:szCs w:val="22"/>
          <w:color w:val="auto"/>
        </w:rPr>
        <w:t>1.32 “</w:t>
      </w:r>
      <w:r>
        <w:rPr>
          <w:rFonts w:ascii="Arial" w:cs="Arial" w:eastAsia="Arial" w:hAnsi="Arial"/>
          <w:sz w:val="22"/>
          <w:szCs w:val="22"/>
          <w:u w:val="single" w:color="auto"/>
          <w:color w:val="auto"/>
        </w:rPr>
        <w:t>Contract Year</w:t>
      </w:r>
      <w:r>
        <w:rPr>
          <w:rFonts w:ascii="Arial" w:cs="Arial" w:eastAsia="Arial" w:hAnsi="Arial"/>
          <w:sz w:val="22"/>
          <w:szCs w:val="22"/>
          <w:color w:val="auto"/>
        </w:rPr>
        <w:t>” shall mean the period beginning on the Effective Date and ending on December 31, 2003, and each succeeding twelve (12) month period thereafter during the Term, except that the last Contract Year shall end on the last day of the last Calendar Quarter.</w:t>
      </w:r>
    </w:p>
    <w:p>
      <w:pPr>
        <w:spacing w:after="0" w:line="177" w:lineRule="exact"/>
        <w:rPr>
          <w:sz w:val="20"/>
          <w:szCs w:val="20"/>
          <w:color w:val="auto"/>
        </w:rPr>
      </w:pPr>
    </w:p>
    <w:p>
      <w:pPr>
        <w:ind w:right="260" w:firstLine="648"/>
        <w:spacing w:after="0" w:line="266" w:lineRule="auto"/>
        <w:rPr>
          <w:sz w:val="20"/>
          <w:szCs w:val="20"/>
          <w:color w:val="auto"/>
        </w:rPr>
      </w:pPr>
      <w:r>
        <w:rPr>
          <w:rFonts w:ascii="Arial" w:cs="Arial" w:eastAsia="Arial" w:hAnsi="Arial"/>
          <w:sz w:val="21"/>
          <w:szCs w:val="21"/>
          <w:color w:val="auto"/>
        </w:rPr>
        <w:t>1.33 “</w:t>
      </w:r>
      <w:r>
        <w:rPr>
          <w:rFonts w:ascii="Arial" w:cs="Arial" w:eastAsia="Arial" w:hAnsi="Arial"/>
          <w:sz w:val="21"/>
          <w:szCs w:val="21"/>
          <w:u w:val="single" w:color="auto"/>
          <w:color w:val="auto"/>
        </w:rPr>
        <w:t>Control</w:t>
      </w:r>
      <w:r>
        <w:rPr>
          <w:rFonts w:ascii="Arial" w:cs="Arial" w:eastAsia="Arial" w:hAnsi="Arial"/>
          <w:sz w:val="21"/>
          <w:szCs w:val="21"/>
          <w:color w:val="auto"/>
        </w:rPr>
        <w:t>” means, with respect to any item of New Information or Party Information, material, regulatory documentation, Patents or other intellectual property right, possession of the right, whether directly or indirectly and whether by ownership, license or otherwise, to assign, or grant a license, sublicense, right of reference or other right to or under such New Information or Party Information, material, regulatory documentation, Patents or other intellectual property right as provided for herein without violating the terms of any agreement with any Third Party.</w:t>
      </w:r>
    </w:p>
    <w:p>
      <w:pPr>
        <w:spacing w:after="0" w:line="174" w:lineRule="exact"/>
        <w:rPr>
          <w:sz w:val="20"/>
          <w:szCs w:val="20"/>
          <w:color w:val="auto"/>
        </w:rPr>
      </w:pPr>
    </w:p>
    <w:p>
      <w:pPr>
        <w:ind w:right="240" w:firstLine="648"/>
        <w:spacing w:after="0" w:line="320" w:lineRule="auto"/>
        <w:rPr>
          <w:sz w:val="20"/>
          <w:szCs w:val="20"/>
          <w:color w:val="auto"/>
        </w:rPr>
      </w:pPr>
      <w:r>
        <w:rPr>
          <w:rFonts w:ascii="Arial" w:cs="Arial" w:eastAsia="Arial" w:hAnsi="Arial"/>
          <w:sz w:val="19"/>
          <w:szCs w:val="19"/>
          <w:color w:val="auto"/>
        </w:rPr>
        <w:t>1.34 “</w:t>
      </w:r>
      <w:r>
        <w:rPr>
          <w:rFonts w:ascii="Arial" w:cs="Arial" w:eastAsia="Arial" w:hAnsi="Arial"/>
          <w:sz w:val="19"/>
          <w:szCs w:val="19"/>
          <w:u w:val="single" w:color="auto"/>
          <w:color w:val="auto"/>
        </w:rPr>
        <w:t>Controlling Party</w:t>
      </w:r>
      <w:r>
        <w:rPr>
          <w:rFonts w:ascii="Arial" w:cs="Arial" w:eastAsia="Arial" w:hAnsi="Arial"/>
          <w:sz w:val="19"/>
          <w:szCs w:val="19"/>
          <w:color w:val="auto"/>
        </w:rPr>
        <w:t>” shall mean Regeneron with respect to the filing, prosecution and maintenance of a Joint Patent Right that primarily claims a VEGF Product (or the making or use thereof, including, without limitation, any devices for the administration of such VEGF Product or any component thereof), and Aventis in the case of all other Joint Patent Rights.</w:t>
      </w:r>
    </w:p>
    <w:p>
      <w:pPr>
        <w:spacing w:after="0" w:line="125" w:lineRule="exact"/>
        <w:rPr>
          <w:sz w:val="20"/>
          <w:szCs w:val="20"/>
          <w:color w:val="auto"/>
        </w:rPr>
      </w:pPr>
    </w:p>
    <w:p>
      <w:pPr>
        <w:ind w:right="340" w:firstLine="648"/>
        <w:spacing w:after="0" w:line="260" w:lineRule="auto"/>
        <w:rPr>
          <w:sz w:val="20"/>
          <w:szCs w:val="20"/>
          <w:color w:val="auto"/>
        </w:rPr>
      </w:pPr>
      <w:r>
        <w:rPr>
          <w:rFonts w:ascii="Arial" w:cs="Arial" w:eastAsia="Arial" w:hAnsi="Arial"/>
          <w:sz w:val="22"/>
          <w:szCs w:val="22"/>
          <w:color w:val="auto"/>
        </w:rPr>
        <w:t>1.35 “</w:t>
      </w:r>
      <w:r>
        <w:rPr>
          <w:rFonts w:ascii="Arial" w:cs="Arial" w:eastAsia="Arial" w:hAnsi="Arial"/>
          <w:sz w:val="22"/>
          <w:szCs w:val="22"/>
          <w:u w:val="single" w:color="auto"/>
          <w:color w:val="auto"/>
        </w:rPr>
        <w:t>CPI</w:t>
      </w:r>
      <w:r>
        <w:rPr>
          <w:rFonts w:ascii="Arial" w:cs="Arial" w:eastAsia="Arial" w:hAnsi="Arial"/>
          <w:sz w:val="22"/>
          <w:szCs w:val="22"/>
          <w:color w:val="auto"/>
        </w:rPr>
        <w:t>’’ shall mean the Consumer Price Index – Urban Wage Earners and Clerical Workers, U.S. City Average, All Items, 1982-1984 = 100, published by the United States Department of Labor, Bureau of Statistics (or its successor equivalent index).</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80"/>
          </w:cols>
          <w:pgMar w:left="240" w:top="631" w:right="279" w:bottom="1440" w:gutter="0" w:footer="0" w:header="0"/>
        </w:sectPr>
      </w:pPr>
    </w:p>
    <w:bookmarkStart w:id="83" w:name="page84"/>
    <w:bookmarkEnd w:id="83"/>
    <w:p>
      <w:pPr>
        <w:ind w:right="560" w:firstLine="648"/>
        <w:spacing w:after="0" w:line="301" w:lineRule="auto"/>
        <w:rPr>
          <w:sz w:val="20"/>
          <w:szCs w:val="20"/>
          <w:color w:val="auto"/>
        </w:rPr>
      </w:pPr>
      <w:r>
        <w:rPr>
          <w:rFonts w:ascii="Arial" w:cs="Arial" w:eastAsia="Arial" w:hAnsi="Arial"/>
          <w:sz w:val="21"/>
          <w:szCs w:val="21"/>
          <w:color w:val="auto"/>
        </w:rPr>
        <w:t>1.36 “</w:t>
      </w:r>
      <w:r>
        <w:rPr>
          <w:rFonts w:ascii="Arial" w:cs="Arial" w:eastAsia="Arial" w:hAnsi="Arial"/>
          <w:sz w:val="21"/>
          <w:szCs w:val="21"/>
          <w:u w:val="single" w:color="auto"/>
          <w:color w:val="auto"/>
        </w:rPr>
        <w:t>CPI Adjustment</w:t>
      </w:r>
      <w:r>
        <w:rPr>
          <w:rFonts w:ascii="Arial" w:cs="Arial" w:eastAsia="Arial" w:hAnsi="Arial"/>
          <w:sz w:val="21"/>
          <w:szCs w:val="21"/>
          <w:color w:val="auto"/>
        </w:rPr>
        <w:t>” shall mean the percentage increase or decrease, if any, in the CPI for the twelve (12) months ending June 30 of the Contract Year prior to the Contract Year for which the adjustment is being made.</w:t>
      </w:r>
    </w:p>
    <w:p>
      <w:pPr>
        <w:spacing w:after="0" w:line="13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Cumulative Net Sales</w:t>
      </w:r>
      <w:r>
        <w:rPr>
          <w:rFonts w:ascii="Arial" w:cs="Arial" w:eastAsia="Arial" w:hAnsi="Arial"/>
          <w:sz w:val="19"/>
          <w:szCs w:val="19"/>
          <w:color w:val="auto"/>
        </w:rPr>
        <w:t>” shall have the meaning set forth in Section 9.6(c).</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Damages</w:t>
      </w:r>
      <w:r>
        <w:rPr>
          <w:rFonts w:ascii="Arial" w:cs="Arial" w:eastAsia="Arial" w:hAnsi="Arial"/>
          <w:sz w:val="19"/>
          <w:szCs w:val="19"/>
          <w:color w:val="auto"/>
        </w:rPr>
        <w:t>” shall have the meaning set forth in Section 17.1(a).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Default Interest Rate</w:t>
      </w:r>
      <w:r>
        <w:rPr>
          <w:rFonts w:ascii="Arial" w:cs="Arial" w:eastAsia="Arial" w:hAnsi="Arial"/>
          <w:sz w:val="19"/>
          <w:szCs w:val="19"/>
          <w:color w:val="auto"/>
        </w:rPr>
        <w:t>” shall have the meaning set forth in Section 9.10.</w:t>
      </w:r>
    </w:p>
    <w:p>
      <w:pPr>
        <w:spacing w:after="0" w:line="233"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1.40 “</w:t>
      </w:r>
      <w:r>
        <w:rPr>
          <w:rFonts w:ascii="Arial" w:cs="Arial" w:eastAsia="Arial" w:hAnsi="Arial"/>
          <w:sz w:val="21"/>
          <w:szCs w:val="21"/>
          <w:u w:val="single" w:color="auto"/>
          <w:color w:val="auto"/>
        </w:rPr>
        <w:t>Develop</w:t>
      </w:r>
      <w:r>
        <w:rPr>
          <w:rFonts w:ascii="Arial" w:cs="Arial" w:eastAsia="Arial" w:hAnsi="Arial"/>
          <w:sz w:val="21"/>
          <w:szCs w:val="21"/>
          <w:color w:val="auto"/>
        </w:rPr>
        <w:t>” or “</w:t>
      </w:r>
      <w:r>
        <w:rPr>
          <w:rFonts w:ascii="Arial" w:cs="Arial" w:eastAsia="Arial" w:hAnsi="Arial"/>
          <w:sz w:val="21"/>
          <w:szCs w:val="21"/>
          <w:u w:val="single" w:color="auto"/>
          <w:color w:val="auto"/>
        </w:rPr>
        <w:t>Development</w:t>
      </w:r>
      <w:r>
        <w:rPr>
          <w:rFonts w:ascii="Arial" w:cs="Arial" w:eastAsia="Arial" w:hAnsi="Arial"/>
          <w:sz w:val="21"/>
          <w:szCs w:val="21"/>
          <w:color w:val="auto"/>
        </w:rPr>
        <w:t>” shall mean (a) activities directly and specifically relating to the pre-clinical and clinical drug development of a Licensed Product, including, without limitation, test method development, stability testing with respect to Licensed Product manufactured by or on behalf of Aventis (for clarity, other than Product supplied by Regeneron pursuant to the Supply Agreement), assay development, toxicology, formulation, quality assurance/quality control development, technology transfer, statistical analysis, process development, pharmacokinetic studies, Clinical Trials (including research to design Clinical Trials and develop target product profiles), regulatory affairs, drug safety surveillance activities, and Approvals, (b) any other research and development activities with respect to a Licensed Product and (c) any pre-launch marketing activities (including, without limitation, market research and analysis, and health economics) performed prior to First Commercial Sale of such Licensed Product.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Balance</w:t>
      </w:r>
      <w:r>
        <w:rPr>
          <w:rFonts w:ascii="Arial" w:cs="Arial" w:eastAsia="Arial" w:hAnsi="Arial"/>
          <w:sz w:val="19"/>
          <w:szCs w:val="19"/>
          <w:color w:val="auto"/>
        </w:rPr>
        <w:t>” has the meaning set forth in this Agreement prior to the Amendment Execution Date.</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Development Plan</w:t>
      </w:r>
      <w:r>
        <w:rPr>
          <w:rFonts w:ascii="Arial" w:cs="Arial" w:eastAsia="Arial" w:hAnsi="Arial"/>
          <w:sz w:val="19"/>
          <w:szCs w:val="19"/>
          <w:color w:val="auto"/>
        </w:rPr>
        <w:t>” shall have the meaning set forth in Section 5.2.</w:t>
      </w:r>
    </w:p>
    <w:p>
      <w:pPr>
        <w:spacing w:after="0" w:line="233" w:lineRule="exact"/>
        <w:rPr>
          <w:sz w:val="20"/>
          <w:szCs w:val="20"/>
          <w:color w:val="auto"/>
        </w:rPr>
      </w:pPr>
    </w:p>
    <w:p>
      <w:pPr>
        <w:ind w:right="240" w:firstLine="648"/>
        <w:spacing w:after="0" w:line="276" w:lineRule="auto"/>
        <w:rPr>
          <w:sz w:val="20"/>
          <w:szCs w:val="20"/>
          <w:color w:val="auto"/>
        </w:rPr>
      </w:pPr>
      <w:r>
        <w:rPr>
          <w:rFonts w:ascii="Arial" w:cs="Arial" w:eastAsia="Arial" w:hAnsi="Arial"/>
          <w:sz w:val="22"/>
          <w:szCs w:val="22"/>
          <w:color w:val="auto"/>
        </w:rPr>
        <w:t>1.43 “</w:t>
      </w:r>
      <w:r>
        <w:rPr>
          <w:rFonts w:ascii="Arial" w:cs="Arial" w:eastAsia="Arial" w:hAnsi="Arial"/>
          <w:sz w:val="22"/>
          <w:szCs w:val="22"/>
          <w:u w:val="single" w:color="auto"/>
          <w:color w:val="auto"/>
        </w:rPr>
        <w:t>Distributor</w:t>
      </w:r>
      <w:r>
        <w:rPr>
          <w:rFonts w:ascii="Arial" w:cs="Arial" w:eastAsia="Arial" w:hAnsi="Arial"/>
          <w:sz w:val="22"/>
          <w:szCs w:val="22"/>
          <w:color w:val="auto"/>
        </w:rPr>
        <w:t>’’ shall mean any Third Party contractually engaged by Aventis to distribute the Licensed Products in a country in the Territory (other than the United States).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Effective Date</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EMA</w:t>
      </w:r>
      <w:r>
        <w:rPr>
          <w:rFonts w:ascii="Arial" w:cs="Arial" w:eastAsia="Arial" w:hAnsi="Arial"/>
          <w:sz w:val="19"/>
          <w:szCs w:val="19"/>
          <w:color w:val="auto"/>
        </w:rPr>
        <w:t>” shall mean the European Medicines Agency or any successor agency thereto.</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Estimated Fully Burdened Batch Price</w:t>
      </w:r>
      <w:r>
        <w:rPr>
          <w:rFonts w:ascii="Arial" w:cs="Arial" w:eastAsia="Arial" w:hAnsi="Arial"/>
          <w:sz w:val="19"/>
          <w:szCs w:val="19"/>
          <w:color w:val="auto"/>
        </w:rPr>
        <w:t>” shall have the meaning set forth in Section 9.7(b).</w:t>
      </w:r>
    </w:p>
    <w:p>
      <w:pPr>
        <w:spacing w:after="0" w:line="233" w:lineRule="exact"/>
        <w:rPr>
          <w:sz w:val="20"/>
          <w:szCs w:val="20"/>
          <w:color w:val="auto"/>
        </w:rPr>
      </w:pPr>
    </w:p>
    <w:p>
      <w:pPr>
        <w:ind w:right="260" w:firstLine="648"/>
        <w:spacing w:after="0" w:line="301" w:lineRule="auto"/>
        <w:rPr>
          <w:sz w:val="20"/>
          <w:szCs w:val="20"/>
          <w:color w:val="auto"/>
        </w:rPr>
      </w:pPr>
      <w:r>
        <w:rPr>
          <w:rFonts w:ascii="Arial" w:cs="Arial" w:eastAsia="Arial" w:hAnsi="Arial"/>
          <w:sz w:val="21"/>
          <w:szCs w:val="21"/>
          <w:color w:val="auto"/>
        </w:rPr>
        <w:t>1.47 “</w:t>
      </w:r>
      <w:r>
        <w:rPr>
          <w:rFonts w:ascii="Arial" w:cs="Arial" w:eastAsia="Arial" w:hAnsi="Arial"/>
          <w:sz w:val="21"/>
          <w:szCs w:val="21"/>
          <w:u w:val="single" w:color="auto"/>
          <w:color w:val="auto"/>
        </w:rPr>
        <w:t>Excluded Ocular Field</w:t>
      </w:r>
      <w:r>
        <w:rPr>
          <w:rFonts w:ascii="Arial" w:cs="Arial" w:eastAsia="Arial" w:hAnsi="Arial"/>
          <w:sz w:val="21"/>
          <w:szCs w:val="21"/>
          <w:color w:val="auto"/>
        </w:rPr>
        <w:t>” shall mean all local administration of any VEGF Product to the eye, including by topical, intravitreal, periorbital, implants or other means, for the treatment or diagnosis of any ocular disease or disorder.</w:t>
      </w:r>
    </w:p>
    <w:p>
      <w:pPr>
        <w:spacing w:after="0" w:line="137" w:lineRule="exact"/>
        <w:rPr>
          <w:sz w:val="20"/>
          <w:szCs w:val="20"/>
          <w:color w:val="auto"/>
        </w:rPr>
      </w:pPr>
    </w:p>
    <w:p>
      <w:pPr>
        <w:ind w:right="400" w:firstLine="648"/>
        <w:spacing w:after="0" w:line="276" w:lineRule="auto"/>
        <w:rPr>
          <w:sz w:val="20"/>
          <w:szCs w:val="20"/>
          <w:color w:val="auto"/>
        </w:rPr>
      </w:pPr>
      <w:r>
        <w:rPr>
          <w:rFonts w:ascii="Arial" w:cs="Arial" w:eastAsia="Arial" w:hAnsi="Arial"/>
          <w:sz w:val="22"/>
          <w:szCs w:val="22"/>
          <w:color w:val="auto"/>
        </w:rPr>
        <w:t>1.48 “</w:t>
      </w:r>
      <w:r>
        <w:rPr>
          <w:rFonts w:ascii="Arial" w:cs="Arial" w:eastAsia="Arial" w:hAnsi="Arial"/>
          <w:sz w:val="22"/>
          <w:szCs w:val="22"/>
          <w:u w:val="single" w:color="auto"/>
          <w:color w:val="auto"/>
        </w:rPr>
        <w:t>Excluded Ocular VEGF Products</w:t>
      </w:r>
      <w:r>
        <w:rPr>
          <w:rFonts w:ascii="Arial" w:cs="Arial" w:eastAsia="Arial" w:hAnsi="Arial"/>
          <w:sz w:val="22"/>
          <w:szCs w:val="22"/>
          <w:color w:val="auto"/>
        </w:rPr>
        <w:t>” shall means any VEGF Product delivered via local administration to the eye, including by topical, intravitreal, periorbital, implants or other means.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631" w:right="279" w:bottom="1440" w:gutter="0" w:footer="0" w:header="0"/>
        </w:sectPr>
      </w:pPr>
    </w:p>
    <w:bookmarkStart w:id="84" w:name="page85"/>
    <w:bookmarkEnd w:id="84"/>
    <w:p>
      <w:pPr>
        <w:ind w:left="660"/>
        <w:spacing w:after="0"/>
        <w:tabs>
          <w:tab w:leader="none" w:pos="120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Excluded Rights</w:t>
      </w:r>
      <w:r>
        <w:rPr>
          <w:rFonts w:ascii="Arial" w:cs="Arial" w:eastAsia="Arial" w:hAnsi="Arial"/>
          <w:sz w:val="19"/>
          <w:szCs w:val="19"/>
          <w:color w:val="auto"/>
        </w:rPr>
        <w:t>” has the meaning set forth in Section 4.6.</w:t>
      </w:r>
    </w:p>
    <w:p>
      <w:pPr>
        <w:spacing w:after="0" w:line="233" w:lineRule="exact"/>
        <w:rPr>
          <w:sz w:val="20"/>
          <w:szCs w:val="20"/>
          <w:color w:val="auto"/>
        </w:rPr>
      </w:pPr>
    </w:p>
    <w:p>
      <w:pPr>
        <w:ind w:right="80" w:firstLine="648"/>
        <w:spacing w:after="0" w:line="276" w:lineRule="auto"/>
        <w:rPr>
          <w:sz w:val="20"/>
          <w:szCs w:val="20"/>
          <w:color w:val="auto"/>
        </w:rPr>
      </w:pPr>
      <w:r>
        <w:rPr>
          <w:rFonts w:ascii="Arial" w:cs="Arial" w:eastAsia="Arial" w:hAnsi="Arial"/>
          <w:sz w:val="22"/>
          <w:szCs w:val="22"/>
          <w:color w:val="auto"/>
        </w:rPr>
        <w:t>1.50 “</w:t>
      </w:r>
      <w:r>
        <w:rPr>
          <w:rFonts w:ascii="Arial" w:cs="Arial" w:eastAsia="Arial" w:hAnsi="Arial"/>
          <w:sz w:val="22"/>
          <w:szCs w:val="22"/>
          <w:u w:val="single" w:color="auto"/>
          <w:color w:val="auto"/>
        </w:rPr>
        <w:t>Executive Officers</w:t>
      </w:r>
      <w:r>
        <w:rPr>
          <w:rFonts w:ascii="Arial" w:cs="Arial" w:eastAsia="Arial" w:hAnsi="Arial"/>
          <w:sz w:val="22"/>
          <w:szCs w:val="22"/>
          <w:color w:val="auto"/>
        </w:rPr>
        <w:t>” shall mean the Chief Executive Officer of Regeneron and the Chief Executive Officer or Chief Operating Officer of Aventis.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Existing Licenses</w:t>
      </w:r>
      <w:r>
        <w:rPr>
          <w:rFonts w:ascii="Arial" w:cs="Arial" w:eastAsia="Arial" w:hAnsi="Arial"/>
          <w:sz w:val="19"/>
          <w:szCs w:val="19"/>
          <w:color w:val="auto"/>
        </w:rPr>
        <w:t xml:space="preserve">” shall mean the agreements listed in </w:t>
      </w:r>
      <w:r>
        <w:rPr>
          <w:rFonts w:ascii="Arial" w:cs="Arial" w:eastAsia="Arial" w:hAnsi="Arial"/>
          <w:sz w:val="19"/>
          <w:szCs w:val="19"/>
          <w:u w:val="single" w:color="auto"/>
          <w:color w:val="auto"/>
        </w:rPr>
        <w:t>Schedule 1</w:t>
      </w:r>
      <w:r>
        <w:rPr>
          <w:rFonts w:ascii="Arial" w:cs="Arial" w:eastAsia="Arial" w:hAnsi="Arial"/>
          <w:sz w:val="19"/>
          <w:szCs w:val="19"/>
          <w:color w:val="auto"/>
        </w:rPr>
        <w: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EYLEA Drug Substance</w:t>
      </w:r>
      <w:r>
        <w:rPr>
          <w:rFonts w:ascii="Arial" w:cs="Arial" w:eastAsia="Arial" w:hAnsi="Arial"/>
          <w:sz w:val="19"/>
          <w:szCs w:val="19"/>
          <w:color w:val="auto"/>
        </w:rPr>
        <w:t>” means the biological compound aflibercept.</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FDA</w:t>
      </w:r>
      <w:r>
        <w:rPr>
          <w:rFonts w:ascii="Arial" w:cs="Arial" w:eastAsia="Arial" w:hAnsi="Arial"/>
          <w:sz w:val="19"/>
          <w:szCs w:val="19"/>
          <w:color w:val="auto"/>
        </w:rPr>
        <w:t>” shall mean the United States Food and Drug Administration and any successor agency thereto.</w:t>
      </w:r>
    </w:p>
    <w:p>
      <w:pPr>
        <w:spacing w:after="0" w:line="233" w:lineRule="exact"/>
        <w:rPr>
          <w:sz w:val="20"/>
          <w:szCs w:val="20"/>
          <w:color w:val="auto"/>
        </w:rPr>
      </w:pPr>
    </w:p>
    <w:p>
      <w:pPr>
        <w:ind w:right="400" w:firstLine="648"/>
        <w:spacing w:after="0" w:line="260" w:lineRule="auto"/>
        <w:rPr>
          <w:sz w:val="20"/>
          <w:szCs w:val="20"/>
          <w:color w:val="auto"/>
        </w:rPr>
      </w:pPr>
      <w:r>
        <w:rPr>
          <w:rFonts w:ascii="Arial" w:cs="Arial" w:eastAsia="Arial" w:hAnsi="Arial"/>
          <w:sz w:val="22"/>
          <w:szCs w:val="22"/>
          <w:color w:val="auto"/>
        </w:rPr>
        <w:t>1.54 “</w:t>
      </w:r>
      <w:r>
        <w:rPr>
          <w:rFonts w:ascii="Arial" w:cs="Arial" w:eastAsia="Arial" w:hAnsi="Arial"/>
          <w:sz w:val="22"/>
          <w:szCs w:val="22"/>
          <w:u w:val="single" w:color="auto"/>
          <w:color w:val="auto"/>
        </w:rPr>
        <w:t>Field</w:t>
      </w:r>
      <w:r>
        <w:rPr>
          <w:rFonts w:ascii="Arial" w:cs="Arial" w:eastAsia="Arial" w:hAnsi="Arial"/>
          <w:sz w:val="22"/>
          <w:szCs w:val="22"/>
          <w:color w:val="auto"/>
        </w:rPr>
        <w:t>” means (a) oncology (other than for treatments using local administration to the eye, including by topical, intravitreal, periorbital, implants or other means) and (b) other indications (other than the Excluded Ocular Field) as may be mutually agreed by the Parties in writing.</w:t>
      </w:r>
    </w:p>
    <w:p>
      <w:pPr>
        <w:spacing w:after="0" w:line="177" w:lineRule="exact"/>
        <w:rPr>
          <w:sz w:val="20"/>
          <w:szCs w:val="20"/>
          <w:color w:val="auto"/>
        </w:rPr>
      </w:pPr>
    </w:p>
    <w:p>
      <w:pPr>
        <w:ind w:right="120" w:firstLine="648"/>
        <w:spacing w:after="0" w:line="276" w:lineRule="auto"/>
        <w:rPr>
          <w:sz w:val="20"/>
          <w:szCs w:val="20"/>
          <w:color w:val="auto"/>
        </w:rPr>
      </w:pPr>
      <w:r>
        <w:rPr>
          <w:rFonts w:ascii="Arial" w:cs="Arial" w:eastAsia="Arial" w:hAnsi="Arial"/>
          <w:sz w:val="22"/>
          <w:szCs w:val="22"/>
          <w:color w:val="auto"/>
        </w:rPr>
        <w:t>1.55 “</w:t>
      </w:r>
      <w:r>
        <w:rPr>
          <w:rFonts w:ascii="Arial" w:cs="Arial" w:eastAsia="Arial" w:hAnsi="Arial"/>
          <w:sz w:val="22"/>
          <w:szCs w:val="22"/>
          <w:u w:val="single" w:color="auto"/>
          <w:color w:val="auto"/>
        </w:rPr>
        <w:t>Finished Licensed Product</w:t>
      </w:r>
      <w:r>
        <w:rPr>
          <w:rFonts w:ascii="Arial" w:cs="Arial" w:eastAsia="Arial" w:hAnsi="Arial"/>
          <w:sz w:val="22"/>
          <w:szCs w:val="22"/>
          <w:color w:val="auto"/>
        </w:rPr>
        <w:t>” shall mean Licensed Product in its finished, labeled and packaged form, ready for sale to the market.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Firm Order</w:t>
      </w:r>
      <w:r>
        <w:rPr>
          <w:rFonts w:ascii="Arial" w:cs="Arial" w:eastAsia="Arial" w:hAnsi="Arial"/>
          <w:sz w:val="19"/>
          <w:szCs w:val="19"/>
          <w:color w:val="auto"/>
        </w:rPr>
        <w:t>” shall have the meaning set forth in the Supply Agreement.</w:t>
      </w:r>
    </w:p>
    <w:p>
      <w:pPr>
        <w:spacing w:after="0" w:line="233" w:lineRule="exact"/>
        <w:rPr>
          <w:sz w:val="20"/>
          <w:szCs w:val="20"/>
          <w:color w:val="auto"/>
        </w:rPr>
      </w:pPr>
    </w:p>
    <w:p>
      <w:pPr>
        <w:ind w:firstLine="648"/>
        <w:spacing w:after="0" w:line="307" w:lineRule="auto"/>
        <w:rPr>
          <w:sz w:val="20"/>
          <w:szCs w:val="20"/>
          <w:color w:val="auto"/>
        </w:rPr>
      </w:pPr>
      <w:r>
        <w:rPr>
          <w:rFonts w:ascii="Arial" w:cs="Arial" w:eastAsia="Arial" w:hAnsi="Arial"/>
          <w:sz w:val="19"/>
          <w:szCs w:val="19"/>
          <w:color w:val="auto"/>
        </w:rPr>
        <w:t>1.57 “</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shall mean the first sale of any Licensed Product, following receipt of Marketing Approval, by a Party or one of its Affiliates, or its or their sublicensees or Distributors to a Third Party in the relevant country in the Territory, as the case may be, on arm’s length commercial terms. Sales for test marketing, Clinical Trial or Non-Approval Trial purposes or compassionate or similar use shall not be considered to constitute a First Commercial Sale.</w:t>
      </w:r>
    </w:p>
    <w:p>
      <w:pPr>
        <w:spacing w:after="0" w:line="138"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Force Majeure</w:t>
      </w:r>
      <w:r>
        <w:rPr>
          <w:rFonts w:ascii="Arial" w:cs="Arial" w:eastAsia="Arial" w:hAnsi="Arial"/>
          <w:sz w:val="19"/>
          <w:szCs w:val="19"/>
          <w:color w:val="auto"/>
        </w:rPr>
        <w:t>” shall have the meaning set forth in ARTICLE 18.</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1.59 “</w:t>
      </w:r>
      <w:r>
        <w:rPr>
          <w:rFonts w:ascii="Arial" w:cs="Arial" w:eastAsia="Arial" w:hAnsi="Arial"/>
          <w:sz w:val="22"/>
          <w:szCs w:val="22"/>
          <w:u w:val="single" w:color="auto"/>
          <w:color w:val="auto"/>
        </w:rPr>
        <w:t>Formulated Bulk Licensed Product</w:t>
      </w:r>
      <w:r>
        <w:rPr>
          <w:rFonts w:ascii="Arial" w:cs="Arial" w:eastAsia="Arial" w:hAnsi="Arial"/>
          <w:sz w:val="22"/>
          <w:szCs w:val="22"/>
          <w:color w:val="auto"/>
        </w:rPr>
        <w:t>” shall mean the Licensed Products formulated into solution, ready for storage or shipment to a manufacturing facility, to allow processing into the final dosage form.</w:t>
      </w:r>
    </w:p>
    <w:p>
      <w:pPr>
        <w:spacing w:after="0" w:line="161" w:lineRule="exact"/>
        <w:rPr>
          <w:sz w:val="20"/>
          <w:szCs w:val="20"/>
          <w:color w:val="auto"/>
        </w:rPr>
      </w:pPr>
    </w:p>
    <w:p>
      <w:pPr>
        <w:ind w:right="240" w:firstLine="648"/>
        <w:spacing w:after="0" w:line="254" w:lineRule="auto"/>
        <w:rPr>
          <w:sz w:val="20"/>
          <w:szCs w:val="20"/>
          <w:color w:val="auto"/>
        </w:rPr>
      </w:pPr>
      <w:r>
        <w:rPr>
          <w:rFonts w:ascii="Arial" w:cs="Arial" w:eastAsia="Arial" w:hAnsi="Arial"/>
          <w:sz w:val="22"/>
          <w:szCs w:val="22"/>
          <w:color w:val="auto"/>
        </w:rPr>
        <w:t>1.60 “</w:t>
      </w:r>
      <w:r>
        <w:rPr>
          <w:rFonts w:ascii="Arial" w:cs="Arial" w:eastAsia="Arial" w:hAnsi="Arial"/>
          <w:sz w:val="22"/>
          <w:szCs w:val="22"/>
          <w:u w:val="single" w:color="auto"/>
          <w:color w:val="auto"/>
        </w:rPr>
        <w:t>FTE</w:t>
      </w:r>
      <w:r>
        <w:rPr>
          <w:rFonts w:ascii="Arial" w:cs="Arial" w:eastAsia="Arial" w:hAnsi="Arial"/>
          <w:sz w:val="22"/>
          <w:szCs w:val="22"/>
          <w:color w:val="auto"/>
        </w:rPr>
        <w:t>” shall mean a full time equivalent employee (i.e. one fully-committed or multiple partially-committed employees aggregating to one full-time employee) employed by a Party and assigned to perform specified work, with such commitment of time and effort to constitute one employee performing such work on a full-time basis, which for purposes hereof shall be [****] hours per year.</w:t>
      </w:r>
    </w:p>
    <w:p>
      <w:pPr>
        <w:spacing w:after="0" w:line="185" w:lineRule="exact"/>
        <w:rPr>
          <w:sz w:val="20"/>
          <w:szCs w:val="20"/>
          <w:color w:val="auto"/>
        </w:rPr>
      </w:pPr>
    </w:p>
    <w:p>
      <w:pPr>
        <w:ind w:right="600" w:firstLine="648"/>
        <w:spacing w:after="0" w:line="276" w:lineRule="auto"/>
        <w:rPr>
          <w:sz w:val="20"/>
          <w:szCs w:val="20"/>
          <w:color w:val="auto"/>
        </w:rPr>
      </w:pPr>
      <w:r>
        <w:rPr>
          <w:rFonts w:ascii="Arial" w:cs="Arial" w:eastAsia="Arial" w:hAnsi="Arial"/>
          <w:sz w:val="22"/>
          <w:szCs w:val="22"/>
          <w:color w:val="auto"/>
        </w:rPr>
        <w:t>1.61 “</w:t>
      </w:r>
      <w:r>
        <w:rPr>
          <w:rFonts w:ascii="Arial" w:cs="Arial" w:eastAsia="Arial" w:hAnsi="Arial"/>
          <w:sz w:val="22"/>
          <w:szCs w:val="22"/>
          <w:u w:val="single" w:color="auto"/>
          <w:color w:val="auto"/>
        </w:rPr>
        <w:t>Funded Assets MOU</w:t>
      </w:r>
      <w:r>
        <w:rPr>
          <w:rFonts w:ascii="Arial" w:cs="Arial" w:eastAsia="Arial" w:hAnsi="Arial"/>
          <w:sz w:val="22"/>
          <w:szCs w:val="22"/>
          <w:color w:val="auto"/>
        </w:rPr>
        <w:t>” shall mean that certain memorandum of understanding and agreement by and between Regeneron and sanofi-aventis U.S., LLC, dated May 7, 2008.</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shall mean generally accepted accounting principles in the United States.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40"/>
          </w:cols>
          <w:pgMar w:left="240" w:top="631" w:right="319" w:bottom="1440" w:gutter="0" w:footer="0" w:header="0"/>
        </w:sectPr>
      </w:pPr>
    </w:p>
    <w:bookmarkStart w:id="85" w:name="page86"/>
    <w:bookmarkEnd w:id="85"/>
    <w:p>
      <w:pPr>
        <w:ind w:right="660" w:firstLine="648"/>
        <w:spacing w:after="0" w:line="358" w:lineRule="auto"/>
        <w:rPr>
          <w:sz w:val="20"/>
          <w:szCs w:val="20"/>
          <w:color w:val="auto"/>
        </w:rPr>
      </w:pPr>
      <w:r>
        <w:rPr>
          <w:rFonts w:ascii="Arial" w:cs="Arial" w:eastAsia="Arial" w:hAnsi="Arial"/>
          <w:sz w:val="19"/>
          <w:szCs w:val="19"/>
          <w:color w:val="auto"/>
        </w:rPr>
        <w:t>1.63 “</w:t>
      </w:r>
      <w:r>
        <w:rPr>
          <w:rFonts w:ascii="Arial" w:cs="Arial" w:eastAsia="Arial" w:hAnsi="Arial"/>
          <w:sz w:val="19"/>
          <w:szCs w:val="19"/>
          <w:u w:val="single" w:color="auto"/>
          <w:color w:val="auto"/>
        </w:rPr>
        <w:t>Genentech Settlement Agreement</w:t>
      </w:r>
      <w:r>
        <w:rPr>
          <w:rFonts w:ascii="Arial" w:cs="Arial" w:eastAsia="Arial" w:hAnsi="Arial"/>
          <w:sz w:val="19"/>
          <w:szCs w:val="19"/>
          <w:color w:val="auto"/>
        </w:rPr>
        <w:t>” shall mean that certain Non-Exclusive License and Settlement Agreement between Genentech, Inc., Regeneron, Sanofi U.S. Services, Inc., and sanofi-aventis U.S. LLC, dated as of May 17, 2013.</w:t>
      </w:r>
    </w:p>
    <w:p>
      <w:pPr>
        <w:spacing w:after="0" w:line="91" w:lineRule="exact"/>
        <w:rPr>
          <w:sz w:val="20"/>
          <w:szCs w:val="20"/>
          <w:color w:val="auto"/>
        </w:rPr>
      </w:pPr>
    </w:p>
    <w:p>
      <w:pPr>
        <w:ind w:right="240" w:firstLine="648"/>
        <w:spacing w:after="0" w:line="254" w:lineRule="auto"/>
        <w:rPr>
          <w:sz w:val="20"/>
          <w:szCs w:val="20"/>
          <w:color w:val="auto"/>
        </w:rPr>
      </w:pPr>
      <w:r>
        <w:rPr>
          <w:rFonts w:ascii="Arial" w:cs="Arial" w:eastAsia="Arial" w:hAnsi="Arial"/>
          <w:sz w:val="22"/>
          <w:szCs w:val="22"/>
          <w:color w:val="auto"/>
        </w:rPr>
        <w:t>1.64 “</w:t>
      </w:r>
      <w:r>
        <w:rPr>
          <w:rFonts w:ascii="Arial" w:cs="Arial" w:eastAsia="Arial" w:hAnsi="Arial"/>
          <w:sz w:val="22"/>
          <w:szCs w:val="22"/>
          <w:u w:val="single" w:color="auto"/>
          <w:color w:val="auto"/>
        </w:rPr>
        <w:t>Genentech Settlement Letter</w:t>
      </w:r>
      <w:r>
        <w:rPr>
          <w:rFonts w:ascii="Arial" w:cs="Arial" w:eastAsia="Arial" w:hAnsi="Arial"/>
          <w:sz w:val="22"/>
          <w:szCs w:val="22"/>
          <w:color w:val="auto"/>
        </w:rPr>
        <w:t>” shall mean that certain letter agreement by and between Regeneron, Sanofi U.S. Services, Inc. and Sanofi-Aventis U.S. LLC, dated May 17, 2013, pursuant to which Regeneron, Sanofi U.S. Services, Inc. and Sanofi-Aventis U.S. LLC allocated responsibility for certain amounts payable to Genentech, Inc. under the Genentech Settlement Agreement.</w:t>
      </w:r>
    </w:p>
    <w:p>
      <w:pPr>
        <w:spacing w:after="0" w:line="185" w:lineRule="exact"/>
        <w:rPr>
          <w:sz w:val="20"/>
          <w:szCs w:val="20"/>
          <w:color w:val="auto"/>
        </w:rPr>
      </w:pPr>
    </w:p>
    <w:p>
      <w:pPr>
        <w:ind w:right="220" w:firstLine="648"/>
        <w:spacing w:after="0" w:line="278" w:lineRule="auto"/>
        <w:rPr>
          <w:sz w:val="20"/>
          <w:szCs w:val="20"/>
          <w:color w:val="auto"/>
        </w:rPr>
      </w:pPr>
      <w:r>
        <w:rPr>
          <w:rFonts w:ascii="Arial" w:cs="Arial" w:eastAsia="Arial" w:hAnsi="Arial"/>
          <w:sz w:val="21"/>
          <w:szCs w:val="21"/>
          <w:color w:val="auto"/>
        </w:rPr>
        <w:t>1.65 “</w:t>
      </w:r>
      <w:r>
        <w:rPr>
          <w:rFonts w:ascii="Arial" w:cs="Arial" w:eastAsia="Arial" w:hAnsi="Arial"/>
          <w:sz w:val="21"/>
          <w:szCs w:val="21"/>
          <w:u w:val="single" w:color="auto"/>
          <w:color w:val="auto"/>
        </w:rPr>
        <w:t>Good Practices</w:t>
      </w:r>
      <w:r>
        <w:rPr>
          <w:rFonts w:ascii="Arial" w:cs="Arial" w:eastAsia="Arial" w:hAnsi="Arial"/>
          <w:sz w:val="21"/>
          <w:szCs w:val="21"/>
          <w:color w:val="auto"/>
        </w:rPr>
        <w:t>” shall mean compliance with the applicable standards contained in then-current “Good Laboratory Practices,” “Good Manufacturing Practices” and/or “Good Clinical Practices,” as promulgated by the FDA and all analogous guidelines promulgated by the EMA, ICH or other country regulatory agencies, as applicable.</w:t>
      </w:r>
    </w:p>
    <w:p>
      <w:pPr>
        <w:spacing w:after="0" w:line="160" w:lineRule="exact"/>
        <w:rPr>
          <w:sz w:val="20"/>
          <w:szCs w:val="20"/>
          <w:color w:val="auto"/>
        </w:rPr>
      </w:pPr>
    </w:p>
    <w:p>
      <w:pPr>
        <w:ind w:right="260" w:firstLine="648"/>
        <w:spacing w:after="0" w:line="278" w:lineRule="auto"/>
        <w:rPr>
          <w:sz w:val="20"/>
          <w:szCs w:val="20"/>
          <w:color w:val="auto"/>
        </w:rPr>
      </w:pPr>
      <w:r>
        <w:rPr>
          <w:rFonts w:ascii="Arial" w:cs="Arial" w:eastAsia="Arial" w:hAnsi="Arial"/>
          <w:sz w:val="21"/>
          <w:szCs w:val="21"/>
          <w:color w:val="auto"/>
        </w:rPr>
        <w:t>1.66 “</w:t>
      </w:r>
      <w:r>
        <w:rPr>
          <w:rFonts w:ascii="Arial" w:cs="Arial" w:eastAsia="Arial" w:hAnsi="Arial"/>
          <w:sz w:val="21"/>
          <w:szCs w:val="21"/>
          <w:u w:val="single" w:color="auto"/>
          <w:color w:val="auto"/>
        </w:rPr>
        <w:t>Governmental Authority</w:t>
      </w:r>
      <w:r>
        <w:rPr>
          <w:rFonts w:ascii="Arial" w:cs="Arial" w:eastAsia="Arial" w:hAnsi="Arial"/>
          <w:sz w:val="21"/>
          <w:szCs w:val="21"/>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160" w:lineRule="exact"/>
        <w:rPr>
          <w:sz w:val="20"/>
          <w:szCs w:val="20"/>
          <w:color w:val="auto"/>
        </w:rPr>
      </w:pPr>
    </w:p>
    <w:p>
      <w:pPr>
        <w:ind w:right="640" w:firstLine="648"/>
        <w:spacing w:after="0" w:line="276" w:lineRule="auto"/>
        <w:rPr>
          <w:sz w:val="20"/>
          <w:szCs w:val="20"/>
          <w:color w:val="auto"/>
        </w:rPr>
      </w:pPr>
      <w:r>
        <w:rPr>
          <w:rFonts w:ascii="Arial" w:cs="Arial" w:eastAsia="Arial" w:hAnsi="Arial"/>
          <w:sz w:val="22"/>
          <w:szCs w:val="22"/>
          <w:color w:val="auto"/>
        </w:rPr>
        <w:t>1.67 “</w:t>
      </w:r>
      <w:r>
        <w:rPr>
          <w:rFonts w:ascii="Arial" w:cs="Arial" w:eastAsia="Arial" w:hAnsi="Arial"/>
          <w:sz w:val="22"/>
          <w:szCs w:val="22"/>
          <w:u w:val="single" w:color="auto"/>
          <w:color w:val="auto"/>
        </w:rPr>
        <w:t>IAS/IFRS</w:t>
      </w:r>
      <w:r>
        <w:rPr>
          <w:rFonts w:ascii="Arial" w:cs="Arial" w:eastAsia="Arial" w:hAnsi="Arial"/>
          <w:sz w:val="22"/>
          <w:szCs w:val="22"/>
          <w:color w:val="auto"/>
        </w:rPr>
        <w:t>” shall mean International Accounting Standards/International Financial Reporting Standards of the International Accounting Standards Board.</w:t>
      </w:r>
    </w:p>
    <w:p>
      <w:pPr>
        <w:spacing w:after="0" w:line="161" w:lineRule="exact"/>
        <w:rPr>
          <w:sz w:val="20"/>
          <w:szCs w:val="20"/>
          <w:color w:val="auto"/>
        </w:rPr>
      </w:pPr>
    </w:p>
    <w:p>
      <w:pPr>
        <w:ind w:right="480" w:firstLine="648"/>
        <w:spacing w:after="0" w:line="276" w:lineRule="auto"/>
        <w:rPr>
          <w:sz w:val="20"/>
          <w:szCs w:val="20"/>
          <w:color w:val="auto"/>
        </w:rPr>
      </w:pPr>
      <w:r>
        <w:rPr>
          <w:rFonts w:ascii="Arial" w:cs="Arial" w:eastAsia="Arial" w:hAnsi="Arial"/>
          <w:sz w:val="22"/>
          <w:szCs w:val="22"/>
          <w:color w:val="auto"/>
        </w:rPr>
        <w:t>1.68 “</w:t>
      </w:r>
      <w:r>
        <w:rPr>
          <w:rFonts w:ascii="Arial" w:cs="Arial" w:eastAsia="Arial" w:hAnsi="Arial"/>
          <w:sz w:val="22"/>
          <w:szCs w:val="22"/>
          <w:u w:val="single" w:color="auto"/>
          <w:color w:val="auto"/>
        </w:rPr>
        <w:t>ICH</w:t>
      </w:r>
      <w:r>
        <w:rPr>
          <w:rFonts w:ascii="Arial" w:cs="Arial" w:eastAsia="Arial" w:hAnsi="Arial"/>
          <w:sz w:val="22"/>
          <w:szCs w:val="22"/>
          <w:color w:val="auto"/>
        </w:rPr>
        <w:t>” shall mean the International Conference on Harmonization of Technical Requirements for Registration of Pharmaceuticals for Human Use.</w:t>
      </w:r>
    </w:p>
    <w:p>
      <w:pPr>
        <w:spacing w:after="0" w:line="161" w:lineRule="exact"/>
        <w:rPr>
          <w:sz w:val="20"/>
          <w:szCs w:val="20"/>
          <w:color w:val="auto"/>
        </w:rPr>
      </w:pPr>
    </w:p>
    <w:p>
      <w:pPr>
        <w:ind w:right="60" w:firstLine="648"/>
        <w:spacing w:after="0" w:line="278"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u w:val="single" w:color="auto"/>
          <w:color w:val="auto"/>
        </w:rPr>
        <w:t>IND</w:t>
      </w:r>
      <w:r>
        <w:rPr>
          <w:rFonts w:ascii="Arial" w:cs="Arial" w:eastAsia="Arial" w:hAnsi="Arial"/>
          <w:sz w:val="21"/>
          <w:szCs w:val="21"/>
          <w:color w:val="auto"/>
        </w:rPr>
        <w:t>” shall mean, with respect to each Licensed Product, an Investigational New Drug Application filed with the FDA with respect to such Licensed Product, as described in the FDA regulations, including all amendments and supplements to the application, and any equivalent filing with any Regulatory Authority outside of the United States.</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have the meaning set forth in Section 17.2(a).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shall have the meaning set forth in Section 17.2(a).</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Infringement</w:t>
      </w:r>
      <w:r>
        <w:rPr>
          <w:rFonts w:ascii="Arial" w:cs="Arial" w:eastAsia="Arial" w:hAnsi="Arial"/>
          <w:sz w:val="19"/>
          <w:szCs w:val="19"/>
          <w:color w:val="auto"/>
        </w:rPr>
        <w:t>” shall have the meaning set forth in Section 13.1(a).</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1.73 “</w:t>
      </w:r>
      <w:r>
        <w:rPr>
          <w:rFonts w:ascii="Arial" w:cs="Arial" w:eastAsia="Arial" w:hAnsi="Arial"/>
          <w:sz w:val="22"/>
          <w:szCs w:val="22"/>
          <w:u w:val="single" w:color="auto"/>
          <w:color w:val="auto"/>
        </w:rPr>
        <w:t>Investor Agreement</w:t>
      </w:r>
      <w:r>
        <w:rPr>
          <w:rFonts w:ascii="Arial" w:cs="Arial" w:eastAsia="Arial" w:hAnsi="Arial"/>
          <w:sz w:val="22"/>
          <w:szCs w:val="22"/>
          <w:color w:val="auto"/>
        </w:rPr>
        <w:t>” has the meaning set forth in Section 19.6. The Investor Agreement shall constitute an Ancillary Agreement.</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Intellectual Property</w:t>
      </w:r>
      <w:r>
        <w:rPr>
          <w:rFonts w:ascii="Arial" w:cs="Arial" w:eastAsia="Arial" w:hAnsi="Arial"/>
          <w:sz w:val="19"/>
          <w:szCs w:val="19"/>
          <w:color w:val="auto"/>
        </w:rPr>
        <w:t>” shall mean Joint Patent Rights and Joint Inventions.</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Inventions</w:t>
      </w:r>
      <w:r>
        <w:rPr>
          <w:rFonts w:ascii="Arial" w:cs="Arial" w:eastAsia="Arial" w:hAnsi="Arial"/>
          <w:sz w:val="19"/>
          <w:szCs w:val="19"/>
          <w:color w:val="auto"/>
        </w:rPr>
        <w:t>” shall have the meaning set forth in Section 12.1(b).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Patent Rights</w:t>
      </w:r>
      <w:r>
        <w:rPr>
          <w:rFonts w:ascii="Arial" w:cs="Arial" w:eastAsia="Arial" w:hAnsi="Arial"/>
          <w:sz w:val="19"/>
          <w:szCs w:val="19"/>
          <w:color w:val="auto"/>
        </w:rPr>
        <w:t>” shall mean Patents that cover a Joint Invention.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86" w:name="page87"/>
    <w:bookmarkEnd w:id="86"/>
    <w:p>
      <w:pPr>
        <w:ind w:left="660"/>
        <w:spacing w:after="0"/>
        <w:tabs>
          <w:tab w:leader="none" w:pos="1200" w:val="left"/>
        </w:tabs>
        <w:rPr>
          <w:sz w:val="20"/>
          <w:szCs w:val="20"/>
          <w:color w:val="auto"/>
        </w:rPr>
      </w:pPr>
      <w:r>
        <w:rPr>
          <w:rFonts w:ascii="Arial" w:cs="Arial" w:eastAsia="Arial" w:hAnsi="Arial"/>
          <w:sz w:val="22"/>
          <w:szCs w:val="22"/>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Joint ZALTRAP Committee</w:t>
      </w:r>
      <w:r>
        <w:rPr>
          <w:rFonts w:ascii="Arial" w:cs="Arial" w:eastAsia="Arial" w:hAnsi="Arial"/>
          <w:sz w:val="19"/>
          <w:szCs w:val="19"/>
          <w:color w:val="auto"/>
        </w:rPr>
        <w:t>” or “</w:t>
      </w:r>
      <w:r>
        <w:rPr>
          <w:rFonts w:ascii="Arial" w:cs="Arial" w:eastAsia="Arial" w:hAnsi="Arial"/>
          <w:sz w:val="19"/>
          <w:szCs w:val="19"/>
          <w:u w:val="single" w:color="auto"/>
          <w:color w:val="auto"/>
        </w:rPr>
        <w:t>JZC</w:t>
      </w:r>
      <w:r>
        <w:rPr>
          <w:rFonts w:ascii="Arial" w:cs="Arial" w:eastAsia="Arial" w:hAnsi="Arial"/>
          <w:sz w:val="19"/>
          <w:szCs w:val="19"/>
          <w:color w:val="auto"/>
        </w:rPr>
        <w:t>” shall have the meaning set forth in Section 3.1.</w:t>
      </w:r>
    </w:p>
    <w:p>
      <w:pPr>
        <w:spacing w:after="0" w:line="233" w:lineRule="exact"/>
        <w:rPr>
          <w:sz w:val="20"/>
          <w:szCs w:val="20"/>
          <w:color w:val="auto"/>
        </w:rPr>
      </w:pPr>
    </w:p>
    <w:p>
      <w:pPr>
        <w:jc w:val="both"/>
        <w:ind w:right="400" w:firstLine="648"/>
        <w:spacing w:after="0" w:line="260" w:lineRule="auto"/>
        <w:rPr>
          <w:sz w:val="20"/>
          <w:szCs w:val="20"/>
          <w:color w:val="auto"/>
        </w:rPr>
      </w:pPr>
      <w:r>
        <w:rPr>
          <w:rFonts w:ascii="Arial" w:cs="Arial" w:eastAsia="Arial" w:hAnsi="Arial"/>
          <w:sz w:val="22"/>
          <w:szCs w:val="22"/>
          <w:color w:val="auto"/>
        </w:rPr>
        <w:t>1.78 “</w:t>
      </w:r>
      <w:r>
        <w:rPr>
          <w:rFonts w:ascii="Arial" w:cs="Arial" w:eastAsia="Arial" w:hAnsi="Arial"/>
          <w:sz w:val="22"/>
          <w:szCs w:val="22"/>
          <w:u w:val="single" w:color="auto"/>
          <w:color w:val="auto"/>
        </w:rPr>
        <w:t>Know-How</w:t>
      </w:r>
      <w:r>
        <w:rPr>
          <w:rFonts w:ascii="Arial" w:cs="Arial" w:eastAsia="Arial" w:hAnsi="Arial"/>
          <w:sz w:val="22"/>
          <w:szCs w:val="22"/>
          <w:color w:val="auto"/>
        </w:rPr>
        <w:t>” shall mean any and all proprietary technical or scientific information, know-how, data, test results, knowledge, techniques, discoveries, inventions, specifications, designs, trade secrets, regulatory filings, and other information (whether or not patentable or otherwise protected by trade secret Law).</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1.79 “</w:t>
      </w:r>
      <w:r>
        <w:rPr>
          <w:rFonts w:ascii="Arial" w:cs="Arial" w:eastAsia="Arial" w:hAnsi="Arial"/>
          <w:sz w:val="22"/>
          <w:szCs w:val="22"/>
          <w:u w:val="single" w:color="auto"/>
          <w:color w:val="auto"/>
        </w:rPr>
        <w:t>Law</w:t>
      </w:r>
      <w:r>
        <w:rPr>
          <w:rFonts w:ascii="Arial" w:cs="Arial" w:eastAsia="Arial" w:hAnsi="Arial"/>
          <w:sz w:val="22"/>
          <w:szCs w:val="22"/>
          <w:color w:val="auto"/>
        </w:rPr>
        <w:t>” or “</w:t>
      </w:r>
      <w:r>
        <w:rPr>
          <w:rFonts w:ascii="Arial" w:cs="Arial" w:eastAsia="Arial" w:hAnsi="Arial"/>
          <w:sz w:val="22"/>
          <w:szCs w:val="22"/>
          <w:u w:val="single" w:color="auto"/>
          <w:color w:val="auto"/>
        </w:rPr>
        <w:t>Laws</w:t>
      </w:r>
      <w:r>
        <w:rPr>
          <w:rFonts w:ascii="Arial" w:cs="Arial" w:eastAsia="Arial" w:hAnsi="Arial"/>
          <w:sz w:val="22"/>
          <w:szCs w:val="22"/>
          <w:color w:val="auto"/>
        </w:rPr>
        <w:t>” shall mean all laws, statutes, rules, regulations, orders, judgments, injunctions and/or ordinances of any Governmental Authority in the Territory.</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Lead Litigation Party</w:t>
      </w:r>
      <w:r>
        <w:rPr>
          <w:rFonts w:ascii="Arial" w:cs="Arial" w:eastAsia="Arial" w:hAnsi="Arial"/>
          <w:sz w:val="19"/>
          <w:szCs w:val="19"/>
          <w:color w:val="auto"/>
        </w:rPr>
        <w:t>” shall have the meaning set forth in Section 13.1(b).</w:t>
      </w:r>
    </w:p>
    <w:p>
      <w:pPr>
        <w:spacing w:after="0" w:line="233" w:lineRule="exact"/>
        <w:rPr>
          <w:sz w:val="20"/>
          <w:szCs w:val="20"/>
          <w:color w:val="auto"/>
        </w:rPr>
      </w:pPr>
    </w:p>
    <w:p>
      <w:pPr>
        <w:ind w:right="120" w:firstLine="648"/>
        <w:spacing w:after="0" w:line="261" w:lineRule="auto"/>
        <w:rPr>
          <w:sz w:val="20"/>
          <w:szCs w:val="20"/>
          <w:color w:val="auto"/>
        </w:rPr>
      </w:pPr>
      <w:r>
        <w:rPr>
          <w:rFonts w:ascii="Arial" w:cs="Arial" w:eastAsia="Arial" w:hAnsi="Arial"/>
          <w:sz w:val="21"/>
          <w:szCs w:val="21"/>
          <w:color w:val="auto"/>
        </w:rPr>
        <w:t>1.81 “</w:t>
      </w:r>
      <w:r>
        <w:rPr>
          <w:rFonts w:ascii="Arial" w:cs="Arial" w:eastAsia="Arial" w:hAnsi="Arial"/>
          <w:sz w:val="21"/>
          <w:szCs w:val="21"/>
          <w:u w:val="single" w:color="auto"/>
          <w:color w:val="auto"/>
        </w:rPr>
        <w:t>Legal Dispute</w:t>
      </w:r>
      <w:r>
        <w:rPr>
          <w:rFonts w:ascii="Arial" w:cs="Arial" w:eastAsia="Arial" w:hAnsi="Arial"/>
          <w:sz w:val="21"/>
          <w:szCs w:val="21"/>
          <w:color w:val="auto"/>
        </w:rPr>
        <w:t>” shall mean any dispute, controversy or claim related to compliance with this Agreement or the Supply Agreement or the validity, breach, termination or interpretation of this Agreement or the Supply Agreement, including any dispute with respect to whether (a) the Development Plan or a proposed amendment thereto does not constitute Commercially Reasonable Efforts or otherwise satisfy Aventis’ obligations under this Agreement with respect to a Licensed Product; (b) Aventis has used Commercially Reasonable Efforts to Develop, and obtain and maintain Approvals for, the Licensed Products in the Field in the Territory and carry out the Development activities assigned to it in the Development Plan pursuant to Section 5.1; or (c) Aventis has used Commercially Reasonable Efforts to Commercialize the Licensed Products throughout the Territory pursuant to Section 6.1.</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Licensed Compound</w:t>
      </w:r>
      <w:r>
        <w:rPr>
          <w:rFonts w:ascii="Arial" w:cs="Arial" w:eastAsia="Arial" w:hAnsi="Arial"/>
          <w:sz w:val="19"/>
          <w:szCs w:val="19"/>
          <w:color w:val="auto"/>
        </w:rPr>
        <w:t>” means the biological compound ziv-aflibercept.</w:t>
      </w:r>
    </w:p>
    <w:p>
      <w:pPr>
        <w:spacing w:after="0" w:line="233" w:lineRule="exact"/>
        <w:rPr>
          <w:sz w:val="20"/>
          <w:szCs w:val="20"/>
          <w:color w:val="auto"/>
        </w:rPr>
      </w:pPr>
    </w:p>
    <w:p>
      <w:pPr>
        <w:ind w:right="320" w:firstLine="648"/>
        <w:spacing w:after="0" w:line="276" w:lineRule="auto"/>
        <w:rPr>
          <w:sz w:val="20"/>
          <w:szCs w:val="20"/>
          <w:color w:val="auto"/>
        </w:rPr>
      </w:pPr>
      <w:r>
        <w:rPr>
          <w:rFonts w:ascii="Arial" w:cs="Arial" w:eastAsia="Arial" w:hAnsi="Arial"/>
          <w:sz w:val="22"/>
          <w:szCs w:val="22"/>
          <w:color w:val="auto"/>
        </w:rPr>
        <w:t>1.83 “</w:t>
      </w:r>
      <w:r>
        <w:rPr>
          <w:rFonts w:ascii="Arial" w:cs="Arial" w:eastAsia="Arial" w:hAnsi="Arial"/>
          <w:sz w:val="22"/>
          <w:szCs w:val="22"/>
          <w:u w:val="single" w:color="auto"/>
          <w:color w:val="auto"/>
        </w:rPr>
        <w:t>Licensed Product</w:t>
      </w:r>
      <w:r>
        <w:rPr>
          <w:rFonts w:ascii="Arial" w:cs="Arial" w:eastAsia="Arial" w:hAnsi="Arial"/>
          <w:sz w:val="22"/>
          <w:szCs w:val="22"/>
          <w:color w:val="auto"/>
        </w:rPr>
        <w:t>” means any product that is comprised of or contains the Licensed Compound as the sole active ingredient, but excluding any Excluded Ocular VEGF Products.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Litigation Party</w:t>
      </w:r>
      <w:r>
        <w:rPr>
          <w:rFonts w:ascii="Arial" w:cs="Arial" w:eastAsia="Arial" w:hAnsi="Arial"/>
          <w:sz w:val="19"/>
          <w:szCs w:val="19"/>
          <w:color w:val="auto"/>
        </w:rPr>
        <w:t>” shall have the meaning set forth in Section 13.1(b).</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1"/>
          <w:szCs w:val="21"/>
          <w:color w:val="auto"/>
        </w:rPr>
        <w:t xml:space="preserve">“[****] </w:t>
      </w:r>
      <w:r>
        <w:rPr>
          <w:rFonts w:ascii="Arial" w:cs="Arial" w:eastAsia="Arial" w:hAnsi="Arial"/>
          <w:sz w:val="21"/>
          <w:szCs w:val="21"/>
          <w:u w:val="single" w:color="auto"/>
          <w:color w:val="auto"/>
        </w:rPr>
        <w:t>Facility</w:t>
      </w:r>
      <w:r>
        <w:rPr>
          <w:rFonts w:ascii="Arial" w:cs="Arial" w:eastAsia="Arial" w:hAnsi="Arial"/>
          <w:sz w:val="21"/>
          <w:szCs w:val="21"/>
          <w:color w:val="auto"/>
        </w:rPr>
        <w:t>” shall mean the facility owned by [****] located in [****].</w:t>
      </w:r>
    </w:p>
    <w:p>
      <w:pPr>
        <w:spacing w:after="0" w:line="233" w:lineRule="exact"/>
        <w:rPr>
          <w:sz w:val="20"/>
          <w:szCs w:val="20"/>
          <w:color w:val="auto"/>
        </w:rPr>
      </w:pPr>
    </w:p>
    <w:p>
      <w:pPr>
        <w:ind w:right="320" w:firstLine="648"/>
        <w:spacing w:after="0" w:line="276" w:lineRule="auto"/>
        <w:rPr>
          <w:sz w:val="20"/>
          <w:szCs w:val="20"/>
          <w:color w:val="auto"/>
        </w:rPr>
      </w:pPr>
      <w:r>
        <w:rPr>
          <w:rFonts w:ascii="Arial" w:cs="Arial" w:eastAsia="Arial" w:hAnsi="Arial"/>
          <w:sz w:val="22"/>
          <w:szCs w:val="22"/>
          <w:color w:val="auto"/>
        </w:rPr>
        <w:t>1.86 “</w:t>
      </w:r>
      <w:r>
        <w:rPr>
          <w:rFonts w:ascii="Arial" w:cs="Arial" w:eastAsia="Arial" w:hAnsi="Arial"/>
          <w:sz w:val="22"/>
          <w:szCs w:val="22"/>
          <w:u w:val="single" w:color="auto"/>
          <w:color w:val="auto"/>
        </w:rPr>
        <w:t>Major Market Country</w:t>
      </w:r>
      <w:r>
        <w:rPr>
          <w:rFonts w:ascii="Arial" w:cs="Arial" w:eastAsia="Arial" w:hAnsi="Arial"/>
          <w:sz w:val="22"/>
          <w:szCs w:val="22"/>
          <w:color w:val="auto"/>
        </w:rPr>
        <w:t>” shall mean any of the Original Major Market Countries and any of the Additional Major Market Countries.</w:t>
      </w:r>
    </w:p>
    <w:p>
      <w:pPr>
        <w:spacing w:after="0" w:line="161"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1.87 “</w:t>
      </w:r>
      <w:r>
        <w:rPr>
          <w:rFonts w:ascii="Arial" w:cs="Arial" w:eastAsia="Arial" w:hAnsi="Arial"/>
          <w:sz w:val="22"/>
          <w:szCs w:val="22"/>
          <w:u w:val="single" w:color="auto"/>
          <w:color w:val="auto"/>
        </w:rPr>
        <w:t>Marketing Approval</w:t>
      </w:r>
      <w:r>
        <w:rPr>
          <w:rFonts w:ascii="Arial" w:cs="Arial" w:eastAsia="Arial" w:hAnsi="Arial"/>
          <w:sz w:val="22"/>
          <w:szCs w:val="22"/>
          <w:color w:val="auto"/>
        </w:rPr>
        <w:t>” shall mean Approval required for the marketing and sale of a Licensed Product in a country in the Territory.</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1.88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Modified Clause</w:t>
      </w:r>
      <w:r>
        <w:rPr>
          <w:rFonts w:ascii="Arial" w:cs="Arial" w:eastAsia="Arial" w:hAnsi="Arial"/>
          <w:sz w:val="19"/>
          <w:szCs w:val="19"/>
          <w:color w:val="auto"/>
        </w:rPr>
        <w:t>” shall have the meaning set forth in Section 20.7.</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1.89 “</w:t>
      </w:r>
      <w:r>
        <w:rPr>
          <w:rFonts w:ascii="Arial" w:cs="Arial" w:eastAsia="Arial" w:hAnsi="Arial"/>
          <w:sz w:val="22"/>
          <w:szCs w:val="22"/>
          <w:u w:val="single" w:color="auto"/>
          <w:color w:val="auto"/>
        </w:rPr>
        <w:t>Net Sales</w:t>
      </w:r>
      <w:r>
        <w:rPr>
          <w:rFonts w:ascii="Arial" w:cs="Arial" w:eastAsia="Arial" w:hAnsi="Arial"/>
          <w:sz w:val="22"/>
          <w:szCs w:val="22"/>
          <w:color w:val="auto"/>
        </w:rPr>
        <w:t>” shall mean the gross amount invoiced for bona fide arms’ length sales of Licensed Products in the Field in the Territory by Aventis, its Affiliates, or its or their sublicensees or Distributors to Third Parties (other than sublicensees or Distributors), less the following deductions, determined in accordance with IAS/IFRS (or GAAP for the United States) consistently applied:</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40" w:top="631" w:right="279" w:bottom="1440" w:gutter="0" w:footer="0" w:header="0"/>
        </w:sectPr>
      </w:pPr>
    </w:p>
    <w:bookmarkStart w:id="87" w:name="page88"/>
    <w:bookmarkEnd w:id="87"/>
    <w:p>
      <w:pPr>
        <w:ind w:right="200" w:firstLine="1305"/>
        <w:spacing w:after="0" w:line="276" w:lineRule="auto"/>
        <w:tabs>
          <w:tab w:leader="none" w:pos="1716" w:val="left"/>
        </w:tabs>
        <w:numPr>
          <w:ilvl w:val="0"/>
          <w:numId w:val="27"/>
        </w:numPr>
        <w:rPr>
          <w:rFonts w:ascii="Arial" w:cs="Arial" w:eastAsia="Arial" w:hAnsi="Arial"/>
          <w:sz w:val="22"/>
          <w:szCs w:val="22"/>
          <w:color w:val="auto"/>
        </w:rPr>
      </w:pPr>
      <w:r>
        <w:rPr>
          <w:rFonts w:ascii="Arial" w:cs="Arial" w:eastAsia="Arial" w:hAnsi="Arial"/>
          <w:sz w:val="22"/>
          <w:szCs w:val="22"/>
          <w:color w:val="auto"/>
        </w:rPr>
        <w:t>normal and customary trade, cash, quantity and free-goods allowances granted and taken directly with respect to sales of such Licensed Products;</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amounts repaid or credited by reason of defects, rejections, recalls, returns, rebates, allowances and billing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errors;</w:t>
      </w:r>
    </w:p>
    <w:p>
      <w:pPr>
        <w:spacing w:after="0" w:line="215" w:lineRule="exact"/>
        <w:rPr>
          <w:rFonts w:ascii="Arial" w:cs="Arial" w:eastAsia="Arial" w:hAnsi="Arial"/>
          <w:sz w:val="19"/>
          <w:szCs w:val="19"/>
          <w:color w:val="auto"/>
        </w:rPr>
      </w:pPr>
    </w:p>
    <w:p>
      <w:pPr>
        <w:ind w:left="1720" w:hanging="415"/>
        <w:spacing w:after="0"/>
        <w:tabs>
          <w:tab w:leader="none" w:pos="17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chargebacks and other amounts paid on sale or dispensing of the Licensed Products;</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Third Party cash rebates and chargebacks related to sales of the Licensed Products, to the extent allowed;</w:t>
      </w:r>
    </w:p>
    <w:p>
      <w:pPr>
        <w:spacing w:after="0" w:line="267" w:lineRule="exact"/>
        <w:rPr>
          <w:rFonts w:ascii="Arial" w:cs="Arial" w:eastAsia="Arial" w:hAnsi="Arial"/>
          <w:sz w:val="19"/>
          <w:szCs w:val="19"/>
          <w:color w:val="auto"/>
        </w:rPr>
      </w:pPr>
    </w:p>
    <w:p>
      <w:pPr>
        <w:ind w:left="1720" w:hanging="415"/>
        <w:spacing w:after="0"/>
        <w:tabs>
          <w:tab w:leader="none" w:pos="17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retroactive price reductions that are actually allowed or granted;</w:t>
      </w:r>
    </w:p>
    <w:p>
      <w:pPr>
        <w:spacing w:after="0" w:line="233" w:lineRule="exact"/>
        <w:rPr>
          <w:rFonts w:ascii="Arial" w:cs="Arial" w:eastAsia="Arial" w:hAnsi="Arial"/>
          <w:sz w:val="22"/>
          <w:szCs w:val="22"/>
          <w:color w:val="auto"/>
        </w:rPr>
      </w:pPr>
    </w:p>
    <w:p>
      <w:pPr>
        <w:ind w:right="620" w:firstLine="1305"/>
        <w:spacing w:after="0" w:line="358" w:lineRule="auto"/>
        <w:tabs>
          <w:tab w:leader="none" w:pos="16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compulsory refunds, credits and rebates directly related to the sale of Licensed Products, accrued, paid or deducted pursuant to agreements (including, but not limited to, managed care agreements) or governmental regulations;</w:t>
      </w:r>
    </w:p>
    <w:p>
      <w:pPr>
        <w:spacing w:after="0" w:line="90" w:lineRule="exact"/>
        <w:rPr>
          <w:rFonts w:ascii="Arial" w:cs="Arial" w:eastAsia="Arial" w:hAnsi="Arial"/>
          <w:sz w:val="19"/>
          <w:szCs w:val="19"/>
          <w:color w:val="auto"/>
        </w:rPr>
      </w:pPr>
    </w:p>
    <w:p>
      <w:pPr>
        <w:ind w:right="360" w:firstLine="1305"/>
        <w:spacing w:after="0" w:line="301" w:lineRule="auto"/>
        <w:tabs>
          <w:tab w:leader="none" w:pos="1728" w:val="left"/>
        </w:tabs>
        <w:numPr>
          <w:ilvl w:val="0"/>
          <w:numId w:val="27"/>
        </w:numPr>
        <w:rPr>
          <w:rFonts w:ascii="Arial" w:cs="Arial" w:eastAsia="Arial" w:hAnsi="Arial"/>
          <w:sz w:val="21"/>
          <w:szCs w:val="21"/>
          <w:color w:val="auto"/>
        </w:rPr>
      </w:pPr>
      <w:r>
        <w:rPr>
          <w:rFonts w:ascii="Arial" w:cs="Arial" w:eastAsia="Arial" w:hAnsi="Arial"/>
          <w:sz w:val="21"/>
          <w:szCs w:val="21"/>
          <w:color w:val="auto"/>
        </w:rPr>
        <w:t>freight, postage, shipment and costs (or wholesale fees in lieu of those costs) and customs duties incurred in delivering Licensed Products that are separately identified on the invoice or other documentation;</w:t>
      </w:r>
    </w:p>
    <w:p>
      <w:pPr>
        <w:spacing w:after="0" w:line="137" w:lineRule="exact"/>
        <w:rPr>
          <w:rFonts w:ascii="Arial" w:cs="Arial" w:eastAsia="Arial" w:hAnsi="Arial"/>
          <w:sz w:val="21"/>
          <w:szCs w:val="21"/>
          <w:color w:val="auto"/>
        </w:rPr>
      </w:pPr>
    </w:p>
    <w:p>
      <w:pPr>
        <w:ind w:right="20" w:firstLine="1305"/>
        <w:spacing w:after="0" w:line="260" w:lineRule="auto"/>
        <w:tabs>
          <w:tab w:leader="none" w:pos="1728" w:val="left"/>
        </w:tabs>
        <w:numPr>
          <w:ilvl w:val="0"/>
          <w:numId w:val="27"/>
        </w:numPr>
        <w:rPr>
          <w:rFonts w:ascii="Arial" w:cs="Arial" w:eastAsia="Arial" w:hAnsi="Arial"/>
          <w:sz w:val="22"/>
          <w:szCs w:val="22"/>
          <w:color w:val="auto"/>
        </w:rPr>
      </w:pPr>
      <w:r>
        <w:rPr>
          <w:rFonts w:ascii="Arial" w:cs="Arial" w:eastAsia="Arial" w:hAnsi="Arial"/>
          <w:sz w:val="22"/>
          <w:szCs w:val="22"/>
          <w:color w:val="auto"/>
        </w:rPr>
        <w:t>sales taxes, excess duties or other consumption taxes and compulsory payments to Governmental Authorities or other governmental charges imposed on the sale of Licensed Products, which are separately identified on the invoice or other documentation; and</w:t>
      </w:r>
    </w:p>
    <w:p>
      <w:pPr>
        <w:spacing w:after="0" w:line="177" w:lineRule="exact"/>
        <w:rPr>
          <w:rFonts w:ascii="Arial" w:cs="Arial" w:eastAsia="Arial" w:hAnsi="Arial"/>
          <w:sz w:val="22"/>
          <w:szCs w:val="22"/>
          <w:color w:val="auto"/>
        </w:rPr>
      </w:pPr>
    </w:p>
    <w:p>
      <w:pPr>
        <w:ind w:right="140" w:firstLine="1305"/>
        <w:spacing w:after="0" w:line="260" w:lineRule="auto"/>
        <w:tabs>
          <w:tab w:leader="none" w:pos="16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as agreed by the Parties, any other specifically identifiable costs or charges included in the gross invoiced sales price of such Licensed Products falling within categories substantially equivalent to those listed above and ultimately credited to customers or a Governmental Authority or agency thereof.</w:t>
      </w:r>
    </w:p>
    <w:p>
      <w:pPr>
        <w:spacing w:after="0" w:line="177"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Net Sales in currency other than United States Dollars shall be translated into United States Dollars according to the provisions of Section 9.9. Sales between Aventis and its Affiliates, or its or their sublicensees or Distributors for resale shall be disregarded for purposes of calculating Net Sales unless such purchaser is an end user of the Licensed Product. Any of the items set forth above that would otherwise be deducted from the invoice price in the calculation of Net Sales, but that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Aventis or its Affiliate, as applicable.</w:t>
      </w:r>
    </w:p>
    <w:p>
      <w:pPr>
        <w:spacing w:after="0" w:line="151" w:lineRule="exact"/>
        <w:rPr>
          <w:sz w:val="20"/>
          <w:szCs w:val="20"/>
          <w:color w:val="auto"/>
        </w:rPr>
      </w:pPr>
    </w:p>
    <w:p>
      <w:pPr>
        <w:jc w:val="both"/>
        <w:ind w:right="80" w:firstLine="648"/>
        <w:spacing w:after="0" w:line="320" w:lineRule="auto"/>
        <w:rPr>
          <w:sz w:val="20"/>
          <w:szCs w:val="20"/>
          <w:color w:val="auto"/>
        </w:rPr>
      </w:pPr>
      <w:r>
        <w:rPr>
          <w:rFonts w:ascii="Arial" w:cs="Arial" w:eastAsia="Arial" w:hAnsi="Arial"/>
          <w:sz w:val="19"/>
          <w:szCs w:val="19"/>
          <w:color w:val="auto"/>
        </w:rPr>
        <w:t>1.90 “</w:t>
      </w:r>
      <w:r>
        <w:rPr>
          <w:rFonts w:ascii="Arial" w:cs="Arial" w:eastAsia="Arial" w:hAnsi="Arial"/>
          <w:sz w:val="19"/>
          <w:szCs w:val="19"/>
          <w:u w:val="single" w:color="auto"/>
          <w:color w:val="auto"/>
        </w:rPr>
        <w:t>New Information</w:t>
      </w:r>
      <w:r>
        <w:rPr>
          <w:rFonts w:ascii="Arial" w:cs="Arial" w:eastAsia="Arial" w:hAnsi="Arial"/>
          <w:sz w:val="19"/>
          <w:szCs w:val="19"/>
          <w:color w:val="auto"/>
        </w:rPr>
        <w:t>” shall mean any and all ideas, inventions, information, data, writings, discoveries, improvements, or materials not generally known to the public that arise or are conceived or developed by (a) either Party or its Affiliates or (b) the Parties or their Affiliates jointly, in each case ((a) and (b)) under or in connection with this Agreement or any Ancillary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31" w:right="239" w:bottom="1440" w:gutter="0" w:footer="0" w:header="0"/>
        </w:sectPr>
      </w:pPr>
    </w:p>
    <w:bookmarkStart w:id="88" w:name="page89"/>
    <w:bookmarkEnd w:id="88"/>
    <w:p>
      <w:pPr>
        <w:ind w:right="100"/>
        <w:spacing w:after="0" w:line="287" w:lineRule="auto"/>
        <w:rPr>
          <w:sz w:val="20"/>
          <w:szCs w:val="20"/>
          <w:color w:val="auto"/>
        </w:rPr>
      </w:pPr>
      <w:r>
        <w:rPr>
          <w:rFonts w:ascii="Arial" w:cs="Arial" w:eastAsia="Arial" w:hAnsi="Arial"/>
          <w:sz w:val="21"/>
          <w:szCs w:val="21"/>
          <w:color w:val="auto"/>
        </w:rPr>
        <w:t>Agreement during the Term and to the extent specifically related to any VEGF Products, including, without limitation, information and data included or referenced in the Registration Filings made under this Agreement and any Approvals.</w:t>
      </w:r>
    </w:p>
    <w:p>
      <w:pPr>
        <w:spacing w:after="0" w:line="152" w:lineRule="exact"/>
        <w:rPr>
          <w:sz w:val="20"/>
          <w:szCs w:val="20"/>
          <w:color w:val="auto"/>
        </w:rPr>
      </w:pPr>
    </w:p>
    <w:p>
      <w:pPr>
        <w:ind w:right="40" w:firstLine="648"/>
        <w:spacing w:after="0" w:line="266" w:lineRule="auto"/>
        <w:rPr>
          <w:sz w:val="20"/>
          <w:szCs w:val="20"/>
          <w:color w:val="auto"/>
        </w:rPr>
      </w:pPr>
      <w:r>
        <w:rPr>
          <w:rFonts w:ascii="Arial" w:cs="Arial" w:eastAsia="Arial" w:hAnsi="Arial"/>
          <w:sz w:val="21"/>
          <w:szCs w:val="21"/>
          <w:color w:val="auto"/>
        </w:rPr>
        <w:t>1.91 “</w:t>
      </w:r>
      <w:r>
        <w:rPr>
          <w:rFonts w:ascii="Arial" w:cs="Arial" w:eastAsia="Arial" w:hAnsi="Arial"/>
          <w:sz w:val="21"/>
          <w:szCs w:val="21"/>
          <w:u w:val="single" w:color="auto"/>
          <w:color w:val="auto"/>
        </w:rPr>
        <w:t>New License</w:t>
      </w:r>
      <w:r>
        <w:rPr>
          <w:rFonts w:ascii="Arial" w:cs="Arial" w:eastAsia="Arial" w:hAnsi="Arial"/>
          <w:sz w:val="21"/>
          <w:szCs w:val="21"/>
          <w:color w:val="auto"/>
        </w:rPr>
        <w:t>” shall mean any license entered into by a Party (or its Affiliates) with a Third Party after the Amendment Execution Date, other than Existing Licenses, required for the manufacture, development or commercialization of any VEGF Product in such Party’s respective field (</w:t>
      </w:r>
      <w:r>
        <w:rPr>
          <w:rFonts w:ascii="Arial" w:cs="Arial" w:eastAsia="Arial" w:hAnsi="Arial"/>
          <w:sz w:val="21"/>
          <w:szCs w:val="21"/>
          <w:i w:val="1"/>
          <w:iCs w:val="1"/>
          <w:color w:val="auto"/>
        </w:rPr>
        <w:t>i.e.</w:t>
      </w:r>
      <w:r>
        <w:rPr>
          <w:rFonts w:ascii="Arial" w:cs="Arial" w:eastAsia="Arial" w:hAnsi="Arial"/>
          <w:sz w:val="21"/>
          <w:szCs w:val="21"/>
          <w:color w:val="auto"/>
        </w:rPr>
        <w:t>, with respect to Aventis, the Field, and with respect to Regeneron, outside of the Field). For clarity, any New License (as defined in this Agreement prior to the Amendment Execution Date) entered into prior to the Amendment Execution Date shall constitute an Existing License.</w:t>
      </w:r>
    </w:p>
    <w:p>
      <w:pPr>
        <w:spacing w:after="0" w:line="174" w:lineRule="exact"/>
        <w:rPr>
          <w:sz w:val="20"/>
          <w:szCs w:val="20"/>
          <w:color w:val="auto"/>
        </w:rPr>
      </w:pPr>
    </w:p>
    <w:p>
      <w:pPr>
        <w:ind w:right="420" w:firstLine="648"/>
        <w:spacing w:after="0" w:line="276" w:lineRule="auto"/>
        <w:rPr>
          <w:sz w:val="20"/>
          <w:szCs w:val="20"/>
          <w:color w:val="auto"/>
        </w:rPr>
      </w:pPr>
      <w:r>
        <w:rPr>
          <w:rFonts w:ascii="Arial" w:cs="Arial" w:eastAsia="Arial" w:hAnsi="Arial"/>
          <w:sz w:val="22"/>
          <w:szCs w:val="22"/>
          <w:color w:val="auto"/>
        </w:rPr>
        <w:t>1.92 “</w:t>
      </w:r>
      <w:r>
        <w:rPr>
          <w:rFonts w:ascii="Arial" w:cs="Arial" w:eastAsia="Arial" w:hAnsi="Arial"/>
          <w:sz w:val="22"/>
          <w:szCs w:val="22"/>
          <w:u w:val="single" w:color="auto"/>
          <w:color w:val="auto"/>
        </w:rPr>
        <w:t>Non-Approval Trial</w:t>
      </w:r>
      <w:r>
        <w:rPr>
          <w:rFonts w:ascii="Arial" w:cs="Arial" w:eastAsia="Arial" w:hAnsi="Arial"/>
          <w:sz w:val="22"/>
          <w:szCs w:val="22"/>
          <w:color w:val="auto"/>
        </w:rPr>
        <w:t>” shall mean any clinical trial of a Licensed Product in the Field in the Territory other than a Clinical Trial.</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1.93 “</w:t>
      </w:r>
      <w:r>
        <w:rPr>
          <w:rFonts w:ascii="Arial" w:cs="Arial" w:eastAsia="Arial" w:hAnsi="Arial"/>
          <w:sz w:val="22"/>
          <w:szCs w:val="22"/>
          <w:u w:val="single" w:color="auto"/>
          <w:color w:val="auto"/>
        </w:rPr>
        <w:t>Out-of-Pocket Costs</w:t>
      </w:r>
      <w:r>
        <w:rPr>
          <w:rFonts w:ascii="Arial" w:cs="Arial" w:eastAsia="Arial" w:hAnsi="Arial"/>
          <w:sz w:val="22"/>
          <w:szCs w:val="22"/>
          <w:color w:val="auto"/>
        </w:rPr>
        <w:t>” shall mean costs and expenses paid to Third Parties (or payable to Third Parties and accrued in accordance with GAAP or IAS/IFRS) by either Party and/or its Affiliates.</w:t>
      </w:r>
    </w:p>
    <w:p>
      <w:pPr>
        <w:spacing w:after="0" w:line="16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Original Major Market Country</w:t>
      </w:r>
      <w:r>
        <w:rPr>
          <w:rFonts w:ascii="Arial" w:cs="Arial" w:eastAsia="Arial" w:hAnsi="Arial"/>
          <w:sz w:val="19"/>
          <w:szCs w:val="19"/>
          <w:color w:val="auto"/>
        </w:rPr>
        <w:t>” shall mean any of [****].</w:t>
      </w:r>
    </w:p>
    <w:p>
      <w:pPr>
        <w:spacing w:after="0" w:line="233"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Party</w:t>
      </w:r>
      <w:r>
        <w:rPr>
          <w:rFonts w:ascii="Arial" w:cs="Arial" w:eastAsia="Arial" w:hAnsi="Arial"/>
          <w:sz w:val="19"/>
          <w:szCs w:val="19"/>
          <w:color w:val="auto"/>
        </w:rPr>
        <w:t>” or “</w:t>
      </w:r>
      <w:r>
        <w:rPr>
          <w:rFonts w:ascii="Arial" w:cs="Arial" w:eastAsia="Arial" w:hAnsi="Arial"/>
          <w:sz w:val="19"/>
          <w:szCs w:val="19"/>
          <w:u w:val="single" w:color="auto"/>
          <w:color w:val="auto"/>
        </w:rPr>
        <w:t>Parties</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1.96 “</w:t>
      </w:r>
      <w:r>
        <w:rPr>
          <w:rFonts w:ascii="Arial" w:cs="Arial" w:eastAsia="Arial" w:hAnsi="Arial"/>
          <w:sz w:val="19"/>
          <w:szCs w:val="19"/>
          <w:u w:val="single" w:color="auto"/>
          <w:color w:val="auto"/>
        </w:rPr>
        <w:t>Party Information</w:t>
      </w:r>
      <w:r>
        <w:rPr>
          <w:rFonts w:ascii="Arial" w:cs="Arial" w:eastAsia="Arial" w:hAnsi="Arial"/>
          <w:sz w:val="19"/>
          <w:szCs w:val="19"/>
          <w:color w:val="auto"/>
        </w:rPr>
        <w:t>” shall mean, with respect to a Party, all ideas, inventions, information, data, writings, discoveries, improvements, or materials not generally known to the public (in each case, other than New Information) that are provided to or made available in connection with this Agreement or any Ancillary Agreement by either Party or their respective Affiliates to the other Party or its Affiliates whether furnished before or after the Effective Date, including, without limitation, information and materials in relation to research, development, manufacturing, promotion, marketing, distributing and selling of VEGF Products hereunder, and information and materials on substances, formulations, techniques, technology, equipment, data, reports, Know-How, sources for supply, patent position, business plans, sales management procedures and other general business and operational processes and procedures. With respect to each Party, Party Information does not include New Information.</w:t>
      </w:r>
    </w:p>
    <w:p>
      <w:pPr>
        <w:spacing w:after="0" w:line="156" w:lineRule="exact"/>
        <w:rPr>
          <w:sz w:val="20"/>
          <w:szCs w:val="20"/>
          <w:color w:val="auto"/>
        </w:rPr>
      </w:pPr>
    </w:p>
    <w:p>
      <w:pPr>
        <w:ind w:right="300" w:firstLine="648"/>
        <w:spacing w:after="0" w:line="292" w:lineRule="auto"/>
        <w:rPr>
          <w:sz w:val="20"/>
          <w:szCs w:val="20"/>
          <w:color w:val="auto"/>
        </w:rPr>
      </w:pPr>
      <w:r>
        <w:rPr>
          <w:rFonts w:ascii="Arial" w:cs="Arial" w:eastAsia="Arial" w:hAnsi="Arial"/>
          <w:sz w:val="19"/>
          <w:szCs w:val="19"/>
          <w:color w:val="auto"/>
        </w:rPr>
        <w:t>1.97 “</w:t>
      </w:r>
      <w:r>
        <w:rPr>
          <w:rFonts w:ascii="Arial" w:cs="Arial" w:eastAsia="Arial" w:hAnsi="Arial"/>
          <w:sz w:val="19"/>
          <w:szCs w:val="19"/>
          <w:u w:val="single" w:color="auto"/>
          <w:color w:val="auto"/>
        </w:rPr>
        <w:t>Patents</w:t>
      </w:r>
      <w:r>
        <w:rPr>
          <w:rFonts w:ascii="Arial" w:cs="Arial" w:eastAsia="Arial" w:hAnsi="Arial"/>
          <w:sz w:val="19"/>
          <w:szCs w:val="19"/>
          <w:color w:val="auto"/>
        </w:rPr>
        <w:t>” shall mean (a) all national, regional and international patents and patent applications, including, without limitation, provisional patent applications; (b) all patent applications filed either from such patents, patent applications or provisional applications or from an application claiming priority from either of these, including, without limitation, divisionals, continuations, continuations-in-part, provisionals, converted provisionals and continued prosecution applications; (c) any and all patents that have issued or in the future issue from the foregoing patent applications ((a) and (b)), including, without limitation, utility models, petty patents, innovation patents and design patents and certificates of invention; (d) any and all extensions or restorations by existing or future extension or restoration mechanisms, including, without limitation, revalidations, reissues, re-examinations and extensions (including any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31" w:right="239" w:bottom="1440" w:gutter="0" w:footer="0" w:header="0"/>
        </w:sectPr>
      </w:pPr>
    </w:p>
    <w:bookmarkStart w:id="89" w:name="page90"/>
    <w:bookmarkEnd w:id="89"/>
    <w:p>
      <w:pPr>
        <w:ind w:right="460"/>
        <w:spacing w:after="0" w:line="312" w:lineRule="auto"/>
        <w:rPr>
          <w:sz w:val="20"/>
          <w:szCs w:val="20"/>
          <w:color w:val="auto"/>
        </w:rPr>
      </w:pPr>
      <w:r>
        <w:rPr>
          <w:rFonts w:ascii="Arial" w:cs="Arial" w:eastAsia="Arial" w:hAnsi="Arial"/>
          <w:sz w:val="19"/>
          <w:szCs w:val="19"/>
          <w:color w:val="auto"/>
        </w:rPr>
        <w:t>supplementary protection certificates and the like) of the foregoing patents or patent applications ((a), (b) and (c)); and (e) any similar rights, including, without limitation, so-called pipeline protection or any importation, revalidation, confirmation or introduction patent or registration patent or patent of additions to any of such foregoing patent applications and patents.</w:t>
      </w:r>
    </w:p>
    <w:p>
      <w:pPr>
        <w:spacing w:after="0" w:line="13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Payment Total</w:t>
      </w:r>
      <w:r>
        <w:rPr>
          <w:rFonts w:ascii="Arial" w:cs="Arial" w:eastAsia="Arial" w:hAnsi="Arial"/>
          <w:sz w:val="19"/>
          <w:szCs w:val="19"/>
          <w:color w:val="auto"/>
        </w:rPr>
        <w:t>” shall have the meaning set forth in Section 9.7(c).</w:t>
      </w:r>
    </w:p>
    <w:p>
      <w:pPr>
        <w:spacing w:after="0" w:line="233"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Period Costs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Schedule 11</w:t>
      </w:r>
      <w:r>
        <w:rPr>
          <w:rFonts w:ascii="Arial" w:cs="Arial" w:eastAsia="Arial" w:hAnsi="Arial"/>
          <w:sz w:val="19"/>
          <w:szCs w:val="19"/>
          <w:color w:val="auto"/>
        </w:rPr>
        <w:t>.</w:t>
      </w:r>
    </w:p>
    <w:p>
      <w:pPr>
        <w:spacing w:after="0" w:line="233"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1.100 “</w:t>
      </w:r>
      <w:r>
        <w:rPr>
          <w:rFonts w:ascii="Arial" w:cs="Arial" w:eastAsia="Arial" w:hAnsi="Arial"/>
          <w:sz w:val="22"/>
          <w:szCs w:val="22"/>
          <w:u w:val="single" w:color="auto"/>
          <w:color w:val="auto"/>
        </w:rPr>
        <w:t>Person</w:t>
      </w:r>
      <w:r>
        <w:rPr>
          <w:rFonts w:ascii="Arial" w:cs="Arial" w:eastAsia="Arial" w:hAnsi="Arial"/>
          <w:sz w:val="22"/>
          <w:szCs w:val="22"/>
          <w:color w:val="auto"/>
        </w:rPr>
        <w:t>” shall mean and include an individual, partnership, joint venture, limited liability company, a corporation, a firm, a trust, an unincorporated organization and a government or other department or agency thereof.</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1.101</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u w:val="single" w:color="auto"/>
          <w:color w:val="auto"/>
        </w:rPr>
        <w:t>Product</w:t>
      </w:r>
      <w:r>
        <w:rPr>
          <w:rFonts w:ascii="Arial" w:cs="Arial" w:eastAsia="Arial" w:hAnsi="Arial"/>
          <w:sz w:val="19"/>
          <w:szCs w:val="19"/>
          <w:color w:val="auto"/>
        </w:rPr>
        <w:t>” shall mean a biopharmaceutical product that [****].</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shall mean any Development Plan or Commercialization Plan.</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1.103 “</w:t>
      </w:r>
      <w:r>
        <w:rPr>
          <w:rFonts w:ascii="Arial" w:cs="Arial" w:eastAsia="Arial" w:hAnsi="Arial"/>
          <w:sz w:val="22"/>
          <w:szCs w:val="22"/>
          <w:u w:val="single" w:color="auto"/>
          <w:color w:val="auto"/>
        </w:rPr>
        <w:t>Pricing Approval</w:t>
      </w:r>
      <w:r>
        <w:rPr>
          <w:rFonts w:ascii="Arial" w:cs="Arial" w:eastAsia="Arial" w:hAnsi="Arial"/>
          <w:sz w:val="22"/>
          <w:szCs w:val="22"/>
          <w:color w:val="auto"/>
        </w:rPr>
        <w:t>” shall mean such approval, agreement, determination or governmental decision establishing prices for a Licensed Product that can be charged to consumers and will be reimbursed by Governmental Authorities in countries in the Territory where governmental authorities or Regulatory Authorities of such country approve or determine pricing tor pharmaceutical products for reimbursement or otherwise.</w:t>
      </w:r>
    </w:p>
    <w:p>
      <w:pPr>
        <w:spacing w:after="0" w:line="1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Product</w:t>
      </w:r>
      <w:r>
        <w:rPr>
          <w:rFonts w:ascii="Arial" w:cs="Arial" w:eastAsia="Arial" w:hAnsi="Arial"/>
          <w:sz w:val="19"/>
          <w:szCs w:val="19"/>
          <w:color w:val="auto"/>
        </w:rPr>
        <w:t>” shall have the meaning set forth in the Supply Agreement.</w:t>
      </w:r>
    </w:p>
    <w:p>
      <w:pPr>
        <w:spacing w:after="0" w:line="233" w:lineRule="exact"/>
        <w:rPr>
          <w:sz w:val="20"/>
          <w:szCs w:val="20"/>
          <w:color w:val="auto"/>
        </w:rPr>
      </w:pPr>
    </w:p>
    <w:p>
      <w:pPr>
        <w:ind w:right="140" w:firstLine="648"/>
        <w:spacing w:after="0" w:line="260" w:lineRule="auto"/>
        <w:rPr>
          <w:sz w:val="20"/>
          <w:szCs w:val="20"/>
          <w:color w:val="auto"/>
        </w:rPr>
      </w:pPr>
      <w:r>
        <w:rPr>
          <w:rFonts w:ascii="Arial" w:cs="Arial" w:eastAsia="Arial" w:hAnsi="Arial"/>
          <w:sz w:val="22"/>
          <w:szCs w:val="22"/>
          <w:color w:val="auto"/>
        </w:rPr>
        <w:t>1.105 “</w:t>
      </w:r>
      <w:r>
        <w:rPr>
          <w:rFonts w:ascii="Arial" w:cs="Arial" w:eastAsia="Arial" w:hAnsi="Arial"/>
          <w:sz w:val="22"/>
          <w:szCs w:val="22"/>
          <w:u w:val="single" w:color="auto"/>
          <w:color w:val="auto"/>
        </w:rPr>
        <w:t>Product Trademark</w:t>
      </w:r>
      <w:r>
        <w:rPr>
          <w:rFonts w:ascii="Arial" w:cs="Arial" w:eastAsia="Arial" w:hAnsi="Arial"/>
          <w:sz w:val="22"/>
          <w:szCs w:val="22"/>
          <w:color w:val="auto"/>
        </w:rPr>
        <w:t>” shall mean, with respect to each Licensed Product, the trademark selected by Aventis for use on such Licensed Product and/or accompanying logos, trade dress and/or other indicia of origin, in each case as selected by Aventis.</w:t>
      </w:r>
    </w:p>
    <w:p>
      <w:pPr>
        <w:spacing w:after="0" w:line="17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Profit Sharing Payment</w:t>
      </w:r>
      <w:r>
        <w:rPr>
          <w:rFonts w:ascii="Arial" w:cs="Arial" w:eastAsia="Arial" w:hAnsi="Arial"/>
          <w:sz w:val="19"/>
          <w:szCs w:val="19"/>
          <w:color w:val="auto"/>
        </w:rPr>
        <w:t>” shall have the meaning set forth in Section 9.6(b).</w:t>
      </w:r>
    </w:p>
    <w:p>
      <w:pPr>
        <w:spacing w:after="0" w:line="233" w:lineRule="exact"/>
        <w:rPr>
          <w:sz w:val="20"/>
          <w:szCs w:val="20"/>
          <w:color w:val="auto"/>
        </w:rPr>
      </w:pPr>
    </w:p>
    <w:p>
      <w:pPr>
        <w:ind w:right="260" w:firstLine="648"/>
        <w:spacing w:after="0" w:line="254" w:lineRule="auto"/>
        <w:rPr>
          <w:sz w:val="20"/>
          <w:szCs w:val="20"/>
          <w:color w:val="auto"/>
        </w:rPr>
      </w:pPr>
      <w:r>
        <w:rPr>
          <w:rFonts w:ascii="Arial" w:cs="Arial" w:eastAsia="Arial" w:hAnsi="Arial"/>
          <w:sz w:val="22"/>
          <w:szCs w:val="22"/>
          <w:color w:val="auto"/>
        </w:rPr>
        <w:t>1.107 “</w:t>
      </w:r>
      <w:r>
        <w:rPr>
          <w:rFonts w:ascii="Arial" w:cs="Arial" w:eastAsia="Arial" w:hAnsi="Arial"/>
          <w:sz w:val="22"/>
          <w:szCs w:val="22"/>
          <w:u w:val="single" w:color="auto"/>
          <w:color w:val="auto"/>
        </w:rPr>
        <w:t>Promotional Materials</w:t>
      </w:r>
      <w:r>
        <w:rPr>
          <w:rFonts w:ascii="Arial" w:cs="Arial" w:eastAsia="Arial" w:hAnsi="Arial"/>
          <w:sz w:val="22"/>
          <w:szCs w:val="22"/>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1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Publishing Party</w:t>
      </w:r>
      <w:r>
        <w:rPr>
          <w:rFonts w:ascii="Arial" w:cs="Arial" w:eastAsia="Arial" w:hAnsi="Arial"/>
          <w:sz w:val="19"/>
          <w:szCs w:val="19"/>
          <w:color w:val="auto"/>
        </w:rPr>
        <w:t>” shall have the meaning set forth in Section 16.3.</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1.109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Reconciliation Amount</w:t>
      </w:r>
      <w:r>
        <w:rPr>
          <w:rFonts w:ascii="Arial" w:cs="Arial" w:eastAsia="Arial" w:hAnsi="Arial"/>
          <w:sz w:val="19"/>
          <w:szCs w:val="19"/>
          <w:color w:val="auto"/>
        </w:rPr>
        <w:t>” shall have the meaning set forth in Section 9.7(c)(i).</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w:t>
      </w:r>
      <w:r>
        <w:rPr>
          <w:rFonts w:ascii="Arial" w:cs="Arial" w:eastAsia="Arial" w:hAnsi="Arial"/>
          <w:sz w:val="19"/>
          <w:szCs w:val="19"/>
          <w:color w:val="auto"/>
        </w:rPr>
        <w:t>” shall have the meaning set forth in the introductory paragraph.</w:t>
      </w:r>
    </w:p>
    <w:p>
      <w:pPr>
        <w:spacing w:after="0" w:line="2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Costs</w:t>
      </w:r>
      <w:r>
        <w:rPr>
          <w:rFonts w:ascii="Arial" w:cs="Arial" w:eastAsia="Arial" w:hAnsi="Arial"/>
          <w:sz w:val="19"/>
          <w:szCs w:val="19"/>
          <w:color w:val="auto"/>
        </w:rPr>
        <w:t>” shall mean, with respect to any (a) activity that is requested or authorized by Aventis in writing,</w:t>
      </w:r>
    </w:p>
    <w:p>
      <w:pPr>
        <w:spacing w:after="0" w:line="22" w:lineRule="exact"/>
        <w:rPr>
          <w:sz w:val="20"/>
          <w:szCs w:val="20"/>
          <w:color w:val="auto"/>
        </w:rPr>
      </w:pPr>
    </w:p>
    <w:p>
      <w:pPr>
        <w:ind w:right="740" w:firstLine="8"/>
        <w:spacing w:after="0" w:line="338" w:lineRule="auto"/>
        <w:tabs>
          <w:tab w:leader="none" w:pos="306" w:val="left"/>
        </w:tabs>
        <w:numPr>
          <w:ilvl w:val="0"/>
          <w:numId w:val="28"/>
        </w:numPr>
        <w:rPr>
          <w:rFonts w:ascii="Arial" w:cs="Arial" w:eastAsia="Arial" w:hAnsi="Arial"/>
          <w:sz w:val="19"/>
          <w:szCs w:val="19"/>
          <w:color w:val="auto"/>
        </w:rPr>
      </w:pPr>
      <w:r>
        <w:rPr>
          <w:rFonts w:ascii="Arial" w:cs="Arial" w:eastAsia="Arial" w:hAnsi="Arial"/>
          <w:sz w:val="19"/>
          <w:szCs w:val="19"/>
          <w:color w:val="auto"/>
        </w:rPr>
        <w:t>activity that relates to the Development, manufacture or Commercialization of the Licensed Product and is requested or otherwise recommended by a Regulatory Authority, including activities in connection with obtaining and maintaining</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40" w:top="631" w:right="279" w:bottom="1440" w:gutter="0" w:footer="0" w:header="0"/>
        </w:sectPr>
      </w:pPr>
    </w:p>
    <w:bookmarkStart w:id="90" w:name="page91"/>
    <w:bookmarkEnd w:id="90"/>
    <w:p>
      <w:pPr>
        <w:ind w:right="40"/>
        <w:spacing w:after="0" w:line="263" w:lineRule="auto"/>
        <w:rPr>
          <w:sz w:val="20"/>
          <w:szCs w:val="20"/>
          <w:color w:val="auto"/>
        </w:rPr>
      </w:pPr>
      <w:r>
        <w:rPr>
          <w:rFonts w:ascii="Arial" w:cs="Arial" w:eastAsia="Arial" w:hAnsi="Arial"/>
          <w:sz w:val="21"/>
          <w:szCs w:val="21"/>
          <w:color w:val="auto"/>
        </w:rPr>
        <w:t>Regulatory Approvals for the Licensed Products in the Field in the Territory, (c) pharmacovigilance activity that is related to the Licensed Products, (d) activity that relates to the stability testing of the Licensed Products, and (e) Period Costs, in each case ((a), (b), (c), (d) and (e)), (y) all Out-of-Pocket Costs and (z) an amount equal to the product of (i) the number of FTEs required for such activity and (ii) the Regeneron FTE Rate. For clarity, the Regeneron Costs shall not include any costs or expenses otherwise included in Actual Fully Burdened Manufacturing Costs.</w:t>
      </w:r>
    </w:p>
    <w:p>
      <w:pPr>
        <w:spacing w:after="0" w:line="1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FTE Rate</w:t>
      </w:r>
      <w:r>
        <w:rPr>
          <w:rFonts w:ascii="Arial" w:cs="Arial" w:eastAsia="Arial" w:hAnsi="Arial"/>
          <w:sz w:val="19"/>
          <w:szCs w:val="19"/>
          <w:color w:val="auto"/>
        </w:rPr>
        <w:t>” shall mean (a) in Contract Year 2014, US$[****] (b) in Contract Year 2015, US$[****], and</w:t>
      </w:r>
    </w:p>
    <w:p>
      <w:pPr>
        <w:spacing w:after="0" w:line="22" w:lineRule="exact"/>
        <w:rPr>
          <w:sz w:val="20"/>
          <w:szCs w:val="20"/>
          <w:color w:val="auto"/>
        </w:rPr>
      </w:pPr>
    </w:p>
    <w:p>
      <w:pPr>
        <w:ind w:right="300" w:firstLine="8"/>
        <w:spacing w:after="0" w:line="259" w:lineRule="auto"/>
        <w:tabs>
          <w:tab w:leader="none" w:pos="294" w:val="left"/>
        </w:tabs>
        <w:numPr>
          <w:ilvl w:val="0"/>
          <w:numId w:val="29"/>
        </w:numPr>
        <w:rPr>
          <w:rFonts w:ascii="Arial" w:cs="Arial" w:eastAsia="Arial" w:hAnsi="Arial"/>
          <w:sz w:val="22"/>
          <w:szCs w:val="22"/>
          <w:color w:val="auto"/>
        </w:rPr>
      </w:pPr>
      <w:r>
        <w:rPr>
          <w:rFonts w:ascii="Arial" w:cs="Arial" w:eastAsia="Arial" w:hAnsi="Arial"/>
          <w:sz w:val="22"/>
          <w:szCs w:val="22"/>
          <w:color w:val="auto"/>
        </w:rPr>
        <w:t>in Contract Year 2016 and subsequent Contract Years, the rate in the prior Contract Year adjusted as of January 1 of Contract Year 2016 and each such subsequent Contract Year by the CPI Adjustment.</w:t>
      </w:r>
    </w:p>
    <w:p>
      <w:pPr>
        <w:spacing w:after="0" w:line="17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Indemnitees</w:t>
      </w:r>
      <w:r>
        <w:rPr>
          <w:rFonts w:ascii="Arial" w:cs="Arial" w:eastAsia="Arial" w:hAnsi="Arial"/>
          <w:sz w:val="19"/>
          <w:szCs w:val="19"/>
          <w:color w:val="auto"/>
        </w:rPr>
        <w:t>” shall have the meaning set forth in Section 17.1(a).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Intellectual Property</w:t>
      </w:r>
      <w:r>
        <w:rPr>
          <w:rFonts w:ascii="Arial" w:cs="Arial" w:eastAsia="Arial" w:hAnsi="Arial"/>
          <w:sz w:val="19"/>
          <w:szCs w:val="19"/>
          <w:color w:val="auto"/>
        </w:rPr>
        <w:t>” shall mean the Regeneron Patent Rights and the Regeneron Know-How.</w:t>
      </w:r>
    </w:p>
    <w:p>
      <w:pPr>
        <w:spacing w:after="0" w:line="23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1.115 “</w:t>
      </w:r>
      <w:r>
        <w:rPr>
          <w:rFonts w:ascii="Arial" w:cs="Arial" w:eastAsia="Arial" w:hAnsi="Arial"/>
          <w:sz w:val="22"/>
          <w:szCs w:val="22"/>
          <w:u w:val="single" w:color="auto"/>
          <w:color w:val="auto"/>
        </w:rPr>
        <w:t>Regeneron Know-How</w:t>
      </w:r>
      <w:r>
        <w:rPr>
          <w:rFonts w:ascii="Arial" w:cs="Arial" w:eastAsia="Arial" w:hAnsi="Arial"/>
          <w:sz w:val="22"/>
          <w:szCs w:val="22"/>
          <w:color w:val="auto"/>
        </w:rPr>
        <w:t>” shall mean (a) all Know-How that is conceived, developed, created or otherwise made by or on behalf of Regeneron (or its Affiliates or its or their sublicensees or Distributors) under or in connection with this Agreement during the Term, and (b) all Know-How that (i) is Controlled as of the Effective Date and at any time during the Term by Regeneron or any of its Affiliates (other than by operation of the license and other grants in ARTICLE 4) and (ii) relates to a VEGF Trap, in each case ((a) and (b)), excluding any Joint Inventions. Regeneron Know-How shall include New Information of Regeneron.</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1.116 “</w:t>
      </w:r>
      <w:r>
        <w:rPr>
          <w:rFonts w:ascii="Arial" w:cs="Arial" w:eastAsia="Arial" w:hAnsi="Arial"/>
          <w:sz w:val="22"/>
          <w:szCs w:val="22"/>
          <w:u w:val="single" w:color="auto"/>
          <w:color w:val="auto"/>
        </w:rPr>
        <w:t>Regeneron Licensed Product Domain Names</w:t>
      </w:r>
      <w:r>
        <w:rPr>
          <w:rFonts w:ascii="Arial" w:cs="Arial" w:eastAsia="Arial" w:hAnsi="Arial"/>
          <w:sz w:val="22"/>
          <w:szCs w:val="22"/>
          <w:color w:val="auto"/>
        </w:rPr>
        <w:t xml:space="preserve">” shall mean those domain names that are Controlled by Regeneron or its Affiliates as of the Effective Date that are set forth on </w:t>
      </w:r>
      <w:r>
        <w:rPr>
          <w:rFonts w:ascii="Arial" w:cs="Arial" w:eastAsia="Arial" w:hAnsi="Arial"/>
          <w:sz w:val="22"/>
          <w:szCs w:val="22"/>
          <w:u w:val="single" w:color="auto"/>
          <w:color w:val="auto"/>
        </w:rPr>
        <w:t>Schedule 9</w:t>
      </w:r>
      <w:r>
        <w:rPr>
          <w:rFonts w:ascii="Arial" w:cs="Arial" w:eastAsia="Arial" w:hAnsi="Arial"/>
          <w:sz w:val="22"/>
          <w:szCs w:val="22"/>
          <w:color w:val="auto"/>
        </w:rPr>
        <w:t>.</w:t>
      </w:r>
    </w:p>
    <w:p>
      <w:pPr>
        <w:spacing w:after="0" w:line="161"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1.117 “</w:t>
      </w:r>
      <w:r>
        <w:rPr>
          <w:rFonts w:ascii="Arial" w:cs="Arial" w:eastAsia="Arial" w:hAnsi="Arial"/>
          <w:sz w:val="22"/>
          <w:szCs w:val="22"/>
          <w:u w:val="single" w:color="auto"/>
          <w:color w:val="auto"/>
        </w:rPr>
        <w:t>Regeneron Patent Rights</w:t>
      </w:r>
      <w:r>
        <w:rPr>
          <w:rFonts w:ascii="Arial" w:cs="Arial" w:eastAsia="Arial" w:hAnsi="Arial"/>
          <w:sz w:val="22"/>
          <w:szCs w:val="22"/>
          <w:color w:val="auto"/>
        </w:rPr>
        <w:t>” shall mean (a) those Patents Controlled as of the Effective Date or hereafter during the Term by Regeneron or any of its Affiliates (other than by operation of the license in ARTICLE 4) that include at least one claim that would be infringed by the manufacture, use, sale, offer for sale or import of any Licensed Product and (b) those Patents that (i) claim or cover the Regeneron Know-How and (ii) are Controlled by Regeneron or any of its Affiliates (other than by operation of the license and other grants in ARTICLE 4).</w:t>
      </w:r>
    </w:p>
    <w:p>
      <w:pPr>
        <w:spacing w:after="0" w:line="190"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shall have the meaning set forth in Section 12.1(a).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Regeneron Trademarks</w:t>
      </w:r>
      <w:r>
        <w:rPr>
          <w:rFonts w:ascii="Arial" w:cs="Arial" w:eastAsia="Arial" w:hAnsi="Arial"/>
          <w:sz w:val="19"/>
          <w:szCs w:val="19"/>
          <w:color w:val="auto"/>
        </w:rPr>
        <w:t>” shall have the meaning set forth in Section 11.2.</w:t>
      </w:r>
    </w:p>
    <w:p>
      <w:pPr>
        <w:spacing w:after="0" w:line="233"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1.120 “</w:t>
      </w:r>
      <w:r>
        <w:rPr>
          <w:rFonts w:ascii="Arial" w:cs="Arial" w:eastAsia="Arial" w:hAnsi="Arial"/>
          <w:sz w:val="22"/>
          <w:szCs w:val="22"/>
          <w:u w:val="single" w:color="auto"/>
          <w:color w:val="auto"/>
        </w:rPr>
        <w:t>Registration Filing</w:t>
      </w:r>
      <w:r>
        <w:rPr>
          <w:rFonts w:ascii="Arial" w:cs="Arial" w:eastAsia="Arial" w:hAnsi="Arial"/>
          <w:sz w:val="22"/>
          <w:szCs w:val="22"/>
          <w:color w:val="auto"/>
        </w:rPr>
        <w:t>” shall mean the submission to the relevant Regulatory Authority of an appropriate application seeking any Approval, and shall include, without limitation, any testing, marketing authorization application, supplementary application or variation thereof, IND, BLA, or any equivalent applications in any country.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631" w:right="259" w:bottom="1440" w:gutter="0" w:footer="0" w:header="0"/>
        </w:sectPr>
      </w:pPr>
    </w:p>
    <w:bookmarkStart w:id="91" w:name="page92"/>
    <w:bookmarkEnd w:id="91"/>
    <w:p>
      <w:pPr>
        <w:jc w:val="both"/>
        <w:ind w:right="60" w:firstLine="648"/>
        <w:spacing w:after="0" w:line="320" w:lineRule="auto"/>
        <w:rPr>
          <w:sz w:val="20"/>
          <w:szCs w:val="20"/>
          <w:color w:val="auto"/>
        </w:rPr>
      </w:pPr>
      <w:r>
        <w:rPr>
          <w:rFonts w:ascii="Arial" w:cs="Arial" w:eastAsia="Arial" w:hAnsi="Arial"/>
          <w:sz w:val="19"/>
          <w:szCs w:val="19"/>
          <w:color w:val="auto"/>
        </w:rPr>
        <w:t>1.121 “</w:t>
      </w:r>
      <w:r>
        <w:rPr>
          <w:rFonts w:ascii="Arial" w:cs="Arial" w:eastAsia="Arial" w:hAnsi="Arial"/>
          <w:sz w:val="19"/>
          <w:szCs w:val="19"/>
          <w:u w:val="single" w:color="auto"/>
          <w:color w:val="auto"/>
        </w:rPr>
        <w:t>Regulatory Authority</w:t>
      </w:r>
      <w:r>
        <w:rPr>
          <w:rFonts w:ascii="Arial" w:cs="Arial" w:eastAsia="Arial" w:hAnsi="Arial"/>
          <w:sz w:val="19"/>
          <w:szCs w:val="19"/>
          <w:color w:val="auto"/>
        </w:rPr>
        <w:t>” shall mean any federal, national, multinational, state, provincial or local regulatory agency, department, bureau or other governmental entity with authority over the testing, marketing, pricing, reimbursement and/or sale of any VEGF Product in a country in the Territory, including, without limitation, the FDA in the United States and EMA in Europe.</w:t>
      </w:r>
    </w:p>
    <w:p>
      <w:pPr>
        <w:spacing w:after="0" w:line="12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1.122</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Sole Inventions</w:t>
      </w:r>
      <w:r>
        <w:rPr>
          <w:rFonts w:ascii="Arial" w:cs="Arial" w:eastAsia="Arial" w:hAnsi="Arial"/>
          <w:sz w:val="19"/>
          <w:szCs w:val="19"/>
          <w:color w:val="auto"/>
        </w:rPr>
        <w:t>” shall have the meaning set forth in Section 12.1(a).</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Supply Agreement</w:t>
      </w:r>
      <w:r>
        <w:rPr>
          <w:rFonts w:ascii="Arial" w:cs="Arial" w:eastAsia="Arial" w:hAnsi="Arial"/>
          <w:sz w:val="19"/>
          <w:szCs w:val="19"/>
          <w:color w:val="auto"/>
        </w:rPr>
        <w:t>” shall have the meaning set forth in Section 8.1.</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Supply Term</w:t>
      </w:r>
      <w:r>
        <w:rPr>
          <w:rFonts w:ascii="Arial" w:cs="Arial" w:eastAsia="Arial" w:hAnsi="Arial"/>
          <w:sz w:val="19"/>
          <w:szCs w:val="19"/>
          <w:color w:val="auto"/>
        </w:rPr>
        <w:t>” shall mean the Term of the Supply Agreement, as defined in the Supply Agreement.</w:t>
      </w:r>
    </w:p>
    <w:p>
      <w:pPr>
        <w:spacing w:after="0" w:line="233" w:lineRule="exact"/>
        <w:rPr>
          <w:sz w:val="20"/>
          <w:szCs w:val="20"/>
          <w:color w:val="auto"/>
        </w:rPr>
      </w:pPr>
    </w:p>
    <w:p>
      <w:pPr>
        <w:ind w:right="900" w:firstLine="648"/>
        <w:spacing w:after="0" w:line="276" w:lineRule="auto"/>
        <w:rPr>
          <w:sz w:val="20"/>
          <w:szCs w:val="20"/>
          <w:color w:val="auto"/>
        </w:rPr>
      </w:pPr>
      <w:r>
        <w:rPr>
          <w:rFonts w:ascii="Arial" w:cs="Arial" w:eastAsia="Arial" w:hAnsi="Arial"/>
          <w:sz w:val="22"/>
          <w:szCs w:val="22"/>
          <w:color w:val="auto"/>
        </w:rPr>
        <w:t>1.125 “SWI” shall mean Sanofi Withrop Industrie or such other Affiliate of Aventis that is a party to the Supply Agreement.</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w:t>
      </w:r>
      <w:r>
        <w:rPr>
          <w:rFonts w:ascii="Arial" w:cs="Arial" w:eastAsia="Arial" w:hAnsi="Arial"/>
          <w:sz w:val="19"/>
          <w:szCs w:val="19"/>
          <w:color w:val="auto"/>
        </w:rPr>
        <w:t>” shall have the meaning set forth in Section 19.1(a).</w:t>
      </w:r>
    </w:p>
    <w:p>
      <w:pPr>
        <w:spacing w:after="0" w:line="233"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1.127 “</w:t>
      </w:r>
      <w:r>
        <w:rPr>
          <w:rFonts w:ascii="Arial" w:cs="Arial" w:eastAsia="Arial" w:hAnsi="Arial"/>
          <w:sz w:val="22"/>
          <w:szCs w:val="22"/>
          <w:u w:val="single" w:color="auto"/>
          <w:color w:val="auto"/>
        </w:rPr>
        <w:t>Terminated Territory</w:t>
      </w:r>
      <w:r>
        <w:rPr>
          <w:rFonts w:ascii="Arial" w:cs="Arial" w:eastAsia="Arial" w:hAnsi="Arial"/>
          <w:sz w:val="22"/>
          <w:szCs w:val="22"/>
          <w:color w:val="auto"/>
        </w:rPr>
        <w:t>” means each country with respect to which this Agreement is terminated by Aventis pursuant to Section 19.2(a) or, if this Agreement is terminated in its entirety, the entire Territory.</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1.128</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Termination Notice Period</w:t>
      </w:r>
      <w:r>
        <w:rPr>
          <w:rFonts w:ascii="Arial" w:cs="Arial" w:eastAsia="Arial" w:hAnsi="Arial"/>
          <w:sz w:val="19"/>
          <w:szCs w:val="19"/>
          <w:color w:val="auto"/>
        </w:rPr>
        <w:t>” shall have the meaning set forth in Section 19.2.</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1.129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Territory</w:t>
      </w:r>
      <w:r>
        <w:rPr>
          <w:rFonts w:ascii="Arial" w:cs="Arial" w:eastAsia="Arial" w:hAnsi="Arial"/>
          <w:sz w:val="19"/>
          <w:szCs w:val="19"/>
          <w:color w:val="auto"/>
        </w:rPr>
        <w:t>” shall mean all the countries of the world, other than the Terminated Territory.</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mean any Person other than Aventis or Regeneron or any Affiliate of either Party.</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1.131</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Third Party Claim</w:t>
      </w:r>
      <w:r>
        <w:rPr>
          <w:rFonts w:ascii="Arial" w:cs="Arial" w:eastAsia="Arial" w:hAnsi="Arial"/>
          <w:sz w:val="19"/>
          <w:szCs w:val="19"/>
          <w:color w:val="auto"/>
        </w:rPr>
        <w:t>” shall have the meaning set forth in Section 17.1(a).</w:t>
      </w:r>
    </w:p>
    <w:p>
      <w:pPr>
        <w:spacing w:after="0" w:line="233"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1.132 “</w:t>
      </w:r>
      <w:r>
        <w:rPr>
          <w:rFonts w:ascii="Arial" w:cs="Arial" w:eastAsia="Arial" w:hAnsi="Arial"/>
          <w:sz w:val="22"/>
          <w:szCs w:val="22"/>
          <w:u w:val="single" w:color="auto"/>
          <w:color w:val="auto"/>
        </w:rPr>
        <w:t>Third Party Payment Amount</w:t>
      </w:r>
      <w:r>
        <w:rPr>
          <w:rFonts w:ascii="Arial" w:cs="Arial" w:eastAsia="Arial" w:hAnsi="Arial"/>
          <w:sz w:val="22"/>
          <w:szCs w:val="22"/>
          <w:color w:val="auto"/>
        </w:rPr>
        <w:t>” shall mean, with respect to a period, the royalties and other amounts payable to a Third Party with respect to the manufacture, Development or Commercialization of a Licensed Product in the Field in the Territory in such period under any Existing License or New License to which Regeneron is a party, other than the Genentech Settlement Agreement.</w:t>
      </w:r>
    </w:p>
    <w:p>
      <w:pPr>
        <w:spacing w:after="0" w:line="185"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1.133 “</w:t>
      </w:r>
      <w:r>
        <w:rPr>
          <w:rFonts w:ascii="Arial" w:cs="Arial" w:eastAsia="Arial" w:hAnsi="Arial"/>
          <w:sz w:val="22"/>
          <w:szCs w:val="22"/>
          <w:u w:val="single" w:color="auto"/>
          <w:color w:val="auto"/>
        </w:rPr>
        <w:t>United States</w:t>
      </w:r>
      <w:r>
        <w:rPr>
          <w:rFonts w:ascii="Arial" w:cs="Arial" w:eastAsia="Arial" w:hAnsi="Arial"/>
          <w:sz w:val="22"/>
          <w:szCs w:val="22"/>
          <w:color w:val="auto"/>
        </w:rPr>
        <w:t>” or “</w:t>
      </w:r>
      <w:r>
        <w:rPr>
          <w:rFonts w:ascii="Arial" w:cs="Arial" w:eastAsia="Arial" w:hAnsi="Arial"/>
          <w:sz w:val="22"/>
          <w:szCs w:val="22"/>
          <w:u w:val="single" w:color="auto"/>
          <w:color w:val="auto"/>
        </w:rPr>
        <w:t>U.S.</w:t>
      </w:r>
      <w:r>
        <w:rPr>
          <w:rFonts w:ascii="Arial" w:cs="Arial" w:eastAsia="Arial" w:hAnsi="Arial"/>
          <w:sz w:val="22"/>
          <w:szCs w:val="22"/>
          <w:color w:val="auto"/>
        </w:rPr>
        <w:t>” shall mean the United States of America (including its territories and possessions and its military bases and commissaries wherever located in the Territory) and Puerto Rico.</w:t>
      </w:r>
    </w:p>
    <w:p>
      <w:pPr>
        <w:spacing w:after="0" w:line="16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1.134</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VEGF Products</w:t>
      </w:r>
      <w:r>
        <w:rPr>
          <w:rFonts w:ascii="Arial" w:cs="Arial" w:eastAsia="Arial" w:hAnsi="Arial"/>
          <w:sz w:val="21"/>
          <w:szCs w:val="21"/>
          <w:color w:val="auto"/>
        </w:rPr>
        <w:t>” shall mean [****].</w:t>
      </w:r>
    </w:p>
    <w:p>
      <w:pPr>
        <w:spacing w:after="0" w:line="23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1.135</w:t>
      </w:r>
      <w:r>
        <w:rPr>
          <w:sz w:val="20"/>
          <w:szCs w:val="20"/>
          <w:color w:val="auto"/>
        </w:rPr>
        <w:tab/>
      </w:r>
      <w:r>
        <w:rPr>
          <w:rFonts w:ascii="Arial" w:cs="Arial" w:eastAsia="Arial" w:hAnsi="Arial"/>
          <w:sz w:val="21"/>
          <w:szCs w:val="21"/>
          <w:color w:val="auto"/>
        </w:rPr>
        <w:t>“</w:t>
      </w:r>
      <w:r>
        <w:rPr>
          <w:rFonts w:ascii="Arial" w:cs="Arial" w:eastAsia="Arial" w:hAnsi="Arial"/>
          <w:sz w:val="21"/>
          <w:szCs w:val="21"/>
          <w:u w:val="single" w:color="auto"/>
          <w:color w:val="auto"/>
        </w:rPr>
        <w:t>VEGF Trap</w:t>
      </w:r>
      <w:r>
        <w:rPr>
          <w:rFonts w:ascii="Arial" w:cs="Arial" w:eastAsia="Arial" w:hAnsi="Arial"/>
          <w:sz w:val="21"/>
          <w:szCs w:val="21"/>
          <w:color w:val="auto"/>
        </w:rPr>
        <w:t>” shall mean [****].</w:t>
      </w: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40"/>
          </w:cols>
          <w:pgMar w:left="240" w:top="631" w:right="319" w:bottom="1440" w:gutter="0" w:footer="0" w:header="0"/>
        </w:sectPr>
      </w:pPr>
    </w:p>
    <w:bookmarkStart w:id="92" w:name="page93"/>
    <w:bookmarkEnd w:id="92"/>
    <w:p>
      <w:pPr>
        <w:ind w:right="120" w:firstLine="648"/>
        <w:spacing w:after="0" w:line="358" w:lineRule="auto"/>
        <w:rPr>
          <w:sz w:val="20"/>
          <w:szCs w:val="20"/>
          <w:color w:val="auto"/>
        </w:rPr>
      </w:pPr>
      <w:r>
        <w:rPr>
          <w:rFonts w:ascii="Arial" w:cs="Arial" w:eastAsia="Arial" w:hAnsi="Arial"/>
          <w:sz w:val="19"/>
          <w:szCs w:val="19"/>
          <w:color w:val="auto"/>
        </w:rPr>
        <w:t>1.136 “</w:t>
      </w:r>
      <w:r>
        <w:rPr>
          <w:rFonts w:ascii="Arial" w:cs="Arial" w:eastAsia="Arial" w:hAnsi="Arial"/>
          <w:sz w:val="19"/>
          <w:szCs w:val="19"/>
          <w:u w:val="single" w:color="auto"/>
          <w:color w:val="auto"/>
        </w:rPr>
        <w:t>VEGF Trap Product</w:t>
      </w:r>
      <w:r>
        <w:rPr>
          <w:rFonts w:ascii="Arial" w:cs="Arial" w:eastAsia="Arial" w:hAnsi="Arial"/>
          <w:sz w:val="19"/>
          <w:szCs w:val="19"/>
          <w:color w:val="auto"/>
        </w:rPr>
        <w:t>” shall mean any pharmaceutical products for human and/or animal use which includes VEGF Trap as an active ingredient, alone or in combination with one or more other active ingredients, for any and all indications.</w:t>
      </w:r>
    </w:p>
    <w:p>
      <w:pPr>
        <w:spacing w:after="0" w:line="8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2</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GENERAL</w:t>
      </w:r>
    </w:p>
    <w:p>
      <w:pPr>
        <w:spacing w:after="0" w:line="4" w:lineRule="exact"/>
        <w:rPr>
          <w:sz w:val="20"/>
          <w:szCs w:val="20"/>
          <w:color w:val="auto"/>
        </w:rPr>
      </w:pPr>
    </w:p>
    <w:p>
      <w:pPr>
        <w:ind w:right="260" w:firstLine="648"/>
        <w:spacing w:after="0" w:line="300"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Compliance With Law</w:t>
      </w:r>
      <w:r>
        <w:rPr>
          <w:rFonts w:ascii="Arial" w:cs="Arial" w:eastAsia="Arial" w:hAnsi="Arial"/>
          <w:sz w:val="19"/>
          <w:szCs w:val="19"/>
          <w:color w:val="auto"/>
        </w:rPr>
        <w:t>. Both Aventis and Regeneron, and their respective Affiliates, shall perform their obligations under this Agreement in an effort to Develop, manufacture, and Commercialize Licensed Products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146" w:lineRule="exact"/>
        <w:rPr>
          <w:sz w:val="20"/>
          <w:szCs w:val="20"/>
          <w:color w:val="auto"/>
        </w:rPr>
      </w:pPr>
    </w:p>
    <w:p>
      <w:pPr>
        <w:ind w:right="260" w:firstLine="648"/>
        <w:spacing w:after="0" w:line="35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Subject to the terms of this Agreement, each Party (and its Affiliates) shall use Commercially Reasonable Efforts to fulfill all responsibilities assigned to it under this Agreement and any then-applicable Plans.</w:t>
      </w:r>
    </w:p>
    <w:p>
      <w:pPr>
        <w:spacing w:after="0" w:line="91"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Further Assurances and Transaction Approvals</w:t>
      </w:r>
      <w:r>
        <w:rPr>
          <w:rFonts w:ascii="Arial" w:cs="Arial" w:eastAsia="Arial" w:hAnsi="Arial"/>
          <w:sz w:val="21"/>
          <w:szCs w:val="21"/>
          <w:color w:val="auto"/>
        </w:rPr>
        <w:t>. Upon the terms and subject to the conditions hereof, each of the Parties will use all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18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Compliance with Third Party Agreements</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61" w:lineRule="auto"/>
        <w:tabs>
          <w:tab w:leader="none" w:pos="1716" w:val="left"/>
        </w:tabs>
        <w:numPr>
          <w:ilvl w:val="0"/>
          <w:numId w:val="30"/>
        </w:numPr>
        <w:rPr>
          <w:rFonts w:ascii="Arial" w:cs="Arial" w:eastAsia="Arial" w:hAnsi="Arial"/>
          <w:sz w:val="21"/>
          <w:szCs w:val="21"/>
          <w:color w:val="auto"/>
        </w:rPr>
      </w:pPr>
      <w:r>
        <w:rPr>
          <w:rFonts w:ascii="Arial" w:cs="Arial" w:eastAsia="Arial" w:hAnsi="Arial"/>
          <w:sz w:val="21"/>
          <w:szCs w:val="21"/>
          <w:color w:val="auto"/>
        </w:rPr>
        <w:t>Aventis agrees to comply with the obligations set forth in (i) the Existing Licenses or the New Licenses to which it is a party and to notify Regeneron of any terms or conditions in any such Existing License or New License with which Regeneron is required to comply as a licensee or sublicensee, as the case may be, and (ii) any other material agreement to which Aventis is a party and that is related to the development, manufacture or commercialization of VEGF Products, including, without limitation, any obligations to pay royalties, fees or other amounts due thereunder, in each case ((i) and (ii)), as necessary to preserve the rights granted to Regeneron and the obligations assumed by Aventis under this Agreement with respect to VEGF Products inside and outside the Field in the Territory. Moreover, Aventis shall (A) take all actions reasonably necessary to ensure Aventis’ compliance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31" w:right="239" w:bottom="1440" w:gutter="0" w:footer="0" w:header="0"/>
        </w:sectPr>
      </w:pPr>
    </w:p>
    <w:bookmarkStart w:id="93" w:name="page94"/>
    <w:bookmarkEnd w:id="93"/>
    <w:p>
      <w:pPr>
        <w:ind w:right="120"/>
        <w:spacing w:after="0" w:line="294" w:lineRule="auto"/>
        <w:rPr>
          <w:sz w:val="20"/>
          <w:szCs w:val="20"/>
          <w:color w:val="auto"/>
        </w:rPr>
      </w:pPr>
      <w:r>
        <w:rPr>
          <w:rFonts w:ascii="Arial" w:cs="Arial" w:eastAsia="Arial" w:hAnsi="Arial"/>
          <w:sz w:val="19"/>
          <w:szCs w:val="19"/>
          <w:color w:val="auto"/>
        </w:rPr>
        <w:t>with (1) any such terms and conditions of any Existing License or New License with which Aventis is required to comply as a licensee or sublicensee, as the case may be, and (2) any such material agreement referred to in clause (ii) above and (B) not terminate or amend any Existing License, New License or any other material agreement referred to in clause (ii) above, in each case, without the prior written consent of Regeneron, such consent not to be unreasonably withheld or delayed, if such termination or amendment would impose any material liability or restriction on Regeneron with respect to the development, manufacture or commercialization of VEGF Products (other than Licensed Products in the Field in the Territory) in the Territory.</w:t>
      </w:r>
    </w:p>
    <w:p>
      <w:pPr>
        <w:spacing w:after="0" w:line="150" w:lineRule="exact"/>
        <w:rPr>
          <w:sz w:val="20"/>
          <w:szCs w:val="20"/>
          <w:color w:val="auto"/>
        </w:rPr>
      </w:pPr>
    </w:p>
    <w:p>
      <w:pPr>
        <w:ind w:firstLine="1305"/>
        <w:spacing w:after="0" w:line="288" w:lineRule="auto"/>
        <w:tabs>
          <w:tab w:leader="none" w:pos="1728" w:val="left"/>
        </w:tabs>
        <w:numPr>
          <w:ilvl w:val="0"/>
          <w:numId w:val="31"/>
        </w:numPr>
        <w:rPr>
          <w:rFonts w:ascii="Arial" w:cs="Arial" w:eastAsia="Arial" w:hAnsi="Arial"/>
          <w:sz w:val="19"/>
          <w:szCs w:val="19"/>
          <w:color w:val="auto"/>
        </w:rPr>
      </w:pPr>
      <w:r>
        <w:rPr>
          <w:rFonts w:ascii="Arial" w:cs="Arial" w:eastAsia="Arial" w:hAnsi="Arial"/>
          <w:sz w:val="19"/>
          <w:szCs w:val="19"/>
          <w:color w:val="auto"/>
        </w:rPr>
        <w:t>Regeneron agrees to comply with the obligations set forth in (i) the Existing Licenses or the New Licenses to which it is a party and to notify Aventis of any terms or conditions in any such Existing License or New License with which Aventis is required to comply as a licensee or sublicensee, as the case may be, and (ii) any other material agreement to which Regeneron is a party and that is related to the Development, manufacture or Commercialization of Licensed Products in the Field in the Territory, including, without limitation, and subject to Section 9.4, any obligations to pay royalties, fees or other amounts due thereunder, in each case ((i) and (ii)), as necessary to preserve the rights granted to Aventis and the obligations assumed by Regeneron under this Agreement with respect to Licensed Products in the Field in the Territory. Moreover, Regeneron shall (A) take all actions reasonably necessary to ensure Regeneron’s compliance with (1) any such terms and conditions of any Existing License or New License with which Regeneron is required to comply as a licensee or sublicensee, as the case may be, and (2) any such material agreement referred to in clause (ii) above and (B) not terminate or amend any Existing License, New License or any other material agreement referred to in clause (ii) above, in each case, without the prior written consent of Aventis, such consent not to be unreasonably withheld or delayed, if such termination or amendment would impose any material liability or restriction on Aventis with respect to the Development, manufacture or Commercialization of Licensed Products in the Field in the Territory.</w:t>
      </w:r>
    </w:p>
    <w:p>
      <w:pPr>
        <w:spacing w:after="0" w:line="156" w:lineRule="exact"/>
        <w:rPr>
          <w:rFonts w:ascii="Arial" w:cs="Arial" w:eastAsia="Arial" w:hAnsi="Arial"/>
          <w:sz w:val="19"/>
          <w:szCs w:val="19"/>
          <w:color w:val="auto"/>
        </w:rPr>
      </w:pPr>
    </w:p>
    <w:p>
      <w:pPr>
        <w:ind w:right="140" w:firstLine="1305"/>
        <w:spacing w:after="0" w:line="254" w:lineRule="auto"/>
        <w:tabs>
          <w:tab w:leader="none" w:pos="1716"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Aventis shall not be permitted to enter into any New License pursuant to which it obtains rights to VEGF Products outside of the Field in the Territory and Regeneron shall not be permitted to enter into any New License pursuant to which it obtains rights to VEGF Products in the Field in the Territory, in each case, without the prior written consent of the other Party.</w:t>
      </w:r>
    </w:p>
    <w:p>
      <w:pPr>
        <w:spacing w:after="0" w:line="18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Plans</w:t>
      </w:r>
      <w:r>
        <w:rPr>
          <w:rFonts w:ascii="Arial" w:cs="Arial" w:eastAsia="Arial" w:hAnsi="Arial"/>
          <w:sz w:val="19"/>
          <w:szCs w:val="19"/>
          <w:color w:val="auto"/>
        </w:rPr>
        <w:t>. Aventis shall undertake all Development and Commercialization activities in accordance with approved Plans.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The Parties may agree to amend all Plans from time to time as circumstances may require pursuant to the terms of this Agreement.</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3</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JOINT ZALTRAP COMMITTEE</w:t>
      </w:r>
    </w:p>
    <w:p>
      <w:pPr>
        <w:spacing w:after="0" w:line="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Joint ZALTRAP Committee</w:t>
      </w:r>
      <w:r>
        <w:rPr>
          <w:rFonts w:ascii="Arial" w:cs="Arial" w:eastAsia="Arial" w:hAnsi="Arial"/>
          <w:sz w:val="19"/>
          <w:szCs w:val="19"/>
          <w:color w:val="auto"/>
        </w:rPr>
        <w:t>. Within thirty (30) days after the Effective Date, the Parties shall establish a joint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ZALTRAP committee (the “</w:t>
      </w:r>
      <w:r>
        <w:rPr>
          <w:rFonts w:ascii="Arial" w:cs="Arial" w:eastAsia="Arial" w:hAnsi="Arial"/>
          <w:sz w:val="22"/>
          <w:szCs w:val="22"/>
          <w:u w:val="single" w:color="auto"/>
          <w:color w:val="auto"/>
        </w:rPr>
        <w:t>Joint ZALTRAP Committee</w:t>
      </w:r>
      <w:r>
        <w:rPr>
          <w:rFonts w:ascii="Arial" w:cs="Arial" w:eastAsia="Arial" w:hAnsi="Arial"/>
          <w:sz w:val="22"/>
          <w:szCs w:val="22"/>
          <w:color w:val="auto"/>
        </w:rPr>
        <w:t>” or “</w:t>
      </w:r>
      <w:r>
        <w:rPr>
          <w:rFonts w:ascii="Arial" w:cs="Arial" w:eastAsia="Arial" w:hAnsi="Arial"/>
          <w:sz w:val="22"/>
          <w:szCs w:val="22"/>
          <w:u w:val="single" w:color="auto"/>
          <w:color w:val="auto"/>
        </w:rPr>
        <w:t>JZC</w:t>
      </w:r>
      <w:r>
        <w:rPr>
          <w:rFonts w:ascii="Arial" w:cs="Arial" w:eastAsia="Arial" w:hAnsi="Arial"/>
          <w:sz w:val="22"/>
          <w:szCs w:val="22"/>
          <w:color w:val="auto"/>
        </w:rPr>
        <w:t>”), which shall have the following responsibilities: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31" w:right="239" w:bottom="1440" w:gutter="0" w:footer="0" w:header="0"/>
        </w:sectPr>
      </w:pPr>
    </w:p>
    <w:bookmarkStart w:id="94" w:name="page95"/>
    <w:bookmarkEnd w:id="94"/>
    <w:p>
      <w:pPr>
        <w:ind w:right="460" w:firstLine="1305"/>
        <w:spacing w:after="0" w:line="260" w:lineRule="auto"/>
        <w:tabs>
          <w:tab w:leader="none" w:pos="17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coordinating the Parties’ (or its Affiliates’) activities under the Supply Agreement, including the sharing of information between the Parties with respect to Regeneron’s Available Capacity and Aventis’s projected Clinical Supply Requirements and Commercial Supply Requirements;</w:t>
      </w:r>
    </w:p>
    <w:p>
      <w:pPr>
        <w:spacing w:after="0" w:line="177" w:lineRule="exact"/>
        <w:rPr>
          <w:rFonts w:ascii="Arial" w:cs="Arial" w:eastAsia="Arial" w:hAnsi="Arial"/>
          <w:sz w:val="22"/>
          <w:szCs w:val="22"/>
          <w:color w:val="auto"/>
        </w:rPr>
      </w:pPr>
    </w:p>
    <w:p>
      <w:pPr>
        <w:ind w:right="940" w:firstLine="1305"/>
        <w:spacing w:after="0" w:line="301" w:lineRule="auto"/>
        <w:tabs>
          <w:tab w:leader="none" w:pos="1728" w:val="left"/>
        </w:tabs>
        <w:numPr>
          <w:ilvl w:val="0"/>
          <w:numId w:val="32"/>
        </w:numPr>
        <w:rPr>
          <w:rFonts w:ascii="Arial" w:cs="Arial" w:eastAsia="Arial" w:hAnsi="Arial"/>
          <w:sz w:val="21"/>
          <w:szCs w:val="21"/>
          <w:color w:val="auto"/>
        </w:rPr>
      </w:pPr>
      <w:r>
        <w:rPr>
          <w:rFonts w:ascii="Arial" w:cs="Arial" w:eastAsia="Arial" w:hAnsi="Arial"/>
          <w:sz w:val="21"/>
          <w:szCs w:val="21"/>
          <w:color w:val="auto"/>
        </w:rPr>
        <w:t>coordinating the exchange and review of the Development Plan, the Commercialization Plan and any Development or Commercialization reports described in Sections 5.4 and 6.3 between the Parties;</w:t>
      </w:r>
    </w:p>
    <w:p>
      <w:pPr>
        <w:spacing w:after="0" w:line="137" w:lineRule="exact"/>
        <w:rPr>
          <w:rFonts w:ascii="Arial" w:cs="Arial" w:eastAsia="Arial" w:hAnsi="Arial"/>
          <w:sz w:val="21"/>
          <w:szCs w:val="21"/>
          <w:color w:val="auto"/>
        </w:rPr>
      </w:pPr>
    </w:p>
    <w:p>
      <w:pPr>
        <w:ind w:left="1720" w:hanging="415"/>
        <w:spacing w:after="0"/>
        <w:tabs>
          <w:tab w:leader="none" w:pos="1720" w:val="left"/>
        </w:tabs>
        <w:numPr>
          <w:ilvl w:val="0"/>
          <w:numId w:val="32"/>
        </w:numPr>
        <w:rPr>
          <w:rFonts w:ascii="Arial" w:cs="Arial" w:eastAsia="Arial" w:hAnsi="Arial"/>
          <w:sz w:val="19"/>
          <w:szCs w:val="19"/>
          <w:color w:val="auto"/>
        </w:rPr>
      </w:pPr>
      <w:r>
        <w:rPr>
          <w:rFonts w:ascii="Arial" w:cs="Arial" w:eastAsia="Arial" w:hAnsi="Arial"/>
          <w:sz w:val="19"/>
          <w:szCs w:val="19"/>
          <w:color w:val="auto"/>
        </w:rPr>
        <w:t>coordinating any activities to be performed by the Parties as described in ARTICLE 5 and ARTICLE 6; and</w:t>
      </w:r>
    </w:p>
    <w:p>
      <w:pPr>
        <w:spacing w:after="0" w:line="267" w:lineRule="exact"/>
        <w:rPr>
          <w:rFonts w:ascii="Arial" w:cs="Arial" w:eastAsia="Arial" w:hAnsi="Arial"/>
          <w:sz w:val="19"/>
          <w:szCs w:val="19"/>
          <w:color w:val="auto"/>
        </w:rPr>
      </w:pPr>
    </w:p>
    <w:p>
      <w:pPr>
        <w:ind w:left="1740" w:hanging="435"/>
        <w:spacing w:after="0"/>
        <w:tabs>
          <w:tab w:leader="none" w:pos="1740" w:val="left"/>
        </w:tabs>
        <w:numPr>
          <w:ilvl w:val="0"/>
          <w:numId w:val="32"/>
        </w:numPr>
        <w:rPr>
          <w:rFonts w:ascii="Arial" w:cs="Arial" w:eastAsia="Arial" w:hAnsi="Arial"/>
          <w:sz w:val="21"/>
          <w:szCs w:val="21"/>
          <w:color w:val="auto"/>
        </w:rPr>
      </w:pPr>
      <w:r>
        <w:rPr>
          <w:rFonts w:ascii="Arial" w:cs="Arial" w:eastAsia="Arial" w:hAnsi="Arial"/>
          <w:sz w:val="21"/>
          <w:szCs w:val="21"/>
          <w:color w:val="auto"/>
        </w:rPr>
        <w:t>coordinating the Parties’ regulatory activities and interactions with Regulatory Authorities pursuant to</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ARTICLE 7.</w:t>
      </w:r>
    </w:p>
    <w:p>
      <w:pPr>
        <w:spacing w:after="0" w:line="21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Composition; Meetings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54" w:lineRule="auto"/>
        <w:tabs>
          <w:tab w:leader="none" w:pos="1716"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The JZC shall be comprised of senior representatives from each of Aventis and Regeneron, selected by such Party. The exact number of representatives of each Party shall be as determined by such Party; </w:t>
      </w:r>
      <w:r>
        <w:rPr>
          <w:rFonts w:ascii="Arial" w:cs="Arial" w:eastAsia="Arial" w:hAnsi="Arial"/>
          <w:sz w:val="22"/>
          <w:szCs w:val="22"/>
          <w:i w:val="1"/>
          <w:iCs w:val="1"/>
          <w:color w:val="auto"/>
        </w:rPr>
        <w:t>provided, however</w:t>
      </w:r>
      <w:r>
        <w:rPr>
          <w:rFonts w:ascii="Arial" w:cs="Arial" w:eastAsia="Arial" w:hAnsi="Arial"/>
          <w:sz w:val="22"/>
          <w:szCs w:val="22"/>
          <w:color w:val="auto"/>
        </w:rPr>
        <w:t>, that neither Party shall appoint more than three (3) representatives to serve on the JZC. A Party may change any of its representatives at any time by giving written notice to the other Party.</w:t>
      </w:r>
    </w:p>
    <w:p>
      <w:pPr>
        <w:spacing w:after="0" w:line="185" w:lineRule="exact"/>
        <w:rPr>
          <w:rFonts w:ascii="Arial" w:cs="Arial" w:eastAsia="Arial" w:hAnsi="Arial"/>
          <w:sz w:val="22"/>
          <w:szCs w:val="22"/>
          <w:color w:val="auto"/>
        </w:rPr>
      </w:pPr>
    </w:p>
    <w:p>
      <w:pPr>
        <w:ind w:right="240" w:firstLine="1305"/>
        <w:spacing w:after="0" w:line="266" w:lineRule="auto"/>
        <w:tabs>
          <w:tab w:leader="none" w:pos="1728" w:val="left"/>
        </w:tabs>
        <w:numPr>
          <w:ilvl w:val="0"/>
          <w:numId w:val="33"/>
        </w:numPr>
        <w:rPr>
          <w:rFonts w:ascii="Arial" w:cs="Arial" w:eastAsia="Arial" w:hAnsi="Arial"/>
          <w:sz w:val="21"/>
          <w:szCs w:val="21"/>
          <w:color w:val="auto"/>
        </w:rPr>
      </w:pPr>
      <w:r>
        <w:rPr>
          <w:rFonts w:ascii="Arial" w:cs="Arial" w:eastAsia="Arial" w:hAnsi="Arial"/>
          <w:sz w:val="21"/>
          <w:szCs w:val="21"/>
          <w:color w:val="auto"/>
        </w:rPr>
        <w:t>The JZC shall have two co-chairpersons, one designated by each of Aventis and Regeneron. The co-chairpersons of the JZC shall be: (i) entitled to set meeting agendas; provided that the agenda shall include any matter reasonably requested by either Party; and (ii) required to call emergency meetings of the JZC at the request of a Party. The JZC co-chairpersons shall be responsible for recording, preparing and, within a reasonable time, issuing minutes of the JZC meetings, which meeting minutes shall be submitted for approval of the members of the JZC.</w:t>
      </w:r>
    </w:p>
    <w:p>
      <w:pPr>
        <w:spacing w:after="0" w:line="174" w:lineRule="exact"/>
        <w:rPr>
          <w:rFonts w:ascii="Arial" w:cs="Arial" w:eastAsia="Arial" w:hAnsi="Arial"/>
          <w:sz w:val="21"/>
          <w:szCs w:val="21"/>
          <w:color w:val="auto"/>
        </w:rPr>
      </w:pPr>
    </w:p>
    <w:p>
      <w:pPr>
        <w:ind w:right="280" w:firstLine="1305"/>
        <w:spacing w:after="0" w:line="300" w:lineRule="auto"/>
        <w:tabs>
          <w:tab w:leader="none" w:pos="171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The JZC shall meet whenever any member of the JZC shall make such a request in writing to the co-chairpersons;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JZC shall in no event meet less frequently than every six (6) months. Subject to appropriate confidentiality undertakings where applicable, additional participants may be invited by any member of the JZC to attend meetings where appropriate (e.g., representatives of regulatory affairs or outside consultants). Such additional participants shall not be deemed to be members of the JZC, nor shall they have any rights or responsibilities of a member of the JZC.</w:t>
      </w:r>
    </w:p>
    <w:p>
      <w:pPr>
        <w:spacing w:after="0" w:line="147" w:lineRule="exact"/>
        <w:rPr>
          <w:rFonts w:ascii="Arial" w:cs="Arial" w:eastAsia="Arial" w:hAnsi="Arial"/>
          <w:sz w:val="19"/>
          <w:szCs w:val="19"/>
          <w:color w:val="auto"/>
        </w:rPr>
      </w:pPr>
    </w:p>
    <w:p>
      <w:pPr>
        <w:ind w:right="180" w:firstLine="1305"/>
        <w:spacing w:after="0" w:line="260" w:lineRule="auto"/>
        <w:tabs>
          <w:tab w:leader="none" w:pos="172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the event of a dispute within the JZC regarding any matter governed by the dispute resolution provisions of Sections 5.1, 5.2 or 6.1, either Party may refer such dispute to the Executive Officers for resolution pursuant to the provisions of Sections 5.1, 5.2 or 6.1, as applicable.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31" w:right="239" w:bottom="1440" w:gutter="0" w:footer="0" w:header="0"/>
        </w:sectPr>
      </w:pPr>
    </w:p>
    <w:bookmarkStart w:id="95" w:name="page96"/>
    <w:bookmarkEnd w:id="95"/>
    <w:p>
      <w:pPr>
        <w:ind w:right="20"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Limitations on Authority</w:t>
      </w:r>
      <w:r>
        <w:rPr>
          <w:rFonts w:ascii="Arial" w:cs="Arial" w:eastAsia="Arial" w:hAnsi="Arial"/>
          <w:sz w:val="22"/>
          <w:szCs w:val="22"/>
          <w:color w:val="auto"/>
        </w:rPr>
        <w:t>. The JZC shall not have the power to amend, modify or waive compliance with this Agreement, which may only be amended or modified as provided in Section 20.5 or compliance with which may only be waived as provided in Section 20.2.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LICENSE GRANTS</w:t>
      </w:r>
    </w:p>
    <w:p>
      <w:pPr>
        <w:spacing w:after="0" w:line="4" w:lineRule="exact"/>
        <w:rPr>
          <w:sz w:val="20"/>
          <w:szCs w:val="20"/>
          <w:color w:val="auto"/>
        </w:rPr>
      </w:pPr>
    </w:p>
    <w:p>
      <w:pPr>
        <w:ind w:right="260" w:firstLine="648"/>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Regeneron License Grants</w:t>
      </w:r>
      <w:r>
        <w:rPr>
          <w:rFonts w:ascii="Arial" w:cs="Arial" w:eastAsia="Arial" w:hAnsi="Arial"/>
          <w:sz w:val="19"/>
          <w:szCs w:val="19"/>
          <w:color w:val="auto"/>
        </w:rPr>
        <w:t>. Subject to the terms and conditions of this Agreement and any license agreement within the Regeneron Patent Rights, Regeneron hereby grants to Aventis and its Affiliates the nontransferable (except as permitted by Section 20.9), exclusive (including with regard to Regeneron and its Affiliates except as provided in this Section 4.1 and Section</w:t>
      </w:r>
    </w:p>
    <w:p>
      <w:pPr>
        <w:spacing w:after="0" w:line="2" w:lineRule="exact"/>
        <w:rPr>
          <w:sz w:val="20"/>
          <w:szCs w:val="20"/>
          <w:color w:val="auto"/>
        </w:rPr>
      </w:pPr>
    </w:p>
    <w:p>
      <w:pPr>
        <w:ind w:right="100"/>
        <w:spacing w:after="0" w:line="285" w:lineRule="auto"/>
        <w:rPr>
          <w:sz w:val="20"/>
          <w:szCs w:val="20"/>
          <w:color w:val="auto"/>
        </w:rPr>
      </w:pPr>
      <w:r>
        <w:rPr>
          <w:rFonts w:ascii="Arial" w:cs="Arial" w:eastAsia="Arial" w:hAnsi="Arial"/>
          <w:sz w:val="19"/>
          <w:szCs w:val="19"/>
          <w:color w:val="auto"/>
        </w:rPr>
        <w:t xml:space="preserve">4.2) right and license, with the right to grant sublicenses in accordance with Section 4.3, under the Regeneron Intellectual Property and Regeneron’s interest in the Joint Intellectual Property to make, have made, import, use, sell and offer for sale the Licensed Products solely for use in the Field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Regeneron reserves for itself and its Affiliates and its and their Third Party licensees the non-exclusive right under the Regeneron Intellectual Property and Regeneron’s interest in the Joint Intellectual Property to make, have made and use the Licensed Compound and Licensed Products for research and development purposes in the Field in the Territory. For clarity, the foregoing proviso shall not grant Regeneron rights under the Regeneron Intellectual Property and Regeneron’s interest in the Joint Intellectual Property to sell or offer for sale the Licensed Products in the Field in the Territory. The foregoing license grant shall not preclude Regeneron from, and Regeneron retains all rights with respect to, using or otherwise exploiting, or granting any Person the right to use or otherwise exploit, Regeneron Intellectual Property and Regeneron’s interest in the Joint Intellectual Property for the making, having made, importing, using, selling and offering for sale (a) the Licensed Compound and Licensed Products solely for use outside the Field in the Territory and (b) products (other than Licensed Products) for use with Licensed Products in the Field in the Territory.</w:t>
      </w:r>
    </w:p>
    <w:p>
      <w:pPr>
        <w:spacing w:after="0" w:line="164"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Aventis License Grants</w:t>
      </w:r>
      <w:r>
        <w:rPr>
          <w:rFonts w:ascii="Arial" w:cs="Arial" w:eastAsia="Arial" w:hAnsi="Arial"/>
          <w:sz w:val="19"/>
          <w:szCs w:val="19"/>
          <w:color w:val="auto"/>
        </w:rPr>
        <w:t>. Subject to the terms and conditions of this Agreement and any license agreement within the Aventis Patent Rights, Aventis hereby grants to Regeneron and its Affiliates (a) a fully paid-up, royalty-free, worldwide, exclusive (including with regard to Aventis and its Affiliates) right and license, with the right to grant sublicenses through multiple tiers, under the Aventis Intellectual Property and Aventis’ interest in the Joint Intellectual Property to make, have made, import, use, sell and offer for sale (i) the Licensed Compound and Licensed Products solely for use in the Excluded Ocular Field worldwide and (ii) VEGF Products (other than Licensed Products) worldwide and (b) a fully paid-up, royalty-free, worldwide, non-exclusive right and license, with the right to grant sublicenses through multiple tiers, under the Aventis Intellectual Property and Aventis’ interest in the Joint Intellectual Property to make, have made, import, use, sell and offer for sale products (other than Licensed Products) for use with Licensed Products in the Field worldwide. For clarity, clause (b) above does not include the rights to make, have made, sell or offer for sale Licensed Products in the Field in the Territory.</w:t>
      </w:r>
    </w:p>
    <w:p>
      <w:pPr>
        <w:spacing w:after="0" w:line="156"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Sublicenses; Subcontracting</w:t>
      </w:r>
      <w:r>
        <w:rPr>
          <w:rFonts w:ascii="Arial" w:cs="Arial" w:eastAsia="Arial" w:hAnsi="Arial"/>
          <w:sz w:val="22"/>
          <w:szCs w:val="22"/>
          <w:color w:val="auto"/>
        </w:rPr>
        <w:t>. Unless otherwise restricted by any Existing License or New License, the rights granted to Aventis and its Affiliates under the Regeneron Intellectual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00"/>
          </w:cols>
          <w:pgMar w:left="240" w:top="631" w:right="259" w:bottom="1440" w:gutter="0" w:footer="0" w:header="0"/>
        </w:sectPr>
      </w:pPr>
    </w:p>
    <w:bookmarkStart w:id="96" w:name="page97"/>
    <w:bookmarkEnd w:id="96"/>
    <w:p>
      <w:pPr>
        <w:ind w:right="40"/>
        <w:spacing w:after="0" w:line="285" w:lineRule="auto"/>
        <w:rPr>
          <w:sz w:val="20"/>
          <w:szCs w:val="20"/>
          <w:color w:val="auto"/>
        </w:rPr>
      </w:pPr>
      <w:r>
        <w:rPr>
          <w:rFonts w:ascii="Arial" w:cs="Arial" w:eastAsia="Arial" w:hAnsi="Arial"/>
          <w:sz w:val="19"/>
          <w:szCs w:val="19"/>
          <w:color w:val="auto"/>
        </w:rPr>
        <w:t xml:space="preserve">Property and Regeneron Trademarks are sublicensable with the prior written consent of Regeneron, which consent shall not be unreasonably withheld, conditioned or delayed outside of the United States;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nothing shall prevent Aventis from sublicensing its rights to a Distributor to sell or offer to sell the Licensed Product in the Field in the Territory (other than the United States). For the avoidance of doubt, Regeneron may withhold such consent if Regeneron reasonably determines such sublicense would reduce its financial return from this Agreement in the applicable country. Aventis shall remain responsible and liable for the compliance by its Affiliates and its and their permitted sublicensees and Distributors with applicable terms and obligations set forth herein, including payment under this Agreement and the Supply Agreement with respect to Net Sales of Licensed Products in the Field by such Affiliates, sublicensees or Distributors. Aventis agrees that any sublicense granted pursuant to this ARTICLE 4 or ARTICLE 11 shall be consistent with, and expressly subject to, the covenants, terms and conditions set forth in this Agreement. Promptly after entering into any such sublicense, or any amendment or modification thereto, Aventis will provide a true and correct copy thereof to Regeneron. Aventis shall also have the right to contract with one or more Third Parties to perform certain of its obligations under the Plans if specifically contemplated therein,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Aventis shall remain responsible and liable for the acts and omissions of such Third Party service providers and such Third Parties undertake in writing obligations of confidentiality and non-use of New Information and/or Party Information that are substantially the same as those undertaken by Aventis under this Agreement. In the event of a breach by a sublicensee, Distributor or a Third Party contractor of any sublicense or subcontract granted or awarded hereunder by Aventis which has or is reasonably likely to have a material adverse effect on Regeneron or the Regeneron Intellectual Property or Regeneron Trademarks, then Regeneron may cause Aventis to exercise, and Aventis will promptly exercise, any termination rights it may have under the sublicense or subcontract with such sublicensee, Distributor or Third Party contractor. All sublicenses and subcontracts granted under this Agreement will terminate upon termination or expiration of this Agreement.</w:t>
      </w:r>
    </w:p>
    <w:p>
      <w:pPr>
        <w:spacing w:after="0" w:line="200" w:lineRule="exact"/>
        <w:rPr>
          <w:sz w:val="20"/>
          <w:szCs w:val="20"/>
          <w:color w:val="auto"/>
        </w:rPr>
      </w:pPr>
    </w:p>
    <w:p>
      <w:pPr>
        <w:spacing w:after="0" w:line="218" w:lineRule="exact"/>
        <w:rPr>
          <w:sz w:val="20"/>
          <w:szCs w:val="20"/>
          <w:color w:val="auto"/>
        </w:rPr>
      </w:pPr>
    </w:p>
    <w:p>
      <w:pPr>
        <w:ind w:right="260" w:firstLine="648"/>
        <w:spacing w:after="0" w:line="278"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No Implied License</w:t>
      </w:r>
      <w:r>
        <w:rPr>
          <w:rFonts w:ascii="Arial" w:cs="Arial" w:eastAsia="Arial" w:hAnsi="Arial"/>
          <w:sz w:val="21"/>
          <w:szCs w:val="21"/>
          <w:color w:val="auto"/>
        </w:rPr>
        <w:t>. Except as expressly provided herein, neither Party will be deemed by this Agreement to have been granted any license or other rights to the other Party’s Patents, Know-How, Party Information or the other Party’s interest in the Joint Intellectual Property either expressly or by implication, estoppel or otherwise.</w:t>
      </w:r>
    </w:p>
    <w:p>
      <w:pPr>
        <w:spacing w:after="0" w:line="160" w:lineRule="exact"/>
        <w:rPr>
          <w:sz w:val="20"/>
          <w:szCs w:val="20"/>
          <w:color w:val="auto"/>
        </w:rPr>
      </w:pPr>
    </w:p>
    <w:p>
      <w:pPr>
        <w:ind w:firstLine="648"/>
        <w:spacing w:after="0" w:line="270"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Technology Transfer</w:t>
      </w:r>
      <w:r>
        <w:rPr>
          <w:rFonts w:ascii="Arial" w:cs="Arial" w:eastAsia="Arial" w:hAnsi="Arial"/>
          <w:sz w:val="21"/>
          <w:szCs w:val="21"/>
          <w:color w:val="auto"/>
        </w:rPr>
        <w:t>. To the extent reasonably necessary for each Party to exercise its rights and perform its obligations under this Agreement with respect to the other Party’s intellectual property, and from time to time during the Term, each Party shall provide to the other Party one (1) copy of books and records embodying such Party’s applicable intellectual property, to the extent such books and records may exist or be created in the ordinary course of business.</w:t>
      </w:r>
    </w:p>
    <w:p>
      <w:pPr>
        <w:spacing w:after="0" w:line="169"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color w:val="auto"/>
        </w:rPr>
        <w:t xml:space="preserve">4.6 </w:t>
      </w:r>
      <w:r>
        <w:rPr>
          <w:rFonts w:ascii="Arial" w:cs="Arial" w:eastAsia="Arial" w:hAnsi="Arial"/>
          <w:sz w:val="21"/>
          <w:szCs w:val="21"/>
          <w:u w:val="single" w:color="auto"/>
          <w:color w:val="auto"/>
        </w:rPr>
        <w:t>Certain Newly Created Intellectual Property</w:t>
      </w:r>
      <w:r>
        <w:rPr>
          <w:rFonts w:ascii="Arial" w:cs="Arial" w:eastAsia="Arial" w:hAnsi="Arial"/>
          <w:sz w:val="21"/>
          <w:szCs w:val="21"/>
          <w:color w:val="auto"/>
        </w:rPr>
        <w:t>. In addition to the other licenses granted under this ARTICLE 4 and subject to the other terms and conditions of this Agreement, to the extent permitted under any relevant Third Party agreement, each Party hereby grants to the other Party and its Affiliates the perpetual, royalty-free, paid-up, non-exclusive, worldwide right and license, with the right to grant sublicenses through multiple tiers, to use and practice for any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31" w:right="239" w:bottom="1440" w:gutter="0" w:footer="0" w:header="0"/>
        </w:sectPr>
      </w:pPr>
    </w:p>
    <w:bookmarkStart w:id="97" w:name="page98"/>
    <w:bookmarkEnd w:id="97"/>
    <w:p>
      <w:pPr>
        <w:spacing w:after="0" w:line="257" w:lineRule="auto"/>
        <w:rPr>
          <w:sz w:val="20"/>
          <w:szCs w:val="20"/>
          <w:color w:val="auto"/>
        </w:rPr>
      </w:pPr>
      <w:r>
        <w:rPr>
          <w:rFonts w:ascii="Arial" w:cs="Arial" w:eastAsia="Arial" w:hAnsi="Arial"/>
          <w:sz w:val="21"/>
          <w:szCs w:val="21"/>
          <w:color w:val="auto"/>
        </w:rPr>
        <w:t xml:space="preserve">and all purposes: (a) all intellectual property (including, without limitation, Know-How, Patents and Patent applications and copyrights), other than Excluded Rights, discovered, invented, authored or otherwise created by or on behalf of such Party, its Affiliates or its or their sublicensees or Distributors (other than by the other Party or its Affiliates) after January 31, 2006 directly in connection with the performance of the research activities and/or clinical development activities under this Agreement, in each case, as included in Co-Development Plans (as defined in this Agreement prior to the Amendment Execution Date) or the Development Plan, and (b) the Patents and Know-How identified on </w:t>
      </w:r>
      <w:r>
        <w:rPr>
          <w:rFonts w:ascii="Arial" w:cs="Arial" w:eastAsia="Arial" w:hAnsi="Arial"/>
          <w:sz w:val="21"/>
          <w:szCs w:val="21"/>
          <w:u w:val="single" w:color="auto"/>
          <w:color w:val="auto"/>
        </w:rPr>
        <w:t>Schedule 2</w:t>
      </w:r>
      <w:r>
        <w:rPr>
          <w:rFonts w:ascii="Arial" w:cs="Arial" w:eastAsia="Arial" w:hAnsi="Arial"/>
          <w:sz w:val="21"/>
          <w:szCs w:val="21"/>
          <w:color w:val="auto"/>
        </w:rPr>
        <w:t xml:space="preserve"> (which were discovered or otherwise created by Regeneron (either solely or with Third Party collaborators) directly in connection with the performance of the Co-Development Plans (as defined in this Agreement prior to the Amendment Execution Date) prior to January 31, 2006). As used above, the term “</w:t>
      </w:r>
      <w:r>
        <w:rPr>
          <w:rFonts w:ascii="Arial" w:cs="Arial" w:eastAsia="Arial" w:hAnsi="Arial"/>
          <w:sz w:val="21"/>
          <w:szCs w:val="21"/>
          <w:u w:val="single" w:color="auto"/>
          <w:color w:val="auto"/>
        </w:rPr>
        <w:t>Excluded Rights</w:t>
      </w:r>
      <w:r>
        <w:rPr>
          <w:rFonts w:ascii="Arial" w:cs="Arial" w:eastAsia="Arial" w:hAnsi="Arial"/>
          <w:sz w:val="21"/>
          <w:szCs w:val="21"/>
          <w:color w:val="auto"/>
        </w:rPr>
        <w:t>” shall mean any Patents or Know-How claiming or covering the composition (including any formulation) of a VEGF Product, including, without limitation, a VEGF Trap Product. For the avoidance of doubt, nothing in this Section 4.6 shall be construed to grant either Party any license to Patents or Know-How of the other Party discovered, invented, authored or otherwise created by or on behalf of such Party, its Affiliates or its or their sublicensees or Distributors (other than by the other Party or its Affiliates) outside of the approved research activities and/or clinical development activities under this Agreement, in each case, as included in Co-Development Plans (as defined in this Agreement prior to the Amendment Execution Date) or the Development Plan.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DEVELOPMENT ACTIVITIES</w:t>
      </w:r>
    </w:p>
    <w:p>
      <w:pPr>
        <w:spacing w:after="0" w:line="4"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Development of Licensed Products</w:t>
      </w:r>
      <w:r>
        <w:rPr>
          <w:rFonts w:ascii="Arial" w:cs="Arial" w:eastAsia="Arial" w:hAnsi="Arial"/>
          <w:sz w:val="19"/>
          <w:szCs w:val="19"/>
          <w:color w:val="auto"/>
        </w:rPr>
        <w:t>. After the Amendment Effective Date, subject to the terms of this Agreement, as between the Parties, Aventis shall be solely responsible for all aspects of the Development of the Licensed Products in the Field in the Territory, including all costs and expenses related thereto, and shall conduct such Development in accordance with the Development Plan. Without limitation of Section 5.2, Aventis shall (a) use Commercially Reasonable Efforts to Develop, and obtain and maintain Approvals for, the Licensed Products in the Field in the Territory and carry out the Development activities assigned to it in the Development Plan, and (b) conduct all such activities in compliance with applicable Laws, including, without limitation, Good Practices and export and import control Laws. Any dispute under this Section 5.1 regarding whether or not Aventis has used Commercially Reasonable Efforts to Develop, and obtain and maintain Approvals for, the Licensed Products in the Field in the Territory and carry out the Development activities assigned to it in the Development Plan shall be subject to resolution in accordance with Section 10.2.</w:t>
      </w:r>
    </w:p>
    <w:p>
      <w:pPr>
        <w:spacing w:after="0" w:line="200" w:lineRule="exact"/>
        <w:rPr>
          <w:sz w:val="20"/>
          <w:szCs w:val="20"/>
          <w:color w:val="auto"/>
        </w:rPr>
      </w:pPr>
    </w:p>
    <w:p>
      <w:pPr>
        <w:spacing w:after="0" w:line="218" w:lineRule="exact"/>
        <w:rPr>
          <w:sz w:val="20"/>
          <w:szCs w:val="20"/>
          <w:color w:val="auto"/>
        </w:rPr>
      </w:pPr>
    </w:p>
    <w:p>
      <w:pPr>
        <w:ind w:right="300" w:firstLine="648"/>
        <w:spacing w:after="0" w:line="297"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Development Plan</w:t>
      </w:r>
      <w:r>
        <w:rPr>
          <w:rFonts w:ascii="Arial" w:cs="Arial" w:eastAsia="Arial" w:hAnsi="Arial"/>
          <w:sz w:val="19"/>
          <w:szCs w:val="19"/>
          <w:color w:val="auto"/>
        </w:rPr>
        <w:t>. Aventis shall provide an initial plan for the Development of the Licensed Product in the Field in the Territory to Regeneron (the “</w:t>
      </w:r>
      <w:r>
        <w:rPr>
          <w:rFonts w:ascii="Arial" w:cs="Arial" w:eastAsia="Arial" w:hAnsi="Arial"/>
          <w:sz w:val="19"/>
          <w:szCs w:val="19"/>
          <w:u w:val="single" w:color="auto"/>
          <w:color w:val="auto"/>
        </w:rPr>
        <w:t>Development Plan</w:t>
      </w:r>
      <w:r>
        <w:rPr>
          <w:rFonts w:ascii="Arial" w:cs="Arial" w:eastAsia="Arial" w:hAnsi="Arial"/>
          <w:sz w:val="19"/>
          <w:szCs w:val="19"/>
          <w:color w:val="auto"/>
        </w:rPr>
        <w:t>”), after considering Regeneron’s comments in good faith, within thirty (30) days after the Amendment Execution Date. The Parties shall review the Development Plan at least every six (6) months for the purpose of considering appropriate amendments thereto. In the event that Aventis desires to amend the Development Plan in the Field, Aventis shall provide the terms of such proposed amendment to Regeneron in a timely manner prior to implementation of such amendment for Regeneron’s review and comment. Aventis shall consider Regeneron’s comments in good faith.</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631" w:right="259" w:bottom="1440" w:gutter="0" w:footer="0" w:header="0"/>
        </w:sectPr>
      </w:pPr>
    </w:p>
    <w:bookmarkStart w:id="98" w:name="page99"/>
    <w:bookmarkEnd w:id="98"/>
    <w:p>
      <w:pPr>
        <w:spacing w:after="0" w:line="285" w:lineRule="auto"/>
        <w:rPr>
          <w:sz w:val="20"/>
          <w:szCs w:val="20"/>
          <w:color w:val="auto"/>
        </w:rPr>
      </w:pPr>
      <w:r>
        <w:rPr>
          <w:rFonts w:ascii="Arial" w:cs="Arial" w:eastAsia="Arial" w:hAnsi="Arial"/>
          <w:sz w:val="19"/>
          <w:szCs w:val="19"/>
          <w:color w:val="auto"/>
        </w:rPr>
        <w:t>Aventis shall have final decision-making authority regarding any such proposed amendment to the Development Plan in the Field, except with respect to amendments to the Development Plan relating to the conduct of pre-clinical or non-clinical activities with respect to the Development of the Licensed Products in the Field in the Territory, which amendments shall require the prior written consent of Regeneron (not to be unreasonably withheld or delayed). Notwithstanding the foregoing, Aventis shall not undertake any Development activities or amend the Development Plan in any way that may be reasonably expected to have an adverse impact on an Excluded Ocular VEGF Product anywhere in the world. In the event that (a) Regeneron believes in good faith that the Development Plan or any such proposed amendment thereto does not constitute Commercially Reasonable Efforts or otherwise satisfy Aventis’ obligations under this Agreement with respect to a Licensed Product or (b) Regeneron reasonably believes in good faith that any Development activities or any proposed amendment to the Development Plan may be reasonably expected to have an adverse impact on an Excluded Ocular VEGF Product anywhere in the world, Regeneron shall have the right to refer any such dispute described in clause (a) for resolution in accordance with Section 10.2, and any such dispute described in clause (b) for resolution in accordance with Section 10.3 as promptly as possible, and Aventis shall refrain from pursuing the disputed activities or amending the Development Plan during the pendency of any such dispute. Regeneron shall have no obligation with respect to the Development of (and, except as otherwise provided in this Agreement, no right to Develop) Licensed Products in the Field in the Territory, including under the Development Plan, unless and until the Parties agree in writing as to such Development activities and the associated Regeneron Costs, in which case Regeneron shall be reimbursed for such Regeneron Costs pursuant to Section 9.5. The Parties agree that any activities performed by or on behalf of Regeneron to satisfy the requirements of Regulatory Authorities in connection with the manufacture of Licensed Products shall be deemed to have been authorized by Aventis.</w:t>
      </w:r>
    </w:p>
    <w:p>
      <w:pPr>
        <w:spacing w:after="0" w:line="165" w:lineRule="exact"/>
        <w:rPr>
          <w:sz w:val="20"/>
          <w:szCs w:val="20"/>
          <w:color w:val="auto"/>
        </w:rPr>
      </w:pPr>
    </w:p>
    <w:p>
      <w:pPr>
        <w:ind w:right="100" w:firstLine="648"/>
        <w:spacing w:after="0" w:line="270"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u w:val="single" w:color="auto"/>
          <w:color w:val="auto"/>
        </w:rPr>
        <w:t>Additional Development Activities</w:t>
      </w:r>
      <w:r>
        <w:rPr>
          <w:rFonts w:ascii="Arial" w:cs="Arial" w:eastAsia="Arial" w:hAnsi="Arial"/>
          <w:sz w:val="21"/>
          <w:szCs w:val="21"/>
          <w:color w:val="auto"/>
        </w:rPr>
        <w:t>. At Aventis’s request, Regeneron shall continue to provide support with regard to VEGF Trap anti-drug antibody dosing in biological samples measurement subject to Aventis prior approval of the associated costs, which costs shall be Regeneron Costs and shall be reimbursed by Aventis pursuant to Section 9.5; other Development activities may be performed by Regeneron as discussed and agreed between the Parties.</w:t>
      </w:r>
    </w:p>
    <w:p>
      <w:pPr>
        <w:spacing w:after="0" w:line="16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Development Reports</w:t>
      </w:r>
      <w:r>
        <w:rPr>
          <w:rFonts w:ascii="Arial" w:cs="Arial" w:eastAsia="Arial" w:hAnsi="Arial"/>
          <w:sz w:val="19"/>
          <w:szCs w:val="19"/>
          <w:color w:val="auto"/>
        </w:rPr>
        <w:t>. Within forty-five (45) days after the end of each six (6)-month period during which Aventis is conducting Development activities hereunder, Aventis shall provide to Regeneron a written report (in electronic form) summarizing the material activities undertaken by Aventis during such six (6)-month period in connection with the Development Plan, its Development activities in process and the future activities it expects to initiate during the following twelve (12)-month period. Each such report shall contain sufficient detail to enable Regeneron to assess Aventis’ compliance with its obligations set forth in Section 5.1, including: (i) Aventis’, or its Affiliates’ or its or their sublicensees’ or Distributors’ activities with respect to achieving Approvals of Licensed Products in the Territory, (ii) clinical study results and results of other Development activities, (iii) communications with Regulatory Authorities with respect to Licensed Products, and (iv) pharmacovigilance activities. Upon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31" w:right="239" w:bottom="1440" w:gutter="0" w:footer="0" w:header="0"/>
        </w:sectPr>
      </w:pPr>
    </w:p>
    <w:bookmarkStart w:id="99" w:name="page100"/>
    <w:bookmarkEnd w:id="99"/>
    <w:p>
      <w:pPr>
        <w:spacing w:after="0"/>
        <w:rPr>
          <w:sz w:val="20"/>
          <w:szCs w:val="20"/>
          <w:color w:val="auto"/>
        </w:rPr>
      </w:pPr>
      <w:r>
        <w:rPr>
          <w:rFonts w:ascii="Arial" w:cs="Arial" w:eastAsia="Arial" w:hAnsi="Arial"/>
          <w:sz w:val="21"/>
          <w:szCs w:val="21"/>
          <w:color w:val="auto"/>
        </w:rPr>
        <w:t>reasonable request by Regeneron, the Parties shall meet to review the information provided in such Development reports.</w:t>
      </w:r>
    </w:p>
    <w:p>
      <w:pPr>
        <w:spacing w:after="0" w:line="231"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Development Records</w:t>
      </w:r>
      <w:r>
        <w:rPr>
          <w:rFonts w:ascii="Arial" w:cs="Arial" w:eastAsia="Arial" w:hAnsi="Arial"/>
          <w:sz w:val="19"/>
          <w:szCs w:val="19"/>
          <w:color w:val="auto"/>
        </w:rPr>
        <w:t xml:space="preserve">. Aventis shall, and shall cause its Affiliates and its and their sublicensees and Distributors to, maintain, in good scientific manner, complete and accurate books and records pertaining to Development of Licensed Products hereunder, in sufficient detail to verify compliance with its obligations under this Agreement. Such books and records shall (a) be appropriate for patent and regulatory purposes, (b) be in compliance with applicable Law, (c) properly reflect all work done and results achieved in the performance of its Development activities hereunder, (d) record only such activities and not include or be commingled with records of activities outside the scope of this Agreement and (e) be retained by Aventis for at least three (3) years after the expiration or termination of this Agreement in its entirety or for such longer period as may be required by applicable Law. Either Party shall have the right, during normal business hours and upon reasonable notice, to inspect and copy all such books and records maintained pursuant to this Section 5.5;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other Party shall maintain such records and information disclosed therein in confidence in accordance with ARTICLE 16.</w:t>
      </w:r>
    </w:p>
    <w:p>
      <w:pPr>
        <w:spacing w:after="0" w:line="156"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5.6 </w:t>
      </w:r>
      <w:r>
        <w:rPr>
          <w:rFonts w:ascii="Arial" w:cs="Arial" w:eastAsia="Arial" w:hAnsi="Arial"/>
          <w:sz w:val="21"/>
          <w:szCs w:val="21"/>
          <w:u w:val="single" w:color="auto"/>
          <w:color w:val="auto"/>
        </w:rPr>
        <w:t>Obligations of The Parties And Their Affiliates</w:t>
      </w:r>
      <w:r>
        <w:rPr>
          <w:rFonts w:ascii="Arial" w:cs="Arial" w:eastAsia="Arial" w:hAnsi="Arial"/>
          <w:sz w:val="21"/>
          <w:szCs w:val="21"/>
          <w:color w:val="auto"/>
        </w:rPr>
        <w:t>. The Parties shall cause their respective Executive Officers to take the actions and make the decisions provided under this Agreement to be taken and made by such Executive Officers in the manner and within the applicable time periods provided under this Agreement and consistent with the purpose of optimizing the commercial potential of and financial returns from the Licensed Products consistent with other products at a similar stage in development or product life and of similar market potential and without regard to any other pharmaceutical product in development or being commercialized or sold by or through a Party or any of its Affiliates (the “</w:t>
      </w:r>
      <w:r>
        <w:rPr>
          <w:rFonts w:ascii="Arial" w:cs="Arial" w:eastAsia="Arial" w:hAnsi="Arial"/>
          <w:sz w:val="21"/>
          <w:szCs w:val="21"/>
          <w:u w:val="single" w:color="auto"/>
          <w:color w:val="auto"/>
        </w:rPr>
        <w:t>Collaboration Purpose</w:t>
      </w:r>
      <w:r>
        <w:rPr>
          <w:rFonts w:ascii="Arial" w:cs="Arial" w:eastAsia="Arial" w:hAnsi="Arial"/>
          <w:sz w:val="21"/>
          <w:szCs w:val="21"/>
          <w:color w:val="auto"/>
        </w:rPr>
        <w:t>”). To the extent a Party performs any of its obligations under this Agreement or under an Ancillary Agreement through any Affiliate of such Party, such Party shall be fully responsible and liable hereunder and thereunder for any failure of such performance, and each Party agrees that it will cause each of its Affiliates to comply with any provision of this Agreement or any Ancillary Agreement which restricts or prohibits a Party from taking any specified action.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6</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COMMERCIALIZATION</w:t>
      </w:r>
    </w:p>
    <w:p>
      <w:pPr>
        <w:spacing w:after="0" w:line="4" w:lineRule="exact"/>
        <w:rPr>
          <w:sz w:val="20"/>
          <w:szCs w:val="20"/>
          <w:color w:val="auto"/>
        </w:rPr>
      </w:pPr>
    </w:p>
    <w:p>
      <w:pPr>
        <w:jc w:val="center"/>
        <w:ind w:right="300"/>
        <w:spacing w:after="0"/>
        <w:tabs>
          <w:tab w:leader="none" w:pos="1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Commercialization of Licensed Products</w:t>
      </w:r>
      <w:r>
        <w:rPr>
          <w:rFonts w:ascii="Arial" w:cs="Arial" w:eastAsia="Arial" w:hAnsi="Arial"/>
          <w:sz w:val="19"/>
          <w:szCs w:val="19"/>
          <w:color w:val="auto"/>
        </w:rPr>
        <w:t>. As between the Parties, Aventis shall be solely responsible for the</w:t>
      </w:r>
    </w:p>
    <w:p>
      <w:pPr>
        <w:spacing w:after="0" w:line="4" w:lineRule="exact"/>
        <w:rPr>
          <w:sz w:val="20"/>
          <w:szCs w:val="20"/>
          <w:color w:val="auto"/>
        </w:rPr>
      </w:pPr>
    </w:p>
    <w:p>
      <w:pPr>
        <w:ind w:right="120"/>
        <w:spacing w:after="0" w:line="300" w:lineRule="auto"/>
        <w:rPr>
          <w:sz w:val="20"/>
          <w:szCs w:val="20"/>
          <w:color w:val="auto"/>
        </w:rPr>
      </w:pPr>
      <w:r>
        <w:rPr>
          <w:rFonts w:ascii="Arial" w:cs="Arial" w:eastAsia="Arial" w:hAnsi="Arial"/>
          <w:sz w:val="19"/>
          <w:szCs w:val="19"/>
          <w:color w:val="auto"/>
        </w:rPr>
        <w:t>Commercialization of the Licensed Products in the Field in the Territory at Aventis’ sole cost and expense. Without limitation of Section 6.2, Aventis shall use Commercially Reasonable Efforts to Commercialize the Licensed Products throughout the Territory. Any dispute under this Section 6.1 regarding whether or not Aventis has used Commercially Reasonable Efforts to Commercialize the Licensed Products throughout the Territory shall be subject to resolution in accordance with Section 10.2.</w:t>
      </w:r>
    </w:p>
    <w:p>
      <w:pPr>
        <w:spacing w:after="0" w:line="146" w:lineRule="exact"/>
        <w:rPr>
          <w:sz w:val="20"/>
          <w:szCs w:val="20"/>
          <w:color w:val="auto"/>
        </w:rPr>
      </w:pPr>
    </w:p>
    <w:p>
      <w:pPr>
        <w:ind w:right="740"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Commercialization Plan</w:t>
      </w:r>
      <w:r>
        <w:rPr>
          <w:rFonts w:ascii="Arial" w:cs="Arial" w:eastAsia="Arial" w:hAnsi="Arial"/>
          <w:sz w:val="22"/>
          <w:szCs w:val="22"/>
          <w:color w:val="auto"/>
        </w:rPr>
        <w:t>. The Commercialization of the Licensed Products in the Field in the Territory shall be conducted pursuant to a comprehensive, two-year plan (the “</w:t>
      </w:r>
      <w:r>
        <w:rPr>
          <w:rFonts w:ascii="Arial" w:cs="Arial" w:eastAsia="Arial" w:hAnsi="Arial"/>
          <w:sz w:val="22"/>
          <w:szCs w:val="22"/>
          <w:u w:val="single" w:color="auto"/>
          <w:color w:val="auto"/>
        </w:rPr>
        <w:t>Commercialization Plan</w:t>
      </w:r>
      <w:r>
        <w:rPr>
          <w:rFonts w:ascii="Arial" w:cs="Arial" w:eastAsia="Arial" w:hAnsi="Arial"/>
          <w:sz w:val="22"/>
          <w:szCs w:val="22"/>
          <w:color w:val="auto"/>
        </w:rPr>
        <w:t>”). Aventis shall provide the initial Commercialization Plan within</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00"/>
          </w:cols>
          <w:pgMar w:left="240" w:top="631" w:right="259" w:bottom="1440" w:gutter="0" w:footer="0" w:header="0"/>
        </w:sectPr>
      </w:pPr>
    </w:p>
    <w:bookmarkStart w:id="100" w:name="page101"/>
    <w:bookmarkEnd w:id="100"/>
    <w:p>
      <w:pPr>
        <w:ind w:right="140"/>
        <w:spacing w:after="0" w:line="285" w:lineRule="auto"/>
        <w:rPr>
          <w:sz w:val="20"/>
          <w:szCs w:val="20"/>
          <w:color w:val="auto"/>
        </w:rPr>
      </w:pPr>
      <w:r>
        <w:rPr>
          <w:rFonts w:ascii="Arial" w:cs="Arial" w:eastAsia="Arial" w:hAnsi="Arial"/>
          <w:sz w:val="19"/>
          <w:szCs w:val="19"/>
          <w:color w:val="auto"/>
        </w:rPr>
        <w:t>thirty (30) days after the Amendment Execution Date. At all times, the Commercialization Plan shall include, with respect to the Territory generally and each Major Market Country in the Territory: (i) the general strategies for the promoting, marketing and distributing the Licensed Products; (ii) pre-launch Commercialization activities and the expected date of launch; (iii) the nature of promotional activities anticipated; (iv) any proposed use of Distributors by Aventis, its Affiliates or sublicensees; (v) non-binding summary sales forecasts for the Licensed Products; (vi) plans regarding distribution and supply chain management; (vii) reimbursement and pricing information; (vii) plans for any Non-Approval Trials; and (ix) sales force resourcing. At least every six</w:t>
      </w:r>
    </w:p>
    <w:p>
      <w:pPr>
        <w:spacing w:after="0" w:line="1" w:lineRule="exact"/>
        <w:rPr>
          <w:sz w:val="20"/>
          <w:szCs w:val="20"/>
          <w:color w:val="auto"/>
        </w:rPr>
      </w:pPr>
    </w:p>
    <w:p>
      <w:pPr>
        <w:ind w:right="360" w:firstLine="8"/>
        <w:spacing w:after="0" w:line="257" w:lineRule="auto"/>
        <w:tabs>
          <w:tab w:leader="none" w:pos="306" w:val="left"/>
        </w:tabs>
        <w:numPr>
          <w:ilvl w:val="0"/>
          <w:numId w:val="34"/>
        </w:numPr>
        <w:rPr>
          <w:rFonts w:ascii="Arial" w:cs="Arial" w:eastAsia="Arial" w:hAnsi="Arial"/>
          <w:sz w:val="21"/>
          <w:szCs w:val="21"/>
          <w:color w:val="auto"/>
        </w:rPr>
      </w:pPr>
      <w:r>
        <w:rPr>
          <w:rFonts w:ascii="Arial" w:cs="Arial" w:eastAsia="Arial" w:hAnsi="Arial"/>
          <w:sz w:val="21"/>
          <w:szCs w:val="21"/>
          <w:color w:val="auto"/>
        </w:rPr>
        <w:t>months, Aventis shall update Regeneron on changes to market conditions impacting or reasonably expected to impact the Commercialization of one or more Licensed Products in the Field in the Territory generally or in a Major Market Country in the Territory and shall propose amendments to the Commercialization Plan to address any such changes and to otherwise satisfy Aventis’ diligence obligations set forth in Section 6.1. Aventis shall perform the Commercialization activities under the Commercialization Plan and shall use Commercially Reasonable Efforts to do so in accordance with the timelines and so as to achieve the objectives set forth in the Commercialization Plan. Upon reasonable request by Regeneron, the Parties shall meet to discuss the Commercialization Plan.</w:t>
      </w:r>
    </w:p>
    <w:p>
      <w:pPr>
        <w:spacing w:after="0" w:line="184"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Commercialization Reports</w:t>
      </w:r>
      <w:r>
        <w:rPr>
          <w:rFonts w:ascii="Arial" w:cs="Arial" w:eastAsia="Arial" w:hAnsi="Arial"/>
          <w:sz w:val="19"/>
          <w:szCs w:val="19"/>
          <w:color w:val="auto"/>
        </w:rPr>
        <w:t>. Within forty-five (45) days after the end of each six (6)-month period, Aventis shall provide to Regeneron, in electronic form, with detailed written reports of such Commercialization activities it has performed, or caused to be performed, since the preceding report and the future activities it expects to initiate during the following six (6)-month period in the Major Market Countries. Each such report shall contain sufficient detail to enable Regeneron to assess Aventis’ compliance with its obligations set forth in Sections 6.1, 6.2 or 6.7, including, in each case: (i) sales force size and allocation;</w:t>
      </w:r>
    </w:p>
    <w:p>
      <w:pPr>
        <w:spacing w:after="0" w:line="4" w:lineRule="exact"/>
        <w:rPr>
          <w:sz w:val="20"/>
          <w:szCs w:val="20"/>
          <w:color w:val="auto"/>
        </w:rPr>
      </w:pPr>
    </w:p>
    <w:p>
      <w:pPr>
        <w:ind w:firstLine="8"/>
        <w:spacing w:after="0" w:line="244" w:lineRule="auto"/>
        <w:tabs>
          <w:tab w:leader="none" w:pos="318"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number and position of details in the applicable period; (iii) the nature of promotional activities and Licensed Product sampling activities; (iv) market and sales promotional programs; (v) the conduct of advertising, public relations and other promotional programs, including professional symposia and speaker and peer-to-peer activity programs used in the Commercialization of such Licensed Product; (vi) Net Sales for such Licensed Product in the Territory; and (vii) any Non-Approval Trials. Upon reasonable request by Regeneron, the Parties shall meet to review the information provided in such Commercialization reports.</w:t>
      </w:r>
    </w:p>
    <w:p>
      <w:pPr>
        <w:spacing w:after="0" w:line="19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Commercialization Records</w:t>
      </w:r>
      <w:r>
        <w:rPr>
          <w:rFonts w:ascii="Arial" w:cs="Arial" w:eastAsia="Arial" w:hAnsi="Arial"/>
          <w:sz w:val="19"/>
          <w:szCs w:val="19"/>
          <w:color w:val="auto"/>
        </w:rPr>
        <w:t>. Aventis shall maintain complete and accurate books and records pertaining to Commercialization of Licensed Products hereunder, in sufficient detail to verify compliance with its obligations under this Agreement and which shall be in compliance with applicable Law and properly reflect all work done and results achieved in the performance of its Commercialization activities. Such records related to a Contract Year shall be retained by Aventis for the longer of (i) the period of time required by Aventis’ internal records retention policy, (ii) the period of time required by applicable Law or</w:t>
      </w:r>
    </w:p>
    <w:p>
      <w:pPr>
        <w:spacing w:after="0" w:line="4" w:lineRule="exact"/>
        <w:rPr>
          <w:sz w:val="20"/>
          <w:szCs w:val="20"/>
          <w:color w:val="auto"/>
        </w:rPr>
      </w:pPr>
    </w:p>
    <w:p>
      <w:pPr>
        <w:ind w:right="20" w:firstLine="8"/>
        <w:spacing w:after="0" w:line="295" w:lineRule="auto"/>
        <w:tabs>
          <w:tab w:leader="none" w:pos="3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two (2) years following the end of such Contract Year. Regeneron shall have the right (at its cost) during normal business hours and upon reasonable notice to inspect such books and records pertaining to the two (2) immediately preceding Contract Years; </w:t>
      </w:r>
      <w:r>
        <w:rPr>
          <w:rFonts w:ascii="Arial" w:cs="Arial" w:eastAsia="Arial" w:hAnsi="Arial"/>
          <w:sz w:val="19"/>
          <w:szCs w:val="19"/>
          <w:i w:val="1"/>
          <w:iCs w:val="1"/>
          <w:color w:val="auto"/>
        </w:rPr>
        <w:t>provided</w:t>
      </w:r>
      <w:r>
        <w:rPr>
          <w:rFonts w:ascii="Arial" w:cs="Arial" w:eastAsia="Arial" w:hAnsi="Arial"/>
          <w:sz w:val="19"/>
          <w:szCs w:val="19"/>
          <w:color w:val="auto"/>
        </w:rPr>
        <w:t>, that the books and records related to a Contract Year shall not be subjected to such inspection more than one (1) time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unless a material discrepancy or an inconsistency with applicable Law is found; </w:t>
      </w:r>
      <w:r>
        <w:rPr>
          <w:rFonts w:ascii="Arial" w:cs="Arial" w:eastAsia="Arial" w:hAnsi="Arial"/>
          <w:sz w:val="19"/>
          <w:szCs w:val="19"/>
          <w:i w:val="1"/>
          <w:iCs w:val="1"/>
          <w:color w:val="auto"/>
        </w:rPr>
        <w:t>provided further</w:t>
      </w:r>
      <w:r>
        <w:rPr>
          <w:rFonts w:ascii="Arial" w:cs="Arial" w:eastAsia="Arial" w:hAnsi="Arial"/>
          <w:sz w:val="19"/>
          <w:szCs w:val="19"/>
          <w:color w:val="auto"/>
        </w:rPr>
        <w:t>, that Regeneron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631"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shall maintain such records and information disclosed therein in confidence accordance with ARTICLE 16.</w:t>
      </w:r>
    </w:p>
    <w:p>
      <w:pPr>
        <w:spacing w:after="0" w:line="220"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Booking of Sales and Licensed Product Distribution</w:t>
      </w:r>
      <w:r>
        <w:rPr>
          <w:rFonts w:ascii="Arial" w:cs="Arial" w:eastAsia="Arial" w:hAnsi="Arial"/>
          <w:sz w:val="22"/>
          <w:szCs w:val="22"/>
          <w:color w:val="auto"/>
        </w:rPr>
        <w:t xml:space="preserve"> . Aventis (or its local Affiliate) shall invoice and book, and appropriately record, all sales by it or its Affiliate of the Licensed Products in the Territory. Aventis (or its local Affiliate) shall also be responsible for the distribution of the Licensed Products in the Field in the Territory and for paying Medicaid and other governmental rebates that are due and owing with respect to the Licensed Products distributed by Aventis, its Affiliates or its or their sublicensees or Distributors in the Territory.</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6.6</w:t>
      </w:r>
      <w:r>
        <w:rPr>
          <w:sz w:val="20"/>
          <w:szCs w:val="20"/>
          <w:color w:val="auto"/>
        </w:rPr>
        <w:tab/>
      </w:r>
      <w:r>
        <w:rPr>
          <w:rFonts w:ascii="Arial" w:cs="Arial" w:eastAsia="Arial" w:hAnsi="Arial"/>
          <w:sz w:val="22"/>
          <w:szCs w:val="22"/>
          <w:u w:val="single" w:color="auto"/>
          <w:color w:val="auto"/>
        </w:rPr>
        <w:t>[****]</w:t>
      </w:r>
      <w:r>
        <w:rPr>
          <w:rFonts w:ascii="Arial" w:cs="Arial" w:eastAsia="Arial" w:hAnsi="Arial"/>
          <w:sz w:val="22"/>
          <w:szCs w:val="22"/>
          <w:color w:val="auto"/>
        </w:rPr>
        <w:t>.</w:t>
      </w:r>
    </w:p>
    <w:p>
      <w:pPr>
        <w:spacing w:after="0" w:line="233"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Restrictions on Sales Outside the Field</w:t>
      </w:r>
      <w:r>
        <w:rPr>
          <w:rFonts w:ascii="Arial" w:cs="Arial" w:eastAsia="Arial" w:hAnsi="Arial"/>
          <w:sz w:val="19"/>
          <w:szCs w:val="19"/>
          <w:color w:val="auto"/>
        </w:rPr>
        <w:t>. Aventis shall not, and shall not permit any of its Affiliates or any of its and their Relevant Licensees, to, distribute, market, promote, offer for sale or sell the Licensed Products, or any [****] Product, directly or indirectly (a) to any Person for use outside the Field or (b) to any Person in the Field that Aventis or any of its Affiliates or any of its or their Relevant Licensees knows or has reason to know (i) is likely to distribute, market, promote, offer for sale or sell any Licensed Product or any [****] Product for use outside the Field or assist another Person to do so (including any pharmacy, physician, hospital or other entity that is engaged in any compounding activities related to the Licensed Products or [****] Products), or (ii) has directly or indirectly distributed, marketed, promoted, offered for sale or sold any Licensed Product or [****] Product for use outside the Field or assisted another Person to do so. If Aventis or any of its Affiliates receives or becomes aware of the receipt by a Relevant Licensee of any orders for any Licensed Product or [****] Product for use outside the Field, such Person shall refer such orders to Regeneron. Aventis shall cause its Affiliates and its and their Relevant Licensees to notify Regeneron of any receipt of any orders for any Licensed Product or [****] Product for use outside the Field. For the avoidance of doubt, any development, manufacture or commercialization of any [****] Product by Aventis or any of its Affiliates or any of its and their Relevant Licensees shall be pursuant to and in strict accordance with Section 6.11(c). Without limiting the provisions of Section</w:t>
      </w:r>
    </w:p>
    <w:p>
      <w:pPr>
        <w:spacing w:after="0" w:line="6" w:lineRule="exact"/>
        <w:rPr>
          <w:sz w:val="20"/>
          <w:szCs w:val="20"/>
          <w:color w:val="auto"/>
        </w:rPr>
      </w:pPr>
    </w:p>
    <w:p>
      <w:pPr>
        <w:ind w:right="40"/>
        <w:spacing w:after="0" w:line="244" w:lineRule="auto"/>
        <w:rPr>
          <w:sz w:val="20"/>
          <w:szCs w:val="20"/>
          <w:color w:val="auto"/>
        </w:rPr>
      </w:pPr>
      <w:r>
        <w:rPr>
          <w:rFonts w:ascii="Arial" w:cs="Arial" w:eastAsia="Arial" w:hAnsi="Arial"/>
          <w:sz w:val="22"/>
          <w:szCs w:val="22"/>
          <w:color w:val="auto"/>
        </w:rPr>
        <w:t>6.3, Aventis and its Affiliates shall provide, and shall cause its and their Relevant Licensees to provide, to Regeneron all necessary information to enable Regeneron to assess Aventis’ compliance with its obligations set forth in this Section 6.7. For the purposes of this Section 6.7, “Relevant Licensee” shall mean any (i) Third Party to whom Aventis or any of its Affiliates have granted a license or sublicense under rights to the Licensed Products or any [****] Product in the Territory; or (ii) Distributor or any Third Party acting as a distributor for Aventis or any of its Affiliates with regard to the Licensed Products or any [****] Product in the Territory.</w:t>
      </w:r>
    </w:p>
    <w:p>
      <w:pPr>
        <w:spacing w:after="0" w:line="195" w:lineRule="exact"/>
        <w:rPr>
          <w:sz w:val="20"/>
          <w:szCs w:val="20"/>
          <w:color w:val="auto"/>
        </w:rPr>
      </w:pPr>
    </w:p>
    <w:p>
      <w:pPr>
        <w:ind w:right="120" w:firstLine="648"/>
        <w:spacing w:after="0" w:line="320" w:lineRule="auto"/>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Inventory Management</w:t>
      </w:r>
      <w:r>
        <w:rPr>
          <w:rFonts w:ascii="Arial" w:cs="Arial" w:eastAsia="Arial" w:hAnsi="Arial"/>
          <w:sz w:val="19"/>
          <w:szCs w:val="19"/>
          <w:color w:val="auto"/>
        </w:rPr>
        <w:t>. Aventis shall use Commercially Reasonable Efforts to manage, or cause to be managed, Licensed Product inventory on hand at wholesalers and other Distributors or sublicensees (or Affiliates) so as to maintain levels of inventory appropriate for expected demand and to avoid taking action that would result in unusual levels of inventory fluctuation.</w:t>
      </w:r>
    </w:p>
    <w:p>
      <w:pPr>
        <w:spacing w:after="0" w:line="125" w:lineRule="exact"/>
        <w:rPr>
          <w:sz w:val="20"/>
          <w:szCs w:val="20"/>
          <w:color w:val="auto"/>
        </w:rPr>
      </w:pPr>
    </w:p>
    <w:p>
      <w:pPr>
        <w:ind w:right="360" w:firstLine="648"/>
        <w:spacing w:after="0" w:line="276"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Medical and Consumer Inquiries</w:t>
      </w:r>
      <w:r>
        <w:rPr>
          <w:rFonts w:ascii="Arial" w:cs="Arial" w:eastAsia="Arial" w:hAnsi="Arial"/>
          <w:sz w:val="22"/>
          <w:szCs w:val="22"/>
          <w:color w:val="auto"/>
        </w:rPr>
        <w:t>. Aventis shall have responsibility for responding to medical questions or inquiries from members of the medical and paramedical professions 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631" w:right="239" w:bottom="1440" w:gutter="0" w:footer="0" w:header="0"/>
        </w:sectPr>
      </w:pPr>
    </w:p>
    <w:bookmarkStart w:id="102" w:name="page103"/>
    <w:bookmarkEnd w:id="102"/>
    <w:p>
      <w:pPr>
        <w:ind w:right="660"/>
        <w:spacing w:after="0" w:line="263" w:lineRule="auto"/>
        <w:rPr>
          <w:sz w:val="20"/>
          <w:szCs w:val="20"/>
          <w:color w:val="auto"/>
        </w:rPr>
      </w:pPr>
      <w:r>
        <w:rPr>
          <w:rFonts w:ascii="Arial" w:cs="Arial" w:eastAsia="Arial" w:hAnsi="Arial"/>
          <w:sz w:val="22"/>
          <w:szCs w:val="22"/>
          <w:color w:val="auto"/>
        </w:rPr>
        <w:t>consumers regarding Licensed Products in the Field in the Territory. Regeneron shall refer all such questions about Licensed Products in the Field that it receives to Aventis.</w:t>
      </w:r>
    </w:p>
    <w:p>
      <w:pPr>
        <w:spacing w:after="0" w:line="175"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u w:val="single" w:color="auto"/>
          <w:color w:val="auto"/>
        </w:rPr>
        <w:t>Market Exclusivity Extensions</w:t>
      </w:r>
      <w:r>
        <w:rPr>
          <w:rFonts w:ascii="Arial" w:cs="Arial" w:eastAsia="Arial" w:hAnsi="Arial"/>
          <w:sz w:val="21"/>
          <w:szCs w:val="21"/>
          <w:color w:val="auto"/>
        </w:rPr>
        <w:t>. Aventis shall use Commercially Reasonable Efforts to maintain, and, to the extent available, legally extend, the period of time during which, in any country in the Territory, (a) Aventis has the exclusive legal right, whether by means of a Patent or through other rights granted by a Governmental Authority in such country, to market, price and sell a Licensed Product in such country, and (b) no generic equivalent of a Licensed Product is marketed in such country. Notwithstanding anything to contrary contained herein, Aventis shall not be required to extend the period of time available for market exclusivity described in the immediately preceding sentence in a given country if (i) Regeneron is supplying Formulated Bulk Product under the Supply Agreement and (ii) the amounts of Formulated Bulk Licensed Product supplied by Regeneron would be insufficient to meet the Commercial Supply Requirements of Licensed Product if such extension of market exclusivity was obtained; provided, that Aventis notify Regeneron at least thirty (30) days prior to any relevant deadline or filing date and provide it the right and opportunity to assume control over such matters and Aventis shall provide any such assistance in connection therewith as Regeneron may reasonably request.</w:t>
      </w:r>
    </w:p>
    <w:p>
      <w:pPr>
        <w:spacing w:after="0" w:line="18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u w:val="single" w:color="auto"/>
          <w:color w:val="auto"/>
        </w:rPr>
        <w:t>Non-Compete; Activities Outside of the Agreement</w:t>
      </w:r>
      <w:r>
        <w:rPr>
          <w:rFonts w:ascii="Arial" w:cs="Arial" w:eastAsia="Arial" w:hAnsi="Arial"/>
          <w:sz w:val="19"/>
          <w:szCs w:val="19"/>
          <w:b w:val="1"/>
          <w:bCs w:val="1"/>
          <w:u w:val="single" w:color="auto"/>
          <w:color w:val="auto"/>
        </w:rPr>
        <w:t>.</w:t>
      </w:r>
    </w:p>
    <w:p>
      <w:pPr>
        <w:spacing w:after="0" w:line="239" w:lineRule="exact"/>
        <w:rPr>
          <w:sz w:val="20"/>
          <w:szCs w:val="20"/>
          <w:color w:val="auto"/>
        </w:rPr>
      </w:pPr>
    </w:p>
    <w:p>
      <w:pPr>
        <w:ind w:right="20" w:firstLine="1305"/>
        <w:spacing w:after="0" w:line="259" w:lineRule="auto"/>
        <w:tabs>
          <w:tab w:leader="none" w:pos="1716"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Non-Compete</w:t>
      </w:r>
      <w:r>
        <w:rPr>
          <w:rFonts w:ascii="Arial" w:cs="Arial" w:eastAsia="Arial" w:hAnsi="Arial"/>
          <w:sz w:val="21"/>
          <w:szCs w:val="21"/>
          <w:color w:val="auto"/>
        </w:rPr>
        <w:t>. During the Term, neither Aventis nor its Affiliates or its or their sublicensees under this Agreement shall, directly or indirectly, either alone or through any Third Parties, develop, manufacture for use or sale in any part of the Territory, or commercialize any VEGF Products in the Territory except for the Licensed Products in the Field pursuant to this Agreement. In the event that (i) Regeneron terminates this Agreement for any reason or (ii) Aventis terminates this Agreement for any reason other than pursuant to Section 19.3 or Section 19.5, [****], neither Aventis nor its Affiliates or its or their sublicensees under this Agreement shall, directly or indirectly, develop, manufacture or commercialize any VEGF Products in any part of the Territory. Aventis shall not be considered in breach of this Section 6.11(a) solely by reason of the acquisition by Aventis of a Person with a VEGF Product if prior to the closing of such acquisition, Aventis commits in writing to Regeneron that, promptly following the closing of such acquisition, it will divest itself of the offending rights and/or activity, and Aventis uses Commercially Reasonable Efforts to pursue such divestiture, and in the event that such divestiture is not completed within six (6) months of the closing of such acquisition, Aventis ceases all development, manufacturing and/or commercialization, as applicable, of the offending VEGF Product(s).</w:t>
      </w:r>
    </w:p>
    <w:p>
      <w:pPr>
        <w:spacing w:after="0" w:line="181" w:lineRule="exact"/>
        <w:rPr>
          <w:rFonts w:ascii="Arial" w:cs="Arial" w:eastAsia="Arial" w:hAnsi="Arial"/>
          <w:sz w:val="21"/>
          <w:szCs w:val="21"/>
          <w:color w:val="auto"/>
        </w:rPr>
      </w:pPr>
    </w:p>
    <w:p>
      <w:pPr>
        <w:ind w:left="1740" w:hanging="435"/>
        <w:spacing w:after="0"/>
        <w:tabs>
          <w:tab w:leader="none" w:pos="174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Certain Development Activities Outside of Agreement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20" w:firstLine="1953"/>
        <w:spacing w:after="0" w:line="251" w:lineRule="auto"/>
        <w:tabs>
          <w:tab w:leader="none" w:pos="2329" w:val="left"/>
        </w:tabs>
        <w:numPr>
          <w:ilvl w:val="1"/>
          <w:numId w:val="37"/>
        </w:numPr>
        <w:rPr>
          <w:rFonts w:ascii="Arial" w:cs="Arial" w:eastAsia="Arial" w:hAnsi="Arial"/>
          <w:sz w:val="22"/>
          <w:szCs w:val="22"/>
          <w:color w:val="auto"/>
        </w:rPr>
      </w:pPr>
      <w:r>
        <w:rPr>
          <w:rFonts w:ascii="Arial" w:cs="Arial" w:eastAsia="Arial" w:hAnsi="Arial"/>
          <w:sz w:val="22"/>
          <w:szCs w:val="22"/>
          <w:color w:val="auto"/>
        </w:rPr>
        <w:t>Notwithstanding anything in this Section 6.11(b) or Section 6.11(a) to the contrary, Aventis and/or its Affiliates shall be entitled to (i) initiate, sponsor and/or conduct a clinical trial and/or (ii) participate, directly or indirectly, whether through the provision of funds, grants or otherwise, in any clinical trial, initiated, sponsored and/or conducted by any Third Party, in each of the foregoing cases, with respect to the combination of Aventis’ (or its Affiliate’s) product, including, but not limited to, Eloxatin® (Oxaliplatin) and Taxotere®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631" w:right="239" w:bottom="1440" w:gutter="0" w:footer="0" w:header="0"/>
        </w:sectPr>
      </w:pPr>
    </w:p>
    <w:bookmarkStart w:id="103" w:name="page104"/>
    <w:bookmarkEnd w:id="103"/>
    <w:p>
      <w:pPr>
        <w:ind w:right="60"/>
        <w:spacing w:after="0" w:line="253" w:lineRule="auto"/>
        <w:rPr>
          <w:sz w:val="20"/>
          <w:szCs w:val="20"/>
          <w:color w:val="auto"/>
        </w:rPr>
      </w:pPr>
      <w:r>
        <w:rPr>
          <w:rFonts w:ascii="Arial" w:cs="Arial" w:eastAsia="Arial" w:hAnsi="Arial"/>
          <w:sz w:val="22"/>
          <w:szCs w:val="22"/>
          <w:color w:val="auto"/>
        </w:rPr>
        <w:t>(Docetaxel), together with any Third Party VEGF Product that has been granted a Marketing Approval for at least one indication in the applicable country, including, but not limited to Avastin® (bevacizumab) (in the United States and any other country where bevacizumab has been granted a Marketing Approval), in any oncology indication.</w:t>
      </w:r>
    </w:p>
    <w:p>
      <w:pPr>
        <w:spacing w:after="0" w:line="186" w:lineRule="exact"/>
        <w:rPr>
          <w:sz w:val="20"/>
          <w:szCs w:val="20"/>
          <w:color w:val="auto"/>
        </w:rPr>
      </w:pPr>
    </w:p>
    <w:p>
      <w:pPr>
        <w:jc w:val="both"/>
        <w:ind w:right="300" w:firstLine="1953"/>
        <w:spacing w:after="0" w:line="307" w:lineRule="auto"/>
        <w:tabs>
          <w:tab w:leader="none" w:pos="2389" w:val="left"/>
        </w:tabs>
        <w:numPr>
          <w:ilvl w:val="1"/>
          <w:numId w:val="38"/>
        </w:numPr>
        <w:rPr>
          <w:rFonts w:ascii="Arial" w:cs="Arial" w:eastAsia="Arial" w:hAnsi="Arial"/>
          <w:sz w:val="19"/>
          <w:szCs w:val="19"/>
          <w:color w:val="auto"/>
        </w:rPr>
      </w:pPr>
      <w:r>
        <w:rPr>
          <w:rFonts w:ascii="Arial" w:cs="Arial" w:eastAsia="Arial" w:hAnsi="Arial"/>
          <w:sz w:val="19"/>
          <w:szCs w:val="19"/>
          <w:color w:val="auto"/>
        </w:rPr>
        <w:t>Notwithstanding Section 6.11(b)(i), in any indication for which a Licensed Product Developed under this Agreement has been granted a Marketing Approval in an applicable country, Aventis must give preference to such Licensed Product over a Third Party VEGF Product in clinical trials of a VEGF Product for use in combination with Aventis’ (or its Affiliate’s) product in the same indication to be studied in the intended clinical trial with the Third Party VEGF Product.</w:t>
      </w:r>
    </w:p>
    <w:p>
      <w:pPr>
        <w:spacing w:after="0" w:line="138" w:lineRule="exact"/>
        <w:rPr>
          <w:rFonts w:ascii="Arial" w:cs="Arial" w:eastAsia="Arial" w:hAnsi="Arial"/>
          <w:sz w:val="19"/>
          <w:szCs w:val="19"/>
          <w:color w:val="auto"/>
        </w:rPr>
      </w:pPr>
    </w:p>
    <w:p>
      <w:pPr>
        <w:ind w:right="40" w:firstLine="1953"/>
        <w:spacing w:after="0" w:line="300" w:lineRule="auto"/>
        <w:tabs>
          <w:tab w:leader="none" w:pos="2449" w:val="left"/>
        </w:tabs>
        <w:numPr>
          <w:ilvl w:val="1"/>
          <w:numId w:val="38"/>
        </w:numPr>
        <w:rPr>
          <w:rFonts w:ascii="Arial" w:cs="Arial" w:eastAsia="Arial" w:hAnsi="Arial"/>
          <w:sz w:val="19"/>
          <w:szCs w:val="19"/>
          <w:color w:val="auto"/>
        </w:rPr>
      </w:pPr>
      <w:r>
        <w:rPr>
          <w:rFonts w:ascii="Arial" w:cs="Arial" w:eastAsia="Arial" w:hAnsi="Arial"/>
          <w:sz w:val="19"/>
          <w:szCs w:val="19"/>
          <w:color w:val="auto"/>
        </w:rPr>
        <w:t>For any combination study with a Third Party VEGF Product covered by Section 6.11(b)(i) commencing after January 7, 2005, Aventis shall notify Regeneron prior to initiating such trial, such notice to include a brief synopsis of the protocol and a description of Aventis’ (or its Affiliate’s) role(s) and responsibilities in connection with the study. Further, for any combination study with a Third Party VEGF Product covered by Section 6.11(b)(i), Aventis shall promptly provide Regeneron with available results of such combination study, unless such disclosure is prohibited by law or contract.</w:t>
      </w:r>
    </w:p>
    <w:p>
      <w:pPr>
        <w:spacing w:after="0" w:line="147" w:lineRule="exact"/>
        <w:rPr>
          <w:rFonts w:ascii="Arial" w:cs="Arial" w:eastAsia="Arial" w:hAnsi="Arial"/>
          <w:sz w:val="19"/>
          <w:szCs w:val="19"/>
          <w:color w:val="auto"/>
        </w:rPr>
      </w:pPr>
    </w:p>
    <w:p>
      <w:pPr>
        <w:ind w:right="320" w:firstLine="1953"/>
        <w:spacing w:after="0" w:line="251" w:lineRule="auto"/>
        <w:tabs>
          <w:tab w:leader="none" w:pos="2437" w:val="left"/>
        </w:tabs>
        <w:numPr>
          <w:ilvl w:val="1"/>
          <w:numId w:val="38"/>
        </w:numPr>
        <w:rPr>
          <w:rFonts w:ascii="Arial" w:cs="Arial" w:eastAsia="Arial" w:hAnsi="Arial"/>
          <w:sz w:val="22"/>
          <w:szCs w:val="22"/>
          <w:color w:val="auto"/>
        </w:rPr>
      </w:pPr>
      <w:r>
        <w:rPr>
          <w:rFonts w:ascii="Arial" w:cs="Arial" w:eastAsia="Arial" w:hAnsi="Arial"/>
          <w:sz w:val="22"/>
          <w:szCs w:val="22"/>
          <w:color w:val="auto"/>
        </w:rPr>
        <w:t>Aventis and/or its Affiliates shall be entitled to use data from clinical trials permitted by this Section (b)6.11(b) to promote the combination of Aventis’ product together with such Third Party VEGF Product. For the avoidance of doubt, Aventis and its respective Affiliates shall use or disclose Party Information of Regeneron or any of its Affiliates and New Information in connection with any of the activities described in this Section 6.11(b) only in accordance with the confidentiality and non-use provisions of ARTICLE 16.</w:t>
      </w:r>
    </w:p>
    <w:p>
      <w:pPr>
        <w:spacing w:after="0" w:line="189" w:lineRule="exact"/>
        <w:rPr>
          <w:rFonts w:ascii="Arial" w:cs="Arial" w:eastAsia="Arial" w:hAnsi="Arial"/>
          <w:sz w:val="22"/>
          <w:szCs w:val="22"/>
          <w:color w:val="auto"/>
        </w:rPr>
      </w:pPr>
    </w:p>
    <w:p>
      <w:pPr>
        <w:ind w:firstLine="1953"/>
        <w:spacing w:after="0" w:line="250" w:lineRule="auto"/>
        <w:tabs>
          <w:tab w:leader="none" w:pos="2377" w:val="left"/>
        </w:tabs>
        <w:numPr>
          <w:ilvl w:val="1"/>
          <w:numId w:val="38"/>
        </w:numPr>
        <w:rPr>
          <w:rFonts w:ascii="Arial" w:cs="Arial" w:eastAsia="Arial" w:hAnsi="Arial"/>
          <w:sz w:val="22"/>
          <w:szCs w:val="22"/>
          <w:color w:val="auto"/>
        </w:rPr>
      </w:pPr>
      <w:r>
        <w:rPr>
          <w:rFonts w:ascii="Arial" w:cs="Arial" w:eastAsia="Arial" w:hAnsi="Arial"/>
          <w:sz w:val="22"/>
          <w:szCs w:val="22"/>
          <w:color w:val="auto"/>
        </w:rPr>
        <w:t>Notwithstanding anything in this Section 6.11(b) or Section 6.11(a) to the contrary, Aventis may initiate an Aventis or its Affiliate’s sponsored pivotal clinical trial in an indication which combines Aventis’ (or its Affiliate’s) product and a Third Party VEGF Product if, such combination trial for Approval of Aventis’ (or its Affiliates) product is required in writing by a Regulatory Authority, and, prior to the commencement of any such clinical trial, Aventis provides Regeneron with a copy of such written notification, a writing of the commencement of such clinical trial, and a brief synopsis of the protocol, including the expected commencement and completion dates.</w:t>
      </w:r>
    </w:p>
    <w:p>
      <w:pPr>
        <w:spacing w:after="0" w:line="188" w:lineRule="exact"/>
        <w:rPr>
          <w:rFonts w:ascii="Arial" w:cs="Arial" w:eastAsia="Arial" w:hAnsi="Arial"/>
          <w:sz w:val="22"/>
          <w:szCs w:val="22"/>
          <w:color w:val="auto"/>
        </w:rPr>
      </w:pPr>
    </w:p>
    <w:p>
      <w:pPr>
        <w:ind w:right="140" w:firstLine="656"/>
        <w:spacing w:after="0" w:line="286" w:lineRule="auto"/>
        <w:tabs>
          <w:tab w:leader="none" w:pos="1104"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Certain Permitted Activities Outside Agreement</w:t>
      </w:r>
      <w:r>
        <w:rPr>
          <w:rFonts w:ascii="Arial" w:cs="Arial" w:eastAsia="Arial" w:hAnsi="Arial"/>
          <w:sz w:val="19"/>
          <w:szCs w:val="19"/>
          <w:color w:val="auto"/>
        </w:rPr>
        <w:t>. Notwithstanding anything in Section 6.11(a) to the contrary, Aventis (or its Affiliates) may develop and manufacture for use or sale solely by Aventis (or its Affiliates) and may have made by a Third Party for use or sale solely by Aventis (or its Affiliates) in any part of the Territory in the Field a [****] Product outside the scope of this Agreement, but may only sell the [****] Product so manufactured in any part of the Territory in compliance with</w:t>
      </w:r>
    </w:p>
    <w:p>
      <w:pPr>
        <w:spacing w:after="0" w:line="2" w:lineRule="exact"/>
        <w:rPr>
          <w:rFonts w:ascii="Arial" w:cs="Arial" w:eastAsia="Arial" w:hAnsi="Arial"/>
          <w:sz w:val="19"/>
          <w:szCs w:val="19"/>
          <w:color w:val="auto"/>
        </w:rPr>
      </w:pPr>
    </w:p>
    <w:p>
      <w:pPr>
        <w:ind w:right="280"/>
        <w:spacing w:after="0" w:line="244" w:lineRule="auto"/>
        <w:rPr>
          <w:rFonts w:ascii="Arial" w:cs="Arial" w:eastAsia="Arial" w:hAnsi="Arial"/>
          <w:sz w:val="19"/>
          <w:szCs w:val="19"/>
          <w:color w:val="auto"/>
        </w:rPr>
      </w:pPr>
      <w:r>
        <w:rPr>
          <w:rFonts w:ascii="Arial" w:cs="Arial" w:eastAsia="Arial" w:hAnsi="Arial"/>
          <w:sz w:val="22"/>
          <w:szCs w:val="22"/>
          <w:color w:val="auto"/>
        </w:rPr>
        <w:t>the provisions of the immediately following sentence. Further, notwithstanding anything in Section 6.11(a) to the contrary, if Aventis terminates this Agreement with respect to a country (or the entire Territory) pursuant to Section 19.2, Aventis (or its Affiliates) may commercialize a [****] Product outside the scope of this Agreement, in such country (or in the entire Territory if the entire Agreement is terminated) in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631" w:right="239" w:bottom="1440" w:gutter="0" w:footer="0" w:header="0"/>
        </w:sectPr>
      </w:pPr>
    </w:p>
    <w:bookmarkStart w:id="104" w:name="page105"/>
    <w:bookmarkEnd w:id="104"/>
    <w:p>
      <w:pPr>
        <w:ind w:right="20"/>
        <w:spacing w:after="0" w:line="312" w:lineRule="auto"/>
        <w:rPr>
          <w:sz w:val="20"/>
          <w:szCs w:val="20"/>
          <w:color w:val="auto"/>
        </w:rPr>
      </w:pPr>
      <w:r>
        <w:rPr>
          <w:rFonts w:ascii="Arial" w:cs="Arial" w:eastAsia="Arial" w:hAnsi="Arial"/>
          <w:sz w:val="19"/>
          <w:szCs w:val="19"/>
          <w:color w:val="auto"/>
        </w:rPr>
        <w:t>the Field after the first (1st) anniversary of the effective date of such termination with respect to such country (or the entire Territory). For the avoidance of doubt, neither Aventis nor its Affiliates nor its or their sublicenses may develop or commercialize a [****] Product in the Excluded Ocular Field or manufacture a [****] Product for use or sale in the Excluded Ocular Field.</w:t>
      </w:r>
    </w:p>
    <w:p>
      <w:pPr>
        <w:spacing w:after="0" w:line="134" w:lineRule="exact"/>
        <w:rPr>
          <w:sz w:val="20"/>
          <w:szCs w:val="20"/>
          <w:color w:val="auto"/>
        </w:rPr>
      </w:pPr>
    </w:p>
    <w:p>
      <w:pPr>
        <w:ind w:right="180" w:firstLine="656"/>
        <w:spacing w:after="0" w:line="312" w:lineRule="auto"/>
        <w:tabs>
          <w:tab w:leader="none" w:pos="1116" w:val="left"/>
        </w:tabs>
        <w:numPr>
          <w:ilvl w:val="0"/>
          <w:numId w:val="40"/>
        </w:numPr>
        <w:rPr>
          <w:rFonts w:ascii="Arial" w:cs="Arial" w:eastAsia="Arial" w:hAnsi="Arial"/>
          <w:sz w:val="19"/>
          <w:szCs w:val="19"/>
          <w:color w:val="auto"/>
        </w:rPr>
      </w:pPr>
      <w:r>
        <w:rPr>
          <w:rFonts w:ascii="Arial" w:cs="Arial" w:eastAsia="Arial" w:hAnsi="Arial"/>
          <w:sz w:val="19"/>
          <w:szCs w:val="19"/>
          <w:color w:val="auto"/>
        </w:rPr>
        <w:t>During the Term, neither Regeneron nor its Affiliates or its or their sublicensees under this Agreement shall, directly or indirectly, either alone or through any Third Parties, manufacture for sale in any part of the Territory or commercialize any VEGF Trap Products in the Territory except for the Excluded Ocular VEGF Products in the Excluded Ocular Field.</w:t>
      </w:r>
    </w:p>
    <w:p>
      <w:pPr>
        <w:spacing w:after="0" w:line="134"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Post Marketing Clinical Trials</w:t>
      </w:r>
      <w:r>
        <w:rPr>
          <w:rFonts w:ascii="Arial" w:cs="Arial" w:eastAsia="Arial" w:hAnsi="Arial"/>
          <w:sz w:val="22"/>
          <w:szCs w:val="22"/>
          <w:color w:val="auto"/>
        </w:rPr>
        <w:t>. Subject to the provision of this Agreement, Aventis shall use Commercially Reasonable Efforts to comply with any Clinical Trial obligations with respect to registration Approval with respect to any Licensed Product in any country in the Territory, imposed by applicable Law or pursuant to the Approvals or otherwise required by a Regulatory Authority.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7</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REGULATORY AFFAIRS</w:t>
      </w:r>
    </w:p>
    <w:p>
      <w:pPr>
        <w:spacing w:after="0" w:line="4"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Ownership of Approvals and Registration Filings</w:t>
      </w:r>
      <w:r>
        <w:rPr>
          <w:rFonts w:ascii="Arial" w:cs="Arial" w:eastAsia="Arial" w:hAnsi="Arial"/>
          <w:sz w:val="19"/>
          <w:szCs w:val="19"/>
          <w:color w:val="auto"/>
        </w:rPr>
        <w:t xml:space="preserve">. Aventis shall own all Approvals and Registration Filings with respect to the Licensed Products in the Territory and shall have the rights and obligations set forth in Sections 7.2 to 7.8 (inclusive) with respect thereto. Except to the extent prohibited by applicable Law, Regeneron hereby assigns the Approvals and Registration Filings listed on </w:t>
      </w:r>
      <w:r>
        <w:rPr>
          <w:rFonts w:ascii="Arial" w:cs="Arial" w:eastAsia="Arial" w:hAnsi="Arial"/>
          <w:sz w:val="19"/>
          <w:szCs w:val="19"/>
          <w:u w:val="single" w:color="auto"/>
          <w:color w:val="auto"/>
        </w:rPr>
        <w:t>Schedule 5</w:t>
      </w:r>
      <w:r>
        <w:rPr>
          <w:rFonts w:ascii="Arial" w:cs="Arial" w:eastAsia="Arial" w:hAnsi="Arial"/>
          <w:sz w:val="19"/>
          <w:szCs w:val="19"/>
          <w:color w:val="auto"/>
        </w:rPr>
        <w:t xml:space="preserve"> to Aventis or its designated Affiliate (the “</w:t>
      </w:r>
      <w:r>
        <w:rPr>
          <w:rFonts w:ascii="Arial" w:cs="Arial" w:eastAsia="Arial" w:hAnsi="Arial"/>
          <w:sz w:val="19"/>
          <w:szCs w:val="19"/>
          <w:u w:val="single" w:color="auto"/>
          <w:color w:val="auto"/>
        </w:rPr>
        <w:t>Assigned Regeneron Regulatory Documentation</w:t>
      </w:r>
      <w:r>
        <w:rPr>
          <w:rFonts w:ascii="Arial" w:cs="Arial" w:eastAsia="Arial" w:hAnsi="Arial"/>
          <w:sz w:val="19"/>
          <w:szCs w:val="19"/>
          <w:color w:val="auto"/>
        </w:rPr>
        <w:t>”).</w:t>
      </w:r>
    </w:p>
    <w:p>
      <w:pPr>
        <w:spacing w:after="0" w:line="146"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Rights of Reference</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61" w:lineRule="auto"/>
        <w:tabs>
          <w:tab w:leader="none" w:pos="1716" w:val="left"/>
        </w:tabs>
        <w:numPr>
          <w:ilvl w:val="0"/>
          <w:numId w:val="41"/>
        </w:numPr>
        <w:rPr>
          <w:rFonts w:ascii="Arial" w:cs="Arial" w:eastAsia="Arial" w:hAnsi="Arial"/>
          <w:sz w:val="21"/>
          <w:szCs w:val="21"/>
          <w:color w:val="auto"/>
        </w:rPr>
      </w:pPr>
      <w:r>
        <w:rPr>
          <w:rFonts w:ascii="Arial" w:cs="Arial" w:eastAsia="Arial" w:hAnsi="Arial"/>
          <w:sz w:val="21"/>
          <w:szCs w:val="21"/>
          <w:color w:val="auto"/>
        </w:rPr>
        <w:t>Aventis and its Affiliates and licensees shall have, and Regeneron and its Affiliates hereby grant to Aventis and its Affiliates and licensees, the right to reference (with the right to grant further rights of reference pursuant to Section 4.3) all regulatory documentation (including all registration filings and approvals) Controlled by Regeneron (or its Affiliates) that relate to any Excluded Ocular VEGF Product as necessary to make, have made, import, use, sell and offer for sale the Licensed Products in the Field in the Territory. Promptly upon the request of Aventis, Regeneron or its Affiliate shall submit a letter of authorization to FDA or the applicable Regulatory Authority (and take such actions or make such other filings) in order to permit any Excluded Ocular VEGF Product regulatory documentation (including all registration filings and approvals) to be incorporated by reference in such Licensed Product regulatory filings.</w:t>
      </w:r>
    </w:p>
    <w:p>
      <w:pPr>
        <w:spacing w:after="0" w:line="181" w:lineRule="exact"/>
        <w:rPr>
          <w:rFonts w:ascii="Arial" w:cs="Arial" w:eastAsia="Arial" w:hAnsi="Arial"/>
          <w:sz w:val="21"/>
          <w:szCs w:val="21"/>
          <w:color w:val="auto"/>
        </w:rPr>
      </w:pPr>
    </w:p>
    <w:p>
      <w:pPr>
        <w:ind w:firstLine="1305"/>
        <w:spacing w:after="0" w:line="251" w:lineRule="auto"/>
        <w:tabs>
          <w:tab w:leader="none" w:pos="17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Regeneron and its Affiliates and licensees shall have, and Aventis and its Affiliates hereby grant to Regeneron and its Affiliates and licensees, the right to reference (with the right to grant further rights of reference through multiple tiers) the BLA(s), IND(s), and any Registration Filings and/or Approvals Controlled by Aventis (or its Affiliates) that relate to any Licensed Product as necessary to make, have made, import, use, sell and offer for sale the VEGF Products worldwide outside the Field in the Territory and VEGF Products (other than Licensed</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80"/>
          </w:cols>
          <w:pgMar w:left="240" w:top="631" w:right="279" w:bottom="1440" w:gutter="0" w:footer="0" w:header="0"/>
        </w:sectPr>
      </w:pPr>
    </w:p>
    <w:bookmarkStart w:id="105" w:name="page106"/>
    <w:bookmarkEnd w:id="105"/>
    <w:p>
      <w:pPr>
        <w:ind w:right="100"/>
        <w:spacing w:after="0" w:line="265" w:lineRule="auto"/>
        <w:rPr>
          <w:sz w:val="20"/>
          <w:szCs w:val="20"/>
          <w:color w:val="auto"/>
        </w:rPr>
      </w:pPr>
      <w:r>
        <w:rPr>
          <w:rFonts w:ascii="Arial" w:cs="Arial" w:eastAsia="Arial" w:hAnsi="Arial"/>
          <w:sz w:val="21"/>
          <w:szCs w:val="21"/>
          <w:color w:val="auto"/>
        </w:rPr>
        <w:t>Products) and other products for use with Licensed Products in the Field in the Territory. Promptly upon the request of Regeneron, Aventis or its Affiliates shall submit a letter of authorization to FDA or the applicable Regulatory Authority (and take such actions or make such other filings) in order to permit any Licensed Product IND, BLA, Registration Filing and/or Approval to be incorporated by reference in such VEGF Product or other product regulatory filings.</w:t>
      </w:r>
    </w:p>
    <w:p>
      <w:pPr>
        <w:spacing w:after="0" w:line="17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Regulatory Coordination and Assistance</w:t>
      </w:r>
      <w:r>
        <w:rPr>
          <w:rFonts w:ascii="Arial" w:cs="Arial" w:eastAsia="Arial" w:hAnsi="Arial"/>
          <w:sz w:val="22"/>
          <w:szCs w:val="22"/>
          <w:color w:val="auto"/>
        </w:rPr>
        <w:t xml:space="preserve">. Subject to the provisions of this ARTICLE 7, Aventis shall be solely responsible for overseeing, monitoring and coordinating all regulatory strategy and actions, communications and filings with and submissions (including supplements and amendments thereto) to each applicable Regulatory Authority with respect to the Licensed Product in the Field in the Territory;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it shall adhere to the obligations in this ARTICLE 7. Notwithstanding the foregoing, and without limiting any of Regeneron’s other rights under this Agreement, Regeneron shall be permitted to communicate with Regulatory Authorities with regard to the manufacture of Formulated Bulk Licensed Product at Regeneron under the Supply Agreement in response to direct inquiry from such Regulatory Authorities. The Parties will coordinate with regard to such communications.</w:t>
      </w:r>
    </w:p>
    <w:p>
      <w:pPr>
        <w:spacing w:after="0" w:line="191" w:lineRule="exact"/>
        <w:rPr>
          <w:sz w:val="20"/>
          <w:szCs w:val="20"/>
          <w:color w:val="auto"/>
        </w:rPr>
      </w:pPr>
    </w:p>
    <w:p>
      <w:pPr>
        <w:ind w:right="20" w:firstLine="1305"/>
        <w:spacing w:after="0" w:line="248" w:lineRule="auto"/>
        <w:tabs>
          <w:tab w:leader="none" w:pos="17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Both Parties will cooperate with each other to develop and follow specific procedures to be agreed upon to coordinate the exchange of necessary regulatory information from Licensed Products Developed and Commercialized by or on behalf of Aventis under this Agreement and Excluded Ocular VEGF Products developed and commercialized by Regeneron and its licensees. For the purpose of clarity, such regulatory information shall be limited to necessary regulatory information that could have a material impact on the manufacture, development or commercialization of the Licensed Products Developed and Commercialized by or on behalf of Aventis under this Agreement and Excluded Ocular VEGF Products developed and commercialized by Regeneron and its licensees.</w:t>
      </w:r>
    </w:p>
    <w:p>
      <w:pPr>
        <w:spacing w:after="0" w:line="195" w:lineRule="exact"/>
        <w:rPr>
          <w:rFonts w:ascii="Arial" w:cs="Arial" w:eastAsia="Arial" w:hAnsi="Arial"/>
          <w:sz w:val="22"/>
          <w:szCs w:val="22"/>
          <w:color w:val="auto"/>
        </w:rPr>
      </w:pPr>
    </w:p>
    <w:p>
      <w:pPr>
        <w:ind w:right="20" w:firstLine="1305"/>
        <w:spacing w:after="0" w:line="290" w:lineRule="auto"/>
        <w:tabs>
          <w:tab w:leader="none" w:pos="1728" w:val="left"/>
        </w:tabs>
        <w:numPr>
          <w:ilvl w:val="0"/>
          <w:numId w:val="42"/>
        </w:numPr>
        <w:rPr>
          <w:rFonts w:ascii="Arial" w:cs="Arial" w:eastAsia="Arial" w:hAnsi="Arial"/>
          <w:sz w:val="19"/>
          <w:szCs w:val="19"/>
          <w:color w:val="auto"/>
        </w:rPr>
      </w:pPr>
      <w:r>
        <w:rPr>
          <w:rFonts w:ascii="Arial" w:cs="Arial" w:eastAsia="Arial" w:hAnsi="Arial"/>
          <w:sz w:val="19"/>
          <w:szCs w:val="19"/>
          <w:color w:val="auto"/>
        </w:rPr>
        <w:t>Regeneron agrees to promptly disclose to Aventis all relevant information related to Excluded Ocular VEGF Products developed and commercialized by Regeneron and its licensees that could have a material impact on the manufacture, development or commercialization of the Licensed Products. Aventis agrees to promptly disclose to Regeneron all relevant information related to Licensed Products Developed and Commercialized by or on behalf of Aventis under this Agreement that could have a material impact on the manufacture, development or commercialization of the Licensed Products or the Excluded Ocular VEGF Products. By way of example, categories of information that may have a material impact on the manufacture, development or commercialization of such products could include information having implications on safety; clinical; commercial; regulatory filings or CMC, including CMC issues arising during production or quality control of the Licensed Compound or EYLEA Drug Substance or in interactions with Regulatory Authorities regarding CMC issues relevant to both the Licensed Compound or EYLEA Drug Substance or on any CMC issues relevant to Formulated Bulk Licensed Product.</w:t>
      </w:r>
    </w:p>
    <w:p>
      <w:pPr>
        <w:spacing w:after="0" w:line="155" w:lineRule="exact"/>
        <w:rPr>
          <w:rFonts w:ascii="Arial" w:cs="Arial" w:eastAsia="Arial" w:hAnsi="Arial"/>
          <w:sz w:val="19"/>
          <w:szCs w:val="19"/>
          <w:color w:val="auto"/>
        </w:rPr>
      </w:pPr>
    </w:p>
    <w:p>
      <w:pPr>
        <w:ind w:right="700" w:firstLine="1305"/>
        <w:spacing w:after="0" w:line="276" w:lineRule="auto"/>
        <w:tabs>
          <w:tab w:leader="none" w:pos="17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 regard to Licensed Products Developed and Commercialized by or on behalf of Aventis under this Agreement, Regeneron shall not respond to or initiate 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80"/>
          </w:cols>
          <w:pgMar w:left="240" w:top="631" w:right="279" w:bottom="1440" w:gutter="0" w:footer="0" w:header="0"/>
        </w:sectPr>
      </w:pPr>
    </w:p>
    <w:bookmarkStart w:id="106" w:name="page107"/>
    <w:bookmarkEnd w:id="106"/>
    <w:p>
      <w:pPr>
        <w:ind w:right="140"/>
        <w:spacing w:after="0" w:line="263" w:lineRule="auto"/>
        <w:rPr>
          <w:sz w:val="20"/>
          <w:szCs w:val="20"/>
          <w:color w:val="auto"/>
        </w:rPr>
      </w:pPr>
      <w:r>
        <w:rPr>
          <w:rFonts w:ascii="Arial" w:cs="Arial" w:eastAsia="Arial" w:hAnsi="Arial"/>
          <w:sz w:val="21"/>
          <w:szCs w:val="21"/>
          <w:color w:val="auto"/>
        </w:rPr>
        <w:t xml:space="preserve">communications, including verbal communications, with Regulatory Authorities or Governmental Authorities;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foregoing shall not apply with respect to any direct inquiry from Regulatory Authorities or Governmental Authorities regarding Licensed Products manufactured by Regeneron or its Affiliates. With regard to Excluded Ocular VEGF Products developed and commercialized by Regeneron and its licensees, Aventis shall not respond to or initiate any communications, including verbal communications, with Regulatory Authorities or Governmental Authorities.</w:t>
      </w:r>
    </w:p>
    <w:p>
      <w:pPr>
        <w:spacing w:after="0" w:line="176" w:lineRule="exact"/>
        <w:rPr>
          <w:sz w:val="20"/>
          <w:szCs w:val="20"/>
          <w:color w:val="auto"/>
        </w:rPr>
      </w:pPr>
    </w:p>
    <w:p>
      <w:pPr>
        <w:ind w:right="60" w:firstLine="1305"/>
        <w:spacing w:after="0" w:line="307" w:lineRule="auto"/>
        <w:tabs>
          <w:tab w:leader="none" w:pos="17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Parties agree to discuss and, if practicable, coordinate with each other regarding any proposed change controls for any Licensed Compound manufactured or supplied under the Supply Agreement that will have a material impact on any Regulatory Filing for any Licensed Product; provided, however, that Regeneron will consider in good faith any comments provided by Sanofi; provided, further, that Regeneron will have final decision-making authority with respect to all change controls.</w:t>
      </w:r>
    </w:p>
    <w:p>
      <w:pPr>
        <w:spacing w:after="0" w:line="138" w:lineRule="exact"/>
        <w:rPr>
          <w:rFonts w:ascii="Arial" w:cs="Arial" w:eastAsia="Arial" w:hAnsi="Arial"/>
          <w:sz w:val="19"/>
          <w:szCs w:val="19"/>
          <w:color w:val="auto"/>
        </w:rPr>
      </w:pPr>
    </w:p>
    <w:p>
      <w:pPr>
        <w:ind w:right="60" w:firstLine="1305"/>
        <w:spacing w:after="0" w:line="294" w:lineRule="auto"/>
        <w:tabs>
          <w:tab w:leader="none" w:pos="17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Parties shall work together cooperatively to develop a strategy with respect to regulatory and chemistry, manufacturing and controls issues common to both the Licensed Compound and the EYLEA Drug Substance. Notwithstanding the foregoing, in the event that a Regulatory Authority or Governmental Authority requests an immediate response from a Party regarding the Licensed Compound or from Regeneron regarding the EYLEA Drug Substance and such request relates to regulatory and chemistry, manufacturing and controls issues common to both the Licensed Compound and the EYLEA Drug Substance, such Party shall use Commercially Reasonable Efforts to consult with the other Party in advance of responding to such Regulatory Authority or Governmental Authority, but shall not be required to delay a response to such request.</w:t>
      </w:r>
    </w:p>
    <w:p>
      <w:pPr>
        <w:spacing w:after="0" w:line="152" w:lineRule="exact"/>
        <w:rPr>
          <w:rFonts w:ascii="Arial" w:cs="Arial" w:eastAsia="Arial" w:hAnsi="Arial"/>
          <w:sz w:val="19"/>
          <w:szCs w:val="19"/>
          <w:color w:val="auto"/>
        </w:rPr>
      </w:pPr>
    </w:p>
    <w:p>
      <w:pPr>
        <w:ind w:firstLine="1305"/>
        <w:spacing w:after="0" w:line="287" w:lineRule="auto"/>
        <w:tabs>
          <w:tab w:leader="none" w:pos="1692" w:val="left"/>
        </w:tabs>
        <w:numPr>
          <w:ilvl w:val="0"/>
          <w:numId w:val="43"/>
        </w:numPr>
        <w:rPr>
          <w:rFonts w:ascii="Arial" w:cs="Arial" w:eastAsia="Arial" w:hAnsi="Arial"/>
          <w:sz w:val="19"/>
          <w:szCs w:val="19"/>
          <w:color w:val="auto"/>
        </w:rPr>
      </w:pPr>
      <w:r>
        <w:rPr>
          <w:rFonts w:ascii="Arial" w:cs="Arial" w:eastAsia="Arial" w:hAnsi="Arial"/>
          <w:sz w:val="19"/>
          <w:szCs w:val="19"/>
          <w:color w:val="auto"/>
        </w:rPr>
        <w:t>(i) Aventis shall notify Regeneron if any data regarding Licensed Products generated under this Agreement is submitted to Regulatory Authorities or Governmental Authorities in support of the Licensed Products to the extent Aventis determines that such data may reasonably be expected to have an adverse impact on Excluded Ocular VEGF Products. In the event that Aventis’ regulatory strategy pertaining to such data may reasonably be expected to have an adverse impact on Regeneron’s or its (sub)licensees’ regulatory strategy used to support Excluded Ocular VEGF Products, Regeneron and Aventis shall discuss and agree to the proposed regulatory strategy pertaining to such data in advance of Aventis’ (or its Affiliates’ or licensees’) communication with Regulatory Authorities or Governmental Authorities regarding such data. (ii) Regeneron shall notify Aventis if any data regarding Excluded Ocular Products generated outside of this Agreement is submitted to Regulatory Authorities or Governmental Authorities in support of the Excluded Ocular VEGF Products to the extent Regeneron determines that such data may reasonably be expected to have an adverse impact on Licensed Products. In the event that Regeneron’s regulatory strategy pertaining to such data may reasonably be expected to have an adverse impact on Aventis’ or its (sub)licensees’ regulatory strategy used to support Licensed Products, Regeneron and Aventis shall discuss and coordinate with each other regarding the proposed regulatory strategy pertaining to such data in advance of Regeneron’s (or its Affiliates’ or licensees’) communication with Regulatory Authorities or Governmental Authorities regarding such data; provided, however, that Regeneron will consider in good faith 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631" w:right="239" w:bottom="1440" w:gutter="0" w:footer="0" w:header="0"/>
        </w:sectPr>
      </w:pPr>
    </w:p>
    <w:bookmarkStart w:id="107" w:name="page108"/>
    <w:bookmarkEnd w:id="107"/>
    <w:p>
      <w:pPr>
        <w:ind w:right="120"/>
        <w:spacing w:after="0" w:line="263" w:lineRule="auto"/>
        <w:rPr>
          <w:sz w:val="20"/>
          <w:szCs w:val="20"/>
          <w:color w:val="auto"/>
        </w:rPr>
      </w:pPr>
      <w:r>
        <w:rPr>
          <w:rFonts w:ascii="Arial" w:cs="Arial" w:eastAsia="Arial" w:hAnsi="Arial"/>
          <w:sz w:val="21"/>
          <w:szCs w:val="21"/>
          <w:color w:val="auto"/>
        </w:rPr>
        <w:t>comments provided by Sanofi; provided, further, that Regeneron will have final decision-making authority with respect to all such regulatory strategies and the final content and position of any such communication with Regulatory Authorities and Governmental Authorities. Notwithstanding the foregoing, in the event Regeneron is contractually bound to a third party to maintain confidentiality of any such data referred to in the foregoing sentence, Regeneron shall use commercially reasonable efforts to obtain a waiver of confidentiality in order to provide such data to Aventis in a timely manner.</w:t>
      </w:r>
    </w:p>
    <w:p>
      <w:pPr>
        <w:spacing w:after="0" w:line="176" w:lineRule="exact"/>
        <w:rPr>
          <w:sz w:val="20"/>
          <w:szCs w:val="20"/>
          <w:color w:val="auto"/>
        </w:rPr>
      </w:pPr>
    </w:p>
    <w:p>
      <w:pPr>
        <w:ind w:firstLine="1305"/>
        <w:spacing w:after="0" w:line="286" w:lineRule="auto"/>
        <w:tabs>
          <w:tab w:leader="none" w:pos="1728" w:val="left"/>
        </w:tabs>
        <w:numPr>
          <w:ilvl w:val="0"/>
          <w:numId w:val="44"/>
        </w:numPr>
        <w:rPr>
          <w:rFonts w:ascii="Arial" w:cs="Arial" w:eastAsia="Arial" w:hAnsi="Arial"/>
          <w:sz w:val="19"/>
          <w:szCs w:val="19"/>
          <w:color w:val="auto"/>
        </w:rPr>
      </w:pPr>
      <w:r>
        <w:rPr>
          <w:rFonts w:ascii="Arial" w:cs="Arial" w:eastAsia="Arial" w:hAnsi="Arial"/>
          <w:sz w:val="19"/>
          <w:szCs w:val="19"/>
          <w:color w:val="auto"/>
        </w:rPr>
        <w:t>(i) Aventis shall use Commercially Reasonable Efforts to provide to Regeneron within twenty-four (24) hours after receipt by Aventis (or Aventis’ receipt from its Affiliates or licensees) from any Regulatory Authorities or Governmental Authorities any such information for the Licensed Products that it determines in good faith is materially relevant to the interests of the Excluded Ocular VEGF Products, including but not limited to development, regulatory communications and filings, safety, labeling, manufacturing or product quality for the Excluded Ocular VEGF Products, or any notice or results of inspections or manufacturing issues relevant to a VEGF Trap. Regeneron and Aventis shall discuss and agree on the response to be communicated to Regulatory Authorities or Governmental Authorities in the Major Market Countries regarding such information and Aventis shall provide a copy of the response submitted to such Regulatory Authorities or Governmental Authorities within twenty-four (24) hours of submission by Aventis (or Aventis’ receipt of such a submission from a licensee). (ii) Regeneron shall use Commercially Reasonable Efforts to provide to Aventis within twenty-four (24) hours after receipt by Regeneron (or Regeneron’s receipt from its’ Affiliates or licensees) from any Regulatory Authorities or Governmental Authorities any such information for the Excluded Ocular VEGF Products that it determines in good faith is materially relevant to the interests of the Licensed Products, including but not limited to Development, regulatory communications and filings, safety, labeling, manufacturing or product quality for Licensed Products, or any notice or results of inspections or manufacturing issues relevant to Excluded Ocular Products. Regeneron and Aventis shall discuss and agree on the response to be communicated to Regulatory Authorities or Governmental Authorities regarding such information and Regeneron shall provide a copy of the response submitted to such Regulatory Authorities or Governmental Authorities within twenty-four (24) hours of submission by Regeneron (or Regeneron’s receipt of such a submission from a licensee). Notwithstanding the foregoing, in the event Regeneron is contractually bound to a third party to maintain confidentiality regarding any such information referred to in this Section 7.3(g)(ii), Regeneron shall use commercially reasonable efforts to obtain a waiver of confidentiality in order to provide such information to Aventis in a timely manner.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40" w:firstLine="1305"/>
        <w:spacing w:after="0" w:line="251" w:lineRule="auto"/>
        <w:tabs>
          <w:tab w:leader="none" w:pos="1728" w:val="left"/>
        </w:tabs>
        <w:numPr>
          <w:ilvl w:val="0"/>
          <w:numId w:val="44"/>
        </w:numPr>
        <w:rPr>
          <w:rFonts w:ascii="Arial" w:cs="Arial" w:eastAsia="Arial" w:hAnsi="Arial"/>
          <w:sz w:val="22"/>
          <w:szCs w:val="22"/>
          <w:color w:val="auto"/>
        </w:rPr>
      </w:pPr>
      <w:r>
        <w:rPr>
          <w:rFonts w:ascii="Arial" w:cs="Arial" w:eastAsia="Arial" w:hAnsi="Arial"/>
          <w:sz w:val="22"/>
          <w:szCs w:val="22"/>
          <w:color w:val="auto"/>
        </w:rPr>
        <w:t xml:space="preserve">For purposes of clarification, subject to the provisions of this Section 7.3, Aventis and its licensees will have the sole right to determine the final content and position of any communication with Regulatory Authorities and Governmental Authorities with regard to Licensed Products in the Field in the Territory,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Aventis makes a good faith determination that such communication is not reasonably expected to have an adverse impact on the development and commercialization of Excluded Ocular VEGF Products in the Territory.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631" w:right="239" w:bottom="1440" w:gutter="0" w:footer="0" w:header="0"/>
        </w:sectPr>
      </w:pPr>
    </w:p>
    <w:bookmarkStart w:id="108" w:name="page109"/>
    <w:bookmarkEnd w:id="108"/>
    <w:p>
      <w:pPr>
        <w:ind w:right="20" w:firstLine="1305"/>
        <w:spacing w:after="0" w:line="307" w:lineRule="auto"/>
        <w:tabs>
          <w:tab w:leader="none" w:pos="168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the extent that EYLEA Drug Substance uses Formulated Bulk Licensed Product, and Regeneron (i) decides to undertake a modification of EYLEA Drug Substance for the Excluded Ocular VEGF Product and (ii) the modification will have a material impact on the regulatory filings of the Licensed Product in the Field, Regeneron shall notify Aventis thereof and the Parties shall discuss the regulatory strategy for such EYLEA Drug Substance to the extent relating to such modification as follows:</w:t>
      </w:r>
    </w:p>
    <w:p>
      <w:pPr>
        <w:spacing w:after="0" w:line="138" w:lineRule="exact"/>
        <w:rPr>
          <w:sz w:val="20"/>
          <w:szCs w:val="20"/>
          <w:color w:val="auto"/>
        </w:rPr>
      </w:pPr>
    </w:p>
    <w:p>
      <w:pPr>
        <w:ind w:left="1620" w:hanging="315"/>
        <w:spacing w:after="0" w:line="292" w:lineRule="auto"/>
        <w:tabs>
          <w:tab w:leader="none" w:pos="1602"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 the Major Market Countries, (A) the Parties shall discuss the regulatory briefing strategy for background materials or submissions related to EYLEA Drug Substance at least ten (10) days prior to submission to Regulatory Authorities or Governmental Authorities, (B) Regeneron shall provide to Aventis a copy of such briefing materials no later than five (5) days prior to submission to a Regulatory Authority or Governmental Authority, (C) Aventis shall provide any comments to such briefing materials no later than forty-eight (48) hours following Regeneron’s provision of such briefing materials, which comments shall be considered in good faith by Regeneron, and (D) Regeneron shall provide to Aventis a copy of the final documents; and</w:t>
      </w:r>
    </w:p>
    <w:p>
      <w:pPr>
        <w:spacing w:after="0" w:line="151" w:lineRule="exact"/>
        <w:rPr>
          <w:rFonts w:ascii="Arial" w:cs="Arial" w:eastAsia="Arial" w:hAnsi="Arial"/>
          <w:sz w:val="19"/>
          <w:szCs w:val="19"/>
          <w:color w:val="auto"/>
        </w:rPr>
      </w:pPr>
    </w:p>
    <w:p>
      <w:pPr>
        <w:ind w:left="1620" w:right="360" w:hanging="315"/>
        <w:spacing w:after="0" w:line="250" w:lineRule="auto"/>
        <w:tabs>
          <w:tab w:leader="none" w:pos="16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in the non-Major Market Countries, Regeneron shall notify Aventis within seventy-two (72) hours after Regeneron’s submission (or Regeneron’s receipt of such a submission from a licensee) of any background materials or submissions related to EYLEA Drug Substance to any Regulatory Authority or a Governmental Authority.</w:t>
      </w:r>
    </w:p>
    <w:p>
      <w:pPr>
        <w:spacing w:after="0" w:line="188" w:lineRule="exact"/>
        <w:rPr>
          <w:sz w:val="20"/>
          <w:szCs w:val="20"/>
          <w:color w:val="auto"/>
        </w:rPr>
      </w:pPr>
    </w:p>
    <w:p>
      <w:pPr>
        <w:ind w:right="240" w:firstLine="1297"/>
        <w:spacing w:after="0" w:line="250" w:lineRule="auto"/>
        <w:rPr>
          <w:sz w:val="20"/>
          <w:szCs w:val="20"/>
          <w:color w:val="auto"/>
        </w:rPr>
      </w:pPr>
      <w:r>
        <w:rPr>
          <w:rFonts w:ascii="Arial" w:cs="Arial" w:eastAsia="Arial" w:hAnsi="Arial"/>
          <w:sz w:val="22"/>
          <w:szCs w:val="22"/>
          <w:color w:val="auto"/>
        </w:rPr>
        <w:t>Regeneron shall consider Aventis’ comments in good faith. Notwithstanding the foregoing, should a Regulatory Authority or Governmental Authority request an immediate response from Regeneron regarding Formulated Bulk Licensed Product, Regeneron shall use Commercially Reasonable Efforts to consult with Aventis in advance of a response, but Regeneron will not be required to delay a response to such request.</w:t>
      </w:r>
    </w:p>
    <w:p>
      <w:pPr>
        <w:spacing w:after="0" w:line="188" w:lineRule="exact"/>
        <w:rPr>
          <w:sz w:val="20"/>
          <w:szCs w:val="20"/>
          <w:color w:val="auto"/>
        </w:rPr>
      </w:pPr>
    </w:p>
    <w:p>
      <w:pPr>
        <w:ind w:right="80" w:firstLine="648"/>
        <w:spacing w:after="0" w:line="264"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Pharmacovigilance and Safety Data Exchange</w:t>
      </w:r>
      <w:r>
        <w:rPr>
          <w:rFonts w:ascii="Arial" w:cs="Arial" w:eastAsia="Arial" w:hAnsi="Arial"/>
          <w:sz w:val="21"/>
          <w:szCs w:val="21"/>
          <w:color w:val="auto"/>
        </w:rPr>
        <w:t>. Without limiting the provisions of Section 7.5, the Parties will cooperate with each other to develop and follow specific procedures to be agreed upon and memorialized in a Safety Data Exchange Agreement to coordinate the exchange of necessary safety and pharmacovigilance information from Licensed Products Developed and Commercialized by or on behalf of Aventis under this Agreement and Excluded Ocular VEGF Products developed and commercialized by Regeneron and its licensees to ensure prompt communication of such notifications and compliance with reporting obligations to Regulatory Authorities.</w:t>
      </w:r>
    </w:p>
    <w:p>
      <w:pPr>
        <w:spacing w:after="0" w:line="17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Regulatory Inspection or Audit</w:t>
      </w:r>
      <w:r>
        <w:rPr>
          <w:rFonts w:ascii="Arial" w:cs="Arial" w:eastAsia="Arial" w:hAnsi="Arial"/>
          <w:sz w:val="22"/>
          <w:szCs w:val="22"/>
          <w:color w:val="auto"/>
        </w:rPr>
        <w:t>. If a Regulatory Authority desires to conduct an inspection or audit of a Party with regard to a Licensed Product, each Party agrees to cooperate with the other and the Regulatory Authority during such inspection or audit, including by allowing, to the extent practicable, a representative of the other Party to be present during the applicable portions of such inspection or audit. Following receipt of the inspection or audit observations of the Regulatory Authority (a copy of which the receiving Party will immediately provide to the other Party), the Party in receipt of the observations will prepare any appropriate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360"/>
          </w:cols>
          <w:pgMar w:left="240" w:top="631" w:right="299" w:bottom="1440" w:gutter="0" w:footer="0" w:header="0"/>
        </w:sectPr>
      </w:pPr>
    </w:p>
    <w:bookmarkStart w:id="109" w:name="page110"/>
    <w:bookmarkEnd w:id="109"/>
    <w:p>
      <w:pPr>
        <w:ind w:right="20"/>
        <w:spacing w:after="0" w:line="246" w:lineRule="auto"/>
        <w:rPr>
          <w:sz w:val="20"/>
          <w:szCs w:val="20"/>
          <w:color w:val="auto"/>
        </w:rPr>
      </w:pPr>
      <w:r>
        <w:rPr>
          <w:rFonts w:ascii="Arial" w:cs="Arial" w:eastAsia="Arial" w:hAnsi="Arial"/>
          <w:sz w:val="22"/>
          <w:szCs w:val="22"/>
          <w:color w:val="auto"/>
        </w:rPr>
        <w:t>responses that concern a Licensed Product, provided that the other Party shall have the right to review and comment on such responses, except to the extent such responses contain information for which the Party in receipt of the observation owes an obligation of confidentiality to a Third Party, and such Party shall consider in good faith the comments made by such other Party. In the event that the Parties disagree concerning the form or content of a response, the Party that received the observations shall decide the appropriate form and content of the response. Without limiting the foregoing, each Party (and its Third Party subcontractors) shall notify the other Party within twenty-four (24) hours of receipt of notification from a Regulatory Authority of the intention of such Regulatory Authority to audit or inspect facilities being used or proposed to be used for the manufacture of Licensed Products.</w:t>
      </w:r>
    </w:p>
    <w:p>
      <w:pPr>
        <w:spacing w:after="0" w:line="19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u w:val="single" w:color="auto"/>
          <w:color w:val="auto"/>
        </w:rPr>
        <w:t>Recalls and Other Corrective Actions</w:t>
      </w:r>
      <w:r>
        <w:rPr>
          <w:rFonts w:ascii="Arial" w:cs="Arial" w:eastAsia="Arial" w:hAnsi="Arial"/>
          <w:sz w:val="19"/>
          <w:szCs w:val="19"/>
          <w:color w:val="auto"/>
        </w:rPr>
        <w:t>. Aventis shall notify Regeneron promptly (but in no event later than forty-eight</w:t>
      </w:r>
    </w:p>
    <w:p>
      <w:pPr>
        <w:spacing w:after="0" w:line="22" w:lineRule="exact"/>
        <w:rPr>
          <w:sz w:val="20"/>
          <w:szCs w:val="20"/>
          <w:color w:val="auto"/>
        </w:rPr>
      </w:pPr>
    </w:p>
    <w:p>
      <w:pPr>
        <w:ind w:firstLine="8"/>
        <w:spacing w:after="0" w:line="286" w:lineRule="auto"/>
        <w:tabs>
          <w:tab w:leader="none" w:pos="414"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hours) following its determination that any event, incident or circumstance has occurred that may result in the need for a recall, market suspension or market withdrawal of a Licensed Product in the Field in the Territory and shall include in such notice the reasoning behind such determination and any supporting facts. As between the Parties, Aventis shall have the right to make the final determination whether to voluntarily implement any such recall, market suspension or market withdrawal in the Field in the Territory; </w:t>
      </w:r>
      <w:r>
        <w:rPr>
          <w:rFonts w:ascii="Arial" w:cs="Arial" w:eastAsia="Arial" w:hAnsi="Arial"/>
          <w:sz w:val="19"/>
          <w:szCs w:val="19"/>
          <w:i w:val="1"/>
          <w:iCs w:val="1"/>
          <w:color w:val="auto"/>
        </w:rPr>
        <w:t>provided</w:t>
      </w:r>
      <w:r>
        <w:rPr>
          <w:rFonts w:ascii="Arial" w:cs="Arial" w:eastAsia="Arial" w:hAnsi="Arial"/>
          <w:sz w:val="19"/>
          <w:szCs w:val="19"/>
          <w:color w:val="auto"/>
        </w:rPr>
        <w:t>, that prior to any implementation of such a recall, market suspension or market withdrawal, Aventis shall consult with Regeneron and shall consider Regeneron’s comments in good faith. If a recall, market suspension or market withdrawal is mandated by a Regulatory Authority in the Territory, as between the Parties, Aventis shall initiate such a recall, market suspension or market withdrawal in compliance with applicable Law. For all recalls, market suspensions or market withdrawals undertaken pursuant to this Section 7.6, as between the Parties, Aventis shall be solely responsible for the execution thereof. Notwithstanding the provisions of this ARTICLE 7 or ARTICLE 16, Aventis shall provide Regeneron with copies of any proposed correspondence with Regulatory Authorities or any proposed public announcement, in each case, related to any voluntary or mandated recall of a Licensed Product in the Field in the Territory for Regeneron’s review and comment prior to Aventis making or disclosing any such correspondence or public announcement. Aventis shall provide Regeneron with copies of any correspondence with Regulatory Authorities or any public announcement, in each case, related to any market suspension or market withdrawal of a Licensed Product in the Field in the Territory.</w:t>
      </w:r>
    </w:p>
    <w:p>
      <w:pPr>
        <w:spacing w:after="0" w:line="200" w:lineRule="exact"/>
        <w:rPr>
          <w:sz w:val="20"/>
          <w:szCs w:val="20"/>
          <w:color w:val="auto"/>
        </w:rPr>
      </w:pPr>
    </w:p>
    <w:p>
      <w:pPr>
        <w:spacing w:after="0" w:line="216" w:lineRule="exact"/>
        <w:rPr>
          <w:sz w:val="20"/>
          <w:szCs w:val="20"/>
          <w:color w:val="auto"/>
        </w:rPr>
      </w:pPr>
    </w:p>
    <w:p>
      <w:pPr>
        <w:jc w:val="both"/>
        <w:ind w:right="180" w:firstLine="648"/>
        <w:spacing w:after="0" w:line="260" w:lineRule="auto"/>
        <w:rPr>
          <w:sz w:val="20"/>
          <w:szCs w:val="20"/>
          <w:color w:val="auto"/>
        </w:rPr>
      </w:pPr>
      <w:r>
        <w:rPr>
          <w:rFonts w:ascii="Arial" w:cs="Arial" w:eastAsia="Arial" w:hAnsi="Arial"/>
          <w:sz w:val="22"/>
          <w:szCs w:val="22"/>
          <w:color w:val="auto"/>
        </w:rPr>
        <w:t xml:space="preserve">7.7 </w:t>
      </w:r>
      <w:r>
        <w:rPr>
          <w:rFonts w:ascii="Arial" w:cs="Arial" w:eastAsia="Arial" w:hAnsi="Arial"/>
          <w:sz w:val="22"/>
          <w:szCs w:val="22"/>
          <w:u w:val="single" w:color="auto"/>
          <w:color w:val="auto"/>
        </w:rPr>
        <w:t>Cost of Recalls and Other Corrective Actions</w:t>
      </w:r>
      <w:r>
        <w:rPr>
          <w:rFonts w:ascii="Arial" w:cs="Arial" w:eastAsia="Arial" w:hAnsi="Arial"/>
          <w:sz w:val="22"/>
          <w:szCs w:val="22"/>
          <w:color w:val="auto"/>
        </w:rPr>
        <w:t>. Except as otherwise provided in ARTICLE 17 , Aventis shall be solely responsible for all costs of a recall, market withdrawal or other corrective action with respect to any Licensed Product in the Field in the Territory.</w:t>
      </w:r>
    </w:p>
    <w:p>
      <w:pPr>
        <w:spacing w:after="0" w:line="177" w:lineRule="exact"/>
        <w:rPr>
          <w:sz w:val="20"/>
          <w:szCs w:val="20"/>
          <w:color w:val="auto"/>
        </w:rPr>
      </w:pPr>
    </w:p>
    <w:p>
      <w:pPr>
        <w:ind w:right="380" w:firstLine="648"/>
        <w:spacing w:after="0" w:line="260"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Licensed Product Labeling</w:t>
      </w:r>
      <w:r>
        <w:rPr>
          <w:rFonts w:ascii="Arial" w:cs="Arial" w:eastAsia="Arial" w:hAnsi="Arial"/>
          <w:sz w:val="22"/>
          <w:szCs w:val="22"/>
          <w:color w:val="auto"/>
        </w:rPr>
        <w:t>. Aventis shall use Commercially Reasonable Efforts to include language in approved labeling for Licensed Products in the Field in the Territory stating that the product is not intended for local administration to the eye.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MANUFACTURING AND SUPPLY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631" w:right="239" w:bottom="1440" w:gutter="0" w:footer="0" w:header="0"/>
        </w:sectPr>
      </w:pPr>
    </w:p>
    <w:bookmarkStart w:id="110" w:name="page111"/>
    <w:bookmarkEnd w:id="110"/>
    <w:p>
      <w:pPr>
        <w:ind w:right="160" w:firstLine="648"/>
        <w:spacing w:after="0" w:line="30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Supply Agreement</w:t>
      </w:r>
      <w:r>
        <w:rPr>
          <w:rFonts w:ascii="Arial" w:cs="Arial" w:eastAsia="Arial" w:hAnsi="Arial"/>
          <w:sz w:val="19"/>
          <w:szCs w:val="19"/>
          <w:color w:val="auto"/>
        </w:rPr>
        <w:t>. Simultaneously with execution of this Agreement, the Parties (or their Affiliates) are amending and restating that certain commercial supply agreement, dated June 10, 2013, by and between Regeneron and Sanofi Winthrop Industrie, under which Aventis or its Affiliate shall procure Formulated Bulk Licensed Products from Regeneron or its Affiliates (the “</w:t>
      </w:r>
      <w:r>
        <w:rPr>
          <w:rFonts w:ascii="Arial" w:cs="Arial" w:eastAsia="Arial" w:hAnsi="Arial"/>
          <w:sz w:val="19"/>
          <w:szCs w:val="19"/>
          <w:u w:val="single" w:color="auto"/>
          <w:color w:val="auto"/>
        </w:rPr>
        <w:t>Supply Agreement</w:t>
      </w:r>
      <w:r>
        <w:rPr>
          <w:rFonts w:ascii="Arial" w:cs="Arial" w:eastAsia="Arial" w:hAnsi="Arial"/>
          <w:sz w:val="19"/>
          <w:szCs w:val="19"/>
          <w:color w:val="auto"/>
        </w:rPr>
        <w:t>”). Regeneron or its Affiliates shall supply Formulated Bulk Licensed Product to Aventis (or its Affiliate) under the Supply Agreement pursuant to the terms thereof until the expiration or termination of the Supply Agreement.</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Aventis Manufacturing and Supply Obligations</w:t>
      </w:r>
      <w:r>
        <w:rPr>
          <w:rFonts w:ascii="Arial" w:cs="Arial" w:eastAsia="Arial" w:hAnsi="Arial"/>
          <w:sz w:val="19"/>
          <w:szCs w:val="19"/>
          <w:color w:val="auto"/>
        </w:rPr>
        <w:t>.</w:t>
      </w:r>
    </w:p>
    <w:p>
      <w:pPr>
        <w:spacing w:after="0" w:line="233" w:lineRule="exact"/>
        <w:rPr>
          <w:sz w:val="20"/>
          <w:szCs w:val="20"/>
          <w:color w:val="auto"/>
        </w:rPr>
      </w:pPr>
    </w:p>
    <w:p>
      <w:pPr>
        <w:ind w:right="40" w:firstLine="1305"/>
        <w:spacing w:after="0" w:line="276" w:lineRule="auto"/>
        <w:tabs>
          <w:tab w:leader="none" w:pos="17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As between the Parties, Aventis shall be solely responsible, at its sole cost and expense, for all activities related to finishing, packaging, and labeling of Finished Licensed Product in the Territory.</w:t>
      </w:r>
    </w:p>
    <w:p>
      <w:pPr>
        <w:spacing w:after="0" w:line="160" w:lineRule="exact"/>
        <w:rPr>
          <w:rFonts w:ascii="Arial" w:cs="Arial" w:eastAsia="Arial" w:hAnsi="Arial"/>
          <w:sz w:val="22"/>
          <w:szCs w:val="22"/>
          <w:color w:val="auto"/>
        </w:rPr>
      </w:pPr>
    </w:p>
    <w:p>
      <w:pPr>
        <w:ind w:right="20" w:firstLine="1305"/>
        <w:spacing w:after="0" w:line="300" w:lineRule="auto"/>
        <w:tabs>
          <w:tab w:leader="none" w:pos="1728" w:val="left"/>
        </w:tabs>
        <w:numPr>
          <w:ilvl w:val="0"/>
          <w:numId w:val="48"/>
        </w:numPr>
        <w:rPr>
          <w:rFonts w:ascii="Arial" w:cs="Arial" w:eastAsia="Arial" w:hAnsi="Arial"/>
          <w:sz w:val="19"/>
          <w:szCs w:val="19"/>
          <w:color w:val="auto"/>
        </w:rPr>
      </w:pPr>
      <w:r>
        <w:rPr>
          <w:rFonts w:ascii="Arial" w:cs="Arial" w:eastAsia="Arial" w:hAnsi="Arial"/>
          <w:sz w:val="19"/>
          <w:szCs w:val="19"/>
          <w:color w:val="auto"/>
        </w:rPr>
        <w:t>Aventis shall use Commercially Reasonable Efforts to, at its election, either (a) [****], or (b) otherwise [****], for the manufacture of Formulated Bulk Licensed Product for the supply of Commercial Supply Requirements and Clinical Supply Requirements of Licensed Products in the Territory. Without limiting the foregoing, Regeneron shall, at Aventis’ sole cost and expense, use Commercially Reasonable Efforts to assist Aventis (or its Affiliate) to, as the case may be, [****], or [****] for the manufacture of Formulated Bulk Licensed Product in order to meet Aventis’ obligations under this Section 8.2.</w:t>
      </w:r>
    </w:p>
    <w:p>
      <w:pPr>
        <w:spacing w:after="0" w:line="147" w:lineRule="exact"/>
        <w:rPr>
          <w:rFonts w:ascii="Arial" w:cs="Arial" w:eastAsia="Arial" w:hAnsi="Arial"/>
          <w:sz w:val="19"/>
          <w:szCs w:val="19"/>
          <w:color w:val="auto"/>
        </w:rPr>
      </w:pPr>
    </w:p>
    <w:p>
      <w:pPr>
        <w:ind w:right="120" w:firstLine="1305"/>
        <w:spacing w:after="0" w:line="250" w:lineRule="auto"/>
        <w:tabs>
          <w:tab w:leader="none" w:pos="17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Aventis may otherwise elect to establish an alternative source, for the manufacture of Formulated Bulk Licensed Product for the supply of Commercial Supply Requirements and Clinical Supply Requirements of Licensed Products in the Territory (x) through one of its other existing manufacturing facilities, (y) by constructing and obtaining all required approvals and validations by Regulatory Authorities for a new manufacturing facility or (z) with Regeneron’s prior consent (which consent shall not be unreasonably withheld, conditioned or delayed), through a Third Party manufacturer other than [****], in each case ((x), (y) and (z)), at Aventis’ own expense.</w:t>
      </w:r>
    </w:p>
    <w:p>
      <w:pPr>
        <w:spacing w:after="0" w:line="188" w:lineRule="exact"/>
        <w:rPr>
          <w:rFonts w:ascii="Arial" w:cs="Arial" w:eastAsia="Arial" w:hAnsi="Arial"/>
          <w:sz w:val="22"/>
          <w:szCs w:val="22"/>
          <w:color w:val="auto"/>
        </w:rPr>
      </w:pPr>
    </w:p>
    <w:p>
      <w:pPr>
        <w:jc w:val="both"/>
        <w:ind w:right="160" w:firstLine="1305"/>
        <w:spacing w:after="0" w:line="254" w:lineRule="auto"/>
        <w:tabs>
          <w:tab w:leader="none" w:pos="1728"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costs and expenses (including capital expenditures) required to provide additional manufacturing capacity pursuant to Sections 8.2(b) and 8.2(c), including without limitation the related start-up and validation activities and the transfer of the manufacturing process for the Licensed Products from Regeneron (or its Affiliates) to Aventis or a Third Party manufacturer, shall be paid solely by Aventis.</w:t>
      </w:r>
    </w:p>
    <w:p>
      <w:pPr>
        <w:spacing w:after="0" w:line="185"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Funded Assets</w:t>
      </w:r>
      <w:r>
        <w:rPr>
          <w:rFonts w:ascii="Arial" w:cs="Arial" w:eastAsia="Arial" w:hAnsi="Arial"/>
          <w:sz w:val="19"/>
          <w:szCs w:val="19"/>
          <w:color w:val="auto"/>
        </w:rPr>
        <w:t>. Notwithstanding anything to the contrary in the Funded Assets MOU, the Parties acknowledge and agree that all title to the Funded Assets (as defined in the Funded Assets MOU) has transferred to Regeneron and Regeneron has no further obligations to Aventis or its Affiliates with respect to the Funded Assets under the Funded Assets MOU.</w:t>
      </w:r>
    </w:p>
    <w:p>
      <w:pPr>
        <w:spacing w:after="0" w:line="11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9</w:t>
      </w:r>
    </w:p>
    <w:p>
      <w:pPr>
        <w:spacing w:after="0" w:line="28"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PAYMENTS</w:t>
      </w:r>
    </w:p>
    <w:p>
      <w:pPr>
        <w:spacing w:after="0" w:line="4" w:lineRule="exact"/>
        <w:rPr>
          <w:sz w:val="20"/>
          <w:szCs w:val="20"/>
          <w:color w:val="auto"/>
        </w:rPr>
      </w:pPr>
    </w:p>
    <w:p>
      <w:pPr>
        <w:ind w:right="280" w:firstLine="648"/>
        <w:spacing w:after="0" w:line="259"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u w:val="single" w:color="auto"/>
          <w:color w:val="auto"/>
        </w:rPr>
        <w:t>Payments</w:t>
      </w:r>
      <w:r>
        <w:rPr>
          <w:rFonts w:ascii="Arial" w:cs="Arial" w:eastAsia="Arial" w:hAnsi="Arial"/>
          <w:sz w:val="22"/>
          <w:szCs w:val="22"/>
          <w:color w:val="auto"/>
        </w:rPr>
        <w:t>. Aventis or SWI shall make payments to Regeneron or its Affiliates under this Agreement and the Supply Agreement pursuant to this ARTICLE 9.</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380"/>
          </w:cols>
          <w:pgMar w:left="240" w:top="631" w:right="279" w:bottom="1440" w:gutter="0" w:footer="0" w:header="0"/>
        </w:sectPr>
      </w:pPr>
    </w:p>
    <w:bookmarkStart w:id="111" w:name="page112"/>
    <w:bookmarkEnd w:id="111"/>
    <w:p>
      <w:pPr>
        <w:ind w:right="60" w:firstLine="648"/>
        <w:spacing w:after="0" w:line="260"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Development Balance; Other Payment Obligations</w:t>
      </w:r>
      <w:r>
        <w:rPr>
          <w:rFonts w:ascii="Arial" w:cs="Arial" w:eastAsia="Arial" w:hAnsi="Arial"/>
          <w:sz w:val="21"/>
          <w:szCs w:val="21"/>
          <w:color w:val="auto"/>
        </w:rPr>
        <w:t>. Notwithstanding anything to the contrary in this Agreement or the Supply Agreement, the Development Balance due and owing by Regeneron to Aventis as of the Amendment Effective Date shall be extinguished and cancelled, without any further act of either Party and there shall be no further accrual of the Development Balance following the Amendment Effective Date. Without limiting the foregoing, nothing in this Agreement shall relieve either Party of any payment obligations arising prior to the Amendment Effective Date. From and after the Amendment Effective Date, Aventis shall be solely responsible for all costs and expenses associated with the Development and Commercialization of the Licensed Products in the Field in the Territory and Regeneron shall have no obligation to reimburse Aventis for any costs or expenses incurred by or on behalf of Aventis in connection with the Development and Commercialization of the Licensed Products in the Territory after the Amendment Effective Date.</w:t>
      </w:r>
    </w:p>
    <w:p>
      <w:pPr>
        <w:spacing w:after="0" w:line="185"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Net Sales Report</w:t>
      </w:r>
      <w:r>
        <w:rPr>
          <w:rFonts w:ascii="Arial" w:cs="Arial" w:eastAsia="Arial" w:hAnsi="Arial"/>
          <w:sz w:val="19"/>
          <w:szCs w:val="19"/>
          <w:color w:val="auto"/>
        </w:rPr>
        <w:t>. Within twenty (20) days after the end of each Calendar Quarter, Aventis shall calculate and report to Regeneron the amount of Net Sales, that are attributable to the Licensed Product in each country in the Territory during such Calendar Quarter (including such amount expressed in local currency and as converted into U.S. Dollars in accordance with Section 9.9). Without limiting the generality of the foregoing, Aventis shall require its Affiliates and its and their sublicensees and Distributors to calculate and account for their Net Sales and to provide such reports with respect thereto, in sufficient detail and at such time so that Aventis can meet its obligations to Regeneron hereunder if such sales were made by Aventis.</w:t>
      </w:r>
    </w:p>
    <w:p>
      <w:pPr>
        <w:spacing w:after="0" w:line="147"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Third Party Payment Amounts</w:t>
      </w:r>
      <w:r>
        <w:rPr>
          <w:rFonts w:ascii="Arial" w:cs="Arial" w:eastAsia="Arial" w:hAnsi="Arial"/>
          <w:sz w:val="21"/>
          <w:szCs w:val="21"/>
          <w:color w:val="auto"/>
        </w:rPr>
        <w:t>. Aventis shall be solely responsible for paying all Third Party Payment Amounts, or reimbursing Regeneron on a Calendar Quarter-by-Calendar Quarter basis pursuant to Section 9.8 for any Third Party Payment Amount made by Regeneron, in each case pursuant to the terms of this Section 9.4. Aventis shall, in addition to the Net Sales Report provided pursuant to Section 9.3, provide Regeneron within forty-five (45) days after the end of each Calendar Quarter with deductions taken to arrive at Net Sales and all other information necessary to satisfy Regeneron’s obligations with respect to any Third Party Payment Amounts under any Existing License or New License to which Regeneron is a party. Notwithstanding the Genentech Settlement Letter, the Parties acknowledge and agree that Aventis shall be responsible for making, and shall make, all payments due under the Genentech Settlement Agreement directly to Genentech, Inc. (and not to Regeneron pursuant to this Section 9.4).</w:t>
      </w:r>
    </w:p>
    <w:p>
      <w:pPr>
        <w:spacing w:after="0" w:line="18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Regeneron Costs</w:t>
      </w:r>
      <w:r>
        <w:rPr>
          <w:rFonts w:ascii="Arial" w:cs="Arial" w:eastAsia="Arial" w:hAnsi="Arial"/>
          <w:sz w:val="22"/>
          <w:szCs w:val="22"/>
          <w:color w:val="auto"/>
        </w:rPr>
        <w:t>. Subject to Section 5.2, Aventis shall, on a Calendar Quarter-by-Calendar Quarter basis pursuant to Section 9.8, reimburse Regeneron for all of the Regeneron Costs incurred by Regeneron after the Amendment Effective Date; provided, however, that for any Regeneron Costs incurred by Regeneron for the benefit of both Licensed Product and any Excluded Ocular VEGF Product, Aventis shall only be required to reimburse [****] of such Regeneron Costs. Regeneron shall provide Aventis all such information related to Regeneron Costs for a Calendar Quarter within forty-five (45) days after the end of each Calendar Quarter.</w:t>
      </w:r>
    </w:p>
    <w:p>
      <w:pPr>
        <w:spacing w:after="0" w:line="18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9.6</w:t>
      </w:r>
      <w:r>
        <w:rPr>
          <w:sz w:val="20"/>
          <w:szCs w:val="20"/>
          <w:color w:val="auto"/>
        </w:rPr>
        <w:tab/>
      </w:r>
      <w:r>
        <w:rPr>
          <w:rFonts w:ascii="Arial" w:cs="Arial" w:eastAsia="Arial" w:hAnsi="Arial"/>
          <w:sz w:val="19"/>
          <w:szCs w:val="19"/>
          <w:u w:val="single" w:color="auto"/>
          <w:color w:val="auto"/>
        </w:rPr>
        <w:t>Profit Sharing Payment</w:t>
      </w:r>
      <w:r>
        <w:rPr>
          <w:rFonts w:ascii="Arial" w:cs="Arial" w:eastAsia="Arial" w:hAnsi="Arial"/>
          <w:sz w:val="19"/>
          <w:szCs w:val="19"/>
          <w:color w:val="auto"/>
        </w:rPr>
        <w:t>.</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00"/>
          </w:cols>
          <w:pgMar w:left="240" w:top="631" w:right="259" w:bottom="1440" w:gutter="0" w:footer="0" w:header="0"/>
        </w:sectPr>
      </w:pPr>
    </w:p>
    <w:bookmarkStart w:id="112" w:name="page113"/>
    <w:bookmarkEnd w:id="112"/>
    <w:p>
      <w:pPr>
        <w:ind w:right="380" w:firstLine="1305"/>
        <w:spacing w:after="0" w:line="291" w:lineRule="auto"/>
        <w:tabs>
          <w:tab w:leader="none" w:pos="1716"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Parties acknowledge and agree that in order to ease the administrative and accounting burdens on the Parties under this Agreement and to provide for the commercial supply of Licensed Products, they have elected to forego the calculation of net profits from sale of Licensed Product and the sharing of net profits under this Agreement, and the associated reporting, reimbursement and reconciliation processes, and instead have agreed that Aventis or SWI shall make payments to Regeneron (or its Affiliate) under this Agreement and the Supply Agreement based on a simplified profit sharing arrangement calculated as a percentage of Net Sales, as set forth in this Section 9.6. Such payments are, in part, intended to reflect the value contributed by Regeneron with respect to its discovery of the VEGF Trap and the development and commercialization of the Licensed Products. For clarity, in the event that the Supply Agreement is terminated for any reason, Aventis shall continue to be obligated to make payments to Regeneron under this Section 9.6 in accordance with the terms hereof.</w:t>
      </w:r>
    </w:p>
    <w:p>
      <w:pPr>
        <w:spacing w:after="0" w:line="154" w:lineRule="exact"/>
        <w:rPr>
          <w:rFonts w:ascii="Arial" w:cs="Arial" w:eastAsia="Arial" w:hAnsi="Arial"/>
          <w:sz w:val="19"/>
          <w:szCs w:val="19"/>
          <w:color w:val="auto"/>
        </w:rPr>
      </w:pPr>
    </w:p>
    <w:p>
      <w:pPr>
        <w:jc w:val="both"/>
        <w:ind w:right="340" w:firstLine="1305"/>
        <w:spacing w:after="0" w:line="300" w:lineRule="auto"/>
        <w:tabs>
          <w:tab w:leader="none" w:pos="1728" w:val="left"/>
        </w:tabs>
        <w:numPr>
          <w:ilvl w:val="0"/>
          <w:numId w:val="49"/>
        </w:numPr>
        <w:rPr>
          <w:rFonts w:ascii="Arial" w:cs="Arial" w:eastAsia="Arial" w:hAnsi="Arial"/>
          <w:sz w:val="19"/>
          <w:szCs w:val="19"/>
          <w:color w:val="auto"/>
        </w:rPr>
      </w:pPr>
      <w:r>
        <w:rPr>
          <w:rFonts w:ascii="Arial" w:cs="Arial" w:eastAsia="Arial" w:hAnsi="Arial"/>
          <w:sz w:val="19"/>
          <w:szCs w:val="19"/>
          <w:color w:val="auto"/>
        </w:rPr>
        <w:t>Aventis shall pay to Regeneron, on a Calendar Quarter-by-Calendar Quarter basis pursuant to Section 9.8, a percentage of the aggregate Net Sales of all Licensed Products in the Field in the Territory during each Contract Year (each such quarterly payment, a “</w:t>
      </w:r>
      <w:r>
        <w:rPr>
          <w:rFonts w:ascii="Arial" w:cs="Arial" w:eastAsia="Arial" w:hAnsi="Arial"/>
          <w:sz w:val="19"/>
          <w:szCs w:val="19"/>
          <w:u w:val="single" w:color="auto"/>
          <w:color w:val="auto"/>
        </w:rPr>
        <w:t>Profit Sharing Payment</w:t>
      </w:r>
      <w:r>
        <w:rPr>
          <w:rFonts w:ascii="Arial" w:cs="Arial" w:eastAsia="Arial" w:hAnsi="Arial"/>
          <w:sz w:val="19"/>
          <w:szCs w:val="19"/>
          <w:color w:val="auto"/>
        </w:rPr>
        <w:t>”), which percentage shall be based on the aggregate Net Sales of all Licensed Products in the Field in the Territory during such Contract Year as set forth in the chart below (the aggregate amount of such payment due with respect to Net Sales in a given Contract Year, the “</w:t>
      </w:r>
      <w:r>
        <w:rPr>
          <w:rFonts w:ascii="Arial" w:cs="Arial" w:eastAsia="Arial" w:hAnsi="Arial"/>
          <w:sz w:val="19"/>
          <w:szCs w:val="19"/>
          <w:u w:val="single" w:color="auto"/>
          <w:color w:val="auto"/>
        </w:rPr>
        <w:t>Aggregate Profit Sharing Payment</w:t>
      </w:r>
      <w:r>
        <w:rPr>
          <w:rFonts w:ascii="Arial" w:cs="Arial" w:eastAsia="Arial" w:hAnsi="Arial"/>
          <w:sz w:val="19"/>
          <w:szCs w:val="19"/>
          <w:color w:val="auto"/>
        </w:rPr>
        <w:t>”).</w:t>
      </w:r>
    </w:p>
    <w:p>
      <w:pPr>
        <w:spacing w:after="0" w:line="270"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848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w w:val="97"/>
              </w:rPr>
              <w:t>Aggregate Net Sales of Licensed Products in the Field in the Territory during each</w:t>
            </w:r>
          </w:p>
        </w:tc>
        <w:tc>
          <w:tcPr>
            <w:tcW w:w="29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6"/>
              </w:rPr>
              <w:t>Percentage of Aggregate Net</w:t>
            </w:r>
          </w:p>
        </w:tc>
      </w:tr>
      <w:tr>
        <w:trPr>
          <w:trHeight w:val="281"/>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Contract Year</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79"/>
              </w:rPr>
              <w:t>Sales</w:t>
            </w: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Aggregate annual Net Sales of Licensed Products less US$[****]</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15%</w:t>
            </w: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42"/>
        </w:trPr>
        <w:tc>
          <w:tcPr>
            <w:tcW w:w="84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Aggregate annual Net Sales of Licensed Products equal to or greater than US$[****] but less</w:t>
            </w:r>
          </w:p>
        </w:tc>
        <w:tc>
          <w:tcPr>
            <w:tcW w:w="29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rPr>
              <w:t>[****]</w:t>
            </w:r>
          </w:p>
        </w:tc>
      </w:tr>
      <w:tr>
        <w:trPr>
          <w:trHeight w:val="275"/>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than US$ [****]</w:t>
            </w:r>
          </w:p>
        </w:tc>
        <w:tc>
          <w:tcPr>
            <w:tcW w:w="2960" w:type="dxa"/>
            <w:vAlign w:val="bottom"/>
            <w:tcBorders>
              <w:right w:val="single" w:sz="8" w:color="00000A"/>
            </w:tcBorders>
          </w:tcPr>
          <w:p>
            <w:pPr>
              <w:spacing w:after="0"/>
              <w:rPr>
                <w:sz w:val="23"/>
                <w:szCs w:val="23"/>
                <w:color w:val="auto"/>
              </w:rPr>
            </w:pP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42"/>
        </w:trPr>
        <w:tc>
          <w:tcPr>
            <w:tcW w:w="84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Aggregate annual Net Sales of Licensed Products equal to or greater than US$[****] but less</w:t>
            </w:r>
          </w:p>
        </w:tc>
        <w:tc>
          <w:tcPr>
            <w:tcW w:w="29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rPr>
              <w:t>[****]</w:t>
            </w:r>
          </w:p>
        </w:tc>
      </w:tr>
      <w:tr>
        <w:trPr>
          <w:trHeight w:val="275"/>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than US$ [****]</w:t>
            </w:r>
          </w:p>
        </w:tc>
        <w:tc>
          <w:tcPr>
            <w:tcW w:w="2960" w:type="dxa"/>
            <w:vAlign w:val="bottom"/>
            <w:tcBorders>
              <w:right w:val="single" w:sz="8" w:color="00000A"/>
            </w:tcBorders>
          </w:tcPr>
          <w:p>
            <w:pPr>
              <w:spacing w:after="0"/>
              <w:rPr>
                <w:sz w:val="23"/>
                <w:szCs w:val="23"/>
                <w:color w:val="auto"/>
              </w:rPr>
            </w:pP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42"/>
        </w:trPr>
        <w:tc>
          <w:tcPr>
            <w:tcW w:w="8480" w:type="dxa"/>
            <w:vAlign w:val="bottom"/>
            <w:tcBorders>
              <w:left w:val="single" w:sz="8" w:color="00000A"/>
              <w:right w:val="single" w:sz="8" w:color="00000A"/>
            </w:tcBorders>
          </w:tcPr>
          <w:p>
            <w:pPr>
              <w:ind w:left="40"/>
              <w:spacing w:after="0" w:line="242" w:lineRule="exact"/>
              <w:rPr>
                <w:sz w:val="20"/>
                <w:szCs w:val="20"/>
                <w:color w:val="auto"/>
              </w:rPr>
            </w:pPr>
            <w:r>
              <w:rPr>
                <w:rFonts w:ascii="Arial" w:cs="Arial" w:eastAsia="Arial" w:hAnsi="Arial"/>
                <w:sz w:val="22"/>
                <w:szCs w:val="22"/>
                <w:color w:val="auto"/>
                <w:w w:val="93"/>
              </w:rPr>
              <w:t>Aggregate annual Net Sales of Licensed Products equal to or greater than US$[****] but less</w:t>
            </w:r>
          </w:p>
        </w:tc>
        <w:tc>
          <w:tcPr>
            <w:tcW w:w="2960" w:type="dxa"/>
            <w:vAlign w:val="bottom"/>
            <w:tcBorders>
              <w:right w:val="single" w:sz="8" w:color="00000A"/>
            </w:tcBorders>
          </w:tcPr>
          <w:p>
            <w:pPr>
              <w:jc w:val="center"/>
              <w:spacing w:after="0" w:line="242" w:lineRule="exact"/>
              <w:rPr>
                <w:sz w:val="20"/>
                <w:szCs w:val="20"/>
                <w:color w:val="auto"/>
              </w:rPr>
            </w:pPr>
            <w:r>
              <w:rPr>
                <w:rFonts w:ascii="Arial" w:cs="Arial" w:eastAsia="Arial" w:hAnsi="Arial"/>
                <w:sz w:val="22"/>
                <w:szCs w:val="22"/>
                <w:color w:val="auto"/>
              </w:rPr>
              <w:t>[****]</w:t>
            </w:r>
          </w:p>
        </w:tc>
      </w:tr>
      <w:tr>
        <w:trPr>
          <w:trHeight w:val="275"/>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than US$ [****]</w:t>
            </w:r>
          </w:p>
        </w:tc>
        <w:tc>
          <w:tcPr>
            <w:tcW w:w="2960" w:type="dxa"/>
            <w:vAlign w:val="bottom"/>
            <w:tcBorders>
              <w:right w:val="single" w:sz="8" w:color="00000A"/>
            </w:tcBorders>
          </w:tcPr>
          <w:p>
            <w:pPr>
              <w:spacing w:after="0"/>
              <w:rPr>
                <w:sz w:val="23"/>
                <w:szCs w:val="23"/>
                <w:color w:val="auto"/>
              </w:rPr>
            </w:pP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r>
        <w:trPr>
          <w:trHeight w:val="274"/>
        </w:trPr>
        <w:tc>
          <w:tcPr>
            <w:tcW w:w="848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Aggregate annual Net Sales of Licensed Products equal to or greater than US$[****]</w:t>
            </w:r>
          </w:p>
        </w:tc>
        <w:tc>
          <w:tcPr>
            <w:tcW w:w="296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0"/>
              </w:rPr>
              <w:t>30%</w:t>
            </w:r>
          </w:p>
        </w:tc>
      </w:tr>
      <w:tr>
        <w:trPr>
          <w:trHeight w:val="422"/>
        </w:trPr>
        <w:tc>
          <w:tcPr>
            <w:tcW w:w="8480" w:type="dxa"/>
            <w:vAlign w:val="bottom"/>
            <w:tcBorders>
              <w:left w:val="single" w:sz="8" w:color="00000A"/>
              <w:bottom w:val="single" w:sz="8" w:color="00000A"/>
              <w:right w:val="single" w:sz="8" w:color="00000A"/>
            </w:tcBorders>
          </w:tcPr>
          <w:p>
            <w:pPr>
              <w:spacing w:after="0"/>
              <w:rPr>
                <w:sz w:val="24"/>
                <w:szCs w:val="24"/>
                <w:color w:val="auto"/>
              </w:rPr>
            </w:pPr>
          </w:p>
        </w:tc>
        <w:tc>
          <w:tcPr>
            <w:tcW w:w="2960" w:type="dxa"/>
            <w:vAlign w:val="bottom"/>
            <w:tcBorders>
              <w:bottom w:val="single" w:sz="8" w:color="00000A"/>
              <w:right w:val="single" w:sz="8" w:color="00000A"/>
            </w:tcBorders>
          </w:tcPr>
          <w:p>
            <w:pPr>
              <w:spacing w:after="0"/>
              <w:rPr>
                <w:sz w:val="24"/>
                <w:szCs w:val="24"/>
                <w:color w:val="auto"/>
              </w:rPr>
            </w:pPr>
          </w:p>
        </w:tc>
      </w:tr>
    </w:tbl>
    <w:p>
      <w:pPr>
        <w:spacing w:after="0" w:line="357" w:lineRule="exact"/>
        <w:rPr>
          <w:sz w:val="20"/>
          <w:szCs w:val="20"/>
          <w:color w:val="auto"/>
        </w:rPr>
      </w:pPr>
    </w:p>
    <w:p>
      <w:pPr>
        <w:ind w:right="300"/>
        <w:spacing w:after="0" w:line="271" w:lineRule="auto"/>
        <w:rPr>
          <w:sz w:val="20"/>
          <w:szCs w:val="20"/>
          <w:color w:val="auto"/>
        </w:rPr>
      </w:pPr>
      <w:r>
        <w:rPr>
          <w:rFonts w:ascii="Arial" w:cs="Arial" w:eastAsia="Arial" w:hAnsi="Arial"/>
          <w:sz w:val="21"/>
          <w:szCs w:val="21"/>
          <w:color w:val="auto"/>
        </w:rPr>
        <w:t>By way of example, if aggregate Net Sales of all Licensed Products in the Field in the Territory in a Contract Year are US$ 600,000,000, the Aggregate Profit Sharing Payment in respect of such Contract Year shall be equal to [****]% Net Sales of US$ 600,000,000 (</w:t>
      </w:r>
      <w:r>
        <w:rPr>
          <w:rFonts w:ascii="Arial" w:cs="Arial" w:eastAsia="Arial" w:hAnsi="Arial"/>
          <w:sz w:val="21"/>
          <w:szCs w:val="21"/>
          <w:i w:val="1"/>
          <w:iCs w:val="1"/>
          <w:color w:val="auto"/>
        </w:rPr>
        <w:t>i.e.</w:t>
      </w:r>
      <w:r>
        <w:rPr>
          <w:rFonts w:ascii="Arial" w:cs="Arial" w:eastAsia="Arial" w:hAnsi="Arial"/>
          <w:sz w:val="21"/>
          <w:szCs w:val="21"/>
          <w:color w:val="auto"/>
        </w:rPr>
        <w:t xml:space="preserve">, US$ [****]), which example is described in greater detail in </w:t>
      </w:r>
      <w:r>
        <w:rPr>
          <w:rFonts w:ascii="Arial" w:cs="Arial" w:eastAsia="Arial" w:hAnsi="Arial"/>
          <w:sz w:val="21"/>
          <w:szCs w:val="21"/>
          <w:u w:val="single" w:color="auto"/>
          <w:color w:val="auto"/>
        </w:rPr>
        <w:t>Schedule 10</w:t>
      </w:r>
      <w:r>
        <w:rPr>
          <w:rFonts w:ascii="Arial" w:cs="Arial" w:eastAsia="Arial" w:hAnsi="Arial"/>
          <w:sz w:val="21"/>
          <w:szCs w:val="21"/>
          <w:color w:val="auto"/>
        </w:rPr>
        <w:t>.</w:t>
      </w:r>
    </w:p>
    <w:p>
      <w:pPr>
        <w:spacing w:after="0" w:line="168" w:lineRule="exact"/>
        <w:rPr>
          <w:sz w:val="20"/>
          <w:szCs w:val="20"/>
          <w:color w:val="auto"/>
        </w:rPr>
      </w:pPr>
    </w:p>
    <w:p>
      <w:pPr>
        <w:ind w:right="280" w:firstLine="1305"/>
        <w:spacing w:after="0" w:line="260" w:lineRule="auto"/>
        <w:tabs>
          <w:tab w:leader="none" w:pos="1716"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Profit Sharing Payment due in respect of a given Calendar Quarter shall be equal to (i) the amount of the Aggregate Profit Sharing Payment owed to Regeneron with respect to Net Sales in such Contract Year through the end of such Calendar Quarter</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40"/>
          </w:cols>
          <w:pgMar w:left="240" w:top="631" w:right="219" w:bottom="1440" w:gutter="0" w:footer="0" w:header="0"/>
        </w:sectPr>
      </w:pPr>
    </w:p>
    <w:bookmarkStart w:id="113" w:name="page114"/>
    <w:bookmarkEnd w:id="113"/>
    <w:p>
      <w:pPr>
        <w:ind w:right="40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Net Sales</w:t>
      </w:r>
      <w:r>
        <w:rPr>
          <w:rFonts w:ascii="Arial" w:cs="Arial" w:eastAsia="Arial" w:hAnsi="Arial"/>
          <w:sz w:val="22"/>
          <w:szCs w:val="22"/>
          <w:color w:val="auto"/>
        </w:rPr>
        <w:t>”), less (ii) the amount of the Aggregate Profit Sharing Payment, if any, already paid to Regeneron with respect to Cumulative Net Sales in prior Calendar Quarters of such Contract Year.</w:t>
      </w:r>
    </w:p>
    <w:p>
      <w:pPr>
        <w:spacing w:after="0" w:line="175" w:lineRule="exact"/>
        <w:rPr>
          <w:sz w:val="20"/>
          <w:szCs w:val="20"/>
          <w:color w:val="auto"/>
        </w:rPr>
      </w:pPr>
    </w:p>
    <w:p>
      <w:pPr>
        <w:ind w:right="160" w:firstLine="648"/>
        <w:spacing w:after="0" w:line="276"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Payments with respect to Batches under the Supply Agreement</w:t>
      </w:r>
      <w:r>
        <w:rPr>
          <w:rFonts w:ascii="Arial" w:cs="Arial" w:eastAsia="Arial" w:hAnsi="Arial"/>
          <w:sz w:val="22"/>
          <w:szCs w:val="22"/>
          <w:color w:val="auto"/>
        </w:rPr>
        <w:t>. Regeneron shall sell to SWI, and SWI shall purchase from Regeneron, during the Supply Term, the Product at the following price, payable as follows:</w:t>
      </w:r>
    </w:p>
    <w:p>
      <w:pPr>
        <w:spacing w:after="0" w:line="161" w:lineRule="exact"/>
        <w:rPr>
          <w:sz w:val="20"/>
          <w:szCs w:val="20"/>
          <w:color w:val="auto"/>
        </w:rPr>
      </w:pPr>
    </w:p>
    <w:p>
      <w:pPr>
        <w:ind w:right="20" w:firstLine="1305"/>
        <w:spacing w:after="0" w:line="299" w:lineRule="auto"/>
        <w:tabs>
          <w:tab w:leader="none" w:pos="1716" w:val="left"/>
        </w:tabs>
        <w:numPr>
          <w:ilvl w:val="1"/>
          <w:numId w:val="51"/>
        </w:numPr>
        <w:rPr>
          <w:rFonts w:ascii="Arial" w:cs="Arial" w:eastAsia="Arial" w:hAnsi="Arial"/>
          <w:sz w:val="19"/>
          <w:szCs w:val="19"/>
          <w:color w:val="auto"/>
        </w:rPr>
      </w:pPr>
      <w:r>
        <w:rPr>
          <w:rFonts w:ascii="Arial" w:cs="Arial" w:eastAsia="Arial" w:hAnsi="Arial"/>
          <w:sz w:val="19"/>
          <w:szCs w:val="19"/>
          <w:color w:val="auto"/>
        </w:rPr>
        <w:t>Regeneron shall invoice SWI for the Estimated Fully Burdened Batch Price applicable to each Batch that was manufactured and shipped pursuant to a Firm Order under the Supply Agreement, and SWI shall pay such amount within forty-five</w:t>
      </w:r>
    </w:p>
    <w:p>
      <w:pPr>
        <w:ind w:right="200" w:firstLine="8"/>
        <w:spacing w:after="0" w:line="245" w:lineRule="auto"/>
        <w:tabs>
          <w:tab w:leader="none" w:pos="414" w:val="left"/>
        </w:tabs>
        <w:numPr>
          <w:ilvl w:val="0"/>
          <w:numId w:val="52"/>
        </w:numPr>
        <w:rPr>
          <w:rFonts w:ascii="Arial" w:cs="Arial" w:eastAsia="Arial" w:hAnsi="Arial"/>
          <w:sz w:val="22"/>
          <w:szCs w:val="22"/>
          <w:color w:val="auto"/>
        </w:rPr>
      </w:pPr>
      <w:r>
        <w:rPr>
          <w:rFonts w:ascii="Arial" w:cs="Arial" w:eastAsia="Arial" w:hAnsi="Arial"/>
          <w:sz w:val="22"/>
          <w:szCs w:val="22"/>
          <w:color w:val="auto"/>
        </w:rPr>
        <w:t>days after the date of such invoice. Beginning in the 2016 Contract Year, within forty-five (45) days after the end of each Calendar Quarter, Regeneron shall provide a good faith estimate of the Aggregate Actual Fully Burdened Manufacturing Cost for that Contract Year.</w:t>
      </w:r>
    </w:p>
    <w:p>
      <w:pPr>
        <w:spacing w:after="0" w:line="193" w:lineRule="exact"/>
        <w:rPr>
          <w:rFonts w:ascii="Arial" w:cs="Arial" w:eastAsia="Arial" w:hAnsi="Arial"/>
          <w:sz w:val="22"/>
          <w:szCs w:val="22"/>
          <w:color w:val="auto"/>
        </w:rPr>
      </w:pPr>
    </w:p>
    <w:p>
      <w:pPr>
        <w:ind w:firstLine="1305"/>
        <w:spacing w:after="0" w:line="297" w:lineRule="auto"/>
        <w:tabs>
          <w:tab w:leader="none" w:pos="1728" w:val="left"/>
        </w:tabs>
        <w:numPr>
          <w:ilvl w:val="1"/>
          <w:numId w:val="52"/>
        </w:numPr>
        <w:rPr>
          <w:rFonts w:ascii="Arial" w:cs="Arial" w:eastAsia="Arial" w:hAnsi="Arial"/>
          <w:sz w:val="19"/>
          <w:szCs w:val="19"/>
          <w:color w:val="auto"/>
        </w:rPr>
      </w:pPr>
      <w:r>
        <w:rPr>
          <w:rFonts w:ascii="Arial" w:cs="Arial" w:eastAsia="Arial" w:hAnsi="Arial"/>
          <w:sz w:val="19"/>
          <w:szCs w:val="19"/>
          <w:color w:val="auto"/>
        </w:rPr>
        <w:t>With respect to Batches to be manufactured in the 2016 Contract Year and each Contract Year thereafter during the Supply Term, Regeneron shall provide in writing to SWI by [****] Regeneron’s good faith estimate of the Actual Fully Burdened Manufacturing Costs of any Batch to be manufactured in such Contract Year, which estimate shall be based on the Actual Fully Burdened Manufacturing Cost of prior years, current year-to-date manufacturing costs, the number of Batches expected to be manufactured in such Contract Year, and any other relevant factors (the “</w:t>
      </w:r>
      <w:r>
        <w:rPr>
          <w:rFonts w:ascii="Arial" w:cs="Arial" w:eastAsia="Arial" w:hAnsi="Arial"/>
          <w:sz w:val="19"/>
          <w:szCs w:val="19"/>
          <w:u w:val="single" w:color="auto"/>
          <w:color w:val="auto"/>
        </w:rPr>
        <w:t>Estimated Fully Burdened Batch Price</w:t>
      </w:r>
      <w:r>
        <w:rPr>
          <w:rFonts w:ascii="Arial" w:cs="Arial" w:eastAsia="Arial" w:hAnsi="Arial"/>
          <w:sz w:val="19"/>
          <w:szCs w:val="19"/>
          <w:color w:val="auto"/>
        </w:rPr>
        <w:t xml:space="preserve">”). The Estimated Fully Burdened Batch Prices for the 2014 Contract Year and the 2015 Contract Year are set forth in </w:t>
      </w:r>
      <w:r>
        <w:rPr>
          <w:rFonts w:ascii="Arial" w:cs="Arial" w:eastAsia="Arial" w:hAnsi="Arial"/>
          <w:sz w:val="19"/>
          <w:szCs w:val="19"/>
          <w:u w:val="single" w:color="auto"/>
          <w:color w:val="auto"/>
        </w:rPr>
        <w:t>Appendix 1</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1720" w:hanging="415"/>
        <w:spacing w:after="0"/>
        <w:tabs>
          <w:tab w:leader="none" w:pos="17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Beginning with Product manufactured in the 2016 Contract Year, clauses (i), (ii) and (iii) of this Section 9.7(c)</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shall apply:</w:t>
      </w:r>
    </w:p>
    <w:p>
      <w:pPr>
        <w:spacing w:after="0" w:line="215" w:lineRule="exact"/>
        <w:rPr>
          <w:rFonts w:ascii="Arial" w:cs="Arial" w:eastAsia="Arial" w:hAnsi="Arial"/>
          <w:sz w:val="19"/>
          <w:szCs w:val="19"/>
          <w:color w:val="auto"/>
        </w:rPr>
      </w:pPr>
    </w:p>
    <w:p>
      <w:pPr>
        <w:ind w:right="100" w:firstLine="1953"/>
        <w:spacing w:after="0" w:line="287" w:lineRule="auto"/>
        <w:tabs>
          <w:tab w:leader="none" w:pos="2329" w:val="left"/>
        </w:tabs>
        <w:numPr>
          <w:ilvl w:val="2"/>
          <w:numId w:val="52"/>
        </w:numPr>
        <w:rPr>
          <w:rFonts w:ascii="Arial" w:cs="Arial" w:eastAsia="Arial" w:hAnsi="Arial"/>
          <w:sz w:val="19"/>
          <w:szCs w:val="19"/>
          <w:color w:val="auto"/>
        </w:rPr>
      </w:pPr>
      <w:r>
        <w:rPr>
          <w:rFonts w:ascii="Arial" w:cs="Arial" w:eastAsia="Arial" w:hAnsi="Arial"/>
          <w:sz w:val="19"/>
          <w:szCs w:val="19"/>
          <w:color w:val="auto"/>
        </w:rPr>
        <w:t>Within sixty (60) days after the end of each Contract Year during the Supply Term, Regeneron shall calculate and provide SWI with (A) (1) the total Actual Fully Burdened Manufacturing Cost for all quantities of Product manufactured during such Contract Year pursuant to a Firm Order, [****], and the cost of any Batches that were [****], and (2) amounts due to Regeneron in respect of quantities of Product in respect of a Firm Order which [****] (the sum of (1) and (2) the “</w:t>
      </w:r>
      <w:r>
        <w:rPr>
          <w:rFonts w:ascii="Arial" w:cs="Arial" w:eastAsia="Arial" w:hAnsi="Arial"/>
          <w:sz w:val="19"/>
          <w:szCs w:val="19"/>
          <w:u w:val="single" w:color="auto"/>
          <w:color w:val="auto"/>
        </w:rPr>
        <w:t>Aggregate Actual Fully Burdened Manufacturing Cost</w:t>
      </w:r>
      <w:r>
        <w:rPr>
          <w:rFonts w:ascii="Arial" w:cs="Arial" w:eastAsia="Arial" w:hAnsi="Arial"/>
          <w:sz w:val="19"/>
          <w:szCs w:val="19"/>
          <w:color w:val="auto"/>
        </w:rPr>
        <w:t>”), (B) the total amount of the payments based on the Estimated Fully Burdened Batch Price for such Contract Year that have been invoiced to SWI (the “</w:t>
      </w:r>
      <w:r>
        <w:rPr>
          <w:rFonts w:ascii="Arial" w:cs="Arial" w:eastAsia="Arial" w:hAnsi="Arial"/>
          <w:sz w:val="19"/>
          <w:szCs w:val="19"/>
          <w:u w:val="single" w:color="auto"/>
          <w:color w:val="auto"/>
        </w:rPr>
        <w:t>Payment Total</w:t>
      </w:r>
      <w:r>
        <w:rPr>
          <w:rFonts w:ascii="Arial" w:cs="Arial" w:eastAsia="Arial" w:hAnsi="Arial"/>
          <w:sz w:val="19"/>
          <w:szCs w:val="19"/>
          <w:color w:val="auto"/>
        </w:rPr>
        <w:t>”), which shall equal the product of (x) the number of Batches that were manufactured during such Contract Year [****] (the “</w:t>
      </w:r>
      <w:r>
        <w:rPr>
          <w:rFonts w:ascii="Arial" w:cs="Arial" w:eastAsia="Arial" w:hAnsi="Arial"/>
          <w:sz w:val="19"/>
          <w:szCs w:val="19"/>
          <w:u w:val="single" w:color="auto"/>
          <w:color w:val="auto"/>
        </w:rPr>
        <w:t>Batch Number</w:t>
      </w:r>
      <w:r>
        <w:rPr>
          <w:rFonts w:ascii="Arial" w:cs="Arial" w:eastAsia="Arial" w:hAnsi="Arial"/>
          <w:sz w:val="19"/>
          <w:szCs w:val="19"/>
          <w:color w:val="auto"/>
        </w:rPr>
        <w:t>”), and (y) the Estimated Fully Burdened Batch Price for such Contract Year, and (C) the amount equal to the difference between the Aggregate Actual Fully Burdened Manufacturing Costs and the Payment Total (the “</w:t>
      </w:r>
      <w:r>
        <w:rPr>
          <w:rFonts w:ascii="Arial" w:cs="Arial" w:eastAsia="Arial" w:hAnsi="Arial"/>
          <w:sz w:val="19"/>
          <w:szCs w:val="19"/>
          <w:u w:val="single" w:color="auto"/>
          <w:color w:val="auto"/>
        </w:rPr>
        <w:t>Reconciliation Amount</w:t>
      </w:r>
      <w:r>
        <w:rPr>
          <w:rFonts w:ascii="Arial" w:cs="Arial" w:eastAsia="Arial" w:hAnsi="Arial"/>
          <w:sz w:val="19"/>
          <w:szCs w:val="19"/>
          <w:color w:val="auto"/>
        </w:rPr>
        <w:t>”). In the event that, with respect to a Contract Year, the Aggregate Actual Fully Burdened Manufacturing Cost is greater than the Payment Total, then Regeneron shall invoice SWI for the Reconciliation Amount. In the event that, with respect to a Contract Year, the Payment Total is greater than the Aggregate Actual Fully Burdened Manufacturing Cost, then SWI shall invoice Regeneron for the Reconciliation Amount. Any invoice prepared pursuant to the foregoing two sentences will be prepared by the appropriate Party within ten (10) days of receipt by SWI of the report containing the Reconciliation Amount. The Party receiving an invoice pursuant to the foregoing three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631" w:right="259" w:bottom="1440" w:gutter="0" w:footer="0" w:header="0"/>
        </w:sectPr>
      </w:pPr>
    </w:p>
    <w:bookmarkStart w:id="114" w:name="page115"/>
    <w:bookmarkEnd w:id="114"/>
    <w:p>
      <w:pPr>
        <w:spacing w:after="0"/>
        <w:rPr>
          <w:sz w:val="20"/>
          <w:szCs w:val="20"/>
          <w:color w:val="auto"/>
        </w:rPr>
      </w:pPr>
      <w:r>
        <w:rPr>
          <w:rFonts w:ascii="Arial" w:cs="Arial" w:eastAsia="Arial" w:hAnsi="Arial"/>
          <w:sz w:val="22"/>
          <w:szCs w:val="22"/>
          <w:color w:val="auto"/>
        </w:rPr>
        <w:t>sentences shall pay the Reconciliation Amount within thirty (30) days after the date of such invoice.</w:t>
      </w:r>
    </w:p>
    <w:p>
      <w:pPr>
        <w:spacing w:after="0" w:line="220" w:lineRule="exact"/>
        <w:rPr>
          <w:sz w:val="20"/>
          <w:szCs w:val="20"/>
          <w:color w:val="auto"/>
        </w:rPr>
      </w:pPr>
    </w:p>
    <w:p>
      <w:pPr>
        <w:jc w:val="both"/>
        <w:ind w:firstLine="1953"/>
        <w:spacing w:after="0" w:line="299" w:lineRule="auto"/>
        <w:tabs>
          <w:tab w:leader="none" w:pos="2389" w:val="left"/>
        </w:tabs>
        <w:numPr>
          <w:ilvl w:val="1"/>
          <w:numId w:val="53"/>
        </w:numPr>
        <w:rPr>
          <w:rFonts w:ascii="Arial" w:cs="Arial" w:eastAsia="Arial" w:hAnsi="Arial"/>
          <w:sz w:val="19"/>
          <w:szCs w:val="19"/>
          <w:color w:val="auto"/>
        </w:rPr>
      </w:pPr>
      <w:r>
        <w:rPr>
          <w:rFonts w:ascii="Arial" w:cs="Arial" w:eastAsia="Arial" w:hAnsi="Arial"/>
          <w:sz w:val="19"/>
          <w:szCs w:val="19"/>
          <w:color w:val="auto"/>
        </w:rPr>
        <w:t>With regard to Batches manufactured in any given Contract Year within the Supply term, which [****], Regeneron shall invoice SWI for their Actual Fully Burdened Manufacturing Cost and SWI shall pay such amount within forty-five</w:t>
      </w:r>
    </w:p>
    <w:p>
      <w:pPr>
        <w:ind w:left="420" w:hanging="412"/>
        <w:spacing w:after="0"/>
        <w:tabs>
          <w:tab w:leader="none" w:pos="4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days after the date of such invoice.</w:t>
      </w:r>
    </w:p>
    <w:p>
      <w:pPr>
        <w:spacing w:after="0" w:line="201" w:lineRule="exact"/>
        <w:rPr>
          <w:rFonts w:ascii="Arial" w:cs="Arial" w:eastAsia="Arial" w:hAnsi="Arial"/>
          <w:sz w:val="22"/>
          <w:szCs w:val="22"/>
          <w:color w:val="auto"/>
        </w:rPr>
      </w:pPr>
    </w:p>
    <w:p>
      <w:pPr>
        <w:ind w:right="40" w:firstLine="1953"/>
        <w:spacing w:after="0" w:line="291" w:lineRule="auto"/>
        <w:tabs>
          <w:tab w:leader="none" w:pos="2449" w:val="left"/>
        </w:tabs>
        <w:numPr>
          <w:ilvl w:val="1"/>
          <w:numId w:val="54"/>
        </w:numPr>
        <w:rPr>
          <w:rFonts w:ascii="Arial" w:cs="Arial" w:eastAsia="Arial" w:hAnsi="Arial"/>
          <w:sz w:val="19"/>
          <w:szCs w:val="19"/>
          <w:color w:val="auto"/>
        </w:rPr>
      </w:pPr>
      <w:r>
        <w:rPr>
          <w:rFonts w:ascii="Arial" w:cs="Arial" w:eastAsia="Arial" w:hAnsi="Arial"/>
          <w:sz w:val="19"/>
          <w:szCs w:val="19"/>
          <w:color w:val="auto"/>
        </w:rPr>
        <w:t>For clarity, with respect to any Batches manufactured in a given Contract Year but shipped after the end of such Contract Year, Regeneron shall invoice SWI, in accordance with Section 9.7(a) and pursuant to Section 9.8, the amount of the Estimated Fully Burdened Batch Price in effect during the Contract Year in which such Batch was manufactured, regardless of whether a Reconciliation Payment was made by either Party under this Section 9.7(c). To the extent any Batches manufactured in a given Contract Year are shipped after [****], (i) Regeneron shall invoice SWI for their Estimated Fully Burdened Manufacturing Cost, (ii) SWI shall pay such amount within forty-five (45) days after the date of such invoice and (iii) any Reconciliation Amount payable on such batches shall be carried forward to the reconciliation for the subsequent year and added to the Reconciliation Amount to be calculated for such year pursuant to Section 9.7(c)(i). For further clarity, in no event shall this Section 9.7(c) diminish Aventis’s obligations to provide Firm Orders pursuant to Section 5.1 of the Supply Agreement.</w:t>
      </w:r>
    </w:p>
    <w:p>
      <w:pPr>
        <w:spacing w:after="0" w:line="155"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color w:val="auto"/>
        </w:rPr>
        <w:t xml:space="preserve">9.8 </w:t>
      </w:r>
      <w:r>
        <w:rPr>
          <w:rFonts w:ascii="Arial" w:cs="Arial" w:eastAsia="Arial" w:hAnsi="Arial"/>
          <w:sz w:val="19"/>
          <w:szCs w:val="19"/>
          <w:u w:val="single" w:color="auto"/>
          <w:color w:val="auto"/>
        </w:rPr>
        <w:t>Quarterly Invoicing and Payment</w:t>
      </w:r>
      <w:r>
        <w:rPr>
          <w:rFonts w:ascii="Arial" w:cs="Arial" w:eastAsia="Arial" w:hAnsi="Arial"/>
          <w:sz w:val="19"/>
          <w:szCs w:val="19"/>
          <w:color w:val="auto"/>
        </w:rPr>
        <w:t>. Following the end of each Calendar Quarter, within fifteen (15) days after receipt by Regeneron of the Net Sales Report from Aventis pursuant to Section 9.4, Regeneron shall invoice Aventis the following amounts due for such Calendar Quarter: (i) all Third Party Payment Amounts due in respect of such Calendar Quarter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9.4, (ii) the amount of Regeneron Costs incurred by Regeneron in such Calendar Quarter which are due pursuant to Section 9.5, and</w:t>
      </w:r>
    </w:p>
    <w:p>
      <w:pPr>
        <w:spacing w:after="0" w:line="38" w:lineRule="exact"/>
        <w:rPr>
          <w:sz w:val="20"/>
          <w:szCs w:val="20"/>
          <w:color w:val="auto"/>
        </w:rPr>
      </w:pPr>
    </w:p>
    <w:p>
      <w:pPr>
        <w:ind w:right="80" w:firstLine="8"/>
        <w:spacing w:after="0" w:line="244" w:lineRule="auto"/>
        <w:tabs>
          <w:tab w:leader="none" w:pos="378"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the amount of the Profit Sharing Payment due with respect to such Calendar Quarter pursuant to Section 9.6 and in accordance with the form of calculation set forth on </w:t>
      </w:r>
      <w:r>
        <w:rPr>
          <w:rFonts w:ascii="Arial" w:cs="Arial" w:eastAsia="Arial" w:hAnsi="Arial"/>
          <w:sz w:val="22"/>
          <w:szCs w:val="22"/>
          <w:u w:val="single" w:color="auto"/>
          <w:color w:val="auto"/>
        </w:rPr>
        <w:t>Schedule 10</w:t>
      </w:r>
      <w:r>
        <w:rPr>
          <w:rFonts w:ascii="Arial" w:cs="Arial" w:eastAsia="Arial" w:hAnsi="Arial"/>
          <w:sz w:val="22"/>
          <w:szCs w:val="22"/>
          <w:color w:val="auto"/>
        </w:rPr>
        <w:t>. Aventis shall pay the amount due to Regeneron pursuant to such invoice(s) within twenty five (25) days after receipt by Aventis of such invoice(s). For clarity, the receipt date shall be the date any invoice is electronically received by Aventis.</w:t>
      </w:r>
    </w:p>
    <w:p>
      <w:pPr>
        <w:spacing w:after="0" w:line="196" w:lineRule="exact"/>
        <w:rPr>
          <w:sz w:val="20"/>
          <w:szCs w:val="20"/>
          <w:color w:val="auto"/>
        </w:rPr>
      </w:pPr>
    </w:p>
    <w:p>
      <w:pPr>
        <w:ind w:right="40" w:firstLine="648"/>
        <w:spacing w:after="0" w:line="291" w:lineRule="auto"/>
        <w:rPr>
          <w:sz w:val="20"/>
          <w:szCs w:val="20"/>
          <w:color w:val="auto"/>
        </w:rPr>
      </w:pPr>
      <w:r>
        <w:rPr>
          <w:rFonts w:ascii="Arial" w:cs="Arial" w:eastAsia="Arial" w:hAnsi="Arial"/>
          <w:sz w:val="19"/>
          <w:szCs w:val="19"/>
          <w:color w:val="auto"/>
        </w:rPr>
        <w:t xml:space="preserve">9.9 </w:t>
      </w:r>
      <w:r>
        <w:rPr>
          <w:rFonts w:ascii="Arial" w:cs="Arial" w:eastAsia="Arial" w:hAnsi="Arial"/>
          <w:sz w:val="19"/>
          <w:szCs w:val="19"/>
          <w:u w:val="single" w:color="auto"/>
          <w:color w:val="auto"/>
        </w:rPr>
        <w:t>Payment Method and Currency</w:t>
      </w:r>
      <w:r>
        <w:rPr>
          <w:rFonts w:ascii="Arial" w:cs="Arial" w:eastAsia="Arial" w:hAnsi="Arial"/>
          <w:sz w:val="19"/>
          <w:szCs w:val="19"/>
          <w:color w:val="auto"/>
        </w:rPr>
        <w:t>.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U.S. Dollars using the spot rates the average of the daily spot rates fixed by the European Central Bank from the last Business Day of the preceding month, as published on the website located on the following URL: http://sdw.ecb.europa.eu/browseSelection.do? DATASET=0&amp;sfl1=4&amp;FREQ=M&amp;sfl3=4&amp;CURRENCY=USD&amp;node=2018794. In the event of a payment dispute under this ARTICLE 9, the disputing Party shall be required to pay all non-disputed amounts pursuant to the terms of ARTICLE 9 and may withhold the payment only of any disputed amounts and only during the pendency of any such dispute.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631" w:right="239" w:bottom="1440" w:gutter="0" w:footer="0" w:header="0"/>
        </w:sectPr>
      </w:pPr>
    </w:p>
    <w:bookmarkStart w:id="115" w:name="page116"/>
    <w:bookmarkEnd w:id="115"/>
    <w:p>
      <w:pPr>
        <w:ind w:right="40" w:firstLine="648"/>
        <w:spacing w:after="0" w:line="248" w:lineRule="auto"/>
        <w:rPr>
          <w:sz w:val="20"/>
          <w:szCs w:val="20"/>
          <w:color w:val="auto"/>
        </w:rPr>
      </w:pPr>
      <w:r>
        <w:rPr>
          <w:rFonts w:ascii="Arial" w:cs="Arial" w:eastAsia="Arial" w:hAnsi="Arial"/>
          <w:sz w:val="22"/>
          <w:szCs w:val="22"/>
          <w:color w:val="auto"/>
        </w:rPr>
        <w:t xml:space="preserve">9.10 </w:t>
      </w:r>
      <w:r>
        <w:rPr>
          <w:rFonts w:ascii="Arial" w:cs="Arial" w:eastAsia="Arial" w:hAnsi="Arial"/>
          <w:sz w:val="22"/>
          <w:szCs w:val="22"/>
          <w:u w:val="single" w:color="auto"/>
          <w:color w:val="auto"/>
        </w:rPr>
        <w:t>Late Payments</w:t>
      </w:r>
      <w:r>
        <w:rPr>
          <w:rFonts w:ascii="Arial" w:cs="Arial" w:eastAsia="Arial" w:hAnsi="Arial"/>
          <w:sz w:val="22"/>
          <w:szCs w:val="22"/>
          <w:color w:val="auto"/>
        </w:rPr>
        <w:t xml:space="preserve"> . The Parties agree that, unless otherwise mutually agreed by the Parties or otherwise provided in this Agreement, amounts due by one Party to the other shall be payable to a bank account, details of which are to be communicated by the receiving Party. Unless otherwise mutually agreed by the Parties or otherwise provided in this Agreement, all payments under this Agreement shall earn interest, to the extent permitted by applicable Law, from the date due until paid at a rate equal to one month London Inter-Bank Offering Rate (LIBOR) U.S. Dollars, as quoted on Thomson Reuters Eikon (or any other source agreed to by the Parties) effective for the date on which the payment was due, [****] (such sum being referred to as the “</w:t>
      </w:r>
      <w:r>
        <w:rPr>
          <w:rFonts w:ascii="Arial" w:cs="Arial" w:eastAsia="Arial" w:hAnsi="Arial"/>
          <w:sz w:val="22"/>
          <w:szCs w:val="22"/>
          <w:u w:val="single" w:color="auto"/>
          <w:color w:val="auto"/>
        </w:rPr>
        <w:t>Default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Interest Rate</w:t>
      </w:r>
      <w:r>
        <w:rPr>
          <w:rFonts w:ascii="Arial" w:cs="Arial" w:eastAsia="Arial" w:hAnsi="Arial"/>
          <w:sz w:val="22"/>
          <w:szCs w:val="22"/>
          <w:color w:val="auto"/>
        </w:rPr>
        <w:t>”).</w:t>
      </w:r>
    </w:p>
    <w:p>
      <w:pPr>
        <w:spacing w:after="0" w:line="196"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 xml:space="preserve">9.11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Any withholding or other taxes that either Party or its Affiliates are required by Law to withhold or pay on behalf of the other Party, with respect to any payments to such other Party hereunder or the Ancillary Agreements, shall be deducted from such payments and paid to the appropriate tax authority contemporaneously with the remittance to the other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withholding Party shall furnish the other Party with proper evidence of the taxes so paid. Each Party</w:t>
      </w:r>
      <w:r>
        <w:rPr>
          <w:rFonts w:ascii="Arial" w:cs="Arial" w:eastAsia="Arial" w:hAnsi="Arial"/>
          <w:sz w:val="19"/>
          <w:szCs w:val="19"/>
          <w:i w:val="1"/>
          <w:iCs w:val="1"/>
          <w:color w:val="auto"/>
        </w:rPr>
        <w:t xml:space="preserve"> </w:t>
      </w:r>
      <w:r>
        <w:rPr>
          <w:rFonts w:ascii="Arial" w:cs="Arial" w:eastAsia="Arial" w:hAnsi="Arial"/>
          <w:sz w:val="19"/>
          <w:szCs w:val="19"/>
          <w:color w:val="auto"/>
        </w:rPr>
        <w:t>shall cooperate with the other and furnish the other Party with appropriate documents to secure application of the most favorable rate of withholding tax under applicable Law (or exemption from such withholding tax payments, as applicable).</w:t>
      </w:r>
    </w:p>
    <w:p>
      <w:pPr>
        <w:spacing w:after="0" w:line="147"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All amounts due under this ARTICLE 9 are exclusive of sales, use, goods and services, value added, excise, and other taxes, duties or charges of a similar nature imposed by any Governmental Authority, or other taxing authority. If any sales, use, goods and services, value added, excise, and other taxes, duties or charges of a similar nature will be chargeable with respect to payments made under this ARTICLE 9, Aventis shall pay to, or upon receipt of invoice from Regeneron, shall reimburse, Regeneron these in addition to the sums otherwise payable, at the rate in force at the due time for payment or such other time as is stipulated under the relevant legislation.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10</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DISPUTE RESOLUTION</w:t>
      </w:r>
    </w:p>
    <w:p>
      <w:pPr>
        <w:spacing w:after="0" w:line="4" w:lineRule="exact"/>
        <w:rPr>
          <w:sz w:val="20"/>
          <w:szCs w:val="20"/>
          <w:color w:val="auto"/>
        </w:rPr>
      </w:pPr>
    </w:p>
    <w:p>
      <w:pPr>
        <w:ind w:right="180" w:firstLine="648"/>
        <w:spacing w:after="0" w:line="24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Resolution of Disputes</w:t>
      </w:r>
      <w:r>
        <w:rPr>
          <w:rFonts w:ascii="Arial" w:cs="Arial" w:eastAsia="Arial" w:hAnsi="Arial"/>
          <w:sz w:val="22"/>
          <w:szCs w:val="22"/>
          <w:color w:val="auto"/>
        </w:rPr>
        <w:t>. The Parties recognize that disputes as to certain matters may from time to time arise which relate to either Party’s rights and obligations hereunder. It is the objective of the Parties to comply with the procedures set forth in this Agreement to use all reasonable efforts to facilitate the resolution of such disputes in an expedient manner by mutual agreement.</w:t>
      </w:r>
    </w:p>
    <w:p>
      <w:pPr>
        <w:spacing w:after="0" w:line="192"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Legal Disputes</w:t>
      </w:r>
      <w:r>
        <w:rPr>
          <w:rFonts w:ascii="Arial" w:cs="Arial" w:eastAsia="Arial" w:hAnsi="Arial"/>
          <w:sz w:val="21"/>
          <w:szCs w:val="21"/>
          <w:color w:val="auto"/>
        </w:rPr>
        <w:t>. The Parties agree that, subject to Sections 10.4 and 16.4, they shall use all reasonable efforts to resolve any Legal Dispute arising under this Agreement by good faith negotiation and discussion. In the event that the Parties are unable to resolve any such Legal Dispute either Party may submit the Legal Dispute to the Executive Officers for resolution, specifying the nature of the Legal Dispute with sufficient specificity to permit adequate consideration by such Executive Officers. The Executive Officers shall diligently and in good faith attempt to resolve the referred Legal Dispute within thirty (30) days of receiving such written notification. Any final decision mutually agreed to by the Executive Officers shall be conclusive and binding on the Parties. In the event the Executive Officers are unable to resolve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00"/>
          </w:cols>
          <w:pgMar w:left="240" w:top="631" w:right="259" w:bottom="1440" w:gutter="0" w:footer="0" w:header="0"/>
        </w:sectPr>
      </w:pPr>
    </w:p>
    <w:bookmarkStart w:id="116" w:name="page117"/>
    <w:bookmarkEnd w:id="116"/>
    <w:p>
      <w:pPr>
        <w:spacing w:after="0"/>
        <w:rPr>
          <w:sz w:val="20"/>
          <w:szCs w:val="20"/>
          <w:color w:val="auto"/>
        </w:rPr>
      </w:pPr>
      <w:r>
        <w:rPr>
          <w:rFonts w:ascii="Arial" w:cs="Arial" w:eastAsia="Arial" w:hAnsi="Arial"/>
          <w:sz w:val="19"/>
          <w:szCs w:val="19"/>
          <w:color w:val="auto"/>
        </w:rPr>
        <w:t>any such Legal Dispute, the Parties shall be free to pursue any rights and remedies available to them at law, in equity or otherwise.</w:t>
      </w:r>
    </w:p>
    <w:p>
      <w:pPr>
        <w:spacing w:after="0" w:line="254"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Escalation to Executive Officers</w:t>
      </w:r>
      <w:r>
        <w:rPr>
          <w:rFonts w:ascii="Arial" w:cs="Arial" w:eastAsia="Arial" w:hAnsi="Arial"/>
          <w:sz w:val="19"/>
          <w:szCs w:val="19"/>
          <w:color w:val="auto"/>
        </w:rPr>
        <w:t>. In the event of a dispute between the Parties with respect to any Development activities or any proposed amendment to the Development Plan pursuant to Section 5.2, either Party may, on written notice to the other Party, refer such dispute to the Executive Officers for a joint decision,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Any final decision mutually agreed to by the Executive Officers shall be conclusive and binding on the Parties. In the event that the Executive Officers are unable during such thirty (30)-day period to resolve a dispute between the Parties with respect to whether or not any Development activities or any proposed amendment to the Development Plan may be reasonably expected to have an adverse impact on an Excluded Ocular VEGF Product anywhere in the world, Regeneron’s Executive Officer shall have final decision-making authority. In the event that the Executive Officers are unable during such thirty (30)-day period to resolve a dispute between the Parties with respect to any Development activities or any proposed amendment to the Development Plan other than a dispute with respect to whether or not any Development activity or proposed amendment to the Development Plan may be reasonably expected to have an adverse impact on an Exclude Ocular VEGF Product anywhere in the world, Aventis’ Executive Officer shall have the final decision-making authority.</w:t>
      </w:r>
    </w:p>
    <w:p>
      <w:pPr>
        <w:spacing w:after="0" w:line="200" w:lineRule="exact"/>
        <w:rPr>
          <w:sz w:val="20"/>
          <w:szCs w:val="20"/>
          <w:color w:val="auto"/>
        </w:rPr>
      </w:pPr>
    </w:p>
    <w:p>
      <w:pPr>
        <w:spacing w:after="0" w:line="214" w:lineRule="exact"/>
        <w:rPr>
          <w:sz w:val="20"/>
          <w:szCs w:val="20"/>
          <w:color w:val="auto"/>
        </w:rPr>
      </w:pPr>
    </w:p>
    <w:p>
      <w:pPr>
        <w:ind w:right="520" w:firstLine="648"/>
        <w:spacing w:after="0" w:line="358"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No Waiver</w:t>
      </w:r>
      <w:r>
        <w:rPr>
          <w:rFonts w:ascii="Arial" w:cs="Arial" w:eastAsia="Arial" w:hAnsi="Arial"/>
          <w:sz w:val="19"/>
          <w:szCs w:val="19"/>
          <w:color w:val="auto"/>
        </w:rPr>
        <w:t>. Nothing in this ARTICLE 10 shall prohibit either Party from seeking immediate injunctive or other equitable relief if such Party reasonably believes that it will suffer irreparable harm from the actions of the other.</w:t>
      </w:r>
    </w:p>
    <w:p>
      <w:pPr>
        <w:spacing w:after="0" w:line="8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11</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TRADEMARKS AND CORPORATE LOGOS</w:t>
      </w:r>
    </w:p>
    <w:p>
      <w:pPr>
        <w:spacing w:after="0" w:line="4" w:lineRule="exact"/>
        <w:rPr>
          <w:sz w:val="20"/>
          <w:szCs w:val="20"/>
          <w:color w:val="auto"/>
        </w:rPr>
      </w:pPr>
    </w:p>
    <w:p>
      <w:pPr>
        <w:ind w:right="720" w:firstLine="648"/>
        <w:spacing w:after="0" w:line="259" w:lineRule="auto"/>
        <w:rPr>
          <w:sz w:val="20"/>
          <w:szCs w:val="20"/>
          <w:color w:val="auto"/>
        </w:rPr>
      </w:pPr>
      <w:r>
        <w:rPr>
          <w:rFonts w:ascii="Arial" w:cs="Arial" w:eastAsia="Arial" w:hAnsi="Arial"/>
          <w:sz w:val="22"/>
          <w:szCs w:val="22"/>
          <w:color w:val="auto"/>
        </w:rPr>
        <w:t xml:space="preserve">11.1 </w:t>
      </w:r>
      <w:r>
        <w:rPr>
          <w:rFonts w:ascii="Arial" w:cs="Arial" w:eastAsia="Arial" w:hAnsi="Arial"/>
          <w:sz w:val="22"/>
          <w:szCs w:val="22"/>
          <w:u w:val="single" w:color="auto"/>
          <w:color w:val="auto"/>
        </w:rPr>
        <w:t>Corporate Logos</w:t>
      </w:r>
      <w:r>
        <w:rPr>
          <w:rFonts w:ascii="Arial" w:cs="Arial" w:eastAsia="Arial" w:hAnsi="Arial"/>
          <w:sz w:val="22"/>
          <w:szCs w:val="22"/>
          <w:color w:val="auto"/>
        </w:rPr>
        <w:t>. Each Party and its Affiliates shall retain all right, title and interest in and to their respective corporate names and logos.</w:t>
      </w:r>
    </w:p>
    <w:p>
      <w:pPr>
        <w:spacing w:after="0" w:line="179" w:lineRule="exact"/>
        <w:rPr>
          <w:sz w:val="20"/>
          <w:szCs w:val="20"/>
          <w:color w:val="auto"/>
        </w:rPr>
      </w:pPr>
    </w:p>
    <w:p>
      <w:pPr>
        <w:jc w:val="both"/>
        <w:ind w:right="460" w:firstLine="648"/>
        <w:spacing w:after="0" w:line="358"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Selection of Product Trademarks</w:t>
      </w:r>
      <w:r>
        <w:rPr>
          <w:rFonts w:ascii="Arial" w:cs="Arial" w:eastAsia="Arial" w:hAnsi="Arial"/>
          <w:sz w:val="19"/>
          <w:szCs w:val="19"/>
          <w:color w:val="auto"/>
        </w:rPr>
        <w:t>. As between the Parties, Aventis shall have the sole right to select one or more Product Trademarks (including back-up trademarks) for each Licensed Product for use with respect to such Licensed Product.</w:t>
      </w:r>
    </w:p>
    <w:p>
      <w:pPr>
        <w:spacing w:after="0" w:line="91"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Ownership of Product Trademarks</w:t>
      </w:r>
      <w:r>
        <w:rPr>
          <w:rFonts w:ascii="Arial" w:cs="Arial" w:eastAsia="Arial" w:hAnsi="Arial"/>
          <w:sz w:val="19"/>
          <w:szCs w:val="19"/>
          <w:color w:val="auto"/>
        </w:rPr>
        <w:t>. Unless otherwise mutually agreed between the Parties, (a) Regeneron (or its local Affiliates, as appropriate) shall own and retain all right, title and interest in and to Product Trademark(s) for the Licensed Products, together with all associated trade dress, trade names, services marks, .us domain names and all associated social media identifiers and accounts for the Licensed Products and the Regeneron Licensed Product Domain Names, in the United States, and all goodwill related thereto (the “</w:t>
      </w:r>
      <w:r>
        <w:rPr>
          <w:rFonts w:ascii="Arial" w:cs="Arial" w:eastAsia="Arial" w:hAnsi="Arial"/>
          <w:sz w:val="19"/>
          <w:szCs w:val="19"/>
          <w:u w:val="single" w:color="auto"/>
          <w:color w:val="auto"/>
        </w:rPr>
        <w:t>Regeneron Trademarks</w:t>
      </w:r>
      <w:r>
        <w:rPr>
          <w:rFonts w:ascii="Arial" w:cs="Arial" w:eastAsia="Arial" w:hAnsi="Arial"/>
          <w:sz w:val="19"/>
          <w:szCs w:val="19"/>
          <w:color w:val="auto"/>
        </w:rPr>
        <w:t>”), and (b) Aventis (or its local Affiliates, as appropriate) shall own and retain all right, title and interest in and to Product Trademark(s) for the Licensed Products, together with all associated trade dress, trade names, services marks, gTLD and ccTLD (other than .us domain name) for the Licensed Products, in all countries in the Territory other than the United States and all goodwill related thereto (the “</w:t>
      </w:r>
      <w:r>
        <w:rPr>
          <w:rFonts w:ascii="Arial" w:cs="Arial" w:eastAsia="Arial" w:hAnsi="Arial"/>
          <w:sz w:val="19"/>
          <w:szCs w:val="19"/>
          <w:u w:val="single" w:color="auto"/>
          <w:color w:val="auto"/>
        </w:rPr>
        <w:t>Aventis Trademarks</w:t>
      </w:r>
      <w:r>
        <w:rPr>
          <w:rFonts w:ascii="Arial" w:cs="Arial" w:eastAsia="Arial" w:hAnsi="Arial"/>
          <w:sz w:val="19"/>
          <w:szCs w:val="19"/>
          <w:color w:val="auto"/>
        </w:rPr>
        <w:t>”).</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360"/>
          </w:cols>
          <w:pgMar w:left="240" w:top="631" w:right="299" w:bottom="1440" w:gutter="0" w:footer="0" w:header="0"/>
        </w:sectPr>
      </w:pPr>
    </w:p>
    <w:bookmarkStart w:id="117" w:name="page118"/>
    <w:bookmarkEnd w:id="117"/>
    <w:p>
      <w:pPr>
        <w:ind w:right="20" w:firstLine="648"/>
        <w:spacing w:after="0" w:line="288"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Prosecution and Maintenance of Product Trademarks</w:t>
      </w:r>
      <w:r>
        <w:rPr>
          <w:rFonts w:ascii="Arial" w:cs="Arial" w:eastAsia="Arial" w:hAnsi="Arial"/>
          <w:sz w:val="19"/>
          <w:szCs w:val="19"/>
          <w:color w:val="auto"/>
        </w:rPr>
        <w:t>. Aventis will use Commercially Reasonable Efforts to register, and to prosecute and maintain any registration and registration application for, the Aventis Trademarks for the Licensed Products in all countries in the Territory other than the United States, and Aventis will use Commercially Reasonable Efforts to register, and to prosecute and maintain any registration and registration application for, the Regeneron Trademarks for the Licensed Products in Regeneron’s name in the United States. Notwithstanding the foregoing, in the event Aventis elects not to register, or to prosecute or maintain any registration or registration application for, any Aventis Trademark or any Regeneron Trademark for the Licensed Products in the Territory, Regeneron shall have the right to do so on behalf of Aventis for use with the Licensed Products in the Field during the Term, subject to consultation and cooperation with Aventis. The Parties agree that Aventis shall be solely responsible for [****] costs and expenses incurred in connection with the prosecution and maintenance of the Aventis Trademarks and the Regeneron Trademarks during the Term, except in the event that Regeneron elects to assume responsibility for the prosecution and maintenance of any Aventis Trademark or Regeneron Trademark, in which case Regeneron shall bear [****] of all costs and expenses incurred in prosecuting and maintaining such Aventis Trademark or Regeneron Trademark.</w:t>
      </w:r>
    </w:p>
    <w:p>
      <w:pPr>
        <w:spacing w:after="0" w:line="163"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License to the Licensed Product Trademarks</w:t>
      </w:r>
      <w:r>
        <w:rPr>
          <w:rFonts w:ascii="Arial" w:cs="Arial" w:eastAsia="Arial" w:hAnsi="Arial"/>
          <w:sz w:val="19"/>
          <w:szCs w:val="19"/>
          <w:color w:val="auto"/>
        </w:rPr>
        <w:t>. Regeneron hereby grants to Aventis a license to use the Regeneron Trademarks to manufacture, Develop and Commercialize the Licensed Products in the Territory pursuant to this Agreement and subject to the terms and conditions of this Agreement. Aventis’ rights under this Section 11.5 may be sublicensed, but only to its Affiliates and permitted sublicensees and Distributors pursuant to the terms of Section 4.3 for the purposes of, and subject to the terms and conditions of, this Agreement. Except as provided in this Agreement, neither Party shall have rights in or to the other Party’s Product Trademarks or the goodwill pertaining thereto. Aventis shall utilize the Regeneron Trademarks only on approved Promotional Materials or other approved product-related materials for the Licensed Products for the purposes contemplated herein. All use by Aventis or its Affiliates or permitted sublicensees or Distributors of the Regeneron Trademark(s) shall be in accordance with such quality standards and trademark usage guidelines established by Regeneron that it deems reasonably necessary to preserve its rights in, and the validity and enforceability of, the Regeneron Trademark(s), including any registration and registration application therefor, and the goodwill therein, and which Regeneron may modify and supplement from time to time upon written notice thereof to Aventis, and all goodwill generated through such use shall inure to the sole benefit of Regeneron for the purposes of trademark and trade name ownership, registration, enforcement and maintenance. Each Party agrees that at no time during the Term will it or any of its Affiliates attempt to use or register any trademark, trade dress, service mark, trade name or domain name or social media identifier that is confusingly similar to, misleading or deceptive with respect to the other Party’s Product Trademark(s) for the Licensed Products or take any action or do any act that endangers, damages, dilutes, destroys or similarly affects, in any material respect, the other Party’s trademark or the value of the goodwill pertaining thereto or attack, dispute or contest the validity of or ownership of the other Party’s Product Trademark(s) or any registrations or pending registration thereof. Aventis agrees that upon termination or expiration of the Term, it will discontinue forthwith all use of the Regeneron Trademark. Upon request by Aventis, Regeneron shall (or shall cause its Affiliates, as appropriate, to) execute such</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40" w:top="631" w:right="259" w:bottom="1440" w:gutter="0" w:footer="0" w:header="0"/>
        </w:sectPr>
      </w:pPr>
    </w:p>
    <w:bookmarkStart w:id="118" w:name="page119"/>
    <w:bookmarkEnd w:id="118"/>
    <w:p>
      <w:pPr>
        <w:ind w:right="400"/>
        <w:spacing w:after="0" w:line="263" w:lineRule="auto"/>
        <w:rPr>
          <w:sz w:val="20"/>
          <w:szCs w:val="20"/>
          <w:color w:val="auto"/>
        </w:rPr>
      </w:pPr>
      <w:r>
        <w:rPr>
          <w:rFonts w:ascii="Arial" w:cs="Arial" w:eastAsia="Arial" w:hAnsi="Arial"/>
          <w:sz w:val="22"/>
          <w:szCs w:val="22"/>
          <w:color w:val="auto"/>
        </w:rPr>
        <w:t>documents as may reasonably be required for the purpose of recording with any Governmental Authority the license referred to above in this Section 11.5.</w:t>
      </w:r>
    </w:p>
    <w:p>
      <w:pPr>
        <w:spacing w:after="0" w:line="17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Use of Corporate Names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92" w:lineRule="auto"/>
        <w:tabs>
          <w:tab w:leader="none" w:pos="171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Aventis shall not use Regeneron’s or its Affiliates’ corporate names or logos on any Promotional Materials related to the Licensed Products (including, without limitation, congress booths or Promotional Materials used or distributed in connection with the applicable Licensed Product) in the Field or otherwise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Aventis shall (i) be permitted to identify Regeneron (or its Affiliate) as the manufacturer of the Licensed Products in any such materials to the extent required under any applicable Law and for so long as Regeneron or its Affiliate is supplying Licensed Products to Aventis or its Affiliates under the Supply Agreement and (ii) use Commercially Reasonable Efforts to include in any such materials the phrase “</w:t>
      </w:r>
      <w:r>
        <w:rPr>
          <w:rFonts w:ascii="Arial" w:cs="Arial" w:eastAsia="Arial" w:hAnsi="Arial"/>
          <w:sz w:val="19"/>
          <w:szCs w:val="19"/>
          <w:i w:val="1"/>
          <w:iCs w:val="1"/>
          <w:color w:val="auto"/>
        </w:rPr>
        <w:t>ZALTRAP was developed in collaboration with Regeneron Pharmaceuticals, Inc.</w:t>
      </w:r>
      <w:r>
        <w:rPr>
          <w:rFonts w:ascii="Arial" w:cs="Arial" w:eastAsia="Arial" w:hAnsi="Arial"/>
          <w:sz w:val="19"/>
          <w:szCs w:val="19"/>
          <w:color w:val="auto"/>
        </w:rPr>
        <w:t>” or similar language to the extent permitted under any applicable Law, in each case ((i) and (ii)), consistent with the provisions of Section 11.5.</w:t>
      </w:r>
    </w:p>
    <w:p>
      <w:pPr>
        <w:spacing w:after="0" w:line="155" w:lineRule="exact"/>
        <w:rPr>
          <w:rFonts w:ascii="Arial" w:cs="Arial" w:eastAsia="Arial" w:hAnsi="Arial"/>
          <w:sz w:val="19"/>
          <w:szCs w:val="19"/>
          <w:color w:val="auto"/>
        </w:rPr>
      </w:pPr>
    </w:p>
    <w:p>
      <w:pPr>
        <w:ind w:right="40" w:firstLine="1305"/>
        <w:spacing w:after="0" w:line="287" w:lineRule="auto"/>
        <w:tabs>
          <w:tab w:leader="none" w:pos="1728" w:val="left"/>
        </w:tabs>
        <w:numPr>
          <w:ilvl w:val="0"/>
          <w:numId w:val="56"/>
        </w:numPr>
        <w:rPr>
          <w:rFonts w:ascii="Arial" w:cs="Arial" w:eastAsia="Arial" w:hAnsi="Arial"/>
          <w:sz w:val="19"/>
          <w:szCs w:val="19"/>
          <w:color w:val="auto"/>
        </w:rPr>
      </w:pPr>
      <w:r>
        <w:rPr>
          <w:rFonts w:ascii="Arial" w:cs="Arial" w:eastAsia="Arial" w:hAnsi="Arial"/>
          <w:sz w:val="19"/>
          <w:szCs w:val="19"/>
          <w:color w:val="auto"/>
        </w:rPr>
        <w:t>Accordingly, unless Regeneron has terminated this Agreement pursuant to Sections 19.3, 19.4, 19.5 or 19.6 or Aventis has terminated this Agreement pursuant to Section 19.2, Regeneron hereby grants to Aventis (and its Affiliates) a non-exclusive license, with the right to grant sublicenses in accordance with Section 4.3, to use Regeneron’s corporate names or logos solely as provided in this Section 11.6 during the Term and thereafter for a maximum period of two (2) years solely to the extent necessary to exhaust the existing inventory of Licensed Product and such materials containing Regeneron’s corporate names or logos. Without limiting the foregoing, Aventis shall not and shall not permit its Affiliates or its or their sublicensees or Distributors to, (m) use in their respective businesses, any trademark that is confusingly similar to, misleading or deceptive with respect to or that dilutes any (or any part) of Regeneron’s corporate names or logos, (n) take any action or do any act that endangers, damages, dilutes, destroys or similarly affects, in any material respect, Regeneron’s corporate names or logos or the value of goodwill pertaining thereto, or (o) attack, dispute or contest the validity of or ownership of Regeneron’s corporate names or logos anywhere in the Territory or any registrations or any pending registration thereof. Aventis agrees and shall cause its Affiliates and its and their sublicensees or Distributors, to conform (y) to the customary industry standards for the protection of the trademarks and to such trademark usage guidelines as Regeneron may furnish from time to time with respect to the use of Regeneron’s corporate names or logos and (z) to adhere to and maintain the highest quality standards of Regeneron with respect to goods sold and services provided under Regeneron’s corporate names or logos.</w:t>
      </w:r>
    </w:p>
    <w:p>
      <w:pPr>
        <w:spacing w:after="0" w:line="153"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12</w:t>
      </w:r>
    </w:p>
    <w:p>
      <w:pPr>
        <w:spacing w:after="0" w:line="28"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NEWLY CREATED INVENTIONS</w:t>
      </w:r>
    </w:p>
    <w:p>
      <w:pPr>
        <w:spacing w:after="0" w:line="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u w:val="single" w:color="auto"/>
          <w:color w:val="auto"/>
        </w:rPr>
        <w:t>Ownership of Newly Created Intellectual Property</w:t>
      </w:r>
      <w:r>
        <w:rPr>
          <w:rFonts w:ascii="Arial" w:cs="Arial" w:eastAsia="Arial" w:hAnsi="Arial"/>
          <w:sz w:val="19"/>
          <w:szCs w:val="19"/>
          <w:color w:val="auto"/>
        </w:rPr>
        <w:t>.</w:t>
      </w:r>
    </w:p>
    <w:p>
      <w:pPr>
        <w:spacing w:after="0" w:line="215" w:lineRule="exact"/>
        <w:rPr>
          <w:sz w:val="20"/>
          <w:szCs w:val="20"/>
          <w:color w:val="auto"/>
        </w:rPr>
      </w:pPr>
    </w:p>
    <w:p>
      <w:pPr>
        <w:ind w:right="100" w:firstLine="1305"/>
        <w:spacing w:after="0" w:line="320" w:lineRule="auto"/>
        <w:tabs>
          <w:tab w:leader="none" w:pos="17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Each Party shall exclusively own all right, title and interest in and to any and all intellectual property (including, without limitation, Know-How, Patents and copyrights) discovered, invented, authored or otherwise created under or in connection with this Agreement solely by or on behalf of such Party, its Affiliates or its or their sublicensees or Distributors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20"/>
          </w:cols>
          <w:pgMar w:left="240" w:top="631" w:right="239" w:bottom="1440" w:gutter="0" w:footer="0" w:header="0"/>
        </w:sectPr>
      </w:pPr>
    </w:p>
    <w:bookmarkStart w:id="119" w:name="page120"/>
    <w:bookmarkEnd w:id="119"/>
    <w:p>
      <w:pPr>
        <w:ind w:right="80"/>
        <w:spacing w:after="0" w:line="294" w:lineRule="auto"/>
        <w:rPr>
          <w:sz w:val="20"/>
          <w:szCs w:val="20"/>
          <w:color w:val="auto"/>
        </w:rPr>
      </w:pPr>
      <w:r>
        <w:rPr>
          <w:rFonts w:ascii="Arial" w:cs="Arial" w:eastAsia="Arial" w:hAnsi="Arial"/>
          <w:sz w:val="19"/>
          <w:szCs w:val="19"/>
          <w:color w:val="auto"/>
        </w:rPr>
        <w:t>(other than by the other Party or its Affiliates) (“</w:t>
      </w:r>
      <w:r>
        <w:rPr>
          <w:rFonts w:ascii="Arial" w:cs="Arial" w:eastAsia="Arial" w:hAnsi="Arial"/>
          <w:sz w:val="19"/>
          <w:szCs w:val="19"/>
          <w:u w:val="single" w:color="auto"/>
          <w:color w:val="auto"/>
        </w:rPr>
        <w:t>Sole Inventions</w:t>
      </w:r>
      <w:r>
        <w:rPr>
          <w:rFonts w:ascii="Arial" w:cs="Arial" w:eastAsia="Arial" w:hAnsi="Arial"/>
          <w:sz w:val="19"/>
          <w:szCs w:val="19"/>
          <w:color w:val="auto"/>
        </w:rPr>
        <w:t>”). Sole Inventions made solely by or on behalf of Aventis, its Affiliates or its or their sublicensees or Distributors (other than Regeneron and its Affiliates) are referred to herein as “</w:t>
      </w:r>
      <w:r>
        <w:rPr>
          <w:rFonts w:ascii="Arial" w:cs="Arial" w:eastAsia="Arial" w:hAnsi="Arial"/>
          <w:sz w:val="19"/>
          <w:szCs w:val="19"/>
          <w:u w:val="single" w:color="auto"/>
          <w:color w:val="auto"/>
        </w:rPr>
        <w:t>Aventis Sole</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Inventions</w:t>
      </w:r>
      <w:r>
        <w:rPr>
          <w:rFonts w:ascii="Arial" w:cs="Arial" w:eastAsia="Arial" w:hAnsi="Arial"/>
          <w:sz w:val="19"/>
          <w:szCs w:val="19"/>
          <w:color w:val="auto"/>
        </w:rPr>
        <w:t>.” Sole Inventions made solely by or on behalf of Regeneron, its Affiliates or its or their sublicensees or Distributors (other than Aventis and its Affiliates) are referred to herein as “</w:t>
      </w:r>
      <w:r>
        <w:rPr>
          <w:rFonts w:ascii="Arial" w:cs="Arial" w:eastAsia="Arial" w:hAnsi="Arial"/>
          <w:sz w:val="19"/>
          <w:szCs w:val="19"/>
          <w:u w:val="single" w:color="auto"/>
          <w:color w:val="auto"/>
        </w:rPr>
        <w:t>Regeneron Sole Inventions</w:t>
      </w:r>
      <w:r>
        <w:rPr>
          <w:rFonts w:ascii="Arial" w:cs="Arial" w:eastAsia="Arial" w:hAnsi="Arial"/>
          <w:sz w:val="19"/>
          <w:szCs w:val="19"/>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150" w:lineRule="exact"/>
        <w:rPr>
          <w:sz w:val="20"/>
          <w:szCs w:val="20"/>
          <w:color w:val="auto"/>
        </w:rPr>
      </w:pPr>
    </w:p>
    <w:p>
      <w:pPr>
        <w:ind w:firstLine="1305"/>
        <w:spacing w:after="0" w:line="297" w:lineRule="auto"/>
        <w:tabs>
          <w:tab w:leader="none" w:pos="1728"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Parties shall each own an equal, undivided interest in any and all intellectual property (including, without limitation, Know-How, Patents and copyrights) discovered, invented, authored or otherwise created under or in connection with this Agreement during the Term jointly by or on behalf of Aventis, its Affiliates or its or their sublicensees or Distributors, on the one hand, and Regeneron, its Affiliates or its or their sublicensees or Distributors, on the other hand (“</w:t>
      </w:r>
      <w:r>
        <w:rPr>
          <w:rFonts w:ascii="Arial" w:cs="Arial" w:eastAsia="Arial" w:hAnsi="Arial"/>
          <w:sz w:val="19"/>
          <w:szCs w:val="19"/>
          <w:u w:val="single" w:color="auto"/>
          <w:color w:val="auto"/>
        </w:rPr>
        <w:t>Joint Inventions</w:t>
      </w:r>
      <w:r>
        <w:rPr>
          <w:rFonts w:ascii="Arial" w:cs="Arial" w:eastAsia="Arial" w:hAnsi="Arial"/>
          <w:sz w:val="19"/>
          <w:szCs w:val="19"/>
          <w:color w:val="auto"/>
        </w:rPr>
        <w:t>”). Each Party shall disclose to the other Party in writing and shall cause its Affiliates, and its and their sublicensees and Distributors to so disclose, the conception, discovery, invention or reduction to practice of any Joint Invention.</w:t>
      </w:r>
    </w:p>
    <w:p>
      <w:pPr>
        <w:spacing w:after="0" w:line="146" w:lineRule="exact"/>
        <w:rPr>
          <w:rFonts w:ascii="Arial" w:cs="Arial" w:eastAsia="Arial" w:hAnsi="Arial"/>
          <w:sz w:val="19"/>
          <w:szCs w:val="19"/>
          <w:color w:val="auto"/>
        </w:rPr>
      </w:pPr>
    </w:p>
    <w:p>
      <w:pPr>
        <w:ind w:right="60" w:firstLine="1305"/>
        <w:spacing w:after="0" w:line="294" w:lineRule="auto"/>
        <w:tabs>
          <w:tab w:leader="none" w:pos="1716"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the foregoing in Section 12.1(b), (i) for purposes of determining whether a patentable invention is an Aventis Sole Invention, a Regeneron Sole Invention or a Joint Invention, questions of inventorship shall be resolved in accordance with United States patent laws, (ii) for purposes of determining whether a copyrighted work is a Aventis Sole Invention, a Regeneron Sole Invention or a Joint Invention, questions of copyright authorship shall be resolved in accordance with United States copyright laws, and (iii) for purposes of determining whether Know-How (other than copyrighted work and Patent applications) is an Aventis Sole Invention, a Regeneron Sole Invention or a Joint Invention, questions of authorship or inventorship shall be resolved in accordance with the laws of the State of New York, United States.</w:t>
      </w:r>
    </w:p>
    <w:p>
      <w:pPr>
        <w:spacing w:after="0" w:line="152" w:lineRule="exact"/>
        <w:rPr>
          <w:rFonts w:ascii="Arial" w:cs="Arial" w:eastAsia="Arial" w:hAnsi="Arial"/>
          <w:sz w:val="19"/>
          <w:szCs w:val="19"/>
          <w:color w:val="auto"/>
        </w:rPr>
      </w:pPr>
    </w:p>
    <w:p>
      <w:pPr>
        <w:ind w:right="60" w:firstLine="1305"/>
        <w:spacing w:after="0" w:line="251" w:lineRule="auto"/>
        <w:tabs>
          <w:tab w:leader="none" w:pos="172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the extent that any right, title or interest in or to any intellectual property vests in a Party, by operation of Law or otherwise, in a manner contrary to the agreed upon ownership as set forth in this Agreement, such Party shall, and hereby does, irrevocably assign, and shall cause its Affiliates and its and their sublicensees and Distributors to so assign, to the other Party any and all such right, title and interest in and to such intellectual property to the other Party without the need for any further action by any Party.</w:t>
      </w:r>
    </w:p>
    <w:p>
      <w:pPr>
        <w:spacing w:after="0" w:line="189" w:lineRule="exact"/>
        <w:rPr>
          <w:rFonts w:ascii="Arial" w:cs="Arial" w:eastAsia="Arial" w:hAnsi="Arial"/>
          <w:sz w:val="22"/>
          <w:szCs w:val="22"/>
          <w:color w:val="auto"/>
        </w:rPr>
      </w:pPr>
    </w:p>
    <w:p>
      <w:pPr>
        <w:ind w:firstLine="1305"/>
        <w:spacing w:after="0" w:line="297" w:lineRule="auto"/>
        <w:tabs>
          <w:tab w:leader="none" w:pos="171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Parties hereby agree that each Party’s use of the Joint Inventions is governed by the terms and conditions of this Agreement, including the terms of ARTICLE 4, as follows: each Party’s interest in the Joint Inventions may be sublicensed, and any ownership rights therein transferred, in whole or in part, by each Party without consent of the other Party, provided that each Party agrees not to transfer any of its ownership interest in any of the Joint Inventions without securing the transferee’s written agreement to be bound by the terms of this Section 12.1(e) and the other terms of this Agreement that relate to the Joint Inventions; </w:t>
      </w:r>
      <w:r>
        <w:rPr>
          <w:rFonts w:ascii="Arial" w:cs="Arial" w:eastAsia="Arial" w:hAnsi="Arial"/>
          <w:sz w:val="19"/>
          <w:szCs w:val="19"/>
          <w:i w:val="1"/>
          <w:iCs w:val="1"/>
          <w:color w:val="auto"/>
        </w:rPr>
        <w:t>provided, further</w:t>
      </w:r>
      <w:r>
        <w:rPr>
          <w:rFonts w:ascii="Arial" w:cs="Arial" w:eastAsia="Arial" w:hAnsi="Arial"/>
          <w:sz w:val="19"/>
          <w:szCs w:val="19"/>
          <w:color w:val="auto"/>
        </w:rPr>
        <w:t>, that nothing in this ARTICLE 12 shall relieve a Party or its Affiliates of their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631" w:right="239" w:bottom="1440" w:gutter="0" w:footer="0" w:header="0"/>
        </w:sectPr>
      </w:pPr>
    </w:p>
    <w:bookmarkStart w:id="120" w:name="page121"/>
    <w:bookmarkEnd w:id="120"/>
    <w:p>
      <w:pPr>
        <w:ind w:right="20"/>
        <w:spacing w:after="0" w:line="297" w:lineRule="auto"/>
        <w:rPr>
          <w:sz w:val="20"/>
          <w:szCs w:val="20"/>
          <w:color w:val="auto"/>
        </w:rPr>
      </w:pPr>
      <w:r>
        <w:rPr>
          <w:rFonts w:ascii="Arial" w:cs="Arial" w:eastAsia="Arial" w:hAnsi="Arial"/>
          <w:sz w:val="19"/>
          <w:szCs w:val="19"/>
          <w:color w:val="auto"/>
        </w:rPr>
        <w:t>obligations under ARTICLE 16 with respect to New Information or confidential Party Information provided by or on behalf of the other Party or such other Party’s Affiliates. Except as otherwise provided in this Agreement with respect to the Licensed Products, neither Party hereto shall have the duty to account to the other Party for any revenues or profits obtained from any transfer of its interest in, or its use, sublicense, or other exploitation of the Joint Inventions. The provisions governing Joint Inventions set forth in this Section 12.1(e) shall survive the expiration or termination of this Agreement.</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Prosecution and Maintenance of Patents</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85" w:lineRule="auto"/>
        <w:tabs>
          <w:tab w:leader="none" w:pos="1716"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Regeneron shall use Commercially Reasonable Efforts to prepare, file, prosecute and maintain the Regeneron Patent Rights throughout the Territory, and shall confer with and keep Aventis reasonably informed regarding the status of such activities. In addition, Regeneron shall have the following obligations with respect to the filing, prosecution and maintenance of the Regeneron Patent Rights: (i) Regeneron shall use Commercially Reasonable Efforts to provide to Aventis for review and comment a copy of a substantially completed draft of any priority Patent application at least thirty (30) days prior to the filing of any such priority Patent application by Regeneron and consider in good faith any comment; (ii) Regeneron shall notify Aventis prior to the filing of a Patent Application by Regeneron; (iii) Regeneron shall consult with Aventis following the filing of the priority Patent application in sufficient time to permit the Parties to mutually determine in which countries it shall file convention Patent applications; (iv) Regeneron shall provide Aventis promptly with copies of all communications received from or filed in patent offices with respect to such filings; and (v) Regeneron shall provide Aventis a reasonable time prior to taking or failing to take action that would affect the scope or validity of rights under any Regeneron Patent Rights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Aventis has a reasonable opportunity to review and make comments, and take such actions as may be appropriate in the circumstances. In the event that Regeneron desires to abandon any Regeneron Patent Rights, Regeneron shall provide reasonable prior written notice to Aventis of such intention to abandon (which notice shall, in any event, be given no later than sixty (60) days prior to the next deadline for any action that may be taken with respect to such Regeneron Patent Right with the applicable patent office) and Aventis shall have the right, but not the obligation, to assume responsibility for the prosecution and maintenance thereof in Regeneron’s name, unless, with respect to any such Patent applications that are unpublished, Regeneron notifies Aventis that Regeneron would prefer to maintain the subject matter of such Patent application as a trade secret.</w:t>
      </w:r>
    </w:p>
    <w:p>
      <w:pPr>
        <w:spacing w:after="0" w:line="172" w:lineRule="exact"/>
        <w:rPr>
          <w:rFonts w:ascii="Arial" w:cs="Arial" w:eastAsia="Arial" w:hAnsi="Arial"/>
          <w:sz w:val="19"/>
          <w:szCs w:val="19"/>
          <w:color w:val="auto"/>
        </w:rPr>
      </w:pPr>
    </w:p>
    <w:p>
      <w:pPr>
        <w:ind w:right="160" w:firstLine="1305"/>
        <w:spacing w:after="0" w:line="251" w:lineRule="auto"/>
        <w:tabs>
          <w:tab w:leader="none" w:pos="1728" w:val="left"/>
        </w:tabs>
        <w:numPr>
          <w:ilvl w:val="0"/>
          <w:numId w:val="59"/>
        </w:numPr>
        <w:rPr>
          <w:rFonts w:ascii="Arial" w:cs="Arial" w:eastAsia="Arial" w:hAnsi="Arial"/>
          <w:sz w:val="22"/>
          <w:szCs w:val="22"/>
          <w:color w:val="auto"/>
        </w:rPr>
      </w:pPr>
      <w:r>
        <w:rPr>
          <w:rFonts w:ascii="Arial" w:cs="Arial" w:eastAsia="Arial" w:hAnsi="Arial"/>
          <w:sz w:val="22"/>
          <w:szCs w:val="22"/>
          <w:color w:val="auto"/>
        </w:rPr>
        <w:t>Aventis shall use Commercially Reasonable Efforts to prepare, file, prosecute and maintain the Aventis Patent Rights throughout the Territory, and shall confer with and keep Regeneron reasonably informed regarding the status of such activities. In addition, Aventis shall have the following obligations with respect to the filing, prosecution and maintenance of the Aventis Patent Rights: (i) Aventis shall use Commercially Reasonable Efforts to provide to Regeneron for review and comment a copy of a substantially completed draft of</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631" w:right="259" w:bottom="1440" w:gutter="0" w:footer="0" w:header="0"/>
        </w:sectPr>
      </w:pPr>
    </w:p>
    <w:bookmarkStart w:id="121" w:name="page122"/>
    <w:bookmarkEnd w:id="121"/>
    <w:p>
      <w:pPr>
        <w:spacing w:after="0" w:line="286" w:lineRule="auto"/>
        <w:rPr>
          <w:sz w:val="20"/>
          <w:szCs w:val="20"/>
          <w:color w:val="auto"/>
        </w:rPr>
      </w:pPr>
      <w:r>
        <w:rPr>
          <w:rFonts w:ascii="Arial" w:cs="Arial" w:eastAsia="Arial" w:hAnsi="Arial"/>
          <w:sz w:val="19"/>
          <w:szCs w:val="19"/>
          <w:color w:val="auto"/>
        </w:rPr>
        <w:t>any priority Patent application at least thirty (30) days prior to the filing of any such priority Patent application by Aventis and consider in good faith any comment; (ii) Aventis shall notify Regeneron prior to the filing of a Patent application by Aventis; (iii) Aventis shall consult with Regeneron following the filing of the priority Patent application in sufficient time to permit the Parties to mutually determine in which countries it shall file convention Patent applications; (iv) Aventis shall provide Regeneron promptly with copies of all communications received from or filed in patent offices with respect to such filings; and (v) Aventis shall provide Regeneron a reasonable time prior to taking or failing to take action that would affect the scope or validity of rights under any Aventis Patent Rights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it has a reasonable opportunity to review and make comments, and take such actions as may be appropriate in the circumstances. In the event that Aventis desires to abandon any Patent included in the Aventis Patent Rights, Aventis shall provide reasonable prior written notice to Regeneron of such intention to abandon (which notice shall, in any event, be given no later than sixty (60) days prior to the next deadline for any action that may be taken with respect to such Aventis Patent Right with the applicable patent office) and Regeneron shall have the right, but not the obligation, to assume responsibility for the prosecution and maintenance thereof in Aventis’ name, unless, with respect to any such Patent applications that are unpublished, Aventis notifies Regeneron that Aventis would prefer to maintain the subject matter of such Patent application as a trade secret.</w:t>
      </w:r>
    </w:p>
    <w:p>
      <w:pPr>
        <w:spacing w:after="0" w:line="200" w:lineRule="exact"/>
        <w:rPr>
          <w:sz w:val="20"/>
          <w:szCs w:val="20"/>
          <w:color w:val="auto"/>
        </w:rPr>
      </w:pPr>
    </w:p>
    <w:p>
      <w:pPr>
        <w:spacing w:after="0" w:line="216" w:lineRule="exact"/>
        <w:rPr>
          <w:sz w:val="20"/>
          <w:szCs w:val="20"/>
          <w:color w:val="auto"/>
        </w:rPr>
      </w:pPr>
    </w:p>
    <w:p>
      <w:pPr>
        <w:ind w:right="40" w:firstLine="1305"/>
        <w:spacing w:after="0" w:line="286" w:lineRule="auto"/>
        <w:tabs>
          <w:tab w:leader="none" w:pos="171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Parties shall consult with each other regarding the filing, prosecution and maintenance of any Joint Patent Rights, and responsibility for such activities shall be the obligation of the Controlling Party. The Controlling Party shall undertake such filings, prosecutions and maintenance in the names of both Parties as co-owners. The Controlling Party shall have the following obligations with respect to the filing, prosecution and maintenance of the Joint Patent Rights: (i) the Controlling Party shall use Commercially Reasonable Efforts to provide any priority Patent application at least thirty (30) days prior to the filing of any such priority Patent application by the Controlling Party and consider in good faith any comment from the non-Controlling Party; (ii) the Controlling Party shall notify the non-Controlling Party prior to the filing of a Patent application by the Controlling Party; (iii) the Controlling Party shall consult with the non-Controlling Party following the filing of the priority Patent application in sufficient time to permit the Parties to mutually determine in which countries it shall file convention Patent applications; (iv) the Controlling Party shall provide the non-Controlling Party promptly with copies of all communications received from or filed in patent offices with respect to such filings; and (v) the Controlling Party shall provide the non-Controlling Party a reasonable time prior to taking or failing to take action that would affect the scope or validity of rights under any Joint Patent Rights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00"/>
          </w:cols>
          <w:pgMar w:left="240" w:top="631" w:right="259" w:bottom="1440" w:gutter="0" w:footer="0" w:header="0"/>
        </w:sectPr>
      </w:pPr>
    </w:p>
    <w:bookmarkStart w:id="122" w:name="page123"/>
    <w:bookmarkEnd w:id="122"/>
    <w:p>
      <w:pPr>
        <w:ind w:right="200"/>
        <w:spacing w:after="0" w:line="259" w:lineRule="auto"/>
        <w:rPr>
          <w:sz w:val="20"/>
          <w:szCs w:val="20"/>
          <w:color w:val="auto"/>
        </w:rPr>
      </w:pPr>
      <w:r>
        <w:rPr>
          <w:rFonts w:ascii="Arial" w:cs="Arial" w:eastAsia="Arial" w:hAnsi="Arial"/>
          <w:sz w:val="21"/>
          <w:szCs w:val="21"/>
          <w:color w:val="auto"/>
        </w:rPr>
        <w:t>obligations and such breach is not cured within thirty (30) days of a written notice from the non-Controlling Party to the Controlling Party describing such breach, or in the event that the Controlling Party fails to undertake the filing of a Patent application within ninety (90) days of a written request by the non-Controlling Party to do so, the non-Controlling Party may assume the Controlling Party’s responsibility for filing, prosecution and maintenance of any such Joint Patent Right, and will thereafter be deemed the Controlling Party for purposes hereof (and will undertake such filings, prosecutions and maintenance in such Party’s name). Notwithstanding the foregoing, the Controlling Party may withdraw from or abandon any Joint Patent Rights on thirty (30) days’ prior notice to the other Party, providing the non-Controlling Party the right to assume the prosecution or maintenance thereof in such non-Controlling Party’s name and cost and expense.</w:t>
      </w:r>
    </w:p>
    <w:p>
      <w:pPr>
        <w:spacing w:after="0" w:line="184" w:lineRule="exact"/>
        <w:rPr>
          <w:sz w:val="20"/>
          <w:szCs w:val="20"/>
          <w:color w:val="auto"/>
        </w:rPr>
      </w:pPr>
    </w:p>
    <w:p>
      <w:pPr>
        <w:ind w:right="40" w:firstLine="1305"/>
        <w:spacing w:after="0" w:line="266" w:lineRule="auto"/>
        <w:tabs>
          <w:tab w:leader="none" w:pos="1728" w:val="left"/>
        </w:tabs>
        <w:numPr>
          <w:ilvl w:val="0"/>
          <w:numId w:val="61"/>
        </w:numPr>
        <w:rPr>
          <w:rFonts w:ascii="Arial" w:cs="Arial" w:eastAsia="Arial" w:hAnsi="Arial"/>
          <w:sz w:val="21"/>
          <w:szCs w:val="21"/>
          <w:color w:val="auto"/>
        </w:rPr>
      </w:pPr>
      <w:r>
        <w:rPr>
          <w:rFonts w:ascii="Arial" w:cs="Arial" w:eastAsia="Arial" w:hAnsi="Arial"/>
          <w:sz w:val="21"/>
          <w:szCs w:val="21"/>
          <w:color w:val="auto"/>
        </w:rPr>
        <w:t>All Out-of-Pocket Costs incurred in the filing, prosecution and maintenance of any Aventis Patent Rights, Regeneron Patent Rights and Joint Patent Rights, and any extensions thereof pursuant to Section 12.2(e)(e), shall be [****], except to the extent that the prosecuting Party elects to abandon the applicable Aventis Patent Right, Regeneron Patent Right or Joint Patent Right, in which case the other Party shall bear [****] of such Out-of-Pocket Costs if such other Party elects to assume responsibility for the prosecution and maintenance thereof as provided herein.</w:t>
      </w:r>
    </w:p>
    <w:p>
      <w:pPr>
        <w:spacing w:after="0" w:line="174" w:lineRule="exact"/>
        <w:rPr>
          <w:rFonts w:ascii="Arial" w:cs="Arial" w:eastAsia="Arial" w:hAnsi="Arial"/>
          <w:sz w:val="21"/>
          <w:szCs w:val="21"/>
          <w:color w:val="auto"/>
        </w:rPr>
      </w:pPr>
    </w:p>
    <w:p>
      <w:pPr>
        <w:ind w:firstLine="1305"/>
        <w:spacing w:after="0" w:line="294" w:lineRule="auto"/>
        <w:tabs>
          <w:tab w:leader="none" w:pos="1716" w:val="left"/>
        </w:tabs>
        <w:numPr>
          <w:ilvl w:val="0"/>
          <w:numId w:val="61"/>
        </w:numPr>
        <w:rPr>
          <w:rFonts w:ascii="Arial" w:cs="Arial" w:eastAsia="Arial" w:hAnsi="Arial"/>
          <w:sz w:val="19"/>
          <w:szCs w:val="19"/>
          <w:color w:val="auto"/>
        </w:rPr>
      </w:pPr>
      <w:r>
        <w:rPr>
          <w:rFonts w:ascii="Arial" w:cs="Arial" w:eastAsia="Arial" w:hAnsi="Arial"/>
          <w:sz w:val="19"/>
          <w:szCs w:val="19"/>
          <w:color w:val="auto"/>
        </w:rPr>
        <w:t>Each Party agrees to cooperate with the other with respect to the preparation, filing, prosecution and maintenance of the Regeneron Patent Rights, Aventis Patent Rights and Joint Patent Rights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Parties shall cooperate to determine for which of the Aventis Patent Rights, Regeneron Patent Rights and Joint Patent Rights to seek an extension of the term in the Territory.</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380"/>
          </w:cols>
          <w:pgMar w:left="240" w:top="631" w:right="279" w:bottom="1440" w:gutter="0" w:footer="0" w:header="0"/>
        </w:sectPr>
      </w:pPr>
    </w:p>
    <w:bookmarkStart w:id="123" w:name="page124"/>
    <w:bookmarkEnd w:id="123"/>
    <w:p>
      <w:pPr>
        <w:ind w:left="620"/>
        <w:spacing w:after="0"/>
        <w:tabs>
          <w:tab w:leader="none" w:pos="116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u w:val="single" w:color="auto"/>
          <w:color w:val="auto"/>
        </w:rPr>
        <w:t>Interference, Opposition and Reissue</w:t>
      </w:r>
      <w:r>
        <w:rPr>
          <w:rFonts w:ascii="Arial" w:cs="Arial" w:eastAsia="Arial" w:hAnsi="Arial"/>
          <w:sz w:val="19"/>
          <w:szCs w:val="19"/>
          <w:color w:val="auto"/>
        </w:rPr>
        <w:t>.</w:t>
      </w:r>
    </w:p>
    <w:p>
      <w:pPr>
        <w:spacing w:after="0" w:line="233" w:lineRule="exact"/>
        <w:rPr>
          <w:sz w:val="20"/>
          <w:szCs w:val="20"/>
          <w:color w:val="auto"/>
        </w:rPr>
      </w:pPr>
    </w:p>
    <w:p>
      <w:pPr>
        <w:ind w:left="-40" w:right="140" w:firstLine="1305"/>
        <w:spacing w:after="0" w:line="294" w:lineRule="auto"/>
        <w:tabs>
          <w:tab w:leader="none" w:pos="1676"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Party will notify the other within ten (10) days of receipt by such Party of information concerning the request for, or filing or declaration of, any interference, opposition, post-grant review, reissue or reexamination relating to Regeneron Patent Rights, Aventis Patent Rights, or Joint Patent Rights in the Territory. The Parties will thereafter consult and cooperate fully to determine a course of action with respect to any such proceeding. Decisions on whether to initiate such a proceeding and the course of action in such proceeding, including settlement negotiations and terms, will be made (i) with respect to Regeneron Patent Rights, by Regeneron in consultation with Aventis, (ii) with respect to Aventis Patent Rights, by Aventis in consultation with Regeneron, and (iii) with respect to Joint Patent Rights, jointly by the Parties.</w:t>
      </w:r>
    </w:p>
    <w:p>
      <w:pPr>
        <w:spacing w:after="0" w:line="152" w:lineRule="exact"/>
        <w:rPr>
          <w:rFonts w:ascii="Arial" w:cs="Arial" w:eastAsia="Arial" w:hAnsi="Arial"/>
          <w:sz w:val="19"/>
          <w:szCs w:val="19"/>
          <w:color w:val="auto"/>
        </w:rPr>
      </w:pPr>
    </w:p>
    <w:p>
      <w:pPr>
        <w:jc w:val="both"/>
        <w:ind w:left="-40" w:firstLine="1305"/>
        <w:spacing w:after="0" w:line="358" w:lineRule="auto"/>
        <w:tabs>
          <w:tab w:leader="none" w:pos="1688"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Out-of-Pocket Costs incurred in connection with any interference, opposition, post-grant review, reissue, or reexamination proceeding relating to the Regeneron Patent Rights, Aventis Patent Rights and/or Joint Patent Rights shall be [****].</w:t>
      </w:r>
    </w:p>
    <w:p>
      <w:pPr>
        <w:spacing w:after="0" w:line="85"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13</w:t>
      </w:r>
    </w:p>
    <w:p>
      <w:pPr>
        <w:spacing w:after="0" w:line="28"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INTELLECTUAL PROPERTY LITIGATION</w:t>
      </w:r>
    </w:p>
    <w:p>
      <w:pPr>
        <w:spacing w:after="0" w:line="4" w:lineRule="exact"/>
        <w:rPr>
          <w:sz w:val="20"/>
          <w:szCs w:val="20"/>
          <w:color w:val="auto"/>
        </w:rPr>
      </w:pPr>
    </w:p>
    <w:p>
      <w:pPr>
        <w:ind w:left="620"/>
        <w:spacing w:after="0"/>
        <w:tabs>
          <w:tab w:leader="none" w:pos="116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u w:val="single" w:color="auto"/>
          <w:color w:val="auto"/>
        </w:rPr>
        <w:t>Enforcement of Patents and Product Trademarks</w:t>
      </w:r>
      <w:r>
        <w:rPr>
          <w:rFonts w:ascii="Arial" w:cs="Arial" w:eastAsia="Arial" w:hAnsi="Arial"/>
          <w:sz w:val="19"/>
          <w:szCs w:val="19"/>
          <w:color w:val="auto"/>
        </w:rPr>
        <w:t>.</w:t>
      </w:r>
    </w:p>
    <w:p>
      <w:pPr>
        <w:spacing w:after="0" w:line="215" w:lineRule="exact"/>
        <w:rPr>
          <w:sz w:val="20"/>
          <w:szCs w:val="20"/>
          <w:color w:val="auto"/>
        </w:rPr>
      </w:pPr>
    </w:p>
    <w:p>
      <w:pPr>
        <w:ind w:left="-40" w:firstLine="1305"/>
        <w:spacing w:after="0" w:line="264" w:lineRule="auto"/>
        <w:tabs>
          <w:tab w:leader="none" w:pos="1676" w:val="left"/>
        </w:tabs>
        <w:numPr>
          <w:ilvl w:val="0"/>
          <w:numId w:val="63"/>
        </w:numPr>
        <w:rPr>
          <w:rFonts w:ascii="Arial" w:cs="Arial" w:eastAsia="Arial" w:hAnsi="Arial"/>
          <w:sz w:val="21"/>
          <w:szCs w:val="21"/>
          <w:color w:val="auto"/>
        </w:rPr>
      </w:pPr>
      <w:r>
        <w:rPr>
          <w:rFonts w:ascii="Arial" w:cs="Arial" w:eastAsia="Arial" w:hAnsi="Arial"/>
          <w:sz w:val="21"/>
          <w:szCs w:val="21"/>
          <w:color w:val="auto"/>
        </w:rPr>
        <w:t>In the event that either Party or any of its Affiliates becomes aware of an actual or suspected infringement or unauthorized use, as applicable, of a Aventis Patent Right, a Regeneron Patent Right, a Joint Patent Right or any Product Trademark, in each case, by a Third Party’s activities in the Territory (an “</w:t>
      </w:r>
      <w:r>
        <w:rPr>
          <w:rFonts w:ascii="Arial" w:cs="Arial" w:eastAsia="Arial" w:hAnsi="Arial"/>
          <w:sz w:val="21"/>
          <w:szCs w:val="21"/>
          <w:u w:val="single" w:color="auto"/>
          <w:color w:val="auto"/>
        </w:rPr>
        <w:t>Infringement</w:t>
      </w:r>
      <w:r>
        <w:rPr>
          <w:rFonts w:ascii="Arial" w:cs="Arial" w:eastAsia="Arial" w:hAnsi="Arial"/>
          <w:sz w:val="21"/>
          <w:szCs w:val="21"/>
          <w:color w:val="auto"/>
        </w:rPr>
        <w:t>”), the Party that became aware of the Infringement shall promptly notify the other Party in writing and shall provide such other Party with all available evidence supporting such Infringement. As soon as reasonably practicable after the receipt of such notice, the Parties shall meet and consider the appropriate course of action with respect to such infringement.</w:t>
      </w:r>
    </w:p>
    <w:p>
      <w:pPr>
        <w:spacing w:after="0" w:line="175" w:lineRule="exact"/>
        <w:rPr>
          <w:rFonts w:ascii="Arial" w:cs="Arial" w:eastAsia="Arial" w:hAnsi="Arial"/>
          <w:sz w:val="21"/>
          <w:szCs w:val="21"/>
          <w:color w:val="auto"/>
        </w:rPr>
      </w:pPr>
    </w:p>
    <w:p>
      <w:pPr>
        <w:ind w:left="-40" w:right="80" w:firstLine="1305"/>
        <w:spacing w:after="0" w:line="288" w:lineRule="auto"/>
        <w:tabs>
          <w:tab w:leader="none" w:pos="1688" w:val="left"/>
        </w:tabs>
        <w:numPr>
          <w:ilvl w:val="0"/>
          <w:numId w:val="63"/>
        </w:numPr>
        <w:rPr>
          <w:rFonts w:ascii="Arial" w:cs="Arial" w:eastAsia="Arial" w:hAnsi="Arial"/>
          <w:sz w:val="19"/>
          <w:szCs w:val="19"/>
          <w:color w:val="auto"/>
        </w:rPr>
      </w:pPr>
      <w:r>
        <w:rPr>
          <w:rFonts w:ascii="Arial" w:cs="Arial" w:eastAsia="Arial" w:hAnsi="Arial"/>
          <w:sz w:val="19"/>
          <w:szCs w:val="19"/>
          <w:color w:val="auto"/>
        </w:rPr>
        <w:t>With respect to any Infringement, (i) Regeneron shall have the first right to bring and control any action or proceeding with respect to Infringement of any Regeneron Patent Right or of any Joint Patent Right that [****], and (ii) Aventis shall have the first right to bring and control any action or proceeding with respect to Infringement of any Aventis Patent Right or Joint Patent Right other than a Joint Patent Right that [****] (the Party with the first right being referred to as the “</w:t>
      </w:r>
      <w:r>
        <w:rPr>
          <w:rFonts w:ascii="Arial" w:cs="Arial" w:eastAsia="Arial" w:hAnsi="Arial"/>
          <w:sz w:val="19"/>
          <w:szCs w:val="19"/>
          <w:u w:val="single" w:color="auto"/>
          <w:color w:val="auto"/>
        </w:rPr>
        <w:t>Lead Litigation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Parties shall ensure that there is proper communication and coordination of activities between the Parties. If the Lead Litigation Party fails to bring any such action or proceeding with respect to Infringement of the applicable Patent by a Third Party within sixty (60) days following notice of the alleged infringement (or such other period of time as may be required by applicable Law), the non-Lead Litigation Party shall have the right to bring and control any such action at its own expense by providing written notice to the other Party (the Party who controls the litigation to be referred to as the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Party</w:t>
      </w:r>
      <w:r>
        <w:rPr>
          <w:rFonts w:ascii="Arial" w:cs="Arial" w:eastAsia="Arial" w:hAnsi="Arial"/>
          <w:sz w:val="19"/>
          <w:szCs w:val="19"/>
          <w:color w:val="auto"/>
        </w:rPr>
        <w:t>”). The non-Litigation Party will provide reasonable assistance to the Litigation Party in prosecuting any action, and if required by Law, will join in the action. Although the Litigation Party has the right to select counsel of its own choice, it shall first consult with the other Party and consider in good faith the recommendations of the other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340"/>
          </w:cols>
          <w:pgMar w:left="280" w:top="631" w:right="279" w:bottom="1440" w:gutter="0" w:footer="0" w:header="0"/>
        </w:sectPr>
      </w:pPr>
    </w:p>
    <w:bookmarkStart w:id="124" w:name="page125"/>
    <w:bookmarkEnd w:id="124"/>
    <w:p>
      <w:pPr>
        <w:spacing w:after="0" w:line="248" w:lineRule="auto"/>
        <w:rPr>
          <w:sz w:val="20"/>
          <w:szCs w:val="20"/>
          <w:color w:val="auto"/>
        </w:rPr>
      </w:pPr>
      <w:r>
        <w:rPr>
          <w:rFonts w:ascii="Arial" w:cs="Arial" w:eastAsia="Arial" w:hAnsi="Arial"/>
          <w:sz w:val="22"/>
          <w:szCs w:val="22"/>
          <w:color w:val="auto"/>
        </w:rPr>
        <w:t xml:space="preserve">The non-Litigation Party shall have the right to (and, if required by Law, will) join in any litigation using counsel of its choice at its sole discretion and expense, subject to Section 13.1(c). The amount of any recovery from any such Infringement action shall be (i) retained [****] and (ii)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any such recoveries shall be first allocated to [****]. Notwithstanding the foregoing, any recoveries for lost sales or lost profits of a product for any Infringement hereunder shall be (A) with respect [****] and (B) with respect to [****].</w:t>
      </w:r>
    </w:p>
    <w:p>
      <w:pPr>
        <w:spacing w:after="0" w:line="192" w:lineRule="exact"/>
        <w:rPr>
          <w:sz w:val="20"/>
          <w:szCs w:val="20"/>
          <w:color w:val="auto"/>
        </w:rPr>
      </w:pPr>
    </w:p>
    <w:p>
      <w:pPr>
        <w:ind w:right="120" w:firstLine="1305"/>
        <w:spacing w:after="0" w:line="260" w:lineRule="auto"/>
        <w:tabs>
          <w:tab w:leader="none" w:pos="1716" w:val="left"/>
        </w:tabs>
        <w:numPr>
          <w:ilvl w:val="0"/>
          <w:numId w:val="64"/>
        </w:numPr>
        <w:rPr>
          <w:rFonts w:ascii="Arial" w:cs="Arial" w:eastAsia="Arial" w:hAnsi="Arial"/>
          <w:sz w:val="22"/>
          <w:szCs w:val="22"/>
          <w:color w:val="auto"/>
        </w:rPr>
      </w:pPr>
      <w:r>
        <w:rPr>
          <w:rFonts w:ascii="Arial" w:cs="Arial" w:eastAsia="Arial" w:hAnsi="Arial"/>
          <w:sz w:val="22"/>
          <w:szCs w:val="22"/>
          <w:color w:val="auto"/>
        </w:rPr>
        <w:t>All Out-of-Pocket Costs (except for the expenses of the non-Litigation Party’s counsel, if any) incurred in connection with any Infringement litigation under Section 13.1(b) shall be (i) borne [****], (ii) borne [****], (iii) [****], and (iv) to the extent not otherwise covered in clauses (i) - (iii), borne [****].</w:t>
      </w:r>
    </w:p>
    <w:p>
      <w:pPr>
        <w:spacing w:after="0" w:line="177" w:lineRule="exact"/>
        <w:rPr>
          <w:rFonts w:ascii="Arial" w:cs="Arial" w:eastAsia="Arial" w:hAnsi="Arial"/>
          <w:sz w:val="22"/>
          <w:szCs w:val="22"/>
          <w:color w:val="auto"/>
        </w:rPr>
      </w:pPr>
    </w:p>
    <w:p>
      <w:pPr>
        <w:ind w:firstLine="1305"/>
        <w:spacing w:after="0" w:line="307" w:lineRule="auto"/>
        <w:tabs>
          <w:tab w:leader="none" w:pos="1728" w:val="left"/>
        </w:tabs>
        <w:numPr>
          <w:ilvl w:val="0"/>
          <w:numId w:val="64"/>
        </w:numPr>
        <w:rPr>
          <w:rFonts w:ascii="Arial" w:cs="Arial" w:eastAsia="Arial" w:hAnsi="Arial"/>
          <w:sz w:val="19"/>
          <w:szCs w:val="19"/>
          <w:color w:val="auto"/>
        </w:rPr>
      </w:pPr>
      <w:r>
        <w:rPr>
          <w:rFonts w:ascii="Arial" w:cs="Arial" w:eastAsia="Arial" w:hAnsi="Arial"/>
          <w:sz w:val="19"/>
          <w:szCs w:val="19"/>
          <w:color w:val="auto"/>
        </w:rPr>
        <w:t>For the avoidance of doubt, neither Party will enter into any settlement of any Infringement suit referenced in this Section 13.1 involving Licensed Products that materially adversely affects the other Party’s rights or obligations with respect to the applicable Licensed Product (with respect to Regeneron as the settling party) or the VEGF Products (with respect to Aventis as the settling party), as applicable in the Territory without the other Party’s prior written consent.</w:t>
      </w:r>
    </w:p>
    <w:p>
      <w:pPr>
        <w:spacing w:after="0" w:line="138" w:lineRule="exact"/>
        <w:rPr>
          <w:sz w:val="20"/>
          <w:szCs w:val="20"/>
          <w:color w:val="auto"/>
        </w:rPr>
      </w:pPr>
    </w:p>
    <w:p>
      <w:pPr>
        <w:ind w:right="60" w:firstLine="648"/>
        <w:spacing w:after="0" w:line="358"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Patent Marking</w:t>
      </w:r>
      <w:r>
        <w:rPr>
          <w:rFonts w:ascii="Arial" w:cs="Arial" w:eastAsia="Arial" w:hAnsi="Arial"/>
          <w:sz w:val="19"/>
          <w:szCs w:val="19"/>
          <w:color w:val="auto"/>
        </w:rPr>
        <w:t>. Aventis shall comply with the patent marking statutes in each county in which a Licensed Product is made, offered for sale, sold or imported by such Party, its Affiliates and/or its or their sublicensees or Distributors.</w:t>
      </w:r>
    </w:p>
    <w:p>
      <w:pPr>
        <w:spacing w:after="0" w:line="9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13.3</w:t>
      </w:r>
      <w:r>
        <w:rPr>
          <w:sz w:val="20"/>
          <w:szCs w:val="20"/>
          <w:color w:val="auto"/>
        </w:rPr>
        <w:tab/>
      </w:r>
      <w:r>
        <w:rPr>
          <w:rFonts w:ascii="Arial" w:cs="Arial" w:eastAsia="Arial" w:hAnsi="Arial"/>
          <w:sz w:val="19"/>
          <w:szCs w:val="19"/>
          <w:u w:val="single" w:color="auto"/>
          <w:color w:val="auto"/>
        </w:rPr>
        <w:t>Third-Party Infringement Claims</w:t>
      </w:r>
      <w:r>
        <w:rPr>
          <w:rFonts w:ascii="Arial" w:cs="Arial" w:eastAsia="Arial" w:hAnsi="Arial"/>
          <w:sz w:val="19"/>
          <w:szCs w:val="19"/>
          <w:color w:val="auto"/>
        </w:rPr>
        <w:t>.</w:t>
      </w:r>
    </w:p>
    <w:p>
      <w:pPr>
        <w:spacing w:after="0" w:line="233" w:lineRule="exact"/>
        <w:rPr>
          <w:sz w:val="20"/>
          <w:szCs w:val="20"/>
          <w:color w:val="auto"/>
        </w:rPr>
      </w:pPr>
    </w:p>
    <w:p>
      <w:pPr>
        <w:ind w:right="40" w:firstLine="1305"/>
        <w:spacing w:after="0" w:line="251" w:lineRule="auto"/>
        <w:tabs>
          <w:tab w:leader="none" w:pos="17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either Party or its Affiliates becomes aware of a claim or assertion that the manufacture, Development or Commercialization of any Licensed Product in the Field infringes or otherwise violates the intellectual property rights of any Third Party in the Territory such Party shall promptly notify the other Party in writing of this claim or assertion. As soon as reasonably practicable after the receipt of such notice, the Parties shall meet and consider the appropriate course of action with respect to such allegation of infringement.</w:t>
      </w:r>
    </w:p>
    <w:p>
      <w:pPr>
        <w:spacing w:after="0" w:line="189" w:lineRule="exact"/>
        <w:rPr>
          <w:rFonts w:ascii="Arial" w:cs="Arial" w:eastAsia="Arial" w:hAnsi="Arial"/>
          <w:sz w:val="22"/>
          <w:szCs w:val="22"/>
          <w:color w:val="auto"/>
        </w:rPr>
      </w:pPr>
    </w:p>
    <w:p>
      <w:pPr>
        <w:ind w:right="40" w:firstLine="1305"/>
        <w:spacing w:after="0" w:line="260" w:lineRule="auto"/>
        <w:tabs>
          <w:tab w:leader="none" w:pos="1728"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The Parties shall cooperate, share all material notices and filings in a timely manner, provide all reasonable assistance to each other and use Commercially Reasonable Efforts to mutually agree upon an appropriate course of action, including, as appropriate, with respect to material court filings and the defense and/or settlement of any such claim;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each Party shall have the right to defend and control the defense of any such action naming it as a defendant at its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sole cost and expense, using counsel of its own choice;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any counterclaim or defense alleging Infringement (or infringement) shall be governed by Section 13.1. The rights and obligations in this Section 13.3 shall apply even if only one Party defends any claimed infringement action commenced by a Third Party alleging that the manufacture, Development or Commercialization of any Licensed Product in the Field infringes or otherwise violates the intellectual property rights of such Third Party in the Territory.</w:t>
      </w:r>
    </w:p>
    <w:p>
      <w:pPr>
        <w:spacing w:after="0" w:line="184" w:lineRule="exact"/>
        <w:rPr>
          <w:rFonts w:ascii="Arial" w:cs="Arial" w:eastAsia="Arial" w:hAnsi="Arial"/>
          <w:sz w:val="21"/>
          <w:szCs w:val="21"/>
          <w:color w:val="auto"/>
        </w:rPr>
      </w:pPr>
    </w:p>
    <w:p>
      <w:pPr>
        <w:ind w:right="340" w:firstLine="1305"/>
        <w:spacing w:after="0" w:line="276" w:lineRule="auto"/>
        <w:tabs>
          <w:tab w:leader="none" w:pos="1716" w:val="left"/>
        </w:tabs>
        <w:numPr>
          <w:ilvl w:val="0"/>
          <w:numId w:val="65"/>
        </w:numPr>
        <w:rPr>
          <w:rFonts w:ascii="Arial" w:cs="Arial" w:eastAsia="Arial" w:hAnsi="Arial"/>
          <w:sz w:val="22"/>
          <w:szCs w:val="22"/>
          <w:color w:val="auto"/>
        </w:rPr>
      </w:pPr>
      <w:r>
        <w:rPr>
          <w:rFonts w:ascii="Arial" w:cs="Arial" w:eastAsia="Arial" w:hAnsi="Arial"/>
          <w:sz w:val="22"/>
          <w:szCs w:val="22"/>
          <w:color w:val="auto"/>
        </w:rPr>
        <w:t>Unless otherwise agreed by the Parties, each Party shall bear its own Out-of-Pocket Costs and internal costs (except for the expenses of the non-controlling Party’s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380"/>
          </w:cols>
          <w:pgMar w:left="240" w:top="631" w:right="279" w:bottom="1440" w:gutter="0" w:footer="0" w:header="0"/>
        </w:sectPr>
      </w:pPr>
    </w:p>
    <w:bookmarkStart w:id="125" w:name="page126"/>
    <w:bookmarkEnd w:id="125"/>
    <w:p>
      <w:pPr>
        <w:ind w:right="400"/>
        <w:spacing w:after="0" w:line="263" w:lineRule="auto"/>
        <w:rPr>
          <w:sz w:val="20"/>
          <w:szCs w:val="20"/>
          <w:color w:val="auto"/>
        </w:rPr>
      </w:pPr>
      <w:r>
        <w:rPr>
          <w:rFonts w:ascii="Arial" w:cs="Arial" w:eastAsia="Arial" w:hAnsi="Arial"/>
          <w:sz w:val="22"/>
          <w:szCs w:val="22"/>
          <w:color w:val="auto"/>
        </w:rPr>
        <w:t>cooperation pursuant to Section 13.3(b), if only one Party defends a claim) incurred in connection with any litigation under this Section 13.3.</w:t>
      </w:r>
    </w:p>
    <w:p>
      <w:pPr>
        <w:spacing w:after="0" w:line="175" w:lineRule="exact"/>
        <w:rPr>
          <w:sz w:val="20"/>
          <w:szCs w:val="20"/>
          <w:color w:val="auto"/>
        </w:rPr>
      </w:pPr>
    </w:p>
    <w:p>
      <w:pPr>
        <w:jc w:val="both"/>
        <w:ind w:right="60" w:firstLine="1305"/>
        <w:spacing w:after="0" w:line="254" w:lineRule="auto"/>
        <w:tabs>
          <w:tab w:leader="none" w:pos="1728" w:val="left"/>
        </w:tabs>
        <w:numPr>
          <w:ilvl w:val="0"/>
          <w:numId w:val="66"/>
        </w:numPr>
        <w:rPr>
          <w:rFonts w:ascii="Arial" w:cs="Arial" w:eastAsia="Arial" w:hAnsi="Arial"/>
          <w:sz w:val="22"/>
          <w:szCs w:val="22"/>
          <w:color w:val="auto"/>
        </w:rPr>
      </w:pPr>
      <w:r>
        <w:rPr>
          <w:rFonts w:ascii="Arial" w:cs="Arial" w:eastAsia="Arial" w:hAnsi="Arial"/>
          <w:sz w:val="22"/>
          <w:szCs w:val="22"/>
          <w:color w:val="auto"/>
        </w:rPr>
        <w:t>For the avoidance of doubt, neither Party will enter into any settlement of any suit involving Licensed Products that materially adversely affects the other Party’s rights or obligations with respect to the applicable Licensed Product (with respect to Regeneron as the settling party) or the VEGF Products (with respect to Aventis as the settling party), as applicable in the Territory without the other Party’s prior written consent.</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19"/>
          <w:szCs w:val="19"/>
          <w:u w:val="single" w:color="auto"/>
          <w:color w:val="auto"/>
        </w:rPr>
        <w:t>Invalidity or Unenforceability Defenses or Actions</w:t>
      </w:r>
      <w:r>
        <w:rPr>
          <w:rFonts w:ascii="Arial" w:cs="Arial" w:eastAsia="Arial" w:hAnsi="Arial"/>
          <w:sz w:val="19"/>
          <w:szCs w:val="19"/>
          <w:color w:val="auto"/>
        </w:rPr>
        <w:t>.</w:t>
      </w:r>
    </w:p>
    <w:p>
      <w:pPr>
        <w:spacing w:after="0" w:line="233" w:lineRule="exact"/>
        <w:rPr>
          <w:sz w:val="20"/>
          <w:szCs w:val="20"/>
          <w:color w:val="auto"/>
        </w:rPr>
      </w:pPr>
    </w:p>
    <w:p>
      <w:pPr>
        <w:ind w:right="60" w:firstLine="1305"/>
        <w:spacing w:after="0" w:line="264" w:lineRule="auto"/>
        <w:tabs>
          <w:tab w:leader="none" w:pos="1716"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the event that a Third Party asserts, as a defense or as a counterclaim in any Infringement action (or infringement action) under Section 13.1, that any Regeneron Patent Rights, Aventis Patent Rights or Joint Patent Rights are invalid or unenforceable, then the Party first becoming aware of such claim shall promptly give written notice to the other Party. Subject to the assistance and coordination provisions described in Section 13.1(b), the Litigation Party shall have the final decision-making authority on responding to such defense or defending against such counterclaim (as applicable), including the right to settle or otherwise compromise such claim, in consultation with the non-Litigation Party.</w:t>
      </w:r>
    </w:p>
    <w:p>
      <w:pPr>
        <w:spacing w:after="0" w:line="175" w:lineRule="exact"/>
        <w:rPr>
          <w:rFonts w:ascii="Arial" w:cs="Arial" w:eastAsia="Arial" w:hAnsi="Arial"/>
          <w:sz w:val="21"/>
          <w:szCs w:val="21"/>
          <w:color w:val="auto"/>
        </w:rPr>
      </w:pPr>
    </w:p>
    <w:p>
      <w:pPr>
        <w:ind w:right="20" w:firstLine="1305"/>
        <w:spacing w:after="0" w:line="290" w:lineRule="auto"/>
        <w:tabs>
          <w:tab w:leader="none" w:pos="17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If a Third Party asserts, in a declaratory judgment action or similar action or claim filed by such Third Party, that any Regeneron Patent Rights, Aventis Patent Rights or Joint Patent Rights are invalid or unenforceable, then the Party first becoming aware of such action or claim shall promptly give written notice to the other Party. The Party having the final decision-making authority on controlling the defense of such action or claim, including settlement negotiations and terms, will be (i) with respect to Regeneron Patent Rights, Regeneron in consultation with Aventis, (ii) with respect to Aventis Patent Rights, Aventis in consultation with Regeneron, and (iii) with respect to Joint Patent Rights, the Parties jointly. Any such Party controlling the defense against any such action or claim shall use legal counsel mutually agreeable by the Parties, and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w:t>
      </w:r>
    </w:p>
    <w:p>
      <w:pPr>
        <w:spacing w:after="0" w:line="155" w:lineRule="exact"/>
        <w:rPr>
          <w:rFonts w:ascii="Arial" w:cs="Arial" w:eastAsia="Arial" w:hAnsi="Arial"/>
          <w:sz w:val="19"/>
          <w:szCs w:val="19"/>
          <w:color w:val="auto"/>
        </w:rPr>
      </w:pPr>
    </w:p>
    <w:p>
      <w:pPr>
        <w:ind w:firstLine="1305"/>
        <w:spacing w:after="0" w:line="254" w:lineRule="auto"/>
        <w:tabs>
          <w:tab w:leader="none" w:pos="1716"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Out-of-Pocket Costs incurred in connection with responding to or defending against any action or claim that any Regeneron Patent Rights, Aventis Patent Rights or Joint Patent Rights are invalid or unenforceable pursuant to this Section 13.4 shall be borne in the same manner as set forth in Section 13.1(c) with respect to the allocation of costs for Infringement litigation.</w:t>
      </w:r>
    </w:p>
    <w:p>
      <w:pPr>
        <w:spacing w:after="0" w:line="185" w:lineRule="exact"/>
        <w:rPr>
          <w:rFonts w:ascii="Arial" w:cs="Arial" w:eastAsia="Arial" w:hAnsi="Arial"/>
          <w:sz w:val="22"/>
          <w:szCs w:val="22"/>
          <w:color w:val="auto"/>
        </w:rPr>
      </w:pPr>
    </w:p>
    <w:p>
      <w:pPr>
        <w:ind w:right="340" w:firstLine="1305"/>
        <w:spacing w:after="0" w:line="320" w:lineRule="auto"/>
        <w:tabs>
          <w:tab w:leader="none" w:pos="1728" w:val="left"/>
        </w:tabs>
        <w:numPr>
          <w:ilvl w:val="0"/>
          <w:numId w:val="67"/>
        </w:numPr>
        <w:rPr>
          <w:rFonts w:ascii="Arial" w:cs="Arial" w:eastAsia="Arial" w:hAnsi="Arial"/>
          <w:sz w:val="19"/>
          <w:szCs w:val="19"/>
          <w:color w:val="auto"/>
        </w:rPr>
      </w:pPr>
      <w:r>
        <w:rPr>
          <w:rFonts w:ascii="Arial" w:cs="Arial" w:eastAsia="Arial" w:hAnsi="Arial"/>
          <w:sz w:val="19"/>
          <w:szCs w:val="19"/>
          <w:color w:val="auto"/>
        </w:rPr>
        <w:t>For the avoidance of doubt, neither Party will enter into any settlement of any suit referenced in this Section 13.4 that materially adversely affects the other Party’s rights or obligations with respect to Licensed Products (with respect to Regeneron as the settling party) or the VEGF Products (with respect to Aventis as the settling party), as applicable in the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20"/>
          </w:cols>
          <w:pgMar w:left="240" w:top="631" w:right="239" w:bottom="1440" w:gutter="0" w:footer="0" w:header="0"/>
        </w:sectPr>
      </w:pPr>
    </w:p>
    <w:bookmarkStart w:id="126" w:name="page127"/>
    <w:bookmarkEnd w:id="126"/>
    <w:p>
      <w:pPr>
        <w:ind w:right="380"/>
        <w:spacing w:after="0" w:line="263" w:lineRule="auto"/>
        <w:rPr>
          <w:sz w:val="20"/>
          <w:szCs w:val="20"/>
          <w:color w:val="auto"/>
        </w:rPr>
      </w:pPr>
      <w:r>
        <w:rPr>
          <w:rFonts w:ascii="Arial" w:cs="Arial" w:eastAsia="Arial" w:hAnsi="Arial"/>
          <w:sz w:val="22"/>
          <w:szCs w:val="22"/>
          <w:color w:val="auto"/>
        </w:rPr>
        <w:t>Territory, including admitting the invalidity or unenforceability of any Regeneron Patent Rights, Aventis Patent Rights, or Joint Patent Rights, without the other Party’s prior written consent.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14</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AND INSPECTIONS; AUDITS AND ADJUSTMENTS</w:t>
      </w:r>
    </w:p>
    <w:p>
      <w:pPr>
        <w:spacing w:after="0" w:line="4" w:lineRule="exact"/>
        <w:rPr>
          <w:sz w:val="20"/>
          <w:szCs w:val="20"/>
          <w:color w:val="auto"/>
        </w:rPr>
      </w:pPr>
    </w:p>
    <w:p>
      <w:pPr>
        <w:ind w:right="80" w:firstLine="648"/>
        <w:spacing w:after="0" w:line="259"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Books and Records</w:t>
      </w:r>
      <w:r>
        <w:rPr>
          <w:rFonts w:ascii="Arial" w:cs="Arial" w:eastAsia="Arial" w:hAnsi="Arial"/>
          <w:sz w:val="21"/>
          <w:szCs w:val="21"/>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or the Supply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or the Supply Agreement and discuss the affairs, finances and accounts of such Party or such Affiliate to the extent relating to this Agreement or the Supply Agreement with, and be advised as to the same by, its and their officers and independent accountants.</w:t>
      </w:r>
    </w:p>
    <w:p>
      <w:pPr>
        <w:spacing w:after="0" w:line="18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u w:val="single" w:color="auto"/>
          <w:color w:val="auto"/>
        </w:rPr>
        <w:t>Audits and Adjustments</w:t>
      </w:r>
      <w:r>
        <w:rPr>
          <w:rFonts w:ascii="Arial" w:cs="Arial" w:eastAsia="Arial" w:hAnsi="Arial"/>
          <w:sz w:val="19"/>
          <w:szCs w:val="19"/>
          <w:color w:val="auto"/>
        </w:rPr>
        <w:t>.</w:t>
      </w:r>
    </w:p>
    <w:p>
      <w:pPr>
        <w:spacing w:after="0" w:line="233" w:lineRule="exact"/>
        <w:rPr>
          <w:sz w:val="20"/>
          <w:szCs w:val="20"/>
          <w:color w:val="auto"/>
        </w:rPr>
      </w:pPr>
    </w:p>
    <w:p>
      <w:pPr>
        <w:ind w:right="80" w:firstLine="1305"/>
        <w:spacing w:after="0" w:line="292" w:lineRule="auto"/>
        <w:tabs>
          <w:tab w:leader="none" w:pos="171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Each Party shall have the right (at its costs), upon no less than thirty (30) days advance written notice and at such reasonable times and intervals and to such reasonable extent as the investigating Party shall request, not more than once during any calendar year, to have the books and records of the other Party and its Affiliates to the extent relating to this Agreement or the Supply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under this Agreement or the Supply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55" w:lineRule="exact"/>
        <w:rPr>
          <w:rFonts w:ascii="Arial" w:cs="Arial" w:eastAsia="Arial" w:hAnsi="Arial"/>
          <w:sz w:val="19"/>
          <w:szCs w:val="19"/>
          <w:color w:val="auto"/>
        </w:rPr>
      </w:pPr>
    </w:p>
    <w:p>
      <w:pPr>
        <w:ind w:firstLine="1305"/>
        <w:spacing w:after="0" w:line="292"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results of any such audit shall be delivered in writing to each Party and shall be final and binding upon the Parties, unless disputed by a Party within ninety (90) days of receipt thereof. Unless otherwise mutually agreed by the Parties, any disputes regarding the results of any such audit shall be subject to the dispute resolution procedures set forth in Section 10.2. If the audited Party or its Affiliates have underpaid or over billed an amount due under this Agreement or the Supply Agreement resulting in a cumulative discrepancy during any year of more than ten percent (10%),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or the Supply Agreement, and shall be subject to the confidentiality provisions contained in ARTICLE 16.</w:t>
      </w:r>
    </w:p>
    <w:p>
      <w:pPr>
        <w:spacing w:after="0" w:line="155" w:lineRule="exact"/>
        <w:rPr>
          <w:rFonts w:ascii="Arial" w:cs="Arial" w:eastAsia="Arial" w:hAnsi="Arial"/>
          <w:sz w:val="19"/>
          <w:szCs w:val="19"/>
          <w:color w:val="auto"/>
        </w:rPr>
      </w:pPr>
    </w:p>
    <w:p>
      <w:pPr>
        <w:ind w:right="60" w:firstLine="1305"/>
        <w:spacing w:after="0" w:line="276" w:lineRule="auto"/>
        <w:tabs>
          <w:tab w:leader="none" w:pos="1716"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any examination or audit of the records described above discloses an under- or over-payment of amounts due hereunder, then unless the result of the audit is to be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00"/>
          </w:cols>
          <w:pgMar w:left="240" w:top="631" w:right="259" w:bottom="1440" w:gutter="0" w:footer="0" w:header="0"/>
        </w:sectPr>
      </w:pPr>
    </w:p>
    <w:bookmarkStart w:id="127" w:name="page128"/>
    <w:bookmarkEnd w:id="127"/>
    <w:p>
      <w:pPr>
        <w:ind w:right="20"/>
        <w:spacing w:after="0" w:line="250" w:lineRule="auto"/>
        <w:rPr>
          <w:sz w:val="20"/>
          <w:szCs w:val="20"/>
          <w:color w:val="auto"/>
        </w:rPr>
      </w:pPr>
      <w:r>
        <w:rPr>
          <w:rFonts w:ascii="Arial" w:cs="Arial" w:eastAsia="Arial" w:hAnsi="Arial"/>
          <w:sz w:val="22"/>
          <w:szCs w:val="22"/>
          <w:color w:val="auto"/>
        </w:rPr>
        <w:t>contested pursuant to Section 14.2(b) above, the Party (or its Affiliate) owing any money hereunder shall pay the same (plus interest thereon at the Default Interest Rate from the date of such underpayment through the date of payment of the amount required to be paid pursuant to this Section 14.2(c)) to the Party (or its Affiliate) entitled thereto within thirty (30) days after receipt of the written results of such audit pursuant to this Section 14.2.</w:t>
      </w:r>
    </w:p>
    <w:p>
      <w:pPr>
        <w:spacing w:after="0" w:line="188" w:lineRule="exact"/>
        <w:rPr>
          <w:sz w:val="20"/>
          <w:szCs w:val="20"/>
          <w:color w:val="auto"/>
        </w:rPr>
      </w:pPr>
    </w:p>
    <w:p>
      <w:pPr>
        <w:ind w:right="180" w:firstLine="648"/>
        <w:spacing w:after="0" w:line="260"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GAAP/IAS/IFRS</w:t>
      </w:r>
      <w:r>
        <w:rPr>
          <w:rFonts w:ascii="Arial" w:cs="Arial" w:eastAsia="Arial" w:hAnsi="Arial"/>
          <w:sz w:val="22"/>
          <w:szCs w:val="22"/>
          <w:color w:val="auto"/>
        </w:rPr>
        <w:t>. Except as otherwise provided herein, all costs and expenses and other financial determinations with respect to this Agreement or the Supply Agreement shall be determined in accordance with GAAP or IAS/IFRS as generally and consistently applied.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15</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REPRESENTATIONS AND WARRANTIES</w:t>
      </w:r>
    </w:p>
    <w:p>
      <w:pPr>
        <w:spacing w:after="0" w:line="4"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u w:val="single" w:color="auto"/>
          <w:color w:val="auto"/>
        </w:rPr>
        <w:t>Due Organization, Valid Existence and Due Authorization</w:t>
      </w:r>
      <w:r>
        <w:rPr>
          <w:rFonts w:ascii="Arial" w:cs="Arial" w:eastAsia="Arial" w:hAnsi="Arial"/>
          <w:sz w:val="19"/>
          <w:szCs w:val="19"/>
          <w:color w:val="auto"/>
        </w:rPr>
        <w:t>. Each Party hereto represents and warrants to the other Party, as of the Amendment Execution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material agreement or arrangement, whether written or oral,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4 hereof; and (f) no broker, finder or investment banker is entitled to any brokerage, finder’s or other fee in connection with this Agreement or the transactions contemplated hereby based on arrangements made by it or on its behalf.</w:t>
      </w:r>
    </w:p>
    <w:p>
      <w:pPr>
        <w:spacing w:after="0" w:line="15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u w:val="single" w:color="auto"/>
          <w:color w:val="auto"/>
        </w:rPr>
        <w:t>Knowledge of Pending or Threatened Litigation</w:t>
      </w:r>
      <w:r>
        <w:rPr>
          <w:rFonts w:ascii="Arial" w:cs="Arial" w:eastAsia="Arial" w:hAnsi="Arial"/>
          <w:sz w:val="19"/>
          <w:szCs w:val="19"/>
          <w:color w:val="auto"/>
        </w:rPr>
        <w:t>. Each Party represents and warrants to the other Party that, as of the Amendment Execution Date, there is no claim, announced investigation, suit, action or proceeding pending or, to such Party’s knowledge, threatened, against such Party before or by any governmental entity or arbitrator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147"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 xml:space="preserve">15.3 </w:t>
      </w:r>
      <w:r>
        <w:rPr>
          <w:rFonts w:ascii="Arial" w:cs="Arial" w:eastAsia="Arial" w:hAnsi="Arial"/>
          <w:sz w:val="22"/>
          <w:szCs w:val="22"/>
          <w:u w:val="single" w:color="auto"/>
          <w:color w:val="auto"/>
        </w:rPr>
        <w:t>Disclaimer of Warranties</w:t>
      </w:r>
      <w:r>
        <w:rPr>
          <w:rFonts w:ascii="Arial" w:cs="Arial" w:eastAsia="Arial" w:hAnsi="Arial"/>
          <w:sz w:val="22"/>
          <w:szCs w:val="22"/>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VEGF PRODUCT. EXCEPT AS EXPRESSLY SET FORTH HEREIN, EACH PARTY EXPRESSLY DISCLAIMS ANY AND ALL WARRANTIES OF ANY KIND, EXPRESS OR IMPLIED, INCLUDING WITHOUT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00"/>
          </w:cols>
          <w:pgMar w:left="240" w:top="631" w:right="25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color w:val="auto"/>
        </w:rPr>
        <w:t>LIMITATION THE WARRANTIES OF MERCHANTABILITY AND FITNESS FOR A PARTICULAR PURPOSE.</w:t>
      </w:r>
    </w:p>
    <w:p>
      <w:pPr>
        <w:spacing w:after="0" w:line="214"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CONFIDENTIALITY</w:t>
      </w:r>
    </w:p>
    <w:p>
      <w:pPr>
        <w:spacing w:after="0" w:line="4"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 xml:space="preserve">16.1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Each of Aventis and Regeneron acknowledges (subject to Section 16.2 and ARTICLE 19) that all Party Information provided to it (or its Affiliate) or otherwise made available to it by the other Party or its respective Affiliates pursuant to this Agreement is confidential and proprietary to such other Party or its respective Affiliates. Furthermore, each of Aventis and Regeneron acknowledges (subject to the further provisions of this ARTICLE 16) that all New Information is confidential and proprietary to both Parties (and both Parties shall be deemed to be the receiving Party with respect thereto). During the Term and for a period of ten (10) years thereafter, each of Aventis and Regeneron shall, and shall cause its officers, directors, employees and agents to, maintain in confidence and not disclose to any Third Party or not use the Party Information of the other Party (or its Affiliates) and all New Information, except to the extent such disclosure or use is expressly permitted by the terms of this Agreement.</w:t>
      </w:r>
    </w:p>
    <w:p>
      <w:pPr>
        <w:spacing w:after="0" w:line="185" w:lineRule="exact"/>
        <w:rPr>
          <w:sz w:val="20"/>
          <w:szCs w:val="20"/>
          <w:color w:val="auto"/>
        </w:rPr>
      </w:pPr>
    </w:p>
    <w:p>
      <w:pPr>
        <w:ind w:right="100" w:firstLine="648"/>
        <w:spacing w:after="0" w:line="260" w:lineRule="auto"/>
        <w:rPr>
          <w:sz w:val="20"/>
          <w:szCs w:val="20"/>
          <w:color w:val="auto"/>
        </w:rPr>
      </w:pPr>
      <w:r>
        <w:rPr>
          <w:rFonts w:ascii="Arial" w:cs="Arial" w:eastAsia="Arial" w:hAnsi="Arial"/>
          <w:sz w:val="22"/>
          <w:szCs w:val="22"/>
          <w:color w:val="auto"/>
        </w:rPr>
        <w:t xml:space="preserve">16.2 </w:t>
      </w:r>
      <w:r>
        <w:rPr>
          <w:rFonts w:ascii="Arial" w:cs="Arial" w:eastAsia="Arial" w:hAnsi="Arial"/>
          <w:sz w:val="22"/>
          <w:szCs w:val="22"/>
          <w:u w:val="single" w:color="auto"/>
          <w:color w:val="auto"/>
        </w:rPr>
        <w:t>Exclusions</w:t>
      </w:r>
      <w:r>
        <w:rPr>
          <w:rFonts w:ascii="Arial" w:cs="Arial" w:eastAsia="Arial" w:hAnsi="Arial"/>
          <w:sz w:val="22"/>
          <w:szCs w:val="22"/>
          <w:color w:val="auto"/>
        </w:rPr>
        <w:t>. Notwithstanding anything provided above, the confidentiality and non-use restrictions provided in this ARTICLE 16 shall not apply to Party Information or New Information that was or is (and such information shall not be considered confidential or proprietary under this Agreement):</w:t>
      </w:r>
    </w:p>
    <w:p>
      <w:pPr>
        <w:spacing w:after="0" w:line="177" w:lineRule="exact"/>
        <w:rPr>
          <w:sz w:val="20"/>
          <w:szCs w:val="20"/>
          <w:color w:val="auto"/>
        </w:rPr>
      </w:pPr>
    </w:p>
    <w:p>
      <w:pPr>
        <w:ind w:right="240" w:firstLine="1305"/>
        <w:spacing w:after="0" w:line="358" w:lineRule="auto"/>
        <w:tabs>
          <w:tab w:leader="none" w:pos="1716"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already in the public domain as of the Effective Date or becomes publicly known through no act, omission or fault of the receiving Party or its Affiliate or any Person to whom the receiving party provided such information;</w:t>
      </w:r>
    </w:p>
    <w:p>
      <w:pPr>
        <w:spacing w:after="0" w:line="90" w:lineRule="exact"/>
        <w:rPr>
          <w:rFonts w:ascii="Arial" w:cs="Arial" w:eastAsia="Arial" w:hAnsi="Arial"/>
          <w:sz w:val="19"/>
          <w:szCs w:val="19"/>
          <w:color w:val="auto"/>
        </w:rPr>
      </w:pPr>
    </w:p>
    <w:p>
      <w:pPr>
        <w:ind w:right="100" w:firstLine="1305"/>
        <w:spacing w:after="0" w:line="276" w:lineRule="auto"/>
        <w:tabs>
          <w:tab w:leader="none" w:pos="1728"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already in the possession of the receiving Party or its Affiliate at the time of disclosure by the disclosing Party; </w:t>
      </w:r>
      <w:r>
        <w:rPr>
          <w:rFonts w:ascii="Arial" w:cs="Arial" w:eastAsia="Arial" w:hAnsi="Arial"/>
          <w:sz w:val="22"/>
          <w:szCs w:val="22"/>
          <w:i w:val="1"/>
          <w:iCs w:val="1"/>
          <w:color w:val="auto"/>
        </w:rPr>
        <w:t>provided, however</w:t>
      </w:r>
      <w:r>
        <w:rPr>
          <w:rFonts w:ascii="Arial" w:cs="Arial" w:eastAsia="Arial" w:hAnsi="Arial"/>
          <w:sz w:val="22"/>
          <w:szCs w:val="22"/>
          <w:color w:val="auto"/>
        </w:rPr>
        <w:t>, that this exception shall not apply with respect to New Information;</w:t>
      </w:r>
    </w:p>
    <w:p>
      <w:pPr>
        <w:spacing w:after="0" w:line="160" w:lineRule="exact"/>
        <w:rPr>
          <w:rFonts w:ascii="Arial" w:cs="Arial" w:eastAsia="Arial" w:hAnsi="Arial"/>
          <w:sz w:val="22"/>
          <w:szCs w:val="22"/>
          <w:color w:val="auto"/>
        </w:rPr>
      </w:pPr>
    </w:p>
    <w:p>
      <w:pPr>
        <w:ind w:right="800" w:firstLine="1305"/>
        <w:spacing w:after="0" w:line="358" w:lineRule="auto"/>
        <w:tabs>
          <w:tab w:leader="none" w:pos="1716" w:val="left"/>
        </w:tabs>
        <w:numPr>
          <w:ilvl w:val="0"/>
          <w:numId w:val="69"/>
        </w:numPr>
        <w:rPr>
          <w:rFonts w:ascii="Arial" w:cs="Arial" w:eastAsia="Arial" w:hAnsi="Arial"/>
          <w:sz w:val="19"/>
          <w:szCs w:val="19"/>
          <w:color w:val="auto"/>
        </w:rPr>
      </w:pPr>
      <w:r>
        <w:rPr>
          <w:rFonts w:ascii="Arial" w:cs="Arial" w:eastAsia="Arial" w:hAnsi="Arial"/>
          <w:sz w:val="19"/>
          <w:szCs w:val="19"/>
          <w:color w:val="auto"/>
        </w:rPr>
        <w:t>disclosed to the receiving Party or its Affiliate on an unrestricted basis from a Third Party not under an obligation of confidentiality to the other Party or any Affiliate of such other Party with respect to such information; or</w:t>
      </w:r>
    </w:p>
    <w:p>
      <w:pPr>
        <w:spacing w:after="0" w:line="90" w:lineRule="exact"/>
        <w:rPr>
          <w:rFonts w:ascii="Arial" w:cs="Arial" w:eastAsia="Arial" w:hAnsi="Arial"/>
          <w:sz w:val="19"/>
          <w:szCs w:val="19"/>
          <w:color w:val="auto"/>
        </w:rPr>
      </w:pPr>
    </w:p>
    <w:p>
      <w:pPr>
        <w:ind w:right="280" w:firstLine="1305"/>
        <w:spacing w:after="0" w:line="260" w:lineRule="auto"/>
        <w:tabs>
          <w:tab w:leader="none" w:pos="1783" w:val="left"/>
        </w:tabs>
        <w:numPr>
          <w:ilvl w:val="0"/>
          <w:numId w:val="69"/>
        </w:numPr>
        <w:rPr>
          <w:rFonts w:ascii="Arial" w:cs="Arial" w:eastAsia="Arial" w:hAnsi="Arial"/>
          <w:sz w:val="22"/>
          <w:szCs w:val="22"/>
          <w:color w:val="auto"/>
        </w:rPr>
      </w:pPr>
      <w:r>
        <w:rPr>
          <w:rFonts w:ascii="Arial" w:cs="Arial" w:eastAsia="Arial" w:hAnsi="Arial"/>
          <w:sz w:val="22"/>
          <w:szCs w:val="22"/>
          <w:color w:val="auto"/>
        </w:rPr>
        <w:t>similar in nature to the purported Party Information or New Information but has been independently created outside of this Agreement, as evidenced by written or electronic documentation, without any aid application or use of the Party Information or New Information.</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19"/>
          <w:szCs w:val="19"/>
          <w:u w:val="single" w:color="auto"/>
          <w:color w:val="auto"/>
        </w:rPr>
        <w:t>Permitted Disclosures and Uses</w:t>
      </w:r>
      <w:r>
        <w:rPr>
          <w:rFonts w:ascii="Arial" w:cs="Arial" w:eastAsia="Arial" w:hAnsi="Arial"/>
          <w:sz w:val="19"/>
          <w:szCs w:val="19"/>
          <w:color w:val="auto"/>
        </w:rPr>
        <w:t>.</w:t>
      </w:r>
    </w:p>
    <w:p>
      <w:pPr>
        <w:spacing w:after="0" w:line="233" w:lineRule="exact"/>
        <w:rPr>
          <w:sz w:val="20"/>
          <w:szCs w:val="20"/>
          <w:color w:val="auto"/>
        </w:rPr>
      </w:pPr>
    </w:p>
    <w:p>
      <w:pPr>
        <w:ind w:right="400" w:firstLine="1305"/>
        <w:spacing w:after="0" w:line="276" w:lineRule="auto"/>
        <w:tabs>
          <w:tab w:leader="none" w:pos="1716"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Party may use or disclose Party Information of the other Party and New Information to the extent that such use or disclosure is: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00"/>
          </w:cols>
          <w:pgMar w:left="240" w:top="631" w:right="259" w:bottom="1440" w:gutter="0" w:footer="0" w:header="0"/>
        </w:sectPr>
      </w:pPr>
    </w:p>
    <w:bookmarkStart w:id="129" w:name="page130"/>
    <w:bookmarkEnd w:id="129"/>
    <w:p>
      <w:pPr>
        <w:ind w:right="140" w:firstLine="1953"/>
        <w:spacing w:after="0" w:line="254" w:lineRule="auto"/>
        <w:tabs>
          <w:tab w:leader="none" w:pos="2329"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necessary or useful to file, prosecute, enforce or defend Patents or Patent applications for which the Party has the right to assume filing, prosecution, enforcement, defense or maintenance pursuant to this Agreement;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reasonable measures shall be taken to assure confidential treatment of such information to the extent practicable and</w:t>
      </w:r>
      <w:r>
        <w:rPr>
          <w:rFonts w:ascii="Arial" w:cs="Arial" w:eastAsia="Arial" w:hAnsi="Arial"/>
          <w:sz w:val="22"/>
          <w:szCs w:val="22"/>
          <w:i w:val="1"/>
          <w:iCs w:val="1"/>
          <w:color w:val="auto"/>
        </w:rPr>
        <w:t xml:space="preserve"> </w:t>
      </w:r>
      <w:r>
        <w:rPr>
          <w:rFonts w:ascii="Arial" w:cs="Arial" w:eastAsia="Arial" w:hAnsi="Arial"/>
          <w:sz w:val="22"/>
          <w:szCs w:val="22"/>
          <w:color w:val="auto"/>
        </w:rPr>
        <w:t>consistent with applicable Law;</w:t>
      </w:r>
    </w:p>
    <w:p>
      <w:pPr>
        <w:spacing w:after="0" w:line="185" w:lineRule="exact"/>
        <w:rPr>
          <w:rFonts w:ascii="Arial" w:cs="Arial" w:eastAsia="Arial" w:hAnsi="Arial"/>
          <w:sz w:val="22"/>
          <w:szCs w:val="22"/>
          <w:color w:val="auto"/>
        </w:rPr>
      </w:pPr>
    </w:p>
    <w:p>
      <w:pPr>
        <w:ind w:right="60" w:firstLine="1953"/>
        <w:spacing w:after="0" w:line="297" w:lineRule="auto"/>
        <w:tabs>
          <w:tab w:leader="none" w:pos="2389" w:val="left"/>
        </w:tabs>
        <w:numPr>
          <w:ilvl w:val="1"/>
          <w:numId w:val="71"/>
        </w:numPr>
        <w:rPr>
          <w:rFonts w:ascii="Arial" w:cs="Arial" w:eastAsia="Arial" w:hAnsi="Arial"/>
          <w:sz w:val="19"/>
          <w:szCs w:val="19"/>
          <w:color w:val="auto"/>
        </w:rPr>
      </w:pPr>
      <w:r>
        <w:rPr>
          <w:rFonts w:ascii="Arial" w:cs="Arial" w:eastAsia="Arial" w:hAnsi="Arial"/>
          <w:sz w:val="19"/>
          <w:szCs w:val="19"/>
          <w:color w:val="auto"/>
        </w:rPr>
        <w:t xml:space="preserve">required by a Governmental Authority, applicable Law (including the rules and regulations of any stock exchange or trading market on which the receiving Party’s (or its parent entity’s) securities are traded) or court order to be disclosed,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receiving Party uses reasonable efforts to give the disclosing Party advance notice of such required disclosure in sufficient time to enable the disclosing Party to seek confidential treatment for such information,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receiving Party provides all reasonable cooperation to assist the disclosing Party to protect such information and limits the disclosure to that information that is required by a Governmental Authority, applicable Law or court order to be disclosed;</w:t>
      </w:r>
    </w:p>
    <w:p>
      <w:pPr>
        <w:spacing w:after="0" w:line="146" w:lineRule="exact"/>
        <w:rPr>
          <w:rFonts w:ascii="Arial" w:cs="Arial" w:eastAsia="Arial" w:hAnsi="Arial"/>
          <w:sz w:val="19"/>
          <w:szCs w:val="19"/>
          <w:color w:val="auto"/>
        </w:rPr>
      </w:pPr>
    </w:p>
    <w:p>
      <w:pPr>
        <w:ind w:right="20" w:firstLine="1953"/>
        <w:spacing w:after="0" w:line="320" w:lineRule="auto"/>
        <w:tabs>
          <w:tab w:leader="none" w:pos="2449" w:val="left"/>
        </w:tabs>
        <w:numPr>
          <w:ilvl w:val="1"/>
          <w:numId w:val="71"/>
        </w:numPr>
        <w:rPr>
          <w:rFonts w:ascii="Arial" w:cs="Arial" w:eastAsia="Arial" w:hAnsi="Arial"/>
          <w:sz w:val="19"/>
          <w:szCs w:val="19"/>
          <w:color w:val="auto"/>
        </w:rPr>
      </w:pPr>
      <w:r>
        <w:rPr>
          <w:rFonts w:ascii="Arial" w:cs="Arial" w:eastAsia="Arial" w:hAnsi="Arial"/>
          <w:sz w:val="19"/>
          <w:szCs w:val="19"/>
          <w:color w:val="auto"/>
        </w:rPr>
        <w:t>used to enforce the terms of this Agreement or any Ancillary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 or</w:t>
      </w:r>
    </w:p>
    <w:p>
      <w:pPr>
        <w:spacing w:after="0" w:line="125" w:lineRule="exact"/>
        <w:rPr>
          <w:rFonts w:ascii="Arial" w:cs="Arial" w:eastAsia="Arial" w:hAnsi="Arial"/>
          <w:sz w:val="19"/>
          <w:szCs w:val="19"/>
          <w:color w:val="auto"/>
        </w:rPr>
      </w:pPr>
    </w:p>
    <w:p>
      <w:pPr>
        <w:ind w:right="40" w:firstLine="1953"/>
        <w:spacing w:after="0" w:line="254" w:lineRule="auto"/>
        <w:tabs>
          <w:tab w:leader="none" w:pos="2437" w:val="left"/>
        </w:tabs>
        <w:numPr>
          <w:ilvl w:val="1"/>
          <w:numId w:val="71"/>
        </w:numPr>
        <w:rPr>
          <w:rFonts w:ascii="Arial" w:cs="Arial" w:eastAsia="Arial" w:hAnsi="Arial"/>
          <w:sz w:val="22"/>
          <w:szCs w:val="22"/>
          <w:color w:val="auto"/>
        </w:rPr>
      </w:pPr>
      <w:r>
        <w:rPr>
          <w:rFonts w:ascii="Arial" w:cs="Arial" w:eastAsia="Arial" w:hAnsi="Arial"/>
          <w:sz w:val="22"/>
          <w:szCs w:val="22"/>
          <w:color w:val="auto"/>
        </w:rPr>
        <w:t xml:space="preserve">to the Regulatory Authorities as required in connection with obtaining or maintaining any application of a Licensed Product in the Field in the Territory pursuant to the terms of this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reasonable measures shall be taken to assure confidential treatment of such information to the extent practicable and consistent with applicable Law.</w:t>
      </w:r>
    </w:p>
    <w:p>
      <w:pPr>
        <w:spacing w:after="0" w:line="185" w:lineRule="exact"/>
        <w:rPr>
          <w:rFonts w:ascii="Arial" w:cs="Arial" w:eastAsia="Arial" w:hAnsi="Arial"/>
          <w:sz w:val="22"/>
          <w:szCs w:val="22"/>
          <w:color w:val="auto"/>
        </w:rPr>
      </w:pPr>
    </w:p>
    <w:p>
      <w:pPr>
        <w:jc w:val="both"/>
        <w:ind w:right="280" w:firstLine="1305"/>
        <w:spacing w:after="0" w:line="260" w:lineRule="auto"/>
        <w:tabs>
          <w:tab w:leader="none" w:pos="1728" w:val="left"/>
        </w:tabs>
        <w:numPr>
          <w:ilvl w:val="0"/>
          <w:numId w:val="72"/>
        </w:numPr>
        <w:rPr>
          <w:rFonts w:ascii="Arial" w:cs="Arial" w:eastAsia="Arial" w:hAnsi="Arial"/>
          <w:sz w:val="22"/>
          <w:szCs w:val="22"/>
          <w:color w:val="auto"/>
        </w:rPr>
      </w:pPr>
      <w:r>
        <w:rPr>
          <w:rFonts w:ascii="Arial" w:cs="Arial" w:eastAsia="Arial" w:hAnsi="Arial"/>
          <w:sz w:val="22"/>
          <w:szCs w:val="22"/>
          <w:color w:val="auto"/>
        </w:rPr>
        <w:t>Notwithstanding anything provided above or elsewhere in this Agreement, Regeneron and its Affiliates shall have the right to use and disclose any New Information or Party Information of Aventis, in each case, related to Excluded Ocular VEGF Products and VEGF Products (including the making or use thereof):</w:t>
      </w:r>
    </w:p>
    <w:p>
      <w:pPr>
        <w:spacing w:after="0" w:line="177" w:lineRule="exact"/>
        <w:rPr>
          <w:rFonts w:ascii="Arial" w:cs="Arial" w:eastAsia="Arial" w:hAnsi="Arial"/>
          <w:sz w:val="22"/>
          <w:szCs w:val="22"/>
          <w:color w:val="auto"/>
        </w:rPr>
      </w:pPr>
    </w:p>
    <w:p>
      <w:pPr>
        <w:ind w:firstLine="1953"/>
        <w:spacing w:after="0" w:line="254" w:lineRule="auto"/>
        <w:tabs>
          <w:tab w:leader="none" w:pos="2329"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 connection with Regeneron’s discovery, development, manufacture or commercialization of VEGF Products (other than a Licensed Product in the Field) in the Territory, including, without limitation, to existing or potential distributors, (sub)licensees, Affiliates or collaboration partners or otherwise in connection with the performance of its obligations or exercise of Regeneron’s rights as contemplated by this Agreement; or</w:t>
      </w:r>
    </w:p>
    <w:p>
      <w:pPr>
        <w:spacing w:after="0" w:line="185" w:lineRule="exact"/>
        <w:rPr>
          <w:rFonts w:ascii="Arial" w:cs="Arial" w:eastAsia="Arial" w:hAnsi="Arial"/>
          <w:sz w:val="22"/>
          <w:szCs w:val="22"/>
          <w:color w:val="auto"/>
        </w:rPr>
      </w:pPr>
    </w:p>
    <w:p>
      <w:pPr>
        <w:jc w:val="both"/>
        <w:ind w:right="20" w:firstLine="1953"/>
        <w:spacing w:after="0" w:line="320" w:lineRule="auto"/>
        <w:tabs>
          <w:tab w:leader="none" w:pos="2389"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to the Regulatory Authorities as required in connection with obtaining or maintaining any application of a VEGF Product (other than a Licensed Product in the Field) in the Territory; </w:t>
      </w:r>
      <w:r>
        <w:rPr>
          <w:rFonts w:ascii="Arial" w:cs="Arial" w:eastAsia="Arial" w:hAnsi="Arial"/>
          <w:sz w:val="19"/>
          <w:szCs w:val="19"/>
          <w:i w:val="1"/>
          <w:iCs w:val="1"/>
          <w:color w:val="auto"/>
        </w:rPr>
        <w:t>provided, however</w:t>
      </w:r>
      <w:r>
        <w:rPr>
          <w:rFonts w:ascii="Arial" w:cs="Arial" w:eastAsia="Arial" w:hAnsi="Arial"/>
          <w:sz w:val="19"/>
          <w:szCs w:val="19"/>
          <w:color w:val="auto"/>
        </w:rPr>
        <w:t>, that reasonable measures shall be taken to assure confidential treatment of such information to the extent practicable and consistent with applicable Law.</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20"/>
          </w:cols>
          <w:pgMar w:left="240" w:top="631" w:right="239" w:bottom="1440" w:gutter="0" w:footer="0" w:header="0"/>
        </w:sectPr>
      </w:pPr>
    </w:p>
    <w:bookmarkStart w:id="130" w:name="page131"/>
    <w:bookmarkEnd w:id="130"/>
    <w:p>
      <w:pPr>
        <w:ind w:right="40" w:firstLine="1305"/>
        <w:spacing w:after="0" w:line="264" w:lineRule="auto"/>
        <w:tabs>
          <w:tab w:leader="none" w:pos="1716"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Notwithstanding anything else in this Agreement to the contrary, each Party hereto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authorization of disclosure shall not apply to restrictions reasonably necessary to comply with securities laws.</w:t>
      </w:r>
    </w:p>
    <w:p>
      <w:pPr>
        <w:spacing w:after="0" w:line="175" w:lineRule="exact"/>
        <w:rPr>
          <w:sz w:val="20"/>
          <w:szCs w:val="20"/>
          <w:color w:val="auto"/>
        </w:rPr>
      </w:pPr>
    </w:p>
    <w:p>
      <w:pPr>
        <w:ind w:right="220" w:firstLine="648"/>
        <w:spacing w:after="0" w:line="290" w:lineRule="auto"/>
        <w:rPr>
          <w:sz w:val="20"/>
          <w:szCs w:val="20"/>
          <w:color w:val="auto"/>
        </w:rPr>
      </w:pPr>
      <w:r>
        <w:rPr>
          <w:rFonts w:ascii="Arial" w:cs="Arial" w:eastAsia="Arial" w:hAnsi="Arial"/>
          <w:sz w:val="19"/>
          <w:szCs w:val="19"/>
          <w:color w:val="auto"/>
        </w:rPr>
        <w:t xml:space="preserve">16.4 </w:t>
      </w:r>
      <w:r>
        <w:rPr>
          <w:rFonts w:ascii="Arial" w:cs="Arial" w:eastAsia="Arial" w:hAnsi="Arial"/>
          <w:sz w:val="19"/>
          <w:szCs w:val="19"/>
          <w:u w:val="single" w:color="auto"/>
          <w:color w:val="auto"/>
        </w:rPr>
        <w:t>Injunctive Relief</w:t>
      </w:r>
      <w:r>
        <w:rPr>
          <w:rFonts w:ascii="Arial" w:cs="Arial" w:eastAsia="Arial" w:hAnsi="Arial"/>
          <w:sz w:val="19"/>
          <w:szCs w:val="19"/>
          <w:color w:val="auto"/>
        </w:rPr>
        <w:t>. Each Party acknowledges that damages resulting from breach of this ARTICLE 16 would be an inadequate remedy and that, notwithstanding the provisions of ARTICLE 10, in the event of any such disclosure or use or any indication of an intent to disclose or use Party Information or New Information, the Party (or its Affiliates) owning such Party Information or New Information shall be entitled to seek, by way of private litigation, injunctive relief, whether preliminary or permanent, specific performance and other equitable relief, including an equitable accounting of all earnings, profits and other benefits arising from such breach, which rights shall be cumulative and in addition to any other rights or remedies to which such non-breaching Party may be entitled in law or equity and reasonable attorneys’ fees. In any such action for equitable relief in a court of competent jurisdiction, both Parties agree to waive any requirement that the other (a) post a bond or other security as a condition for obtaining any such relief and (b) show irreparable harm, balancing of harms, consideration of the public interest or inadequacy of monetary damages as a remedy.</w:t>
      </w:r>
    </w:p>
    <w:p>
      <w:pPr>
        <w:spacing w:after="0" w:line="156"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16.5 </w:t>
      </w:r>
      <w:r>
        <w:rPr>
          <w:rFonts w:ascii="Arial" w:cs="Arial" w:eastAsia="Arial" w:hAnsi="Arial"/>
          <w:sz w:val="19"/>
          <w:szCs w:val="19"/>
          <w:u w:val="single" w:color="auto"/>
          <w:color w:val="auto"/>
        </w:rPr>
        <w:t>Publication of New Information</w:t>
      </w:r>
      <w:r>
        <w:rPr>
          <w:rFonts w:ascii="Arial" w:cs="Arial" w:eastAsia="Arial" w:hAnsi="Arial"/>
          <w:sz w:val="19"/>
          <w:szCs w:val="19"/>
          <w:color w:val="auto"/>
        </w:rPr>
        <w:t>. During the Term, if either Aventis or Regeneron (the “</w:t>
      </w:r>
      <w:r>
        <w:rPr>
          <w:rFonts w:ascii="Arial" w:cs="Arial" w:eastAsia="Arial" w:hAnsi="Arial"/>
          <w:sz w:val="19"/>
          <w:szCs w:val="19"/>
          <w:u w:val="single" w:color="auto"/>
          <w:color w:val="auto"/>
        </w:rPr>
        <w:t>Publishing Party</w:t>
      </w:r>
      <w:r>
        <w:rPr>
          <w:rFonts w:ascii="Arial" w:cs="Arial" w:eastAsia="Arial" w:hAnsi="Arial"/>
          <w:sz w:val="19"/>
          <w:szCs w:val="19"/>
          <w:color w:val="auto"/>
        </w:rPr>
        <w:t>”) desires to disclose any New Information or Party Information of the other Party that relates to any Licensed Product in scientific journals, publications or scientific presentations or otherwise, the Publishing Party shall provide the other Party an advance copy of any proposed publication or summary of a proposed oral presentation relating to the New Information or such Party Information of the other Party prior to submission for publication or disclosure. Such other Party shall have a reasonable opportunity to recommend any changes it reasonably believes are necessary (a) to preserve the New Information or such other Party Information or (b) to enable the Parties to obtain patent protection if either Party deems it necessary), and the Publishing Party shall not unreasonably reject such comments and, if requested by the other Party, shall delay or prevent such disclosure or publication as reasonably proposed by such other Party. In the case of patentable inventions, the delay shall be sufficiently long to permit the timely preparation and filing of a Patent application(s) or application(s) for a certificate of invention on the information involved.</w:t>
      </w:r>
    </w:p>
    <w:p>
      <w:pPr>
        <w:spacing w:after="0" w:line="15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16.6 </w:t>
      </w:r>
      <w:r>
        <w:rPr>
          <w:rFonts w:ascii="Arial" w:cs="Arial" w:eastAsia="Arial" w:hAnsi="Arial"/>
          <w:sz w:val="19"/>
          <w:szCs w:val="19"/>
          <w:u w:val="single" w:color="auto"/>
          <w:color w:val="auto"/>
        </w:rPr>
        <w:t>Other Publications</w:t>
      </w:r>
      <w:r>
        <w:rPr>
          <w:rFonts w:ascii="Arial" w:cs="Arial" w:eastAsia="Arial" w:hAnsi="Arial"/>
          <w:sz w:val="19"/>
          <w:szCs w:val="19"/>
          <w:color w:val="auto"/>
        </w:rPr>
        <w:t xml:space="preserve">. During the Term, in the event that Aventis or Regeneron desires to issue any other press releases or public announcements concerning this Agreement or any Ancillary Agreement or any other activities contemplated thereunder, in each case, to the extent not otherwise addressed in Section 16.5, except as prohibited by a Governmental Authority or applicable Law, such Party agrees to provide to the other Party a copy of any public announcement, as soon as reasonably practicable (which, except under extraordinary circumstances, shall be at least five (5) Business Days) prior to its scheduled release; </w:t>
      </w:r>
      <w:r>
        <w:rPr>
          <w:rFonts w:ascii="Arial" w:cs="Arial" w:eastAsia="Arial" w:hAnsi="Arial"/>
          <w:sz w:val="19"/>
          <w:szCs w:val="19"/>
          <w:i w:val="1"/>
          <w:iCs w:val="1"/>
          <w:color w:val="auto"/>
        </w:rPr>
        <w:t>provided,</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40"/>
          </w:cols>
          <w:pgMar w:left="240" w:top="631" w:right="319" w:bottom="1440" w:gutter="0" w:footer="0" w:header="0"/>
        </w:sectPr>
      </w:pPr>
    </w:p>
    <w:bookmarkStart w:id="131" w:name="page132"/>
    <w:bookmarkEnd w:id="131"/>
    <w:p>
      <w:pPr>
        <w:spacing w:after="0" w:line="285" w:lineRule="auto"/>
        <w:rPr>
          <w:sz w:val="20"/>
          <w:szCs w:val="20"/>
          <w:color w:val="auto"/>
        </w:rPr>
      </w:pPr>
      <w:r>
        <w:rPr>
          <w:rFonts w:ascii="Arial" w:cs="Arial" w:eastAsia="Arial" w:hAnsi="Arial"/>
          <w:sz w:val="19"/>
          <w:szCs w:val="19"/>
          <w:i w:val="1"/>
          <w:iCs w:val="1"/>
          <w:color w:val="auto"/>
        </w:rPr>
        <w:t>however</w:t>
      </w:r>
      <w:r>
        <w:rPr>
          <w:rFonts w:ascii="Arial" w:cs="Arial" w:eastAsia="Arial" w:hAnsi="Arial"/>
          <w:sz w:val="19"/>
          <w:szCs w:val="19"/>
          <w:color w:val="auto"/>
        </w:rPr>
        <w:t>, that, without prior submission to the other Party, either Party may issue press releases or public announcements that</w:t>
      </w:r>
      <w:r>
        <w:rPr>
          <w:rFonts w:ascii="Arial" w:cs="Arial" w:eastAsia="Arial" w:hAnsi="Arial"/>
          <w:sz w:val="19"/>
          <w:szCs w:val="19"/>
          <w:i w:val="1"/>
          <w:iCs w:val="1"/>
          <w:color w:val="auto"/>
        </w:rPr>
        <w:t xml:space="preserve"> </w:t>
      </w:r>
      <w:r>
        <w:rPr>
          <w:rFonts w:ascii="Arial" w:cs="Arial" w:eastAsia="Arial" w:hAnsi="Arial"/>
          <w:sz w:val="19"/>
          <w:szCs w:val="19"/>
          <w:color w:val="auto"/>
        </w:rPr>
        <w:t>incorporate information concerning this Agreement or any Ancillary Agreement or any activities contemplated thereunder which information was included in a press release or public announcement which was previously approved by the other Party as part of a press release or other public disclosure concerning this Agreement or which contains only non-material factual (non-financial) information regarding this Agreement (e.g., that the Agreement remains in effect). Except as otherwise required by applicable Law, the Party whose press release has been reviewed shall remove any information the reviewing Party reasonably deems to be inappropriate for disclosure. In connection with any press release or other written public announcement issued by Aventis pursuant to this Section 16.6, Aventis shall use Commercially Reasonable Efforts to include in any such press release or public announcement the phrase “</w:t>
      </w:r>
      <w:r>
        <w:rPr>
          <w:rFonts w:ascii="Arial" w:cs="Arial" w:eastAsia="Arial" w:hAnsi="Arial"/>
          <w:sz w:val="19"/>
          <w:szCs w:val="19"/>
          <w:i w:val="1"/>
          <w:iCs w:val="1"/>
          <w:color w:val="auto"/>
        </w:rPr>
        <w:t>ZALTRAP was developed in collaboration with Regeneron Pharmaceuticals, Inc.</w:t>
      </w:r>
      <w:r>
        <w:rPr>
          <w:rFonts w:ascii="Arial" w:cs="Arial" w:eastAsia="Arial" w:hAnsi="Arial"/>
          <w:sz w:val="19"/>
          <w:szCs w:val="19"/>
          <w:color w:val="auto"/>
        </w:rPr>
        <w:t>” or similar language to the extent permitted under any applicable Law, consistent with the provisions of Section 11.5. Except as required by Law, or in connection with the enforcement of this Agreement, neither Party (or their respective Affiliates) shall disclose to any Third Party, under any circumstances, any financial terms of this Agreement that have not been previously disclosed publicly pursuant to this ARTICLE 16 without the prior written consent of the other Party, which consent shall not be unreasonably withheld or delayed; except for disclosures to Third Parties that are bound by obligations of confidentiality and nonuse at least equivalent in scope to those included herein. In furtherance of the foregoing provisions of this Section 16.6, each Party shall give the other Party a reasonable opportunity to review all filings of this Agreement and all filings describing the terms of this Agreement with any Governmental Authority, including without limitation the United States Securities and Exchange Commission, prior to submission of such filings, and shall give due consideration to any reasonable comments by the non-filing Party relating to such filing, including without limitation the provisions of this Agreement for which confidential treatment should be sought.</w:t>
      </w:r>
    </w:p>
    <w:p>
      <w:pPr>
        <w:spacing w:after="0" w:line="156"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ARTICLE 17</w:t>
      </w:r>
    </w:p>
    <w:p>
      <w:pPr>
        <w:spacing w:after="0" w:line="28"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INDEMNITY</w:t>
      </w:r>
    </w:p>
    <w:p>
      <w:pPr>
        <w:spacing w:after="0" w:line="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u w:val="single" w:color="auto"/>
          <w:color w:val="auto"/>
        </w:rPr>
        <w:t>Indemnity and Insurance</w:t>
      </w:r>
      <w:r>
        <w:rPr>
          <w:rFonts w:ascii="Arial" w:cs="Arial" w:eastAsia="Arial" w:hAnsi="Arial"/>
          <w:sz w:val="19"/>
          <w:szCs w:val="19"/>
          <w:color w:val="auto"/>
        </w:rPr>
        <w:t>.</w:t>
      </w:r>
    </w:p>
    <w:p>
      <w:pPr>
        <w:spacing w:after="0" w:line="215" w:lineRule="exact"/>
        <w:rPr>
          <w:sz w:val="20"/>
          <w:szCs w:val="20"/>
          <w:color w:val="auto"/>
        </w:rPr>
      </w:pPr>
    </w:p>
    <w:p>
      <w:pPr>
        <w:ind w:right="80" w:firstLine="1305"/>
        <w:spacing w:after="0" w:line="251" w:lineRule="auto"/>
        <w:tabs>
          <w:tab w:leader="none" w:pos="1716" w:val="left"/>
        </w:tabs>
        <w:numPr>
          <w:ilvl w:val="0"/>
          <w:numId w:val="74"/>
        </w:numPr>
        <w:rPr>
          <w:rFonts w:ascii="Arial" w:cs="Arial" w:eastAsia="Arial" w:hAnsi="Arial"/>
          <w:sz w:val="22"/>
          <w:szCs w:val="22"/>
          <w:color w:val="auto"/>
        </w:rPr>
      </w:pPr>
      <w:r>
        <w:rPr>
          <w:rFonts w:ascii="Arial" w:cs="Arial" w:eastAsia="Arial" w:hAnsi="Arial"/>
          <w:sz w:val="22"/>
          <w:szCs w:val="22"/>
          <w:color w:val="auto"/>
        </w:rPr>
        <w:t>Aventis will defend, indemnify and hold harmless Regeneron, its Affiliates and its and their respective officers, directors, employees, (sub)licensees, distributors and agents (“</w:t>
      </w:r>
      <w:r>
        <w:rPr>
          <w:rFonts w:ascii="Arial" w:cs="Arial" w:eastAsia="Arial" w:hAnsi="Arial"/>
          <w:sz w:val="22"/>
          <w:szCs w:val="22"/>
          <w:u w:val="single" w:color="auto"/>
          <w:color w:val="auto"/>
        </w:rPr>
        <w:t>Regeneron Indemnitees</w:t>
      </w:r>
      <w:r>
        <w:rPr>
          <w:rFonts w:ascii="Arial" w:cs="Arial" w:eastAsia="Arial" w:hAnsi="Arial"/>
          <w:sz w:val="22"/>
          <w:szCs w:val="22"/>
          <w:color w:val="auto"/>
        </w:rPr>
        <w:t>”) from and against all claims, demands, liabilities, damages, penalties, fines and expenses, including reasonable attorneys’ fees and costs (collectively, “</w:t>
      </w:r>
      <w:r>
        <w:rPr>
          <w:rFonts w:ascii="Arial" w:cs="Arial" w:eastAsia="Arial" w:hAnsi="Arial"/>
          <w:sz w:val="22"/>
          <w:szCs w:val="22"/>
          <w:u w:val="single" w:color="auto"/>
          <w:color w:val="auto"/>
        </w:rPr>
        <w:t>Damages</w:t>
      </w:r>
      <w:r>
        <w:rPr>
          <w:rFonts w:ascii="Arial" w:cs="Arial" w:eastAsia="Arial" w:hAnsi="Arial"/>
          <w:sz w:val="22"/>
          <w:szCs w:val="22"/>
          <w:color w:val="auto"/>
        </w:rPr>
        <w:t>”), arising from a Third Party’s claim, action, suit, judgment or settlement (a “</w:t>
      </w:r>
      <w:r>
        <w:rPr>
          <w:rFonts w:ascii="Arial" w:cs="Arial" w:eastAsia="Arial" w:hAnsi="Arial"/>
          <w:sz w:val="22"/>
          <w:szCs w:val="22"/>
          <w:u w:val="single" w:color="auto"/>
          <w:color w:val="auto"/>
        </w:rPr>
        <w:t>Third Party Claim</w:t>
      </w:r>
      <w:r>
        <w:rPr>
          <w:rFonts w:ascii="Arial" w:cs="Arial" w:eastAsia="Arial" w:hAnsi="Arial"/>
          <w:sz w:val="22"/>
          <w:szCs w:val="22"/>
          <w:color w:val="auto"/>
        </w:rPr>
        <w:t>”) against a Regeneron Indemnitee that is due to or based upon:</w:t>
      </w:r>
    </w:p>
    <w:p>
      <w:pPr>
        <w:spacing w:after="0" w:line="189" w:lineRule="exact"/>
        <w:rPr>
          <w:rFonts w:ascii="Arial" w:cs="Arial" w:eastAsia="Arial" w:hAnsi="Arial"/>
          <w:sz w:val="22"/>
          <w:szCs w:val="22"/>
          <w:color w:val="auto"/>
        </w:rPr>
      </w:pPr>
    </w:p>
    <w:p>
      <w:pPr>
        <w:jc w:val="both"/>
        <w:ind w:right="20" w:firstLine="1953"/>
        <w:spacing w:after="0" w:line="270" w:lineRule="auto"/>
        <w:tabs>
          <w:tab w:leader="none" w:pos="2329"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negligence, recklessness, bad faith, intentional wrongful acts or omissions of Aventis or its Affiliates (or, to the extent permitted under this Agreement, their respective agents, contractors, sublicensees, Distributors, representatives or other persons or entities working on their behalf) in the performance of this Agreement, including, without limitation, in connection with its Development, Commercialization, or manufacture of any Licensed Product;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20"/>
          </w:cols>
          <w:pgMar w:left="240" w:top="631" w:right="239" w:bottom="1440" w:gutter="0" w:footer="0" w:header="0"/>
        </w:sectPr>
      </w:pPr>
    </w:p>
    <w:bookmarkStart w:id="132" w:name="page133"/>
    <w:bookmarkEnd w:id="132"/>
    <w:p>
      <w:pPr>
        <w:jc w:val="both"/>
        <w:ind w:left="-20" w:right="40" w:firstLine="1953"/>
        <w:spacing w:after="0" w:line="260" w:lineRule="auto"/>
        <w:tabs>
          <w:tab w:leader="none" w:pos="2369" w:val="left"/>
        </w:tabs>
        <w:numPr>
          <w:ilvl w:val="1"/>
          <w:numId w:val="75"/>
        </w:numPr>
        <w:rPr>
          <w:rFonts w:ascii="Arial" w:cs="Arial" w:eastAsia="Arial" w:hAnsi="Arial"/>
          <w:sz w:val="22"/>
          <w:szCs w:val="22"/>
          <w:color w:val="auto"/>
        </w:rPr>
      </w:pPr>
      <w:r>
        <w:rPr>
          <w:rFonts w:ascii="Arial" w:cs="Arial" w:eastAsia="Arial" w:hAnsi="Arial"/>
          <w:sz w:val="22"/>
          <w:szCs w:val="22"/>
          <w:color w:val="auto"/>
        </w:rPr>
        <w:t>material breach by Aventis (or conduct or omission by any of its Affiliates, which if performed or failed to be performed by Aventis would be a material breach by Aventis) of the terms of, or the representations and warranties made by it in, this Agreement or any applicable Ancillary Agreement to which it is a party; or</w:t>
      </w:r>
    </w:p>
    <w:p>
      <w:pPr>
        <w:spacing w:after="0" w:line="177" w:lineRule="exact"/>
        <w:rPr>
          <w:rFonts w:ascii="Arial" w:cs="Arial" w:eastAsia="Arial" w:hAnsi="Arial"/>
          <w:sz w:val="22"/>
          <w:szCs w:val="22"/>
          <w:color w:val="auto"/>
        </w:rPr>
      </w:pPr>
    </w:p>
    <w:p>
      <w:pPr>
        <w:ind w:left="-20" w:firstLine="1953"/>
        <w:spacing w:after="0" w:line="292" w:lineRule="auto"/>
        <w:tabs>
          <w:tab w:leader="none" w:pos="2429"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exploitation of the Licensed Products, including any actions or omissions by Aventis or its Affiliates (or, to the extent permitted under this Agreement, their respective agents, contractors, sublicensees, Distributors, representatives or other persons or entities working on their behalf) in connection therewith, except in each case ((i), (ii) and (iii), to the extent that Damages arise out of the negligence, recklessness, bad faith or intentional wrongful acts, or omissions committed by Regeneron or its Affiliates (or, to the extent permitted under this Agreement, their respective agents, contractors, sublicensees, distributors, representatives or other persons or entities working on their behalf) in the performance of this Agreement or the material breach by Regeneron (or conduct or omission by any of its Affiliates, which if performed or failed to be performed by Regeneron would be a material breach by Regeneron) of the terms of the Supply Agreement.</w:t>
      </w:r>
    </w:p>
    <w:p>
      <w:pPr>
        <w:spacing w:after="0" w:line="155" w:lineRule="exact"/>
        <w:rPr>
          <w:rFonts w:ascii="Arial" w:cs="Arial" w:eastAsia="Arial" w:hAnsi="Arial"/>
          <w:sz w:val="19"/>
          <w:szCs w:val="19"/>
          <w:color w:val="auto"/>
        </w:rPr>
      </w:pPr>
    </w:p>
    <w:p>
      <w:pPr>
        <w:ind w:left="-20" w:right="80" w:firstLine="1305"/>
        <w:spacing w:after="0" w:line="260" w:lineRule="auto"/>
        <w:tabs>
          <w:tab w:leader="none" w:pos="1708" w:val="left"/>
        </w:tabs>
        <w:numPr>
          <w:ilvl w:val="0"/>
          <w:numId w:val="76"/>
        </w:numPr>
        <w:rPr>
          <w:rFonts w:ascii="Arial" w:cs="Arial" w:eastAsia="Arial" w:hAnsi="Arial"/>
          <w:sz w:val="22"/>
          <w:szCs w:val="22"/>
          <w:color w:val="auto"/>
        </w:rPr>
      </w:pPr>
      <w:r>
        <w:rPr>
          <w:rFonts w:ascii="Arial" w:cs="Arial" w:eastAsia="Arial" w:hAnsi="Arial"/>
          <w:sz w:val="22"/>
          <w:szCs w:val="22"/>
          <w:color w:val="auto"/>
        </w:rPr>
        <w:t>Regeneron will defend, indemnify and hold harmless Aventis, its Affiliates and its and their respective officers, directors, employees, sublicensees, Distributors and agents (“</w:t>
      </w:r>
      <w:r>
        <w:rPr>
          <w:rFonts w:ascii="Arial" w:cs="Arial" w:eastAsia="Arial" w:hAnsi="Arial"/>
          <w:sz w:val="22"/>
          <w:szCs w:val="22"/>
          <w:u w:val="single" w:color="auto"/>
          <w:color w:val="auto"/>
        </w:rPr>
        <w:t>Aventis Indemnitees</w:t>
      </w:r>
      <w:r>
        <w:rPr>
          <w:rFonts w:ascii="Arial" w:cs="Arial" w:eastAsia="Arial" w:hAnsi="Arial"/>
          <w:sz w:val="22"/>
          <w:szCs w:val="22"/>
          <w:color w:val="auto"/>
        </w:rPr>
        <w:t>”) from and against all Damages arising from a Third Party Claim against a Aventis Indemnitee that is due to or based upon:</w:t>
      </w:r>
    </w:p>
    <w:p>
      <w:pPr>
        <w:spacing w:after="0" w:line="177" w:lineRule="exact"/>
        <w:rPr>
          <w:rFonts w:ascii="Arial" w:cs="Arial" w:eastAsia="Arial" w:hAnsi="Arial"/>
          <w:sz w:val="22"/>
          <w:szCs w:val="22"/>
          <w:color w:val="auto"/>
        </w:rPr>
      </w:pPr>
    </w:p>
    <w:p>
      <w:pPr>
        <w:ind w:left="-20" w:right="100" w:firstLine="1953"/>
        <w:spacing w:after="0" w:line="300" w:lineRule="auto"/>
        <w:tabs>
          <w:tab w:leader="none" w:pos="2309"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the negligence, recklessness, bad faith, intentional wrongful acts or omissions of Regeneron or its Affiliates (or, to the extent permitted under this Agreement, their respective agents, contractors, sublicensees, distributors, representatives or other persons or entities working on their behalf), including, without limitation, in connection with the development or commercialization of any Licensed Product;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Regeneron’s indemnification obligations with respect to the manufacture of Licensed Products shall be governed by the terms of the Supply Agreement; or</w:t>
      </w:r>
    </w:p>
    <w:p>
      <w:pPr>
        <w:spacing w:after="0" w:line="147" w:lineRule="exact"/>
        <w:rPr>
          <w:rFonts w:ascii="Arial" w:cs="Arial" w:eastAsia="Arial" w:hAnsi="Arial"/>
          <w:sz w:val="19"/>
          <w:szCs w:val="19"/>
          <w:color w:val="auto"/>
        </w:rPr>
      </w:pPr>
    </w:p>
    <w:p>
      <w:pPr>
        <w:ind w:left="-20" w:right="140" w:firstLine="1953"/>
        <w:spacing w:after="0" w:line="262" w:lineRule="auto"/>
        <w:tabs>
          <w:tab w:leader="none" w:pos="2369" w:val="left"/>
        </w:tabs>
        <w:numPr>
          <w:ilvl w:val="1"/>
          <w:numId w:val="76"/>
        </w:numPr>
        <w:rPr>
          <w:rFonts w:ascii="Arial" w:cs="Arial" w:eastAsia="Arial" w:hAnsi="Arial"/>
          <w:sz w:val="21"/>
          <w:szCs w:val="21"/>
          <w:color w:val="auto"/>
        </w:rPr>
      </w:pPr>
      <w:r>
        <w:rPr>
          <w:rFonts w:ascii="Arial" w:cs="Arial" w:eastAsia="Arial" w:hAnsi="Arial"/>
          <w:sz w:val="21"/>
          <w:szCs w:val="21"/>
          <w:color w:val="auto"/>
        </w:rPr>
        <w:t>material breach by Regeneron (or conduct or omission by any of its Affiliates, which if performed or failed to be performed by Regeneron would be a material breach by Regeneron) of the terms of, or the representations and warranties made by it in, this Agreement (other than ARTICLE 8, which shall be governed by and subject to the limitations set forth in the Supply Agreement), except in each case ((i) and (ii), to the extent that Damages arise out of the negligence, recklessness, bad faith or intentional wrongful acts, or omissions committed by Aventis or its Affiliates (or, to the extent permitted under this Agreement, their respective agents, contractors, sublicensees, Distributors, representatives or other persons or entities working on their behalf) in the performance of this Agreement.</w:t>
      </w:r>
    </w:p>
    <w:p>
      <w:pPr>
        <w:spacing w:after="0" w:line="180" w:lineRule="exact"/>
        <w:rPr>
          <w:rFonts w:ascii="Arial" w:cs="Arial" w:eastAsia="Arial" w:hAnsi="Arial"/>
          <w:sz w:val="21"/>
          <w:szCs w:val="21"/>
          <w:color w:val="auto"/>
        </w:rPr>
      </w:pPr>
    </w:p>
    <w:p>
      <w:pPr>
        <w:ind w:left="-20" w:right="40" w:firstLine="1305"/>
        <w:spacing w:after="0" w:line="254" w:lineRule="auto"/>
        <w:tabs>
          <w:tab w:leader="none" w:pos="1696" w:val="left"/>
        </w:tabs>
        <w:numPr>
          <w:ilvl w:val="0"/>
          <w:numId w:val="76"/>
        </w:numPr>
        <w:rPr>
          <w:rFonts w:ascii="Arial" w:cs="Arial" w:eastAsia="Arial" w:hAnsi="Arial"/>
          <w:sz w:val="22"/>
          <w:szCs w:val="22"/>
          <w:color w:val="auto"/>
        </w:rPr>
      </w:pPr>
      <w:r>
        <w:rPr>
          <w:rFonts w:ascii="Arial" w:cs="Arial" w:eastAsia="Arial" w:hAnsi="Arial"/>
          <w:sz w:val="22"/>
          <w:szCs w:val="22"/>
          <w:color w:val="auto"/>
        </w:rPr>
        <w:t>Aventis will use Commercially Reasonable Efforts to procure and maintain during the Term and for a minimum period of five (5) years thereafter and for an otherwise longer period as may be required by applicable Law in countries where the project is conducted, commercial general liability and product liability insurance in an amount not less than Ten Million Dollars ($10,000,000) per occurrence and in the annual aggregate. Such</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60" w:top="631" w:right="239" w:bottom="1440" w:gutter="0" w:footer="0" w:header="0"/>
        </w:sectPr>
      </w:pPr>
    </w:p>
    <w:bookmarkStart w:id="133" w:name="page134"/>
    <w:bookmarkEnd w:id="133"/>
    <w:p>
      <w:pPr>
        <w:ind w:right="320"/>
        <w:spacing w:after="0" w:line="263" w:lineRule="auto"/>
        <w:rPr>
          <w:sz w:val="20"/>
          <w:szCs w:val="20"/>
          <w:color w:val="auto"/>
        </w:rPr>
      </w:pPr>
      <w:r>
        <w:rPr>
          <w:rFonts w:ascii="Arial" w:cs="Arial" w:eastAsia="Arial" w:hAnsi="Arial"/>
          <w:sz w:val="22"/>
          <w:szCs w:val="22"/>
          <w:color w:val="auto"/>
        </w:rPr>
        <w:t>insurance shall insure against liability arising from this Agreement on the part of Aventis and any of its Affiliates, due to injury, disability or death of any person or persons, or property damage.</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17.2</w:t>
      </w:r>
      <w:r>
        <w:rPr>
          <w:sz w:val="20"/>
          <w:szCs w:val="20"/>
          <w:color w:val="auto"/>
        </w:rPr>
        <w:tab/>
      </w:r>
      <w:r>
        <w:rPr>
          <w:rFonts w:ascii="Arial" w:cs="Arial" w:eastAsia="Arial" w:hAnsi="Arial"/>
          <w:sz w:val="19"/>
          <w:szCs w:val="19"/>
          <w:u w:val="single" w:color="auto"/>
          <w:color w:val="auto"/>
        </w:rPr>
        <w:t>Indemnity Procedure</w:t>
      </w:r>
      <w:r>
        <w:rPr>
          <w:rFonts w:ascii="Arial" w:cs="Arial" w:eastAsia="Arial" w:hAnsi="Arial"/>
          <w:sz w:val="19"/>
          <w:szCs w:val="19"/>
          <w:color w:val="auto"/>
        </w:rPr>
        <w:t>.</w:t>
      </w:r>
    </w:p>
    <w:p>
      <w:pPr>
        <w:spacing w:after="0" w:line="233" w:lineRule="exact"/>
        <w:rPr>
          <w:sz w:val="20"/>
          <w:szCs w:val="20"/>
          <w:color w:val="auto"/>
        </w:rPr>
      </w:pPr>
    </w:p>
    <w:p>
      <w:pPr>
        <w:ind w:right="160" w:firstLine="1305"/>
        <w:spacing w:after="0" w:line="300" w:lineRule="auto"/>
        <w:tabs>
          <w:tab w:leader="none" w:pos="1716"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Party entitled to indemnification under this ARTICLE 17 (an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notify the Party potentially responsible for such indemnification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xml:space="preserve">”) within five (5) Business Days of becoming aware of any claim or claims asserted or threatened against the Indemnified Party which could give rise to a right of indemnification under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failure to give such notice shall not relieve the Indemnifying Party of its indemnity obligation hereunder except to the extent that such failure materially prejudices its rights hereunder.</w:t>
      </w:r>
    </w:p>
    <w:p>
      <w:pPr>
        <w:spacing w:after="0" w:line="147" w:lineRule="exact"/>
        <w:rPr>
          <w:rFonts w:ascii="Arial" w:cs="Arial" w:eastAsia="Arial" w:hAnsi="Arial"/>
          <w:sz w:val="19"/>
          <w:szCs w:val="19"/>
          <w:color w:val="auto"/>
        </w:rPr>
      </w:pPr>
    </w:p>
    <w:p>
      <w:pPr>
        <w:ind w:firstLine="1953"/>
        <w:spacing w:after="0" w:line="286" w:lineRule="auto"/>
        <w:tabs>
          <w:tab w:leader="none" w:pos="2329"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to be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220" w:firstLine="1953"/>
        <w:spacing w:after="0" w:line="251" w:lineRule="auto"/>
        <w:tabs>
          <w:tab w:leader="none" w:pos="2389"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The Indemnified Party may participate in, but not control, any defense or settlement of any claim controlled by the Indemnifying Party pursuant to this Section 17.2 and shall bear its own costs and expenses with respect to such participation;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360"/>
          </w:cols>
          <w:pgMar w:left="240" w:top="631" w:right="299" w:bottom="1440" w:gutter="0" w:footer="0" w:header="0"/>
        </w:sectPr>
      </w:pPr>
    </w:p>
    <w:bookmarkStart w:id="134" w:name="page135"/>
    <w:bookmarkEnd w:id="134"/>
    <w:p>
      <w:pPr>
        <w:ind w:firstLine="1953"/>
        <w:spacing w:after="0" w:line="291" w:lineRule="auto"/>
        <w:tabs>
          <w:tab w:leader="none" w:pos="2449" w:val="left"/>
        </w:tabs>
        <w:numPr>
          <w:ilvl w:val="0"/>
          <w:numId w:val="78"/>
        </w:numPr>
        <w:rPr>
          <w:rFonts w:ascii="Arial" w:cs="Arial" w:eastAsia="Arial" w:hAnsi="Arial"/>
          <w:sz w:val="19"/>
          <w:szCs w:val="19"/>
          <w:color w:val="auto"/>
        </w:rPr>
      </w:pPr>
      <w:r>
        <w:rPr>
          <w:rFonts w:ascii="Arial" w:cs="Arial" w:eastAsia="Arial" w:hAnsi="Arial"/>
          <w:sz w:val="19"/>
          <w:szCs w:val="19"/>
          <w:color w:val="auto"/>
        </w:rPr>
        <w:t>Regardless of whether the Indemnifying Party assumes the defense of any claim pursuant to this Section 17.2, the Indemnified Party shall and shall cause each indemnitee to, cooperate in the defense or prosecution thereof and shall furnish such records, information and testimony, provide such witnesses and attend such conferences, discovery proceedings, hearings, trials and appeals as may be reasonably requested in connection therewith. Such cooperation shall include access during normal business hours afforded to the Indemnifying Party to and reasonable retention by the Indemnified Party of, records and information that are reasonably relevant to such claim and making Indemnified Parties and other employees and agents available on a mutually convenient basis to provide additional information and explanation of any material provided hereunder, and to the extent the Indemnified Party is entitled to indemnification pursuant to this ARTICLE 17, the Indemnifying Party shall reimburse the Indemnified Party for all its reasonable and verifiable out-of-pocket expenses in connection with providing such assistance.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18</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FORCE MAJEURE</w:t>
      </w:r>
    </w:p>
    <w:p>
      <w:pPr>
        <w:spacing w:after="0" w:line="4"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Neither Party will be held liable or responsible to the other Party nor be deemed to have defaulted under or breached this Agreement or any Ancillary Agreement for failure or delay in fulfilling or performing any term of this Agreement or any Ancillary Agreement when such failure or delay is caused by or results from causes beyond the reasonable control of the affected Party including, without limitation, embargoes, acts of war (whether war be declared or not), insurrections, strikes, riots, civil commotions, or acts of God (“</w:t>
      </w:r>
      <w:r>
        <w:rPr>
          <w:rFonts w:ascii="Arial" w:cs="Arial" w:eastAsia="Arial" w:hAnsi="Arial"/>
          <w:sz w:val="19"/>
          <w:szCs w:val="19"/>
          <w:u w:val="single" w:color="auto"/>
          <w:color w:val="auto"/>
        </w:rPr>
        <w:t>Force Majeure</w:t>
      </w:r>
      <w:r>
        <w:rPr>
          <w:rFonts w:ascii="Arial" w:cs="Arial" w:eastAsia="Arial" w:hAnsi="Arial"/>
          <w:sz w:val="19"/>
          <w:szCs w:val="19"/>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19</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TERM AND TERMINATION</w:t>
      </w:r>
    </w:p>
    <w:p>
      <w:pPr>
        <w:spacing w:after="0" w:line="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19.1</w:t>
      </w:r>
      <w:r>
        <w:rPr>
          <w:sz w:val="20"/>
          <w:szCs w:val="20"/>
          <w:color w:val="auto"/>
        </w:rPr>
        <w:tab/>
      </w:r>
      <w:r>
        <w:rPr>
          <w:rFonts w:ascii="Arial" w:cs="Arial" w:eastAsia="Arial" w:hAnsi="Arial"/>
          <w:sz w:val="19"/>
          <w:szCs w:val="19"/>
          <w:u w:val="single" w:color="auto"/>
          <w:color w:val="auto"/>
        </w:rPr>
        <w:t>Term/Expiration of Term</w:t>
      </w:r>
      <w:r>
        <w:rPr>
          <w:rFonts w:ascii="Arial" w:cs="Arial" w:eastAsia="Arial" w:hAnsi="Arial"/>
          <w:sz w:val="19"/>
          <w:szCs w:val="19"/>
          <w:color w:val="auto"/>
        </w:rPr>
        <w:t>.</w:t>
      </w:r>
    </w:p>
    <w:p>
      <w:pPr>
        <w:spacing w:after="0" w:line="215" w:lineRule="exact"/>
        <w:rPr>
          <w:sz w:val="20"/>
          <w:szCs w:val="20"/>
          <w:color w:val="auto"/>
        </w:rPr>
      </w:pPr>
    </w:p>
    <w:p>
      <w:pPr>
        <w:jc w:val="both"/>
        <w:ind w:right="200" w:firstLine="1305"/>
        <w:spacing w:after="0" w:line="270" w:lineRule="auto"/>
        <w:tabs>
          <w:tab w:leader="none" w:pos="1716"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u w:val="single" w:color="auto"/>
          <w:color w:val="auto"/>
        </w:rPr>
        <w:t>Term</w:t>
      </w:r>
      <w:r>
        <w:rPr>
          <w:rFonts w:ascii="Arial" w:cs="Arial" w:eastAsia="Arial" w:hAnsi="Arial"/>
          <w:sz w:val="21"/>
          <w:szCs w:val="21"/>
          <w:color w:val="auto"/>
        </w:rPr>
        <w:t>” of this Agreement shall commence on the Effective Date and end at such time as neither Aventis, nor any of its Affiliates or its or their sublicensees or Distributors, is Developing or Commercializing any Licensed Product in the Field anywhere in the Territory (and such cessation of Development and Commercialization activities is acknowledged by both Parties to be permanent), unless earlier terminated as provided hereafter.</w:t>
      </w:r>
    </w:p>
    <w:p>
      <w:pPr>
        <w:spacing w:after="0" w:line="169" w:lineRule="exact"/>
        <w:rPr>
          <w:rFonts w:ascii="Arial" w:cs="Arial" w:eastAsia="Arial" w:hAnsi="Arial"/>
          <w:sz w:val="21"/>
          <w:szCs w:val="21"/>
          <w:color w:val="auto"/>
        </w:rPr>
      </w:pPr>
    </w:p>
    <w:p>
      <w:pPr>
        <w:ind w:right="360" w:firstLine="1305"/>
        <w:spacing w:after="0" w:line="358" w:lineRule="auto"/>
        <w:tabs>
          <w:tab w:leader="none" w:pos="1728" w:val="left"/>
        </w:tabs>
        <w:numPr>
          <w:ilvl w:val="0"/>
          <w:numId w:val="79"/>
        </w:numPr>
        <w:rPr>
          <w:rFonts w:ascii="Arial" w:cs="Arial" w:eastAsia="Arial" w:hAnsi="Arial"/>
          <w:sz w:val="19"/>
          <w:szCs w:val="19"/>
          <w:color w:val="auto"/>
        </w:rPr>
      </w:pPr>
      <w:r>
        <w:rPr>
          <w:rFonts w:ascii="Arial" w:cs="Arial" w:eastAsia="Arial" w:hAnsi="Arial"/>
          <w:sz w:val="19"/>
          <w:szCs w:val="19"/>
          <w:color w:val="auto"/>
        </w:rPr>
        <w:t>Upon expiration of the Term, except as set forth in this Agreement (including Sections 19.7 and 19.8), all licenses and rights granted by a Party to the other Party hereunder shall automatically terminate and revert to the granting Party.</w:t>
      </w:r>
    </w:p>
    <w:p>
      <w:pPr>
        <w:spacing w:after="0" w:line="91" w:lineRule="exact"/>
        <w:rPr>
          <w:sz w:val="20"/>
          <w:szCs w:val="20"/>
          <w:color w:val="auto"/>
        </w:rPr>
      </w:pPr>
    </w:p>
    <w:p>
      <w:pPr>
        <w:ind w:right="40" w:firstLine="648"/>
        <w:spacing w:after="0" w:line="320" w:lineRule="auto"/>
        <w:rPr>
          <w:sz w:val="20"/>
          <w:szCs w:val="20"/>
          <w:color w:val="auto"/>
        </w:rPr>
      </w:pPr>
      <w:r>
        <w:rPr>
          <w:rFonts w:ascii="Arial" w:cs="Arial" w:eastAsia="Arial" w:hAnsi="Arial"/>
          <w:sz w:val="19"/>
          <w:szCs w:val="19"/>
          <w:color w:val="auto"/>
        </w:rPr>
        <w:t xml:space="preserve">19.2 </w:t>
      </w: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xml:space="preserve">. Aventis may terminate this Agreement (a) on a country-by-country basis for all Licensed Products in such country on [****] prior written notice to Regeneron or (b) with respect to the entire Territory for all Licensed Products on [****] prior written notice to Regeneron;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termination of this Agreement in five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631" w:right="239" w:bottom="1440" w:gutter="0" w:footer="0" w:header="0"/>
        </w:sectPr>
      </w:pPr>
    </w:p>
    <w:bookmarkStart w:id="135" w:name="page136"/>
    <w:bookmarkEnd w:id="135"/>
    <w:p>
      <w:pPr>
        <w:ind w:left="320" w:hanging="312"/>
        <w:spacing w:after="0"/>
        <w:tabs>
          <w:tab w:leader="none" w:pos="3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or more of the Original Major Market Countries shall be treated as a termination of this Agreement in its entirety under clause</w:t>
      </w:r>
    </w:p>
    <w:p>
      <w:pPr>
        <w:spacing w:after="0" w:line="56" w:lineRule="exact"/>
        <w:rPr>
          <w:rFonts w:ascii="Arial" w:cs="Arial" w:eastAsia="Arial" w:hAnsi="Arial"/>
          <w:sz w:val="19"/>
          <w:szCs w:val="19"/>
          <w:color w:val="auto"/>
        </w:rPr>
      </w:pPr>
    </w:p>
    <w:p>
      <w:pPr>
        <w:ind w:right="100"/>
        <w:spacing w:after="0" w:line="287" w:lineRule="auto"/>
        <w:rPr>
          <w:rFonts w:ascii="Arial" w:cs="Arial" w:eastAsia="Arial" w:hAnsi="Arial"/>
          <w:sz w:val="19"/>
          <w:szCs w:val="19"/>
          <w:color w:val="auto"/>
        </w:rPr>
      </w:pPr>
      <w:r>
        <w:rPr>
          <w:rFonts w:ascii="Arial" w:cs="Arial" w:eastAsia="Arial" w:hAnsi="Arial"/>
          <w:sz w:val="19"/>
          <w:szCs w:val="19"/>
          <w:color w:val="auto"/>
        </w:rPr>
        <w:t>(b). Except as otherwise provided below in this Section 19.2, the Agreement shall continue in full force and effect through the notice period set forth above (the “</w:t>
      </w:r>
      <w:r>
        <w:rPr>
          <w:rFonts w:ascii="Arial" w:cs="Arial" w:eastAsia="Arial" w:hAnsi="Arial"/>
          <w:sz w:val="19"/>
          <w:szCs w:val="19"/>
          <w:u w:val="single" w:color="auto"/>
          <w:color w:val="auto"/>
        </w:rPr>
        <w:t>Termination Notice Period</w:t>
      </w:r>
      <w:r>
        <w:rPr>
          <w:rFonts w:ascii="Arial" w:cs="Arial" w:eastAsia="Arial" w:hAnsi="Arial"/>
          <w:sz w:val="19"/>
          <w:szCs w:val="19"/>
          <w:color w:val="auto"/>
        </w:rPr>
        <w:t xml:space="preserve">”). During the Termination Notice Period, to the extent set forth or requested in one or more written notices from Regeneron to Aventis hereunder (y) such licenses and rights granted to Aventis shall automatically terminate as of a date specified in such notice(s) (but not later than the Termination Notice Period) in the Terminated Territory and (z) Aventis will promptly take the actions required by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Schedule 7</w:t>
      </w:r>
      <w:r>
        <w:rPr>
          <w:rFonts w:ascii="Arial" w:cs="Arial" w:eastAsia="Arial" w:hAnsi="Arial"/>
          <w:sz w:val="19"/>
          <w:szCs w:val="19"/>
          <w:color w:val="auto"/>
        </w:rPr>
        <w:t>, as applicable, and Regeneron will reasonably cooperate with Aventis (for avoidance of doubt, such cooperation shall not require Regeneron to pay any amounts or incur any liabilities or obligations not otherwise required hereunder to be paid or incurred by Regeneron) to facilitate Regeneron’s (or its nominee’s) expeditious assumption during the Termination Notice Period, with as little disruption as reasonably possible, of the continued Development and/or Commercialization of such Licensed Product(s) in the Terminated Territory.</w:t>
      </w:r>
    </w:p>
    <w:p>
      <w:pPr>
        <w:spacing w:after="0" w:line="15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19.3 </w:t>
      </w:r>
      <w:r>
        <w:rPr>
          <w:rFonts w:ascii="Arial" w:cs="Arial" w:eastAsia="Arial" w:hAnsi="Arial"/>
          <w:sz w:val="19"/>
          <w:szCs w:val="19"/>
          <w:u w:val="single" w:color="auto"/>
          <w:color w:val="auto"/>
        </w:rPr>
        <w:t>Termination For Material Breach</w:t>
      </w:r>
      <w:r>
        <w:rPr>
          <w:rFonts w:ascii="Arial" w:cs="Arial" w:eastAsia="Arial" w:hAnsi="Arial"/>
          <w:sz w:val="19"/>
          <w:szCs w:val="19"/>
          <w:color w:val="auto"/>
        </w:rPr>
        <w:t>. Upon and subject to the terms and conditions of this Section 19.3,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diligent efforts to cure such breach, in which event if such breach has not been cured, such termination shall be effective on the earlier of the expiration of such one hundred eighty (180) day period or such lime as the breaching party ceases to use diligent efforts to cure such breach). Notwithstanding the foregoing, in the case of breach of a payment obligation hereunder, the ninety (90) day period referred to in the second sentence of this Section 19.3 shall instead be thirty (30) days (and the immediately following parenthetical clause in such sentence shall not apply). For purposes of this Section 19.3, the term “material breach” shall mean a breach by a Party that substantially undermines the benefits reasonably expected to be realized by the non-breaching Party from the Collaboration, taken as a whole.</w:t>
      </w:r>
    </w:p>
    <w:p>
      <w:pPr>
        <w:spacing w:after="0" w:line="200" w:lineRule="exact"/>
        <w:rPr>
          <w:sz w:val="20"/>
          <w:szCs w:val="20"/>
          <w:color w:val="auto"/>
        </w:rPr>
      </w:pPr>
    </w:p>
    <w:p>
      <w:pPr>
        <w:spacing w:after="0" w:line="214" w:lineRule="exact"/>
        <w:rPr>
          <w:sz w:val="20"/>
          <w:szCs w:val="20"/>
          <w:color w:val="auto"/>
        </w:rPr>
      </w:pPr>
    </w:p>
    <w:p>
      <w:pPr>
        <w:ind w:right="460" w:firstLine="648"/>
        <w:spacing w:after="0" w:line="278" w:lineRule="auto"/>
        <w:rPr>
          <w:sz w:val="20"/>
          <w:szCs w:val="20"/>
          <w:color w:val="auto"/>
        </w:rPr>
      </w:pPr>
      <w:r>
        <w:rPr>
          <w:rFonts w:ascii="Arial" w:cs="Arial" w:eastAsia="Arial" w:hAnsi="Arial"/>
          <w:sz w:val="21"/>
          <w:szCs w:val="21"/>
          <w:color w:val="auto"/>
        </w:rPr>
        <w:t xml:space="preserve">19.4 </w:t>
      </w:r>
      <w:r>
        <w:rPr>
          <w:rFonts w:ascii="Arial" w:cs="Arial" w:eastAsia="Arial" w:hAnsi="Arial"/>
          <w:sz w:val="21"/>
          <w:szCs w:val="21"/>
          <w:u w:val="single" w:color="auto"/>
          <w:color w:val="auto"/>
        </w:rPr>
        <w:t>Termination for Aventis’ Material Breach of the Supply Agreement</w:t>
      </w:r>
      <w:r>
        <w:rPr>
          <w:rFonts w:ascii="Arial" w:cs="Arial" w:eastAsia="Arial" w:hAnsi="Arial"/>
          <w:sz w:val="21"/>
          <w:szCs w:val="21"/>
          <w:color w:val="auto"/>
        </w:rPr>
        <w:t>. In the event that Regeneron (or its Affiliate) terminates the Supply Agreement for Aventis’ (or its Affiliate’s) material breach thereof, Regeneron shall have the right to terminate this Agreement in its entirety upon thirty (30) days’ prior written notice to Aventis.</w:t>
      </w:r>
    </w:p>
    <w:p>
      <w:pPr>
        <w:spacing w:after="0" w:line="16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19.5</w:t>
      </w:r>
      <w:r>
        <w:rPr>
          <w:sz w:val="20"/>
          <w:szCs w:val="20"/>
          <w:color w:val="auto"/>
        </w:rPr>
        <w:tab/>
      </w:r>
      <w:r>
        <w:rPr>
          <w:rFonts w:ascii="Arial" w:cs="Arial" w:eastAsia="Arial" w:hAnsi="Arial"/>
          <w:sz w:val="19"/>
          <w:szCs w:val="19"/>
          <w:u w:val="single" w:color="auto"/>
          <w:color w:val="auto"/>
        </w:rPr>
        <w:t>Termination for Insolvency</w:t>
      </w:r>
      <w:r>
        <w:rPr>
          <w:rFonts w:ascii="Arial" w:cs="Arial" w:eastAsia="Arial" w:hAnsi="Arial"/>
          <w:sz w:val="19"/>
          <w:szCs w:val="19"/>
          <w:color w:val="auto"/>
        </w:rPr>
        <w:t>. Either Party shall have the right to terminate this Agreement in its entirety if, at any time,</w:t>
      </w:r>
    </w:p>
    <w:p>
      <w:pPr>
        <w:spacing w:after="0" w:line="22" w:lineRule="exact"/>
        <w:rPr>
          <w:sz w:val="20"/>
          <w:szCs w:val="20"/>
          <w:color w:val="auto"/>
        </w:rPr>
      </w:pPr>
    </w:p>
    <w:p>
      <w:pPr>
        <w:ind w:right="160" w:firstLine="8"/>
        <w:spacing w:after="0" w:line="251" w:lineRule="auto"/>
        <w:tabs>
          <w:tab w:leader="none" w:pos="294"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other Party shall file in any court or agency pursuant to any statute or regulation of any state or country, a petition in bankruptcy or insolvency or for reorganization or for an arrangement or for the appointment of a receiver or trustee of the Party or of its assets, or (b) the other Party proposes a written agreement of</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20"/>
          </w:cols>
          <w:pgMar w:left="240" w:top="631" w:right="239" w:bottom="1440" w:gutter="0" w:footer="0" w:header="0"/>
        </w:sectPr>
      </w:pPr>
    </w:p>
    <w:bookmarkStart w:id="136" w:name="page137"/>
    <w:bookmarkEnd w:id="136"/>
    <w:p>
      <w:pPr>
        <w:ind w:right="100"/>
        <w:spacing w:after="0" w:line="250" w:lineRule="auto"/>
        <w:rPr>
          <w:sz w:val="20"/>
          <w:szCs w:val="20"/>
          <w:color w:val="auto"/>
        </w:rPr>
      </w:pPr>
      <w:r>
        <w:rPr>
          <w:rFonts w:ascii="Arial" w:cs="Arial" w:eastAsia="Arial" w:hAnsi="Arial"/>
          <w:sz w:val="22"/>
          <w:szCs w:val="22"/>
          <w:color w:val="auto"/>
        </w:rPr>
        <w:t>composition or extension of its debts, or (c) the other Party shall be served with an involuntary petition against it, filed in any insolvency proceeding, and such petition shall not be dismissed within sixty (60) days after the filing thereof, or (d) the other Party shall propose or be a party to any dissolution or liquidation, or (e) if the other Party shall make an assignment for the benefit of creditors.</w:t>
      </w:r>
    </w:p>
    <w:p>
      <w:pPr>
        <w:spacing w:after="0" w:line="188"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19.6 </w:t>
      </w:r>
      <w:r>
        <w:rPr>
          <w:rFonts w:ascii="Arial" w:cs="Arial" w:eastAsia="Arial" w:hAnsi="Arial"/>
          <w:sz w:val="19"/>
          <w:szCs w:val="19"/>
          <w:u w:val="single" w:color="auto"/>
          <w:color w:val="auto"/>
        </w:rPr>
        <w:t>Termination for Breach of Investor Agreement</w:t>
      </w:r>
      <w:r>
        <w:rPr>
          <w:rFonts w:ascii="Arial" w:cs="Arial" w:eastAsia="Arial" w:hAnsi="Arial"/>
          <w:sz w:val="19"/>
          <w:szCs w:val="19"/>
          <w:color w:val="auto"/>
        </w:rPr>
        <w:t>. Notwithstanding anything to the contrary herein, Regeneron will have the unilateral right to terminate this Agreement in its entirety, upon written notice to Aventis, if any of the Standstill Parties (as defined in the Amended and Restated Investor Agreement, dated as of January 11, 2014 (the “</w:t>
      </w:r>
      <w:r>
        <w:rPr>
          <w:rFonts w:ascii="Arial" w:cs="Arial" w:eastAsia="Arial" w:hAnsi="Arial"/>
          <w:sz w:val="19"/>
          <w:szCs w:val="19"/>
          <w:u w:val="single" w:color="auto"/>
          <w:color w:val="auto"/>
        </w:rPr>
        <w:t>Investor Agreement</w:t>
      </w:r>
      <w:r>
        <w:rPr>
          <w:rFonts w:ascii="Arial" w:cs="Arial" w:eastAsia="Arial" w:hAnsi="Arial"/>
          <w:sz w:val="19"/>
          <w:szCs w:val="19"/>
          <w:color w:val="auto"/>
        </w:rPr>
        <w:t xml:space="preserve">”), by and among Aventis, sanofi-aventis US LLC, Aventis, sanofi-aventis Amérique du Nord and Regeneron) shall have breached Section 4.1 of the Investor Agreement. For the avoidance of doubt, Regeneron shall not have the right to terminate this Agreement as a result of a </w:t>
      </w:r>
      <w:r>
        <w:rPr>
          <w:rFonts w:ascii="Arial" w:cs="Arial" w:eastAsia="Arial" w:hAnsi="Arial"/>
          <w:sz w:val="19"/>
          <w:szCs w:val="19"/>
          <w:i w:val="1"/>
          <w:iCs w:val="1"/>
          <w:color w:val="auto"/>
        </w:rPr>
        <w:t>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minimis </w:t>
      </w:r>
      <w:r>
        <w:rPr>
          <w:rFonts w:ascii="Arial" w:cs="Arial" w:eastAsia="Arial" w:hAnsi="Arial"/>
          <w:sz w:val="19"/>
          <w:szCs w:val="19"/>
          <w:color w:val="auto"/>
        </w:rPr>
        <w:t>breach of Section 4.1(a) of the Investor Agreement or an inadvertent breach of Section 4.1(g) of the Investor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arising from informal discussions covering general corporate or other business matters the purpose of which is not intended to effectuate or lead to any of the actions referred to in paragraphs (a) through (e) of Section 4.1 of the Investor Agreement.</w:t>
      </w:r>
    </w:p>
    <w:p>
      <w:pPr>
        <w:spacing w:after="0" w:line="15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19.7</w:t>
      </w:r>
      <w:r>
        <w:rPr>
          <w:sz w:val="20"/>
          <w:szCs w:val="20"/>
          <w:color w:val="auto"/>
        </w:rPr>
        <w:tab/>
      </w:r>
      <w:r>
        <w:rPr>
          <w:rFonts w:ascii="Arial" w:cs="Arial" w:eastAsia="Arial" w:hAnsi="Arial"/>
          <w:sz w:val="19"/>
          <w:szCs w:val="19"/>
          <w:u w:val="single" w:color="auto"/>
          <w:color w:val="auto"/>
        </w:rPr>
        <w:t>Effect of Termination/Expiration</w:t>
      </w:r>
      <w:r>
        <w:rPr>
          <w:rFonts w:ascii="Arial" w:cs="Arial" w:eastAsia="Arial" w:hAnsi="Arial"/>
          <w:sz w:val="19"/>
          <w:szCs w:val="19"/>
          <w:color w:val="auto"/>
        </w:rPr>
        <w:t>.</w:t>
      </w:r>
    </w:p>
    <w:p>
      <w:pPr>
        <w:spacing w:after="0" w:line="233" w:lineRule="exact"/>
        <w:rPr>
          <w:sz w:val="20"/>
          <w:szCs w:val="20"/>
          <w:color w:val="auto"/>
        </w:rPr>
      </w:pPr>
    </w:p>
    <w:p>
      <w:pPr>
        <w:ind w:right="40" w:firstLine="1305"/>
        <w:spacing w:after="0" w:line="297" w:lineRule="auto"/>
        <w:tabs>
          <w:tab w:leader="none" w:pos="1716"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Upon termination of this Agreement in its entirety pursuant to Section 19.2(b), 19.3, 19.4, 19.5 or 19.6, the provisions of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shall apply, and except to the extent required by Aventis to fulfill its obligations pursuant to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(and upon the earlier of such fulfillment or written notice from Regeneron that it will not require such fulfillment, such licenses and rights, to the extent not previously terminated, shall automatically terminate and revert to Regeneron), (i) all licenses and rights granted by Regeneron to Aventis hereunder shall automatically terminate and revert to Regeneron, and (ii) the licenses from Aventis and its Affiliates to Regeneron referred to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shall come into full force and effect.</w:t>
      </w:r>
    </w:p>
    <w:p>
      <w:pPr>
        <w:spacing w:after="0" w:line="146" w:lineRule="exact"/>
        <w:rPr>
          <w:rFonts w:ascii="Arial" w:cs="Arial" w:eastAsia="Arial" w:hAnsi="Arial"/>
          <w:sz w:val="19"/>
          <w:szCs w:val="19"/>
          <w:color w:val="auto"/>
        </w:rPr>
      </w:pPr>
    </w:p>
    <w:p>
      <w:pPr>
        <w:ind w:firstLine="1305"/>
        <w:spacing w:after="0" w:line="287" w:lineRule="auto"/>
        <w:tabs>
          <w:tab w:leader="none" w:pos="1728" w:val="left"/>
        </w:tabs>
        <w:numPr>
          <w:ilvl w:val="1"/>
          <w:numId w:val="82"/>
        </w:numPr>
        <w:rPr>
          <w:rFonts w:ascii="Arial" w:cs="Arial" w:eastAsia="Arial" w:hAnsi="Arial"/>
          <w:sz w:val="19"/>
          <w:szCs w:val="19"/>
          <w:color w:val="auto"/>
        </w:rPr>
      </w:pPr>
      <w:r>
        <w:rPr>
          <w:rFonts w:ascii="Arial" w:cs="Arial" w:eastAsia="Arial" w:hAnsi="Arial"/>
          <w:sz w:val="19"/>
          <w:szCs w:val="19"/>
          <w:color w:val="auto"/>
        </w:rPr>
        <w:t xml:space="preserve">Upon termination of this Agreement with respect to a Terminated Territory pursuant to Section 19.2(a) (but not in the case of any termination of this Agreement in its entirety), the provisions of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shall apply with respect to the Terminated Territory, and except to the extent required by Aventis to fulfill its obligations pursuant to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(and upon the earlier of such fulfillment or written notice from Regeneron that it will not require such fulfillment, such licenses and rights, to the extent not previously terminated, shall automatically terminate and revert to Regeneron), (i) all licenses and rights granted by Regeneron to Aventis hereunder with respect to the Terminated Territory shall automatically terminate and revert to Regeneron, and</w:t>
      </w:r>
    </w:p>
    <w:p>
      <w:pPr>
        <w:spacing w:after="0" w:line="3" w:lineRule="exact"/>
        <w:rPr>
          <w:rFonts w:ascii="Arial" w:cs="Arial" w:eastAsia="Arial" w:hAnsi="Arial"/>
          <w:sz w:val="19"/>
          <w:szCs w:val="19"/>
          <w:color w:val="auto"/>
        </w:rPr>
      </w:pPr>
    </w:p>
    <w:p>
      <w:pPr>
        <w:ind w:right="20" w:firstLine="8"/>
        <w:spacing w:after="0" w:line="244" w:lineRule="auto"/>
        <w:tabs>
          <w:tab w:leader="none" w:pos="31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the licenses from Aventis and its Affiliates to Regeneron referred to in </w:t>
      </w:r>
      <w:r>
        <w:rPr>
          <w:rFonts w:ascii="Arial" w:cs="Arial" w:eastAsia="Arial" w:hAnsi="Arial"/>
          <w:sz w:val="22"/>
          <w:szCs w:val="22"/>
          <w:u w:val="single" w:color="auto"/>
          <w:color w:val="auto"/>
        </w:rPr>
        <w:t>Schedule 7</w:t>
      </w:r>
      <w:r>
        <w:rPr>
          <w:rFonts w:ascii="Arial" w:cs="Arial" w:eastAsia="Arial" w:hAnsi="Arial"/>
          <w:sz w:val="22"/>
          <w:szCs w:val="22"/>
          <w:color w:val="auto"/>
        </w:rPr>
        <w:t xml:space="preserve"> with respect to the Terminated Territory shall come into full force and effect. Without limiting the foregoing, in the event that Aventis terminates this Agreement with respect to a Terminated Territory pursuant to Section 19.2(a), Regeneron shall not take any action with respect to the Development and Commercialization of the Licensed Product(s) in the Field in the Terminated Territory that could reasonably be expected to have a materially adverse impact 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631" w:right="2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color w:val="auto"/>
        </w:rPr>
        <w:t>Aventis’ continued Development and Commercialization of the Licensed Product(s) in the Field in the Territory.</w:t>
      </w:r>
    </w:p>
    <w:p>
      <w:pPr>
        <w:spacing w:after="0" w:line="220" w:lineRule="exact"/>
        <w:rPr>
          <w:sz w:val="20"/>
          <w:szCs w:val="20"/>
          <w:color w:val="auto"/>
        </w:rPr>
      </w:pPr>
    </w:p>
    <w:p>
      <w:pPr>
        <w:ind w:firstLine="1305"/>
        <w:spacing w:after="0" w:line="286" w:lineRule="auto"/>
        <w:tabs>
          <w:tab w:leader="none" w:pos="1716"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Without limiting Section 19.8, upon termination of this Agreement, the following provisions of this Agreement shall survive the termination of this Agreement and shall continue to be enforceable: ARTICLE 12 and ARTICLE 13,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with respect to all the countries of the world in the case of termination under Section 19.7(a), and with respect to the Terminated Territory in the case of termination under Section 19.7(b), (i) Regeneron shall have the first right, but not the obligation, to enforce the Aventis Patent Rights in the territory to which such termination applies pursuant to Section 13.1(b); (ii) any costs and expenses incurred in connection with the prosecution and maintenance (including any interference, opposition or reexamination) of the Regeneron Patent Rights, Aventis Patent Rights or Joint Patent Rights in the territory to which such termination applies, or the defense of any claim that any of the foregoing are invalid or unenforceable (excluding the cost of any counsel employed by the non-controlling Party) shall be treated as follows: (1) with respect to the Regeneron Patent Rights and Aventis Patent Rights, the Party controlling the prosecution, maintenance or defense of such Regeneron Patent Rights or Aventis Patent Rights shall be responsible for such costs, except in the event that Regeneron elects to assume responsibility for the prosecution and maintenance of the Aventis Patent Rights pursuant to Section 12.2(b), in which case Regeneron shall be responsible for the costs incurred by Regeneron in connection therewith, and (2) with respect to the Joint Patent Rights, the Parties shall [****]; and (iii) any costs and expenses incurred in connection with the enforcement (and any resulting recoveries) of the Regeneron Patent Rights, Aventis Patent Rights or Joint Patent Rights in the territory to which such termination applies shall be the responsibility of the enforcing Party and the enforcing Party shall retain all recoveries with respect thereto;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notwithstanding anything to the contrary in this Section 19.7(c), any recoveries for lost sales or profits of a product from any Infringement action hereunder shall be paid solely to or retained solely by the Party that is selling (or has the right to sell) such product.</w:t>
      </w:r>
    </w:p>
    <w:p>
      <w:pPr>
        <w:spacing w:after="0" w:line="162" w:lineRule="exact"/>
        <w:rPr>
          <w:sz w:val="20"/>
          <w:szCs w:val="20"/>
          <w:color w:val="auto"/>
        </w:rPr>
      </w:pPr>
    </w:p>
    <w:p>
      <w:pPr>
        <w:ind w:right="80" w:firstLine="648"/>
        <w:spacing w:after="0" w:line="270" w:lineRule="auto"/>
        <w:rPr>
          <w:sz w:val="20"/>
          <w:szCs w:val="20"/>
          <w:color w:val="auto"/>
        </w:rPr>
      </w:pPr>
      <w:r>
        <w:rPr>
          <w:rFonts w:ascii="Arial" w:cs="Arial" w:eastAsia="Arial" w:hAnsi="Arial"/>
          <w:sz w:val="21"/>
          <w:szCs w:val="21"/>
          <w:color w:val="auto"/>
        </w:rPr>
        <w:t xml:space="preserve">19.8 </w:t>
      </w:r>
      <w:r>
        <w:rPr>
          <w:rFonts w:ascii="Arial" w:cs="Arial" w:eastAsia="Arial" w:hAnsi="Arial"/>
          <w:sz w:val="21"/>
          <w:szCs w:val="21"/>
          <w:u w:val="single" w:color="auto"/>
          <w:color w:val="auto"/>
        </w:rPr>
        <w:t>Survival of Obligations</w:t>
      </w:r>
      <w:r>
        <w:rPr>
          <w:rFonts w:ascii="Arial" w:cs="Arial" w:eastAsia="Arial" w:hAnsi="Arial"/>
          <w:sz w:val="21"/>
          <w:szCs w:val="21"/>
          <w:color w:val="auto"/>
        </w:rPr>
        <w:t xml:space="preserve">. Except as otherwise provided in this ARTICLE 19, </w:t>
      </w:r>
      <w:r>
        <w:rPr>
          <w:rFonts w:ascii="Arial" w:cs="Arial" w:eastAsia="Arial" w:hAnsi="Arial"/>
          <w:sz w:val="21"/>
          <w:szCs w:val="21"/>
          <w:u w:val="single" w:color="auto"/>
          <w:color w:val="auto"/>
        </w:rPr>
        <w:t>Schedule 6</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upon expiration or termination of this Agreement, the rights and obligations of the Parties hereunder shall terminate to the extent of such expiration or termination, and this Agreement shall cease to be of further force or effect to the extent of such expiration or 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notwithstanding any expiration or termination of this Agreement:</w:t>
      </w:r>
    </w:p>
    <w:p>
      <w:pPr>
        <w:spacing w:after="0" w:line="169" w:lineRule="exact"/>
        <w:rPr>
          <w:sz w:val="20"/>
          <w:szCs w:val="20"/>
          <w:color w:val="auto"/>
        </w:rPr>
      </w:pPr>
    </w:p>
    <w:p>
      <w:pPr>
        <w:ind w:right="40" w:firstLine="1305"/>
        <w:spacing w:after="0" w:line="262" w:lineRule="auto"/>
        <w:tabs>
          <w:tab w:leader="none" w:pos="1716" w:val="left"/>
        </w:tabs>
        <w:numPr>
          <w:ilvl w:val="0"/>
          <w:numId w:val="85"/>
        </w:numPr>
        <w:rPr>
          <w:rFonts w:ascii="Arial" w:cs="Arial" w:eastAsia="Arial" w:hAnsi="Arial"/>
          <w:sz w:val="21"/>
          <w:szCs w:val="21"/>
          <w:color w:val="auto"/>
        </w:rPr>
      </w:pPr>
      <w:r>
        <w:rPr>
          <w:rFonts w:ascii="Arial" w:cs="Arial" w:eastAsia="Arial" w:hAnsi="Arial"/>
          <w:sz w:val="21"/>
          <w:szCs w:val="21"/>
          <w:color w:val="auto"/>
        </w:rPr>
        <w:t>neither Aventis nor Regeneron shall be relieved of any obligations (including payment obligations) of such Party arising prior to such expiration or termination, including, without limitation, with respect to Aventis, the payment of any non-cancelable costs and expenses incurred as part of a Plan (even if such costs and expenses arise following termination or expiration, as the case may be), except that in the case of termination of this Agreement pursuant to Section 19.2, without limitation of and subject to Aventis’ continuing obligations under the provisions referred to in Section 19.2, Aventis’ other obligations hereunder shall terminate prior to expiration of the Termination Notice Period if prior to such expiration Regeneron enters into a collaboration agreement of substantially similar scope as, and providing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631" w:right="239" w:bottom="1440" w:gutter="0" w:footer="0" w:header="0"/>
        </w:sectPr>
      </w:pPr>
    </w:p>
    <w:bookmarkStart w:id="138" w:name="page139"/>
    <w:bookmarkEnd w:id="138"/>
    <w:p>
      <w:pPr>
        <w:spacing w:after="0"/>
        <w:rPr>
          <w:sz w:val="20"/>
          <w:szCs w:val="20"/>
          <w:color w:val="auto"/>
        </w:rPr>
      </w:pPr>
      <w:r>
        <w:rPr>
          <w:rFonts w:ascii="Arial" w:cs="Arial" w:eastAsia="Arial" w:hAnsi="Arial"/>
          <w:sz w:val="22"/>
          <w:szCs w:val="22"/>
          <w:color w:val="auto"/>
        </w:rPr>
        <w:t>for the assumption and performance by the counterparty thereto of the obligations of Aventis under, this Agreement;</w:t>
      </w:r>
    </w:p>
    <w:p>
      <w:pPr>
        <w:spacing w:after="0" w:line="220" w:lineRule="exact"/>
        <w:rPr>
          <w:sz w:val="20"/>
          <w:szCs w:val="20"/>
          <w:color w:val="auto"/>
        </w:rPr>
      </w:pPr>
    </w:p>
    <w:p>
      <w:pPr>
        <w:ind w:right="100" w:firstLine="1305"/>
        <w:spacing w:after="0" w:line="262" w:lineRule="auto"/>
        <w:tabs>
          <w:tab w:leader="none" w:pos="1728" w:val="left"/>
        </w:tabs>
        <w:numPr>
          <w:ilvl w:val="0"/>
          <w:numId w:val="86"/>
        </w:numPr>
        <w:rPr>
          <w:rFonts w:ascii="Arial" w:cs="Arial" w:eastAsia="Arial" w:hAnsi="Arial"/>
          <w:sz w:val="21"/>
          <w:szCs w:val="21"/>
          <w:color w:val="auto"/>
        </w:rPr>
      </w:pPr>
      <w:r>
        <w:rPr>
          <w:rFonts w:ascii="Arial" w:cs="Arial" w:eastAsia="Arial" w:hAnsi="Arial"/>
          <w:sz w:val="21"/>
          <w:szCs w:val="21"/>
          <w:color w:val="auto"/>
        </w:rPr>
        <w:t xml:space="preserve">subject to the provisions of this ARTICLE 19 (including </w:t>
      </w:r>
      <w:r>
        <w:rPr>
          <w:rFonts w:ascii="Arial" w:cs="Arial" w:eastAsia="Arial" w:hAnsi="Arial"/>
          <w:sz w:val="21"/>
          <w:szCs w:val="21"/>
          <w:u w:val="single" w:color="auto"/>
          <w:color w:val="auto"/>
        </w:rPr>
        <w:t>Schedule 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to the extent applicable), the following obligations shall survive the expiration or termination of this Agreement and shall continue to be enforceable: Sections 4.6, 5.5, 6.4, 6.7, 6.10, 6.11, 7.2 (solely with respect to Regeneron and, insofar as necessary to fulfill its ongoing regulatory obligations, Aventis), 7.3(f) and (g) (solely with respect to Aventis’ obligations with respect to Excluded Ocular VEGF Products), 7.4, 7.5, 7.6 (first sentence), 7.7, 8.3, 11.1, 11.3(a), 11.5 (penultimate sentence), 11.6, 15.3, 19.1, 19.2, 19.7 (including Schedule 6 and Schedule 7), 19.8 and ARTICLE 9, ARTICLE 12 and 13 (subject to Section 19.7(c)), ARTICLE 14, ARTICLE 17, and ARTICLE 20 to the extent applicable.</w:t>
      </w:r>
    </w:p>
    <w:p>
      <w:pPr>
        <w:spacing w:after="0" w:line="180" w:lineRule="exact"/>
        <w:rPr>
          <w:rFonts w:ascii="Arial" w:cs="Arial" w:eastAsia="Arial" w:hAnsi="Arial"/>
          <w:sz w:val="21"/>
          <w:szCs w:val="21"/>
          <w:color w:val="auto"/>
        </w:rPr>
      </w:pPr>
    </w:p>
    <w:p>
      <w:pPr>
        <w:ind w:right="280" w:firstLine="1305"/>
        <w:spacing w:after="0" w:line="260" w:lineRule="auto"/>
        <w:tabs>
          <w:tab w:leader="none" w:pos="1716"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such expiration or termination and this ARTICLE 19 shall be without prejudice to any rights or remedies a party may have for breach of this Agreement, including, without limitation, any breach of the provisions referred to in clause (b) above; and</w:t>
      </w:r>
    </w:p>
    <w:p>
      <w:pPr>
        <w:spacing w:after="0" w:line="177" w:lineRule="exact"/>
        <w:rPr>
          <w:rFonts w:ascii="Arial" w:cs="Arial" w:eastAsia="Arial" w:hAnsi="Arial"/>
          <w:sz w:val="22"/>
          <w:szCs w:val="22"/>
          <w:color w:val="auto"/>
        </w:rPr>
      </w:pPr>
    </w:p>
    <w:p>
      <w:pPr>
        <w:ind w:firstLine="1305"/>
        <w:spacing w:after="0" w:line="297" w:lineRule="auto"/>
        <w:tabs>
          <w:tab w:leader="none" w:pos="1728"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this Agreement is terminated with respect to the Terminated Territory pursuant to Section 19.2(a) (but not in its entirety), then following such termination the foregoing provisions set forth in this Section 19.8 shall remain in effect with respect to the Terminated Territory (to the extent they would survive and apply in the event this Agreement expires or is terminated in its entirety) and all provisions not surviving in accordance with the foregoing shall terminate upon termination of this Agreement with respect to the Terminated Territory and be of no further force and effect (and for the avoidance of doubt all provisions of this Agreement shall remain in effect with respect to all countries in the Territory other than the Terminated Territory).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20</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4" w:lineRule="exact"/>
        <w:rPr>
          <w:sz w:val="20"/>
          <w:szCs w:val="20"/>
          <w:color w:val="auto"/>
        </w:rPr>
      </w:pPr>
    </w:p>
    <w:p>
      <w:pPr>
        <w:ind w:right="120" w:firstLine="648"/>
        <w:spacing w:after="0" w:line="288"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Governing Law; Submission to Jurisdiction</w:t>
      </w:r>
      <w:r>
        <w:rPr>
          <w:rFonts w:ascii="Arial" w:cs="Arial" w:eastAsia="Arial" w:hAnsi="Arial"/>
          <w:sz w:val="19"/>
          <w:szCs w:val="19"/>
          <w:color w:val="auto"/>
        </w:rPr>
        <w:t>. This Agreement shall be governed by and construed in accordance with the Laws of the State of New York, excluding any conflicts or choice of law rule or principle that might otherwise refer construction or interpretation of this Agreement to the substantive law of another jurisdiction. Each Party hereby irrevocably and unconditionally consents to the exclusive jurisdiction of the courts of the State of New York, and the United States District Court for the Southern District of New York for any action, suit or proceeding (other than appeals therefrom) arising out of or relating to this Agreement, waives any objections to such jurisdiction and venue and agrees not to commence any action, suit or proceeding relating to this Agreement except in such courts. Each Party further agrees that service of any process, summons, notice or document by registered mail to its address set forth in Section 20.3 shall be effective service of process for any action, suit or proceeding brought against it under this Agreement in any such court.</w:t>
      </w:r>
    </w:p>
    <w:p>
      <w:pPr>
        <w:spacing w:after="0" w:line="161" w:lineRule="exact"/>
        <w:rPr>
          <w:sz w:val="20"/>
          <w:szCs w:val="20"/>
          <w:color w:val="auto"/>
        </w:rPr>
      </w:pPr>
    </w:p>
    <w:p>
      <w:pPr>
        <w:jc w:val="center"/>
        <w:ind w:right="160"/>
        <w:spacing w:after="0"/>
        <w:tabs>
          <w:tab w:leader="none" w:pos="16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19"/>
          <w:szCs w:val="19"/>
          <w:u w:val="single" w:color="auto"/>
          <w:color w:val="auto"/>
        </w:rPr>
        <w:t>Waiver</w:t>
      </w:r>
      <w:r>
        <w:rPr>
          <w:rFonts w:ascii="Arial" w:cs="Arial" w:eastAsia="Arial" w:hAnsi="Arial"/>
          <w:sz w:val="19"/>
          <w:szCs w:val="19"/>
          <w:color w:val="auto"/>
        </w:rPr>
        <w:t>. Waiver by a Party of a breach hereunder by the other Party shall not be construed as a waiver of any</w:t>
      </w:r>
    </w:p>
    <w:p>
      <w:pPr>
        <w:spacing w:after="0" w:line="22" w:lineRule="exact"/>
        <w:rPr>
          <w:sz w:val="20"/>
          <w:szCs w:val="20"/>
          <w:color w:val="auto"/>
        </w:rPr>
      </w:pPr>
    </w:p>
    <w:p>
      <w:pPr>
        <w:ind w:right="140"/>
        <w:spacing w:after="0" w:line="338" w:lineRule="auto"/>
        <w:rPr>
          <w:sz w:val="20"/>
          <w:szCs w:val="20"/>
          <w:color w:val="auto"/>
        </w:rPr>
      </w:pPr>
      <w:r>
        <w:rPr>
          <w:rFonts w:ascii="Arial" w:cs="Arial" w:eastAsia="Arial" w:hAnsi="Arial"/>
          <w:sz w:val="19"/>
          <w:szCs w:val="19"/>
          <w:color w:val="auto"/>
        </w:rPr>
        <w:t>subsequent breach of the same or any other provision. No delay or omission by a Party in exercising or availing itself of any right, power or privilege hereunder shall preclude the later exercise of any such right, power or privilege by such Party. No waiver</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40" w:top="631" w:right="259" w:bottom="1440" w:gutter="0" w:footer="0" w:header="0"/>
        </w:sectPr>
      </w:pPr>
    </w:p>
    <w:bookmarkStart w:id="139" w:name="page140"/>
    <w:bookmarkEnd w:id="139"/>
    <w:p>
      <w:pPr>
        <w:spacing w:after="0" w:line="263" w:lineRule="auto"/>
        <w:rPr>
          <w:sz w:val="20"/>
          <w:szCs w:val="20"/>
          <w:color w:val="auto"/>
        </w:rPr>
      </w:pPr>
      <w:r>
        <w:rPr>
          <w:rFonts w:ascii="Arial" w:cs="Arial" w:eastAsia="Arial" w:hAnsi="Arial"/>
          <w:sz w:val="22"/>
          <w:szCs w:val="22"/>
          <w:color w:val="auto"/>
        </w:rPr>
        <w:t>shall be effective unless made in writing with specific reference to the relevant provision(s) of this Agreement and signed by a duly authorized representative of the Party granting the waiver.</w:t>
      </w:r>
    </w:p>
    <w:p>
      <w:pPr>
        <w:spacing w:after="0" w:line="175"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instructions and other communications hereunder or in connection herewith shall be in writing, shall be sent to the address of the relevant Party set forth on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attached hereto and 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56" w:lineRule="exact"/>
        <w:rPr>
          <w:sz w:val="20"/>
          <w:szCs w:val="20"/>
          <w:color w:val="auto"/>
        </w:rPr>
      </w:pPr>
    </w:p>
    <w:p>
      <w:pPr>
        <w:ind w:right="240" w:firstLine="648"/>
        <w:spacing w:after="0" w:line="260" w:lineRule="auto"/>
        <w:rPr>
          <w:sz w:val="20"/>
          <w:szCs w:val="20"/>
          <w:color w:val="auto"/>
        </w:rPr>
      </w:pPr>
      <w:r>
        <w:rPr>
          <w:rFonts w:ascii="Arial" w:cs="Arial" w:eastAsia="Arial" w:hAnsi="Arial"/>
          <w:sz w:val="22"/>
          <w:szCs w:val="22"/>
          <w:color w:val="auto"/>
        </w:rPr>
        <w:t xml:space="preserve">20.4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together with the Ancillary Agreements to the extent referred to herein contain the complete understanding of the Parties with respect to the subject matter hereof and thereof and supersedes all prior understandings and writings relating to the subject matter hereof and thereof.</w:t>
      </w:r>
    </w:p>
    <w:p>
      <w:pPr>
        <w:spacing w:after="0" w:line="177" w:lineRule="exact"/>
        <w:rPr>
          <w:sz w:val="20"/>
          <w:szCs w:val="20"/>
          <w:color w:val="auto"/>
        </w:rPr>
      </w:pPr>
    </w:p>
    <w:p>
      <w:pPr>
        <w:ind w:right="700" w:firstLine="648"/>
        <w:spacing w:after="0" w:line="276" w:lineRule="auto"/>
        <w:rPr>
          <w:sz w:val="20"/>
          <w:szCs w:val="20"/>
          <w:color w:val="auto"/>
        </w:rPr>
      </w:pPr>
      <w:r>
        <w:rPr>
          <w:rFonts w:ascii="Arial" w:cs="Arial" w:eastAsia="Arial" w:hAnsi="Arial"/>
          <w:sz w:val="22"/>
          <w:szCs w:val="22"/>
          <w:color w:val="auto"/>
        </w:rPr>
        <w:t xml:space="preserve">20.5 </w:t>
      </w:r>
      <w:r>
        <w:rPr>
          <w:rFonts w:ascii="Arial" w:cs="Arial" w:eastAsia="Arial" w:hAnsi="Arial"/>
          <w:sz w:val="22"/>
          <w:szCs w:val="22"/>
          <w:u w:val="single" w:color="auto"/>
          <w:color w:val="auto"/>
        </w:rPr>
        <w:t>Amendments</w:t>
      </w:r>
      <w:r>
        <w:rPr>
          <w:rFonts w:ascii="Arial" w:cs="Arial" w:eastAsia="Arial" w:hAnsi="Arial"/>
          <w:sz w:val="22"/>
          <w:szCs w:val="22"/>
          <w:color w:val="auto"/>
        </w:rPr>
        <w:t>. No provision in this Agreement shall be supplemented, deleted or amended except in a writing executed by an authorized representative of each of Aventis and Regeneron.</w:t>
      </w:r>
    </w:p>
    <w:p>
      <w:pPr>
        <w:spacing w:after="0" w:line="161"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auto"/>
        </w:rPr>
        <w:t xml:space="preserve">20.6 </w:t>
      </w:r>
      <w:r>
        <w:rPr>
          <w:rFonts w:ascii="Arial" w:cs="Arial" w:eastAsia="Arial" w:hAnsi="Arial"/>
          <w:sz w:val="22"/>
          <w:szCs w:val="22"/>
          <w:u w:val="single" w:color="auto"/>
          <w:color w:val="auto"/>
        </w:rPr>
        <w:t>Headings</w:t>
      </w:r>
      <w:r>
        <w:rPr>
          <w:rFonts w:ascii="Arial" w:cs="Arial" w:eastAsia="Arial" w:hAnsi="Arial"/>
          <w:sz w:val="22"/>
          <w:szCs w:val="22"/>
          <w:color w:val="auto"/>
        </w:rPr>
        <w:t>. The descriptive headings of Articles and Sections are inserted solely for convenience of reference and are not intended as complete or accurate descriptions of the content of such Articles or Sections.</w:t>
      </w:r>
    </w:p>
    <w:p>
      <w:pPr>
        <w:spacing w:after="0" w:line="161"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20.7 </w:t>
      </w:r>
      <w:r>
        <w:rPr>
          <w:rFonts w:ascii="Arial" w:cs="Arial" w:eastAsia="Arial" w:hAnsi="Arial"/>
          <w:sz w:val="21"/>
          <w:szCs w:val="21"/>
          <w:u w:val="single" w:color="auto"/>
          <w:color w:val="auto"/>
        </w:rPr>
        <w:t>Severability</w:t>
      </w:r>
      <w:r>
        <w:rPr>
          <w:rFonts w:ascii="Arial" w:cs="Arial" w:eastAsia="Arial" w:hAnsi="Arial"/>
          <w:sz w:val="21"/>
          <w:szCs w:val="21"/>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21"/>
          <w:szCs w:val="21"/>
          <w:u w:val="single" w:color="auto"/>
          <w:color w:val="auto"/>
        </w:rPr>
        <w:t>Modified Clause</w:t>
      </w:r>
      <w:r>
        <w:rPr>
          <w:rFonts w:ascii="Arial" w:cs="Arial" w:eastAsia="Arial" w:hAnsi="Arial"/>
          <w:sz w:val="21"/>
          <w:szCs w:val="21"/>
          <w:color w:val="auto"/>
        </w:rPr>
        <w:t>”), then, it is mutually agreed that this Agreement shall endure and that the Modified Clause shall be enforced in such jurisdiction to the maximum extent permitted under applicable Laws in such jurisdiction, provided, further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80" w:lineRule="exact"/>
        <w:rPr>
          <w:sz w:val="20"/>
          <w:szCs w:val="20"/>
          <w:color w:val="auto"/>
        </w:rPr>
      </w:pPr>
    </w:p>
    <w:p>
      <w:pPr>
        <w:ind w:right="160" w:firstLine="648"/>
        <w:spacing w:after="0" w:line="320" w:lineRule="auto"/>
        <w:rPr>
          <w:sz w:val="20"/>
          <w:szCs w:val="20"/>
          <w:color w:val="auto"/>
        </w:rPr>
      </w:pPr>
      <w:r>
        <w:rPr>
          <w:rFonts w:ascii="Arial" w:cs="Arial" w:eastAsia="Arial" w:hAnsi="Arial"/>
          <w:sz w:val="19"/>
          <w:szCs w:val="19"/>
          <w:color w:val="auto"/>
        </w:rPr>
        <w:t xml:space="preserve">20.8 </w:t>
      </w:r>
      <w:r>
        <w:rPr>
          <w:rFonts w:ascii="Arial" w:cs="Arial" w:eastAsia="Arial" w:hAnsi="Arial"/>
          <w:sz w:val="19"/>
          <w:szCs w:val="19"/>
          <w:u w:val="single" w:color="auto"/>
          <w:color w:val="auto"/>
        </w:rPr>
        <w:t>Registration and Filing of the Agreement</w:t>
      </w:r>
      <w:r>
        <w:rPr>
          <w:rFonts w:ascii="Arial" w:cs="Arial" w:eastAsia="Arial" w:hAnsi="Arial"/>
          <w:sz w:val="19"/>
          <w:szCs w:val="19"/>
          <w:color w:val="auto"/>
        </w:rPr>
        <w:t>. To the extent that a Party concludes in good faith that it is required to file or register this Agreement or a notification thereof with any Governmental Authority in accordance with applicable Laws, such Party may do so subject to the provisions of Section 16.6 above. The other Party shall promptly cooperate in such filing or</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360"/>
          </w:cols>
          <w:pgMar w:left="240" w:top="631" w:right="299" w:bottom="1440" w:gutter="0" w:footer="0" w:header="0"/>
        </w:sectPr>
      </w:pPr>
    </w:p>
    <w:bookmarkStart w:id="140" w:name="page141"/>
    <w:bookmarkEnd w:id="140"/>
    <w:p>
      <w:pPr>
        <w:ind w:right="520"/>
        <w:spacing w:after="0" w:line="253" w:lineRule="auto"/>
        <w:rPr>
          <w:sz w:val="20"/>
          <w:szCs w:val="20"/>
          <w:color w:val="auto"/>
        </w:rPr>
      </w:pPr>
      <w:r>
        <w:rPr>
          <w:rFonts w:ascii="Arial" w:cs="Arial" w:eastAsia="Arial" w:hAnsi="Arial"/>
          <w:sz w:val="22"/>
          <w:szCs w:val="22"/>
          <w:color w:val="auto"/>
        </w:rPr>
        <w:t>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186"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 xml:space="preserve">20.9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Except as otherwise expressly provided herein, neither this Agreement nor any of the rights or obligations hereunder may be assigned by either Aventis or Regeneron without (a) the prior written consent of Regeneron in the case of any assignment by Aventis or (b) the prior written consent of Aventis in the case of an assignment by Regeneron, except in each case (i) to an Affiliate of the assigning Party,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assigning Party shall remain primarily liable hereunder notwithstanding any such assignment, or (ii) subject to Section 19.6,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156" w:lineRule="exact"/>
        <w:rPr>
          <w:sz w:val="20"/>
          <w:szCs w:val="20"/>
          <w:color w:val="auto"/>
        </w:rPr>
      </w:pPr>
    </w:p>
    <w:p>
      <w:pPr>
        <w:jc w:val="both"/>
        <w:ind w:right="400" w:firstLine="648"/>
        <w:spacing w:after="0" w:line="260" w:lineRule="auto"/>
        <w:rPr>
          <w:sz w:val="20"/>
          <w:szCs w:val="20"/>
          <w:color w:val="auto"/>
        </w:rPr>
      </w:pPr>
      <w:r>
        <w:rPr>
          <w:rFonts w:ascii="Arial" w:cs="Arial" w:eastAsia="Arial" w:hAnsi="Arial"/>
          <w:sz w:val="22"/>
          <w:szCs w:val="22"/>
          <w:color w:val="auto"/>
        </w:rPr>
        <w:t xml:space="preserve">20.10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the Parties hereto and their respective successors and permitted assigns, and shall also inure to the benefit of the Regeneron Indemnitees and Aventis Indemnitees to the extent provided in the last sentence of Section 20.13.</w:t>
      </w:r>
    </w:p>
    <w:p>
      <w:pPr>
        <w:spacing w:after="0" w:line="177" w:lineRule="exact"/>
        <w:rPr>
          <w:sz w:val="20"/>
          <w:szCs w:val="20"/>
          <w:color w:val="auto"/>
        </w:rPr>
      </w:pPr>
    </w:p>
    <w:p>
      <w:pPr>
        <w:ind w:firstLine="648"/>
        <w:spacing w:after="0" w:line="320" w:lineRule="auto"/>
        <w:rPr>
          <w:sz w:val="20"/>
          <w:szCs w:val="20"/>
          <w:color w:val="auto"/>
        </w:rPr>
      </w:pPr>
      <w:r>
        <w:rPr>
          <w:rFonts w:ascii="Arial" w:cs="Arial" w:eastAsia="Arial" w:hAnsi="Arial"/>
          <w:sz w:val="19"/>
          <w:szCs w:val="19"/>
          <w:color w:val="auto"/>
        </w:rPr>
        <w:t xml:space="preserve">20.11 </w:t>
      </w:r>
      <w:r>
        <w:rPr>
          <w:rFonts w:ascii="Arial" w:cs="Arial" w:eastAsia="Arial" w:hAnsi="Arial"/>
          <w:sz w:val="19"/>
          <w:szCs w:val="19"/>
          <w:u w:val="single" w:color="auto"/>
          <w:color w:val="auto"/>
        </w:rPr>
        <w:t>Affiliates</w:t>
      </w:r>
      <w:r>
        <w:rPr>
          <w:rFonts w:ascii="Arial" w:cs="Arial" w:eastAsia="Arial" w:hAnsi="Arial"/>
          <w:sz w:val="19"/>
          <w:szCs w:val="19"/>
          <w:color w:val="auto"/>
        </w:rPr>
        <w:t>. Each Party may perform its obligations hereunder through one or more of its Affiliates, although each Party shall nonetheless be responsible for the performance of its Affiliates. Neither Party shall permit any of its Affiliates to commit any act (including any act or omission) which such Party is prohibited hereunder from committing directly.</w:t>
      </w:r>
    </w:p>
    <w:p>
      <w:pPr>
        <w:spacing w:after="0" w:line="1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21"/>
          <w:szCs w:val="21"/>
          <w:color w:val="auto"/>
        </w:rPr>
        <w:t xml:space="preserve">20.12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counterparts, each of which shall be deemed an original but which together shall constitute one and the same instrument. This Agreement may be executed by exchange between the Parties of electronically transmitted signatures (via facsimile, PDF format via e-mail or other electronic means) and such signatures shall be deemed to bind each Party hereto as if they were original signatures.</w:t>
      </w:r>
    </w:p>
    <w:p>
      <w:pPr>
        <w:spacing w:after="0" w:line="169"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20.13 </w:t>
      </w:r>
      <w:r>
        <w:rPr>
          <w:rFonts w:ascii="Arial" w:cs="Arial" w:eastAsia="Arial" w:hAnsi="Arial"/>
          <w:sz w:val="22"/>
          <w:szCs w:val="22"/>
          <w:u w:val="single" w:color="auto"/>
          <w:color w:val="auto"/>
        </w:rPr>
        <w:t>Third-Party Beneficiaries</w:t>
      </w:r>
      <w:r>
        <w:rPr>
          <w:rFonts w:ascii="Arial" w:cs="Arial" w:eastAsia="Arial" w:hAnsi="Arial"/>
          <w:sz w:val="22"/>
          <w:szCs w:val="22"/>
          <w:color w:val="auto"/>
        </w:rPr>
        <w:t>. Except as provided below in this Section 20.13,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17 is intended to benefit, and to be enforceable by, in addition to the Parties, the other Regeneron Indemnitees and Aventis Indemnitees as if they were parties hereto.</w:t>
      </w:r>
    </w:p>
    <w:p>
      <w:pPr>
        <w:spacing w:after="0" w:line="188" w:lineRule="exact"/>
        <w:rPr>
          <w:sz w:val="20"/>
          <w:szCs w:val="20"/>
          <w:color w:val="auto"/>
        </w:rPr>
      </w:pPr>
    </w:p>
    <w:p>
      <w:pPr>
        <w:ind w:right="240" w:firstLine="648"/>
        <w:spacing w:after="0" w:line="254" w:lineRule="auto"/>
        <w:rPr>
          <w:sz w:val="20"/>
          <w:szCs w:val="20"/>
          <w:color w:val="auto"/>
        </w:rPr>
      </w:pPr>
      <w:r>
        <w:rPr>
          <w:rFonts w:ascii="Arial" w:cs="Arial" w:eastAsia="Arial" w:hAnsi="Arial"/>
          <w:sz w:val="22"/>
          <w:szCs w:val="22"/>
          <w:color w:val="auto"/>
        </w:rPr>
        <w:t xml:space="preserve">20.14 </w:t>
      </w:r>
      <w:r>
        <w:rPr>
          <w:rFonts w:ascii="Arial" w:cs="Arial" w:eastAsia="Arial" w:hAnsi="Arial"/>
          <w:sz w:val="22"/>
          <w:szCs w:val="22"/>
          <w:u w:val="single" w:color="auto"/>
          <w:color w:val="auto"/>
        </w:rPr>
        <w:t>Relationship of the Parties</w:t>
      </w:r>
      <w:r>
        <w:rPr>
          <w:rFonts w:ascii="Arial" w:cs="Arial" w:eastAsia="Arial" w:hAnsi="Arial"/>
          <w:sz w:val="22"/>
          <w:szCs w:val="22"/>
          <w:color w:val="auto"/>
        </w:rPr>
        <w:t>. Each Party shall bear its own costs incurred in the performance of its obligations hereunder without charge or expense to the other except as expressly provided in this Agreement. Neither Aventis nor Regeneron shall have any responsibility for the hiring, termination or compensation of the other Party’s employees or for any employee compensation or benefits of the other Party’s employees. No employee or</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631" w:right="239" w:bottom="1440" w:gutter="0" w:footer="0" w:header="0"/>
        </w:sectPr>
      </w:pPr>
    </w:p>
    <w:bookmarkStart w:id="141" w:name="page142"/>
    <w:bookmarkEnd w:id="141"/>
    <w:p>
      <w:pPr>
        <w:ind w:right="40"/>
        <w:spacing w:after="0" w:line="247" w:lineRule="auto"/>
        <w:rPr>
          <w:sz w:val="20"/>
          <w:szCs w:val="20"/>
          <w:color w:val="auto"/>
        </w:rPr>
      </w:pPr>
      <w:r>
        <w:rPr>
          <w:rFonts w:ascii="Arial" w:cs="Arial" w:eastAsia="Arial" w:hAnsi="Arial"/>
          <w:sz w:val="22"/>
          <w:szCs w:val="22"/>
          <w:color w:val="auto"/>
        </w:rPr>
        <w:t>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Aventis, and Aventis’ legal relationship under this Agreement to Regeneron, shall be that of independent contractor. Nothing in this Agreement shall be construed to establish a relationship of partners or joint ventures between the Parties or any of their respective Affiliates.</w:t>
      </w:r>
    </w:p>
    <w:p>
      <w:pPr>
        <w:spacing w:after="0" w:line="194"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20.15 </w:t>
      </w:r>
      <w:r>
        <w:rPr>
          <w:rFonts w:ascii="Arial" w:cs="Arial" w:eastAsia="Arial" w:hAnsi="Arial"/>
          <w:sz w:val="21"/>
          <w:szCs w:val="21"/>
          <w:u w:val="single" w:color="auto"/>
          <w:color w:val="auto"/>
        </w:rPr>
        <w:t>Limitation of Damages</w:t>
      </w:r>
      <w:r>
        <w:rPr>
          <w:rFonts w:ascii="Arial" w:cs="Arial" w:eastAsia="Arial" w:hAnsi="Arial"/>
          <w:sz w:val="21"/>
          <w:szCs w:val="21"/>
          <w:color w:val="auto"/>
        </w:rPr>
        <w:t>. IN NO EVENT SHALL REGENERON OR AVENTIS BE LIABLE FOR SPECIAL, INDIRECT, INCIDENTAL OR CONSEQUENTIAL DAMAGES (INCLUDING, WITHOUT LIMITATION, LOSS OF PROFITS) SUFFERED BY THE OTHER PARTY, REGARDLESS OF THE THEORY OF LIABILITY (INCLUDING CONTRACT, TORT, NEGLIGENCE, STRICT LIABILITY OR OTHERWISE) AND REGARDLESS OF ANY PRIOR NOTICE OF SUCH DAMAGES, EXCEPT TO THE EXTENT ANY SUCH DAMAGES ARE PAID TO A THIRD PARTY AS PART OF A THIRD-PARTY CLAIM WHICH IS COVERED BY THE INDEMNIFICATION OBLIGATIONS IN ARTICLE 17.</w:t>
      </w:r>
    </w:p>
    <w:p>
      <w:pPr>
        <w:spacing w:after="0" w:line="175" w:lineRule="exact"/>
        <w:rPr>
          <w:sz w:val="20"/>
          <w:szCs w:val="20"/>
          <w:color w:val="auto"/>
        </w:rPr>
      </w:pPr>
    </w:p>
    <w:p>
      <w:pPr>
        <w:ind w:right="260" w:firstLine="648"/>
        <w:spacing w:after="0" w:line="300" w:lineRule="auto"/>
        <w:rPr>
          <w:sz w:val="20"/>
          <w:szCs w:val="20"/>
          <w:color w:val="auto"/>
        </w:rPr>
      </w:pPr>
      <w:r>
        <w:rPr>
          <w:rFonts w:ascii="Arial" w:cs="Arial" w:eastAsia="Arial" w:hAnsi="Arial"/>
          <w:sz w:val="19"/>
          <w:szCs w:val="19"/>
          <w:color w:val="auto"/>
        </w:rPr>
        <w:t xml:space="preserve">20.16 </w:t>
      </w:r>
      <w:r>
        <w:rPr>
          <w:rFonts w:ascii="Arial" w:cs="Arial" w:eastAsia="Arial" w:hAnsi="Arial"/>
          <w:sz w:val="19"/>
          <w:szCs w:val="19"/>
          <w:u w:val="single" w:color="auto"/>
          <w:color w:val="auto"/>
        </w:rPr>
        <w:t>Non-Solicitation</w:t>
      </w:r>
      <w:r>
        <w:rPr>
          <w:rFonts w:ascii="Arial" w:cs="Arial" w:eastAsia="Arial" w:hAnsi="Arial"/>
          <w:sz w:val="19"/>
          <w:szCs w:val="19"/>
          <w:color w:val="auto"/>
        </w:rPr>
        <w:t>. During the Term and for a period of two (2) years thereafter, neither Party shall solicit or otherwise induce or attempt to induce any employees from the other Party involved in the manufacture, Development or Commercialization of any VEGF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147" w:lineRule="exact"/>
        <w:rPr>
          <w:sz w:val="20"/>
          <w:szCs w:val="20"/>
          <w:color w:val="auto"/>
        </w:rPr>
      </w:pPr>
    </w:p>
    <w:p>
      <w:pPr>
        <w:ind w:right="80" w:firstLine="648"/>
        <w:spacing w:after="0" w:line="285" w:lineRule="auto"/>
        <w:rPr>
          <w:sz w:val="20"/>
          <w:szCs w:val="20"/>
          <w:color w:val="auto"/>
        </w:rPr>
      </w:pPr>
      <w:r>
        <w:rPr>
          <w:rFonts w:ascii="Arial" w:cs="Arial" w:eastAsia="Arial" w:hAnsi="Arial"/>
          <w:sz w:val="19"/>
          <w:szCs w:val="19"/>
          <w:color w:val="auto"/>
        </w:rPr>
        <w:t xml:space="preserve">20.17 </w:t>
      </w:r>
      <w:r>
        <w:rPr>
          <w:rFonts w:ascii="Arial" w:cs="Arial" w:eastAsia="Arial" w:hAnsi="Arial"/>
          <w:sz w:val="19"/>
          <w:szCs w:val="19"/>
          <w:u w:val="single" w:color="auto"/>
          <w:color w:val="auto"/>
        </w:rPr>
        <w:t>Rejection of Agreement in Bankruptcy</w:t>
      </w:r>
      <w:r>
        <w:rPr>
          <w:rFonts w:ascii="Arial" w:cs="Arial" w:eastAsia="Arial" w:hAnsi="Arial"/>
          <w:sz w:val="19"/>
          <w:szCs w:val="19"/>
          <w:color w:val="auto"/>
        </w:rPr>
        <w:t>. All rights and licenses granted under or pursuant to this Agreement by a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under or pursuant to this Agreement, including, without limitation, any patents or patent applications in any country of a party covered by the license grants under this Agreement, are part of the “intellectual property” as defined under Section 101 (35A) of the Bankruptcy Code subject to the protections afforded the non-rejecting Party under Section 365(n) of the Bankruptcy Code, and any similar law or regulation in any other country. The Parties agree that this Agreement shall not be deemed terminated by virtue of any rejection by a Party or its receiver or trustee under applicable bankruptcy Laws unless the non-rejecting Party fails to exercise its rights under Section 365(n)</w:t>
      </w:r>
    </w:p>
    <w:p>
      <w:pPr>
        <w:spacing w:after="0" w:line="6"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(1)(B) of the U.S. Bankruptcy Code (or its foreign equivalents). For clarity, if the non-rejecting Party fails to exercise such rights or such rights are not available in a country outside the United States, this Agreement shall be deemed terminated. The Parties further agree that, in the event of the commencement of a bankruptcy proceeding by or against either Party under the U.S. Bankruptcy Code or any analogous Laws in any other country or jurisdiction, if this Agreement is not terminated or deemed terminated, the Party hereto that is not the subject of such proceeding shall be entitled to a complete duplicate of (or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631" w:right="239" w:bottom="1440" w:gutter="0" w:footer="0" w:header="0"/>
        </w:sectPr>
      </w:pPr>
    </w:p>
    <w:bookmarkStart w:id="142" w:name="page143"/>
    <w:bookmarkEnd w:id="142"/>
    <w:p>
      <w:pPr>
        <w:jc w:val="both"/>
        <w:ind w:right="300"/>
        <w:spacing w:after="0" w:line="271" w:lineRule="auto"/>
        <w:rPr>
          <w:sz w:val="20"/>
          <w:szCs w:val="20"/>
          <w:color w:val="auto"/>
        </w:rPr>
      </w:pPr>
      <w:r>
        <w:rPr>
          <w:rFonts w:ascii="Arial" w:cs="Arial" w:eastAsia="Arial" w:hAnsi="Arial"/>
          <w:sz w:val="21"/>
          <w:szCs w:val="21"/>
          <w:color w:val="auto"/>
        </w:rPr>
        <w:t>complete access to, as appropriate) all such intellectual property and all embodiments of such intellectual property, which, if not already in such Party’s possession, shall be promptly delivered to it upon such Party’s written request, unless the Party subject to such proceeding elects to continue to perform all of its obligations under this Agreement.</w:t>
      </w:r>
    </w:p>
    <w:p>
      <w:pPr>
        <w:spacing w:after="0" w:line="16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2"/>
          <w:szCs w:val="22"/>
          <w:color w:val="auto"/>
        </w:rPr>
        <w:t>20.18</w:t>
      </w:r>
      <w:r>
        <w:rPr>
          <w:sz w:val="20"/>
          <w:szCs w:val="20"/>
          <w:color w:val="auto"/>
        </w:rPr>
        <w:tab/>
      </w:r>
      <w:r>
        <w:rPr>
          <w:rFonts w:ascii="Arial" w:cs="Arial" w:eastAsia="Arial" w:hAnsi="Arial"/>
          <w:sz w:val="19"/>
          <w:szCs w:val="19"/>
          <w:u w:val="single" w:color="auto"/>
          <w:color w:val="auto"/>
        </w:rPr>
        <w:t>Construction</w:t>
      </w:r>
      <w:r>
        <w:rPr>
          <w:rFonts w:ascii="Arial" w:cs="Arial" w:eastAsia="Arial" w:hAnsi="Arial"/>
          <w:sz w:val="19"/>
          <w:szCs w:val="19"/>
          <w:color w:val="auto"/>
        </w:rPr>
        <w:t>.</w:t>
      </w:r>
    </w:p>
    <w:p>
      <w:pPr>
        <w:spacing w:after="0" w:line="233" w:lineRule="exact"/>
        <w:rPr>
          <w:sz w:val="20"/>
          <w:szCs w:val="20"/>
          <w:color w:val="auto"/>
        </w:rPr>
      </w:pPr>
    </w:p>
    <w:p>
      <w:pPr>
        <w:ind w:right="60" w:firstLine="1305"/>
        <w:spacing w:after="0" w:line="297" w:lineRule="auto"/>
        <w:tabs>
          <w:tab w:leader="none" w:pos="17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the use of the word “or” is used in the inclusive sense (and/or). The term “including,” “include,” or “includes” as used herein shall mean including, without limiting the generality of any description preceding such term, irrespective of whether such term is used with “without limitation” or “without limiting” throughout this Agreement. Whenever this Agreement refers to a number of days, unless otherwise specified, such number refers to calendar days.</w:t>
      </w:r>
    </w:p>
    <w:p>
      <w:pPr>
        <w:spacing w:after="0" w:line="146" w:lineRule="exact"/>
        <w:rPr>
          <w:rFonts w:ascii="Arial" w:cs="Arial" w:eastAsia="Arial" w:hAnsi="Arial"/>
          <w:sz w:val="19"/>
          <w:szCs w:val="19"/>
          <w:color w:val="auto"/>
        </w:rPr>
      </w:pPr>
    </w:p>
    <w:p>
      <w:pPr>
        <w:ind w:firstLine="1305"/>
        <w:spacing w:after="0" w:line="294" w:lineRule="auto"/>
        <w:tabs>
          <w:tab w:leader="none" w:pos="17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captions of this Agreement are for convenience or reference only and in no way define, describe, extend or limit the scope of intent of this Agreement or in the intent of any provision contained in this Agreement. Unless otherwise specified, (i) the references in this Agreement to any Article, Section, Schedule or Appendix means references to such Article, Section, Schedule or Appendix of this Agreement, (ii) references in any section to any clause are references to such clause of such section and (iii) references to any agreement, instrument or other document in this Agreement refer to such agreement, instrument or other document as originally executed or, if subsequently varied, replaced or supplemented from time to time, so varied, replaced or supplemented and in effect at the relevant time of reference thereto.</w:t>
      </w:r>
    </w:p>
    <w:p>
      <w:pPr>
        <w:spacing w:after="0" w:line="152" w:lineRule="exact"/>
        <w:rPr>
          <w:rFonts w:ascii="Arial" w:cs="Arial" w:eastAsia="Arial" w:hAnsi="Arial"/>
          <w:sz w:val="19"/>
          <w:szCs w:val="19"/>
          <w:color w:val="auto"/>
        </w:rPr>
      </w:pPr>
    </w:p>
    <w:p>
      <w:pPr>
        <w:ind w:right="80" w:firstLine="1305"/>
        <w:spacing w:after="0" w:line="300" w:lineRule="auto"/>
        <w:tabs>
          <w:tab w:leader="none" w:pos="1716" w:val="left"/>
        </w:tabs>
        <w:numPr>
          <w:ilvl w:val="0"/>
          <w:numId w:val="87"/>
        </w:numPr>
        <w:rPr>
          <w:rFonts w:ascii="Arial" w:cs="Arial" w:eastAsia="Arial" w:hAnsi="Arial"/>
          <w:sz w:val="19"/>
          <w:szCs w:val="19"/>
          <w:color w:val="auto"/>
        </w:rPr>
      </w:pPr>
      <w:r>
        <w:rPr>
          <w:rFonts w:ascii="Arial" w:cs="Arial" w:eastAsia="Arial" w:hAnsi="Arial"/>
          <w:sz w:val="19"/>
          <w:szCs w:val="19"/>
          <w:color w:val="auto"/>
        </w:rPr>
        <w:t>Whenever a provision of this Agreement requires an approval or consent by a Party to this Agreement and notification of such approval or consent is not delivered within the applicable time limit, then, unless otherwise specified, the Party whose approval or consent is required shall be conclusively deemed to have withheld its approval or consent. This Agreement has been prepared jointly and the provisions contained herein shall not be construed or interpreted for or against any Party to this Agreement because such Party drafted or caused such Party’s legal representative to draft any provision contained herein.</w:t>
      </w:r>
    </w:p>
    <w:p>
      <w:pPr>
        <w:spacing w:after="0" w:line="147" w:lineRule="exact"/>
        <w:rPr>
          <w:rFonts w:ascii="Arial" w:cs="Arial" w:eastAsia="Arial" w:hAnsi="Arial"/>
          <w:sz w:val="19"/>
          <w:szCs w:val="19"/>
          <w:color w:val="auto"/>
        </w:rPr>
      </w:pPr>
    </w:p>
    <w:p>
      <w:pPr>
        <w:ind w:right="120" w:firstLine="1305"/>
        <w:spacing w:after="0" w:line="358" w:lineRule="auto"/>
        <w:tabs>
          <w:tab w:leader="none" w:pos="1728" w:val="left"/>
        </w:tabs>
        <w:numPr>
          <w:ilvl w:val="0"/>
          <w:numId w:val="87"/>
        </w:numPr>
        <w:rPr>
          <w:rFonts w:ascii="Arial" w:cs="Arial" w:eastAsia="Arial" w:hAnsi="Arial"/>
          <w:sz w:val="19"/>
          <w:szCs w:val="19"/>
          <w:color w:val="auto"/>
        </w:rPr>
      </w:pPr>
      <w:r>
        <w:rPr>
          <w:rFonts w:ascii="Arial" w:cs="Arial" w:eastAsia="Arial" w:hAnsi="Arial"/>
          <w:sz w:val="19"/>
          <w:szCs w:val="19"/>
          <w:color w:val="auto"/>
        </w:rPr>
        <w:t>In the event of any conflict between this Agreement and the Schedules and Appendices hereto, this Agreement shall prevail. In the event of any conflict between this Agreement and the Supply Agreement, this Agreement shall control.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420"/>
          </w:cols>
          <w:pgMar w:left="240" w:top="631" w:right="239" w:bottom="1440" w:gutter="0" w:footer="0" w:header="0"/>
        </w:sectPr>
      </w:pPr>
    </w:p>
    <w:bookmarkStart w:id="143" w:name="page144"/>
    <w:bookmarkEnd w:id="143"/>
    <w:p>
      <w:pPr>
        <w:ind w:firstLine="1297"/>
        <w:spacing w:after="0" w:line="263" w:lineRule="auto"/>
        <w:rPr>
          <w:sz w:val="20"/>
          <w:szCs w:val="20"/>
          <w:color w:val="auto"/>
        </w:rPr>
      </w:pPr>
      <w:r>
        <w:rPr>
          <w:rFonts w:ascii="Arial" w:cs="Arial" w:eastAsia="Arial" w:hAnsi="Arial"/>
          <w:sz w:val="22"/>
          <w:szCs w:val="22"/>
          <w:color w:val="auto"/>
        </w:rPr>
        <w:t>IN WITNESS WHEREOF, Aventis and Regeneron have caused this Agreement to be executed by their duly authorized representatives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SANOFI-AVENTIS US, LLC</w:t>
      </w:r>
    </w:p>
    <w:p>
      <w:pPr>
        <w:spacing w:after="0" w:line="368" w:lineRule="exact"/>
        <w:rPr>
          <w:sz w:val="20"/>
          <w:szCs w:val="20"/>
          <w:color w:val="auto"/>
        </w:rPr>
      </w:pPr>
    </w:p>
    <w:p>
      <w:pPr>
        <w:ind w:left="490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Robert DeBerardine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Robert DeBerardine</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General Counsel, Sanofi North America</w:t>
      </w:r>
    </w:p>
    <w:p>
      <w:pPr>
        <w:spacing w:after="0" w:line="36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REGENERON PHARMACEUTICALS, INC.</w:t>
      </w:r>
    </w:p>
    <w:p>
      <w:pPr>
        <w:spacing w:after="0" w:line="368" w:lineRule="exact"/>
        <w:rPr>
          <w:sz w:val="20"/>
          <w:szCs w:val="20"/>
          <w:color w:val="auto"/>
        </w:rPr>
      </w:pPr>
    </w:p>
    <w:p>
      <w:pPr>
        <w:ind w:left="4900"/>
        <w:spacing w:after="0"/>
        <w:tabs>
          <w:tab w:leader="none" w:pos="5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Murray A. Goldberg</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 Murray A. Goldberg</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580"/>
        <w:spacing w:after="0"/>
        <w:rPr>
          <w:sz w:val="20"/>
          <w:szCs w:val="20"/>
          <w:color w:val="auto"/>
        </w:rPr>
      </w:pPr>
      <w:r>
        <w:rPr>
          <w:rFonts w:ascii="Arial" w:cs="Arial" w:eastAsia="Arial" w:hAnsi="Arial"/>
          <w:sz w:val="22"/>
          <w:szCs w:val="22"/>
          <w:i w:val="1"/>
          <w:iCs w:val="1"/>
          <w:color w:val="auto"/>
        </w:rPr>
        <w:t>SIGNATURE PAGE TO LICENSE AGREEMENT</w:t>
      </w:r>
    </w:p>
    <w:p>
      <w:pPr>
        <w:sectPr>
          <w:pgSz w:w="11900" w:h="16838" w:orient="portrait"/>
          <w:cols w:equalWidth="0" w:num="1">
            <w:col w:w="10660"/>
          </w:cols>
          <w:pgMar w:left="240" w:top="631" w:right="999" w:bottom="1440" w:gutter="0" w:footer="0" w:header="0"/>
        </w:sectPr>
      </w:pPr>
    </w:p>
    <w:bookmarkStart w:id="144" w:name="page145"/>
    <w:bookmarkEnd w:id="144"/>
    <w:p>
      <w:pPr>
        <w:jc w:val="center"/>
        <w:ind w:right="-540"/>
        <w:spacing w:after="0"/>
        <w:rPr>
          <w:sz w:val="20"/>
          <w:szCs w:val="20"/>
          <w:color w:val="auto"/>
        </w:rPr>
      </w:pPr>
      <w:r>
        <w:rPr>
          <w:rFonts w:ascii="Arial" w:cs="Arial" w:eastAsia="Arial" w:hAnsi="Arial"/>
          <w:sz w:val="22"/>
          <w:szCs w:val="22"/>
          <w:color w:val="auto"/>
        </w:rPr>
        <w:t>SCHEDULE 1</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9"/>
          <w:szCs w:val="19"/>
          <w:u w:val="single" w:color="auto"/>
          <w:color w:val="auto"/>
        </w:rPr>
        <w:t>Existing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559"/>
          </w:cols>
          <w:pgMar w:left="900" w:top="631"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color w:val="auto"/>
        </w:rPr>
        <w:t>SCHEDULE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Certain Newly Created Intellectual Property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847" w:right="1440" w:bottom="1440" w:gutter="0" w:footer="0" w:header="0"/>
        </w:sectPr>
      </w:pPr>
    </w:p>
    <w:bookmarkStart w:id="146" w:name="page147"/>
    <w:bookmarkEnd w:id="146"/>
    <w:p>
      <w:pPr>
        <w:jc w:val="center"/>
        <w:ind w:right="-1220"/>
        <w:spacing w:after="0"/>
        <w:rPr>
          <w:sz w:val="20"/>
          <w:szCs w:val="20"/>
          <w:color w:val="auto"/>
        </w:rPr>
      </w:pPr>
      <w:r>
        <w:rPr>
          <w:rFonts w:ascii="Arial" w:cs="Arial" w:eastAsia="Arial" w:hAnsi="Arial"/>
          <w:sz w:val="22"/>
          <w:szCs w:val="22"/>
          <w:color w:val="auto"/>
        </w:rPr>
        <w:t>SCHEDULE 5</w:t>
      </w:r>
    </w:p>
    <w:p>
      <w:pPr>
        <w:spacing w:after="0" w:line="220" w:lineRule="exact"/>
        <w:rPr>
          <w:sz w:val="20"/>
          <w:szCs w:val="20"/>
          <w:color w:val="auto"/>
        </w:rPr>
      </w:pPr>
    </w:p>
    <w:p>
      <w:pPr>
        <w:jc w:val="center"/>
        <w:ind w:right="-1220"/>
        <w:spacing w:after="0"/>
        <w:rPr>
          <w:sz w:val="20"/>
          <w:szCs w:val="20"/>
          <w:color w:val="auto"/>
        </w:rPr>
      </w:pPr>
      <w:r>
        <w:rPr>
          <w:rFonts w:ascii="Arial" w:cs="Arial" w:eastAsia="Arial" w:hAnsi="Arial"/>
          <w:sz w:val="19"/>
          <w:szCs w:val="19"/>
          <w:u w:val="single" w:color="auto"/>
          <w:color w:val="auto"/>
        </w:rPr>
        <w:t>Assigned Regeneron Regulatory Documentation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631"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22"/>
          <w:szCs w:val="22"/>
          <w:color w:val="auto"/>
        </w:rPr>
        <w:t>SCHEDULE 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Transition Arrangements Following Termination in its Entirety</w:t>
      </w:r>
    </w:p>
    <w:p>
      <w:pPr>
        <w:spacing w:after="0" w:line="220" w:lineRule="exact"/>
        <w:rPr>
          <w:sz w:val="20"/>
          <w:szCs w:val="20"/>
          <w:color w:val="auto"/>
        </w:rPr>
      </w:pPr>
    </w:p>
    <w:p>
      <w:pPr>
        <w:ind w:left="-60" w:right="80" w:firstLine="656"/>
        <w:spacing w:after="0" w:line="258" w:lineRule="auto"/>
        <w:tabs>
          <w:tab w:leader="none" w:pos="955"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Aventis shall promptly collect and return, and cause its Affiliates and its and their sublicensees and Distributors to collect and return, to Regeneron or, at Regeneron’s request, destroy, all documents containing Party Information or New Information directly relating to the Licensed Products, and shall immediately cease, and cause its Affiliates and its and their sublicensees and Distributors to cease, all further use of any such Party Information or New Information with respect to such Licensed Products. In addition, at Regeneron’s request, Aventis shall collect and transfer to Regeneron any remaining inventory of Promotional Materials, product samples, and Licensed Product inventory. Notwithstanding the foregoing in this </w:t>
      </w:r>
      <w:r>
        <w:rPr>
          <w:rFonts w:ascii="Arial" w:cs="Arial" w:eastAsia="Arial" w:hAnsi="Arial"/>
          <w:sz w:val="21"/>
          <w:szCs w:val="21"/>
          <w:u w:val="single" w:color="auto"/>
          <w:color w:val="auto"/>
        </w:rPr>
        <w:t>Schedule 6</w:t>
      </w:r>
      <w:r>
        <w:rPr>
          <w:rFonts w:ascii="Arial" w:cs="Arial" w:eastAsia="Arial" w:hAnsi="Arial"/>
          <w:sz w:val="21"/>
          <w:szCs w:val="21"/>
          <w:color w:val="auto"/>
        </w:rPr>
        <w:t>, Aventis may retain copies of any Party Information or New information to the extent required by Law, as well as retain one (1) copy of such information solely for legal archive purposes. Regeneron shall be entitled to use and disclose any such information (including any such Party Information and/or New Information) in connection with the manufacture, Development or Commercialization of Licensed Products.</w:t>
      </w:r>
    </w:p>
    <w:p>
      <w:pPr>
        <w:spacing w:after="0" w:line="186" w:lineRule="exact"/>
        <w:rPr>
          <w:rFonts w:ascii="Arial" w:cs="Arial" w:eastAsia="Arial" w:hAnsi="Arial"/>
          <w:sz w:val="21"/>
          <w:szCs w:val="21"/>
          <w:color w:val="auto"/>
        </w:rPr>
      </w:pPr>
    </w:p>
    <w:p>
      <w:pPr>
        <w:ind w:left="-60" w:firstLine="656"/>
        <w:spacing w:after="0" w:line="248" w:lineRule="auto"/>
        <w:tabs>
          <w:tab w:leader="none" w:pos="955" w:val="left"/>
        </w:tabs>
        <w:numPr>
          <w:ilvl w:val="0"/>
          <w:numId w:val="88"/>
        </w:numPr>
        <w:rPr>
          <w:rFonts w:ascii="Arial" w:cs="Arial" w:eastAsia="Arial" w:hAnsi="Arial"/>
          <w:sz w:val="22"/>
          <w:szCs w:val="22"/>
          <w:color w:val="auto"/>
        </w:rPr>
      </w:pPr>
      <w:r>
        <w:rPr>
          <w:rFonts w:ascii="Arial" w:cs="Arial" w:eastAsia="Arial" w:hAnsi="Arial"/>
          <w:sz w:val="22"/>
          <w:szCs w:val="22"/>
          <w:color w:val="auto"/>
        </w:rPr>
        <w:t>Aventis shall use Commercially Reasonable Efforts to provide all cooperation and assistance reasonably requested by Regeneron to enable Regeneron (or its nominee) to assume with as little disruption as reasonably possible, the continued Development and/or Commercialization of the Licensed Products. Such cooperation and assistance shall be provided in a prompt and timely manner (having regard to the nature of the cooperation or assistance requested) and shall include, without limitation, the following when, if and as requested by Regeneron:</w:t>
      </w:r>
    </w:p>
    <w:p>
      <w:pPr>
        <w:spacing w:after="0" w:line="192" w:lineRule="exact"/>
        <w:rPr>
          <w:rFonts w:ascii="Arial" w:cs="Arial" w:eastAsia="Arial" w:hAnsi="Arial"/>
          <w:sz w:val="22"/>
          <w:szCs w:val="22"/>
          <w:color w:val="auto"/>
        </w:rPr>
      </w:pPr>
    </w:p>
    <w:p>
      <w:pPr>
        <w:ind w:left="-60" w:right="40" w:firstLine="1305"/>
        <w:spacing w:after="0" w:line="302" w:lineRule="auto"/>
        <w:tabs>
          <w:tab w:leader="none" w:pos="1681" w:val="left"/>
        </w:tabs>
        <w:numPr>
          <w:ilvl w:val="1"/>
          <w:numId w:val="88"/>
        </w:numPr>
        <w:rPr>
          <w:rFonts w:ascii="Arial" w:cs="Arial" w:eastAsia="Arial" w:hAnsi="Arial"/>
          <w:sz w:val="19"/>
          <w:szCs w:val="19"/>
          <w:color w:val="auto"/>
        </w:rPr>
      </w:pPr>
      <w:r>
        <w:rPr>
          <w:rFonts w:ascii="Arial" w:cs="Arial" w:eastAsia="Arial" w:hAnsi="Arial"/>
          <w:sz w:val="19"/>
          <w:szCs w:val="19"/>
          <w:color w:val="auto"/>
        </w:rPr>
        <w:t>Aventis shall grant, and does hereby grant, to Regeneron a fully paid-up, royalty-free, exclusive license (which shall include the right to grant sublicenses through multiple tiers) from Aventis under the Aventis Patent Rights, Aventis Know-How, and Aventis’ interest in the Joint Intellectual Property existing at the effective date of termination to Develop, make, have made, use, import, offer to sell and sell the VEGF Products inside and outside of the Field in the Territory.</w:t>
      </w:r>
    </w:p>
    <w:p>
      <w:pPr>
        <w:spacing w:after="0" w:line="142" w:lineRule="exact"/>
        <w:rPr>
          <w:rFonts w:ascii="Arial" w:cs="Arial" w:eastAsia="Arial" w:hAnsi="Arial"/>
          <w:sz w:val="19"/>
          <w:szCs w:val="19"/>
          <w:color w:val="auto"/>
        </w:rPr>
      </w:pPr>
    </w:p>
    <w:p>
      <w:pPr>
        <w:ind w:left="-60" w:right="80" w:firstLine="1305"/>
        <w:spacing w:after="0" w:line="312" w:lineRule="auto"/>
        <w:tabs>
          <w:tab w:leader="none" w:pos="1693" w:val="left"/>
        </w:tabs>
        <w:numPr>
          <w:ilvl w:val="1"/>
          <w:numId w:val="88"/>
        </w:numPr>
        <w:rPr>
          <w:rFonts w:ascii="Arial" w:cs="Arial" w:eastAsia="Arial" w:hAnsi="Arial"/>
          <w:sz w:val="19"/>
          <w:szCs w:val="19"/>
          <w:color w:val="auto"/>
        </w:rPr>
      </w:pPr>
      <w:r>
        <w:rPr>
          <w:rFonts w:ascii="Arial" w:cs="Arial" w:eastAsia="Arial" w:hAnsi="Arial"/>
          <w:sz w:val="19"/>
          <w:szCs w:val="19"/>
          <w:color w:val="auto"/>
        </w:rPr>
        <w:t>Aventis shall transfer and assign to Regeneron (or its nominee) all Approvals and regulatory filings (including Registration Filings) made or obtained by Aventis or its Affiliates or any of its or their sublicensees or Distributors to the extent specifically relating to the Licensed Products (other than Approvals for Aventis manufacturing facilities).</w:t>
      </w:r>
    </w:p>
    <w:p>
      <w:pPr>
        <w:spacing w:after="0" w:line="133" w:lineRule="exact"/>
        <w:rPr>
          <w:rFonts w:ascii="Arial" w:cs="Arial" w:eastAsia="Arial" w:hAnsi="Arial"/>
          <w:sz w:val="19"/>
          <w:szCs w:val="19"/>
          <w:color w:val="auto"/>
        </w:rPr>
      </w:pPr>
    </w:p>
    <w:p>
      <w:pPr>
        <w:ind w:left="-60" w:right="80" w:firstLine="1305"/>
        <w:spacing w:after="0" w:line="250" w:lineRule="auto"/>
        <w:tabs>
          <w:tab w:leader="none" w:pos="1681" w:val="left"/>
        </w:tabs>
        <w:numPr>
          <w:ilvl w:val="1"/>
          <w:numId w:val="88"/>
        </w:numPr>
        <w:rPr>
          <w:rFonts w:ascii="Arial" w:cs="Arial" w:eastAsia="Arial" w:hAnsi="Arial"/>
          <w:sz w:val="22"/>
          <w:szCs w:val="22"/>
          <w:color w:val="auto"/>
        </w:rPr>
      </w:pPr>
      <w:r>
        <w:rPr>
          <w:rFonts w:ascii="Arial" w:cs="Arial" w:eastAsia="Arial" w:hAnsi="Arial"/>
          <w:sz w:val="22"/>
          <w:szCs w:val="22"/>
          <w:color w:val="auto"/>
        </w:rPr>
        <w:t>Aventis shall assign and transfer to Regeneron (or its nominee) Aventis’ entire right, title and interest in and to all Product Trademarks to the extent specifically relating to the Licensed Products and to any domain names containing such Product Trademarks; provided that nothing herein is intended to convey any rights in or to Aventis’ corporate name and logos or any trade names of Aventis (other than the Product Trademarks).</w:t>
      </w:r>
    </w:p>
    <w:p>
      <w:pPr>
        <w:spacing w:after="0" w:line="188" w:lineRule="exact"/>
        <w:rPr>
          <w:rFonts w:ascii="Arial" w:cs="Arial" w:eastAsia="Arial" w:hAnsi="Arial"/>
          <w:sz w:val="22"/>
          <w:szCs w:val="22"/>
          <w:color w:val="auto"/>
        </w:rPr>
      </w:pPr>
    </w:p>
    <w:p>
      <w:pPr>
        <w:ind w:left="-60" w:right="840" w:firstLine="1305"/>
        <w:spacing w:after="0" w:line="263" w:lineRule="auto"/>
        <w:tabs>
          <w:tab w:leader="none" w:pos="1693" w:val="left"/>
        </w:tabs>
        <w:numPr>
          <w:ilvl w:val="1"/>
          <w:numId w:val="88"/>
        </w:numPr>
        <w:rPr>
          <w:rFonts w:ascii="Arial" w:cs="Arial" w:eastAsia="Arial" w:hAnsi="Arial"/>
          <w:sz w:val="22"/>
          <w:szCs w:val="22"/>
          <w:color w:val="auto"/>
        </w:rPr>
      </w:pPr>
      <w:r>
        <w:rPr>
          <w:rFonts w:ascii="Arial" w:cs="Arial" w:eastAsia="Arial" w:hAnsi="Arial"/>
          <w:sz w:val="22"/>
          <w:szCs w:val="22"/>
          <w:color w:val="auto"/>
        </w:rPr>
        <w:t>Aventis shall provide to Regeneron (or its nominee) a copy (or originals to the extent required by any Regulatory Authority in connection with the manufacture,</w:t>
      </w:r>
    </w:p>
    <w:p>
      <w:pPr>
        <w:sectPr>
          <w:pgSz w:w="11900" w:h="16838" w:orient="portrait"/>
          <w:cols w:equalWidth="0" w:num="1">
            <w:col w:w="11300"/>
          </w:cols>
          <w:pgMar w:left="300" w:top="631" w:right="299" w:bottom="1440" w:gutter="0" w:footer="0" w:header="0"/>
        </w:sectPr>
      </w:pPr>
    </w:p>
    <w:bookmarkStart w:id="148" w:name="page149"/>
    <w:bookmarkEnd w:id="148"/>
    <w:p>
      <w:pPr>
        <w:jc w:val="both"/>
        <w:ind w:right="200"/>
        <w:spacing w:after="0" w:line="265" w:lineRule="auto"/>
        <w:rPr>
          <w:sz w:val="20"/>
          <w:szCs w:val="20"/>
          <w:color w:val="auto"/>
        </w:rPr>
      </w:pPr>
      <w:r>
        <w:rPr>
          <w:rFonts w:ascii="Arial" w:cs="Arial" w:eastAsia="Arial" w:hAnsi="Arial"/>
          <w:sz w:val="21"/>
          <w:szCs w:val="21"/>
          <w:color w:val="auto"/>
        </w:rPr>
        <w:t>Development or Commercialization of the Licensed Products in the Territory) of all information (including any Party Information and/or New Information)) in its possession or under its control to the extent directly relating to any Licensed Products, including, without limitation, all information contained in the regulatory and/or safety databases, all in the format then currently maintained by Aventis, or such other format as may be reasonably requested by Regeneron.</w:t>
      </w:r>
    </w:p>
    <w:p>
      <w:pPr>
        <w:spacing w:after="0" w:line="176" w:lineRule="exact"/>
        <w:rPr>
          <w:sz w:val="20"/>
          <w:szCs w:val="20"/>
          <w:color w:val="auto"/>
        </w:rPr>
      </w:pPr>
    </w:p>
    <w:p>
      <w:pPr>
        <w:ind w:left="1760" w:hanging="455"/>
        <w:spacing w:after="0"/>
        <w:tabs>
          <w:tab w:leader="none" w:pos="1760" w:val="left"/>
        </w:tabs>
        <w:numPr>
          <w:ilvl w:val="1"/>
          <w:numId w:val="8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1"/>
          <w:numId w:val="89"/>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20" w:firstLine="1305"/>
        <w:spacing w:after="0" w:line="253" w:lineRule="auto"/>
        <w:tabs>
          <w:tab w:leader="none" w:pos="1761" w:val="left"/>
        </w:tabs>
        <w:numPr>
          <w:ilvl w:val="1"/>
          <w:numId w:val="89"/>
        </w:numPr>
        <w:rPr>
          <w:rFonts w:ascii="Arial" w:cs="Arial" w:eastAsia="Arial" w:hAnsi="Arial"/>
          <w:sz w:val="22"/>
          <w:szCs w:val="22"/>
          <w:color w:val="auto"/>
        </w:rPr>
      </w:pPr>
      <w:r>
        <w:rPr>
          <w:rFonts w:ascii="Arial" w:cs="Arial" w:eastAsia="Arial" w:hAnsi="Arial"/>
          <w:sz w:val="22"/>
          <w:szCs w:val="22"/>
          <w:color w:val="auto"/>
        </w:rPr>
        <w:t xml:space="preserve">Without limitation of Aventis’ other obligations under this </w:t>
      </w:r>
      <w:r>
        <w:rPr>
          <w:rFonts w:ascii="Arial" w:cs="Arial" w:eastAsia="Arial" w:hAnsi="Arial"/>
          <w:sz w:val="22"/>
          <w:szCs w:val="22"/>
          <w:u w:val="single" w:color="auto"/>
          <w:color w:val="auto"/>
        </w:rPr>
        <w:t>Schedule 6</w:t>
      </w:r>
      <w:r>
        <w:rPr>
          <w:rFonts w:ascii="Arial" w:cs="Arial" w:eastAsia="Arial" w:hAnsi="Arial"/>
          <w:sz w:val="22"/>
          <w:szCs w:val="22"/>
          <w:color w:val="auto"/>
        </w:rPr>
        <w:t>, Aventis will take the actions required by subparagraph (g)(i) below to the extent it is responsible for supplying Commercial Supply Requirements of such Licensed Product in such country pursuant to ARTICLE 8</w:t>
      </w:r>
    </w:p>
    <w:p>
      <w:pPr>
        <w:spacing w:after="0" w:line="185" w:lineRule="exact"/>
        <w:rPr>
          <w:rFonts w:ascii="Arial" w:cs="Arial" w:eastAsia="Arial" w:hAnsi="Arial"/>
          <w:sz w:val="22"/>
          <w:szCs w:val="22"/>
          <w:color w:val="auto"/>
        </w:rPr>
      </w:pPr>
    </w:p>
    <w:p>
      <w:pPr>
        <w:ind w:right="60" w:firstLine="1953"/>
        <w:spacing w:after="0" w:line="297" w:lineRule="auto"/>
        <w:tabs>
          <w:tab w:leader="none" w:pos="2353" w:val="left"/>
        </w:tabs>
        <w:numPr>
          <w:ilvl w:val="2"/>
          <w:numId w:val="89"/>
        </w:numPr>
        <w:rPr>
          <w:rFonts w:ascii="Arial" w:cs="Arial" w:eastAsia="Arial" w:hAnsi="Arial"/>
          <w:sz w:val="19"/>
          <w:szCs w:val="19"/>
          <w:color w:val="auto"/>
        </w:rPr>
      </w:pPr>
      <w:r>
        <w:rPr>
          <w:rFonts w:ascii="Arial" w:cs="Arial" w:eastAsia="Arial" w:hAnsi="Arial"/>
          <w:sz w:val="19"/>
          <w:szCs w:val="19"/>
          <w:color w:val="auto"/>
        </w:rPr>
        <w:t>Aventis will supply Regeneron with Clinical Supply Requirements and/or Commercial Supply Requirements of finished and packaged Licensed Products at the same price, and on such other terms and conditions on which Aventis was supplying, or in the absence of termination, would have been required to supply such finished and packaged Licensed Products, through the second anniversary of the effective date of termination of this Agreement or such shorter period if Regeneron notifies Aventis that it is able to manufacture or have manufactured Licensed Products on comparable financial terms.</w:t>
      </w:r>
    </w:p>
    <w:p>
      <w:pPr>
        <w:spacing w:after="0" w:line="147" w:lineRule="exact"/>
        <w:rPr>
          <w:rFonts w:ascii="Arial" w:cs="Arial" w:eastAsia="Arial" w:hAnsi="Arial"/>
          <w:sz w:val="19"/>
          <w:szCs w:val="19"/>
          <w:color w:val="auto"/>
        </w:rPr>
      </w:pPr>
    </w:p>
    <w:p>
      <w:pPr>
        <w:ind w:firstLine="656"/>
        <w:spacing w:after="0" w:line="253" w:lineRule="auto"/>
        <w:tabs>
          <w:tab w:leader="none" w:pos="1023" w:val="left"/>
        </w:tabs>
        <w:numPr>
          <w:ilvl w:val="0"/>
          <w:numId w:val="90"/>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and Commercialization of the Licensed Products hereunder to Regeneron (or its sublicensee or third party designee) as soon as is reasonably possible.</w:t>
      </w:r>
    </w:p>
    <w:p>
      <w:pPr>
        <w:spacing w:after="0" w:line="185" w:lineRule="exact"/>
        <w:rPr>
          <w:rFonts w:ascii="Arial" w:cs="Arial" w:eastAsia="Arial" w:hAnsi="Arial"/>
          <w:sz w:val="22"/>
          <w:szCs w:val="22"/>
          <w:color w:val="auto"/>
        </w:rPr>
      </w:pPr>
    </w:p>
    <w:p>
      <w:pPr>
        <w:ind w:right="40" w:firstLine="656"/>
        <w:spacing w:after="0" w:line="294" w:lineRule="auto"/>
        <w:tabs>
          <w:tab w:leader="none" w:pos="1026"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For the avoidance of doubt, Regeneron shall not be required to provide Aventis any consideration in exchange for the licenses, transfers, assignments or other rights granted to it pursuant to the provisions of this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Regeneron shall be solely responsible for paying any royalties, fees or other consideration that Aventis may be obligated to pay to a Third Party in respect of any such transfer or sublicense to Regeneron of such licenses or other rights;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if Aventis continues to manufacture the Licensed Products in such terminated country pursuant to paragraph (g) above, Regeneron shall purchase such products at the price, and on such other terms and conditions specified therein.</w:t>
      </w:r>
    </w:p>
    <w:p>
      <w:pPr>
        <w:sectPr>
          <w:pgSz w:w="11900" w:h="16838" w:orient="portrait"/>
          <w:cols w:equalWidth="0" w:num="1">
            <w:col w:w="11420"/>
          </w:cols>
          <w:pgMar w:left="240" w:top="631"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color w:val="auto"/>
        </w:rPr>
        <w:t>SCHEDULE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Transition Arrangements Following Termination in the Terminated Territory</w:t>
      </w:r>
    </w:p>
    <w:p>
      <w:pPr>
        <w:spacing w:after="0" w:line="220" w:lineRule="exact"/>
        <w:rPr>
          <w:sz w:val="20"/>
          <w:szCs w:val="20"/>
          <w:color w:val="auto"/>
        </w:rPr>
      </w:pPr>
    </w:p>
    <w:p>
      <w:pPr>
        <w:ind w:left="-40" w:firstLine="656"/>
        <w:spacing w:after="0" w:line="288" w:lineRule="auto"/>
        <w:tabs>
          <w:tab w:leader="none" w:pos="975"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Aventis shall promptly collect and return, and cause its Affiliates and its and their sublicensees and Distributors to collect and return, to Regeneron or, at Regeneron’s request, destroy, all documents containing Party Information or New Information directly relating to the Licensed Products in the Terminated Territory, and shall immediately cease, and cause its Affiliates and its and their sublicensees and Distributors to cease, all further use of any such Party Information or New Information with respect to such Licensed Products in the Terminated Territory. In addition, at Regeneron’s request, Aventis shall collect and transfer to Regeneron any remaining inventory of Promotional Materials, product samples, and Licensed Product inventory relating to the Terminated Territory. Notwithstanding the foregoing in this </w:t>
      </w:r>
      <w:r>
        <w:rPr>
          <w:rFonts w:ascii="Arial" w:cs="Arial" w:eastAsia="Arial" w:hAnsi="Arial"/>
          <w:sz w:val="19"/>
          <w:szCs w:val="19"/>
          <w:u w:val="single" w:color="auto"/>
          <w:color w:val="auto"/>
        </w:rPr>
        <w:t>Schedule 7</w:t>
      </w:r>
      <w:r>
        <w:rPr>
          <w:rFonts w:ascii="Arial" w:cs="Arial" w:eastAsia="Arial" w:hAnsi="Arial"/>
          <w:sz w:val="19"/>
          <w:szCs w:val="19"/>
          <w:color w:val="auto"/>
        </w:rPr>
        <w:t>, Aventis may retain copies of any Party Information or New information to the extent required by Law, as well as retain one (1) copy of such information solely for legal archive purposes. Regeneron shall be entitled to use and disclose any such information (including any such Party Information and/or New Information) in connection with the manufacture, Development or Commercialization of Licensed Products.</w:t>
      </w:r>
    </w:p>
    <w:p>
      <w:pPr>
        <w:spacing w:after="0" w:line="160" w:lineRule="exact"/>
        <w:rPr>
          <w:rFonts w:ascii="Arial" w:cs="Arial" w:eastAsia="Arial" w:hAnsi="Arial"/>
          <w:sz w:val="19"/>
          <w:szCs w:val="19"/>
          <w:color w:val="auto"/>
        </w:rPr>
      </w:pPr>
    </w:p>
    <w:p>
      <w:pPr>
        <w:ind w:left="-40" w:right="140" w:firstLine="656"/>
        <w:spacing w:after="0" w:line="297" w:lineRule="auto"/>
        <w:tabs>
          <w:tab w:leader="none" w:pos="975" w:val="left"/>
        </w:tabs>
        <w:numPr>
          <w:ilvl w:val="0"/>
          <w:numId w:val="91"/>
        </w:numPr>
        <w:rPr>
          <w:rFonts w:ascii="Arial" w:cs="Arial" w:eastAsia="Arial" w:hAnsi="Arial"/>
          <w:sz w:val="19"/>
          <w:szCs w:val="19"/>
          <w:color w:val="auto"/>
        </w:rPr>
      </w:pPr>
      <w:r>
        <w:rPr>
          <w:rFonts w:ascii="Arial" w:cs="Arial" w:eastAsia="Arial" w:hAnsi="Arial"/>
          <w:sz w:val="19"/>
          <w:szCs w:val="19"/>
          <w:color w:val="auto"/>
        </w:rPr>
        <w:t>Aventis shall use Commercially Reasonable Efforts to provide all cooperation and assistance reasonably requested by Regeneron to enable Regeneron (or its nominee) to assume with as little disruption as reasonably possible, the continued Development and/or Commercialization of the Licensed Products in the Terminated Territory. Such cooperation and assistance shall be provided in a prompt and timely manner (having regard to the nature of the cooperation or assistance requested) and shall include, without limitation, the following when, if and as requested by Regeneron:</w:t>
      </w:r>
    </w:p>
    <w:p>
      <w:pPr>
        <w:spacing w:after="0" w:line="147" w:lineRule="exact"/>
        <w:rPr>
          <w:rFonts w:ascii="Arial" w:cs="Arial" w:eastAsia="Arial" w:hAnsi="Arial"/>
          <w:sz w:val="19"/>
          <w:szCs w:val="19"/>
          <w:color w:val="auto"/>
        </w:rPr>
      </w:pPr>
    </w:p>
    <w:p>
      <w:pPr>
        <w:ind w:left="-40" w:right="60" w:firstLine="1305"/>
        <w:spacing w:after="0" w:line="261" w:lineRule="auto"/>
        <w:tabs>
          <w:tab w:leader="none" w:pos="1701" w:val="left"/>
        </w:tabs>
        <w:numPr>
          <w:ilvl w:val="1"/>
          <w:numId w:val="91"/>
        </w:numPr>
        <w:rPr>
          <w:rFonts w:ascii="Arial" w:cs="Arial" w:eastAsia="Arial" w:hAnsi="Arial"/>
          <w:sz w:val="21"/>
          <w:szCs w:val="21"/>
          <w:color w:val="auto"/>
        </w:rPr>
      </w:pPr>
      <w:r>
        <w:rPr>
          <w:rFonts w:ascii="Arial" w:cs="Arial" w:eastAsia="Arial" w:hAnsi="Arial"/>
          <w:sz w:val="21"/>
          <w:szCs w:val="21"/>
          <w:color w:val="auto"/>
        </w:rPr>
        <w:t>Aventis shall grant, and does hereby grant, to Regeneron a fully paid-up, royalty-free, exclusive license (which shall include the right to grant sublicenses through multiple tiers) from Aventis under the Aventis Patent Rights, Aventis Know-How, and Aventis’ interest in the Joint Intellectual Property existing at the effective date of termination (i) to Develop, make, have made, use, import, offer to sell and sell the VEGF Products inside and outside of the Field in the Terminated Territory and (ii) to Develop, make, have made, use and import the VEGF Products inside the Field in the Territory solely in support of the Development and Commercialization of the VEGF Products in the Terminated Territory.</w:t>
      </w:r>
    </w:p>
    <w:p>
      <w:pPr>
        <w:spacing w:after="0" w:line="180" w:lineRule="exact"/>
        <w:rPr>
          <w:rFonts w:ascii="Arial" w:cs="Arial" w:eastAsia="Arial" w:hAnsi="Arial"/>
          <w:sz w:val="21"/>
          <w:szCs w:val="21"/>
          <w:color w:val="auto"/>
        </w:rPr>
      </w:pPr>
    </w:p>
    <w:p>
      <w:pPr>
        <w:jc w:val="both"/>
        <w:ind w:left="-40" w:right="100" w:firstLine="1305"/>
        <w:spacing w:after="0" w:line="250" w:lineRule="auto"/>
        <w:tabs>
          <w:tab w:leader="none" w:pos="1713" w:val="left"/>
        </w:tabs>
        <w:numPr>
          <w:ilvl w:val="1"/>
          <w:numId w:val="91"/>
        </w:numPr>
        <w:rPr>
          <w:rFonts w:ascii="Arial" w:cs="Arial" w:eastAsia="Arial" w:hAnsi="Arial"/>
          <w:sz w:val="22"/>
          <w:szCs w:val="22"/>
          <w:color w:val="auto"/>
        </w:rPr>
      </w:pPr>
      <w:r>
        <w:rPr>
          <w:rFonts w:ascii="Arial" w:cs="Arial" w:eastAsia="Arial" w:hAnsi="Arial"/>
          <w:sz w:val="22"/>
          <w:szCs w:val="22"/>
          <w:color w:val="auto"/>
        </w:rPr>
        <w:t>Aventis shall transfer and assign to Regeneron (or its nominee) all Approvals and regulatory filings (including Registration Filings) in the Terminated Territory made or obtained by Aventis or its Affiliates or any of its or their sublicensees or Distributors to the extent specifically relating to the Licensed Products (other than Approvals for Aventis manufacturing facilities) in the Terminated Territory.</w:t>
      </w:r>
    </w:p>
    <w:p>
      <w:pPr>
        <w:spacing w:after="0" w:line="188" w:lineRule="exact"/>
        <w:rPr>
          <w:rFonts w:ascii="Arial" w:cs="Arial" w:eastAsia="Arial" w:hAnsi="Arial"/>
          <w:sz w:val="22"/>
          <w:szCs w:val="22"/>
          <w:color w:val="auto"/>
        </w:rPr>
      </w:pPr>
    </w:p>
    <w:p>
      <w:pPr>
        <w:ind w:left="-40" w:right="100" w:firstLine="1305"/>
        <w:spacing w:after="0" w:line="312" w:lineRule="auto"/>
        <w:tabs>
          <w:tab w:leader="none" w:pos="1701" w:val="left"/>
        </w:tabs>
        <w:numPr>
          <w:ilvl w:val="1"/>
          <w:numId w:val="91"/>
        </w:numPr>
        <w:rPr>
          <w:rFonts w:ascii="Arial" w:cs="Arial" w:eastAsia="Arial" w:hAnsi="Arial"/>
          <w:sz w:val="19"/>
          <w:szCs w:val="19"/>
          <w:color w:val="auto"/>
        </w:rPr>
      </w:pPr>
      <w:r>
        <w:rPr>
          <w:rFonts w:ascii="Arial" w:cs="Arial" w:eastAsia="Arial" w:hAnsi="Arial"/>
          <w:sz w:val="19"/>
          <w:szCs w:val="19"/>
          <w:color w:val="auto"/>
        </w:rPr>
        <w:t xml:space="preserve">Aventis shall assign and transfer to Regeneron (or its nominee) Aventis’ entire right, title and interest in and to all Product Trademarks in the Terminated Territory to the extent specifically relating to the Licensed Products and to any domain names containing such Product Trademarks;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is intended to convey any rights in or to</w:t>
      </w:r>
    </w:p>
    <w:p>
      <w:pPr>
        <w:sectPr>
          <w:pgSz w:w="11900" w:h="16838" w:orient="portrait"/>
          <w:cols w:equalWidth="0" w:num="1">
            <w:col w:w="11340"/>
          </w:cols>
          <w:pgMar w:left="280" w:top="631" w:right="279" w:bottom="144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Aventis’ corporate name and logos or any trade names of Aventis (other than the Product Trademarks in the Terminated Territory).</w:t>
      </w:r>
    </w:p>
    <w:p>
      <w:pPr>
        <w:spacing w:after="0" w:line="254" w:lineRule="exact"/>
        <w:rPr>
          <w:sz w:val="20"/>
          <w:szCs w:val="20"/>
          <w:color w:val="auto"/>
        </w:rPr>
      </w:pPr>
    </w:p>
    <w:p>
      <w:pPr>
        <w:ind w:right="80" w:firstLine="1305"/>
        <w:spacing w:after="0" w:line="261" w:lineRule="auto"/>
        <w:tabs>
          <w:tab w:leader="none" w:pos="1753" w:val="left"/>
        </w:tabs>
        <w:numPr>
          <w:ilvl w:val="1"/>
          <w:numId w:val="92"/>
        </w:numPr>
        <w:rPr>
          <w:rFonts w:ascii="Arial" w:cs="Arial" w:eastAsia="Arial" w:hAnsi="Arial"/>
          <w:sz w:val="21"/>
          <w:szCs w:val="21"/>
          <w:color w:val="auto"/>
        </w:rPr>
      </w:pPr>
      <w:r>
        <w:rPr>
          <w:rFonts w:ascii="Arial" w:cs="Arial" w:eastAsia="Arial" w:hAnsi="Arial"/>
          <w:sz w:val="21"/>
          <w:szCs w:val="21"/>
          <w:color w:val="auto"/>
        </w:rPr>
        <w:t>Aventis shall provide to Regeneron (or its nominee) a copy (or originals to the extent required by any Regulatory Authority in connection with the manufacture, Development or Commercialization of the Licensed Products in the Territory) of all information (including any Party Information and/or New Information)) in its possession or under its control to the extent directly relating to any Licensed Products in the Terminated Territory, including, without limitation, all information contained in the regulatory and/or safety databases with respect to such Terminated Territory, all in the format then currently maintained by Aventis, or such other format as may be reasonably requested by Regeneron.</w:t>
      </w:r>
    </w:p>
    <w:p>
      <w:pPr>
        <w:spacing w:after="0" w:line="180" w:lineRule="exact"/>
        <w:rPr>
          <w:rFonts w:ascii="Arial" w:cs="Arial" w:eastAsia="Arial" w:hAnsi="Arial"/>
          <w:sz w:val="21"/>
          <w:szCs w:val="21"/>
          <w:color w:val="auto"/>
        </w:rPr>
      </w:pPr>
    </w:p>
    <w:p>
      <w:pPr>
        <w:ind w:left="1760" w:hanging="455"/>
        <w:spacing w:after="0"/>
        <w:tabs>
          <w:tab w:leader="none" w:pos="1760" w:val="left"/>
        </w:tabs>
        <w:numPr>
          <w:ilvl w:val="1"/>
          <w:numId w:val="92"/>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740" w:hanging="435"/>
        <w:spacing w:after="0"/>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300" w:firstLine="1305"/>
        <w:spacing w:after="0" w:line="312" w:lineRule="auto"/>
        <w:tabs>
          <w:tab w:leader="none" w:pos="1753" w:val="left"/>
        </w:tabs>
        <w:numPr>
          <w:ilvl w:val="1"/>
          <w:numId w:val="92"/>
        </w:numPr>
        <w:rPr>
          <w:rFonts w:ascii="Arial" w:cs="Arial" w:eastAsia="Arial" w:hAnsi="Arial"/>
          <w:sz w:val="19"/>
          <w:szCs w:val="19"/>
          <w:color w:val="auto"/>
        </w:rPr>
      </w:pPr>
      <w:r>
        <w:rPr>
          <w:rFonts w:ascii="Arial" w:cs="Arial" w:eastAsia="Arial" w:hAnsi="Arial"/>
          <w:sz w:val="19"/>
          <w:szCs w:val="19"/>
          <w:color w:val="auto"/>
        </w:rPr>
        <w:t>Aventis shall provide to Regeneron all necessary information and reasonable assistance in connection with Regeneron’s submissions to (including Registration Filings) or communications with Regulatory Authorities regarding Licensed Products, the Licensed Compound or the EYLEA Drug Substance in the Terminated Territory.</w:t>
      </w:r>
    </w:p>
    <w:p>
      <w:pPr>
        <w:spacing w:after="0" w:line="133" w:lineRule="exact"/>
        <w:rPr>
          <w:rFonts w:ascii="Arial" w:cs="Arial" w:eastAsia="Arial" w:hAnsi="Arial"/>
          <w:sz w:val="19"/>
          <w:szCs w:val="19"/>
          <w:color w:val="auto"/>
        </w:rPr>
      </w:pPr>
    </w:p>
    <w:p>
      <w:pPr>
        <w:ind w:right="20" w:firstLine="1305"/>
        <w:spacing w:after="0" w:line="253" w:lineRule="auto"/>
        <w:tabs>
          <w:tab w:leader="none" w:pos="1761" w:val="left"/>
        </w:tabs>
        <w:numPr>
          <w:ilvl w:val="1"/>
          <w:numId w:val="92"/>
        </w:numPr>
        <w:rPr>
          <w:rFonts w:ascii="Arial" w:cs="Arial" w:eastAsia="Arial" w:hAnsi="Arial"/>
          <w:sz w:val="22"/>
          <w:szCs w:val="22"/>
          <w:color w:val="auto"/>
        </w:rPr>
      </w:pPr>
      <w:r>
        <w:rPr>
          <w:rFonts w:ascii="Arial" w:cs="Arial" w:eastAsia="Arial" w:hAnsi="Arial"/>
          <w:sz w:val="22"/>
          <w:szCs w:val="22"/>
          <w:color w:val="auto"/>
        </w:rPr>
        <w:t xml:space="preserve">Without limitation of Aventis’ other obligations under this </w:t>
      </w:r>
      <w:r>
        <w:rPr>
          <w:rFonts w:ascii="Arial" w:cs="Arial" w:eastAsia="Arial" w:hAnsi="Arial"/>
          <w:sz w:val="22"/>
          <w:szCs w:val="22"/>
          <w:u w:val="single" w:color="auto"/>
          <w:color w:val="auto"/>
        </w:rPr>
        <w:t>Schedule 7</w:t>
      </w:r>
      <w:r>
        <w:rPr>
          <w:rFonts w:ascii="Arial" w:cs="Arial" w:eastAsia="Arial" w:hAnsi="Arial"/>
          <w:sz w:val="22"/>
          <w:szCs w:val="22"/>
          <w:color w:val="auto"/>
        </w:rPr>
        <w:t>, Aventis will take the actions required by subparagraph (h)(i) below to the extent it is responsible for supplying Commercial Supply Requirements of such Licensed Product in the Terminated Territory pursuant to ARTICLE 8.</w:t>
      </w:r>
    </w:p>
    <w:p>
      <w:pPr>
        <w:spacing w:after="0" w:line="185" w:lineRule="exact"/>
        <w:rPr>
          <w:rFonts w:ascii="Arial" w:cs="Arial" w:eastAsia="Arial" w:hAnsi="Arial"/>
          <w:sz w:val="22"/>
          <w:szCs w:val="22"/>
          <w:color w:val="auto"/>
        </w:rPr>
      </w:pPr>
    </w:p>
    <w:p>
      <w:pPr>
        <w:ind w:right="60" w:firstLine="1305"/>
        <w:spacing w:after="0" w:line="297" w:lineRule="auto"/>
        <w:tabs>
          <w:tab w:leader="none" w:pos="1705" w:val="left"/>
        </w:tabs>
        <w:numPr>
          <w:ilvl w:val="1"/>
          <w:numId w:val="92"/>
        </w:numPr>
        <w:rPr>
          <w:rFonts w:ascii="Arial" w:cs="Arial" w:eastAsia="Arial" w:hAnsi="Arial"/>
          <w:sz w:val="19"/>
          <w:szCs w:val="19"/>
          <w:color w:val="auto"/>
        </w:rPr>
      </w:pPr>
      <w:r>
        <w:rPr>
          <w:rFonts w:ascii="Arial" w:cs="Arial" w:eastAsia="Arial" w:hAnsi="Arial"/>
          <w:sz w:val="19"/>
          <w:szCs w:val="19"/>
          <w:color w:val="auto"/>
        </w:rPr>
        <w:t>Aventis will supply Regeneron with Clinical Supply Requirements and/or Commercial Supply Requirements of finished and packaged Licensed Products for the Terminated Territory at the same price, and on such other terms and conditions on which Aventis was supplying, or in the absence of termination, would have been required to supply such finished and packaged Licensed Products, through the second anniversary of the effective date of termination of this Agreement or such shorter period if Regeneron notifies Aventis that it is able to manufacture or have manufactured Licensed Products on comparable financial terms.</w:t>
      </w:r>
    </w:p>
    <w:p>
      <w:pPr>
        <w:spacing w:after="0" w:line="147" w:lineRule="exact"/>
        <w:rPr>
          <w:rFonts w:ascii="Arial" w:cs="Arial" w:eastAsia="Arial" w:hAnsi="Arial"/>
          <w:sz w:val="19"/>
          <w:szCs w:val="19"/>
          <w:color w:val="auto"/>
        </w:rPr>
      </w:pPr>
    </w:p>
    <w:p>
      <w:pPr>
        <w:ind w:firstLine="656"/>
        <w:spacing w:after="0" w:line="253" w:lineRule="auto"/>
        <w:tabs>
          <w:tab w:leader="none" w:pos="1023" w:val="left"/>
        </w:tabs>
        <w:numPr>
          <w:ilvl w:val="0"/>
          <w:numId w:val="93"/>
        </w:numPr>
        <w:rPr>
          <w:rFonts w:ascii="Arial" w:cs="Arial" w:eastAsia="Arial" w:hAnsi="Arial"/>
          <w:sz w:val="22"/>
          <w:szCs w:val="22"/>
          <w:color w:val="auto"/>
        </w:rPr>
      </w:pPr>
      <w:r>
        <w:rPr>
          <w:rFonts w:ascii="Arial" w:cs="Arial" w:eastAsia="Arial" w:hAnsi="Arial"/>
          <w:sz w:val="22"/>
          <w:szCs w:val="22"/>
          <w:color w:val="auto"/>
        </w:rPr>
        <w:t>Without limitation of the generality of the foregoing, the Parties shall use Commercially Reasonable Efforts to complete the transition of the Development and Commercialization of the Licensed Products in the Terminated Territory hereunder to Regeneron (or its sublicensee or third party designee) as soon as is reasonably possible.</w:t>
      </w:r>
    </w:p>
    <w:p>
      <w:pPr>
        <w:spacing w:after="0" w:line="185" w:lineRule="exact"/>
        <w:rPr>
          <w:rFonts w:ascii="Arial" w:cs="Arial" w:eastAsia="Arial" w:hAnsi="Arial"/>
          <w:sz w:val="22"/>
          <w:szCs w:val="22"/>
          <w:color w:val="auto"/>
        </w:rPr>
      </w:pPr>
    </w:p>
    <w:p>
      <w:pPr>
        <w:ind w:right="20" w:firstLine="656"/>
        <w:spacing w:after="0" w:line="297" w:lineRule="auto"/>
        <w:tabs>
          <w:tab w:leader="none" w:pos="1015" w:val="left"/>
        </w:tabs>
        <w:numPr>
          <w:ilvl w:val="0"/>
          <w:numId w:val="93"/>
        </w:numPr>
        <w:rPr>
          <w:rFonts w:ascii="Arial" w:cs="Arial" w:eastAsia="Arial" w:hAnsi="Arial"/>
          <w:sz w:val="19"/>
          <w:szCs w:val="19"/>
          <w:color w:val="auto"/>
        </w:rPr>
      </w:pPr>
      <w:r>
        <w:rPr>
          <w:rFonts w:ascii="Arial" w:cs="Arial" w:eastAsia="Arial" w:hAnsi="Arial"/>
          <w:sz w:val="19"/>
          <w:szCs w:val="19"/>
          <w:color w:val="auto"/>
        </w:rPr>
        <w:t>Aventis shall not, and shall not permit any of its Affiliates or any of its and their licensees, sublicensees or Distributors to, distribute, market, promote, offer for sale or sell the Licensed Products directly or indirectly (a) to any Person for use outside the Territory or (b) to any Person in the Territory that Aventis or any of its Affiliates or any of its or their licensees, sublicensees or Distributors knows or has reason to know (i) is likely to distribute, market, promote, offer for sale or sell any Licensed Product for use in the Terminated Territory or assist another Person to do so (including any pharmacy, physician, hospital or other entity that is</w:t>
      </w:r>
    </w:p>
    <w:p>
      <w:pPr>
        <w:sectPr>
          <w:pgSz w:w="11900" w:h="16838" w:orient="portrait"/>
          <w:cols w:equalWidth="0" w:num="1">
            <w:col w:w="11420"/>
          </w:cols>
          <w:pgMar w:left="240" w:top="631" w:right="239" w:bottom="1440" w:gutter="0" w:footer="0" w:header="0"/>
        </w:sectPr>
      </w:pPr>
    </w:p>
    <w:bookmarkStart w:id="151" w:name="page152"/>
    <w:bookmarkEnd w:id="151"/>
    <w:p>
      <w:pPr>
        <w:ind w:right="120"/>
        <w:spacing w:after="0" w:line="261" w:lineRule="auto"/>
        <w:rPr>
          <w:sz w:val="20"/>
          <w:szCs w:val="20"/>
          <w:color w:val="auto"/>
        </w:rPr>
      </w:pPr>
      <w:r>
        <w:rPr>
          <w:rFonts w:ascii="Arial" w:cs="Arial" w:eastAsia="Arial" w:hAnsi="Arial"/>
          <w:sz w:val="21"/>
          <w:szCs w:val="21"/>
          <w:color w:val="auto"/>
        </w:rPr>
        <w:t>engaged in any compounding activities related to the Licensed Products), or (ii) has directly or indirectly distributed, marketed, promoted, offered for sale or sold any Licensed Product for use in the Terminated Territory or assisted another Person to do so. If Aventis or any of its Affiliates receives or becomes aware of the receipt by a licensee, sublicensee or Distributor of any orders for any Licensed Product for use in the Terminated Territory, such Person shall refer such orders to Regeneron. Aventis shall cause its Affiliates and its and their licensees, sublicensees and Distributors to notify Regeneron of any receipt of any orders for any Licensed Product for use in the Terminated Territory.</w:t>
      </w:r>
    </w:p>
    <w:p>
      <w:pPr>
        <w:spacing w:after="0" w:line="221" w:lineRule="exact"/>
        <w:rPr>
          <w:sz w:val="20"/>
          <w:szCs w:val="20"/>
          <w:color w:val="auto"/>
        </w:rPr>
      </w:pPr>
    </w:p>
    <w:p>
      <w:pPr>
        <w:ind w:right="20" w:firstLine="656"/>
        <w:spacing w:after="0" w:line="288" w:lineRule="auto"/>
        <w:tabs>
          <w:tab w:leader="none" w:pos="1026" w:val="left"/>
        </w:tabs>
        <w:numPr>
          <w:ilvl w:val="0"/>
          <w:numId w:val="94"/>
        </w:numPr>
        <w:rPr>
          <w:rFonts w:ascii="Arial" w:cs="Arial" w:eastAsia="Arial" w:hAnsi="Arial"/>
          <w:sz w:val="19"/>
          <w:szCs w:val="19"/>
          <w:color w:val="auto"/>
        </w:rPr>
      </w:pPr>
      <w:r>
        <w:rPr>
          <w:rFonts w:ascii="Arial" w:cs="Arial" w:eastAsia="Arial" w:hAnsi="Arial"/>
          <w:sz w:val="19"/>
          <w:szCs w:val="19"/>
          <w:color w:val="auto"/>
        </w:rPr>
        <w:t>Regeneron shall not, and shall not permit any of its Affiliates or any of its and their licensees, sublicensees or distributors to, distribute, market, promote, offer for sale or sell the Licensed Products directly or indirectly (a) to any Person for use in the Field outside the Terminated Territory or (b) to any Person in the Field in the Terminated Territory that Regeneron or any of its Affiliates or any of its or their licensees, sublicensees or Distributors knows or has reason to know (i) is likely to distribute, market, promote, offer for sale or sell any Licensed Product for use in the Field in the Territory or assist another Person to do so (including any pharmacy, physician, hospital or other entity that is engaged in any compounding activities related to the Licensed Products), or (ii) has directly or indirectly distributed, marketed, promoted, offered for sale or sold any Licensed Product for use in the Field in the Territory or assisted another Person to do so. If Regeneron or any of its Affiliates receives or becomes aware of the receipt by a licensee, sublicensee or distributor of any orders for any Licensed Product for use in the Field in the Territory, such Person shall refer such orders to Aventis. Regeneron shall cause its Affiliates and its and their licensees, sublicensees and distributors to notify Aventis of any receipt of any orders for any Licensed Product for use in the Field in the Territory.</w:t>
      </w:r>
    </w:p>
    <w:p>
      <w:pPr>
        <w:spacing w:after="0" w:line="195" w:lineRule="exact"/>
        <w:rPr>
          <w:rFonts w:ascii="Arial" w:cs="Arial" w:eastAsia="Arial" w:hAnsi="Arial"/>
          <w:sz w:val="19"/>
          <w:szCs w:val="19"/>
          <w:color w:val="auto"/>
        </w:rPr>
      </w:pPr>
    </w:p>
    <w:p>
      <w:pPr>
        <w:ind w:firstLine="656"/>
        <w:spacing w:after="0" w:line="260" w:lineRule="auto"/>
        <w:tabs>
          <w:tab w:leader="none" w:pos="1026"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For the avoidance of doubt, Regeneron shall not be required to provide Aventis any consideration in exchange for the licenses, transfers, assignments or other rights granted to it pursuant to the provisions of this </w:t>
      </w:r>
      <w:r>
        <w:rPr>
          <w:rFonts w:ascii="Arial" w:cs="Arial" w:eastAsia="Arial" w:hAnsi="Arial"/>
          <w:sz w:val="21"/>
          <w:szCs w:val="21"/>
          <w:u w:val="single" w:color="auto"/>
          <w:color w:val="auto"/>
        </w:rPr>
        <w:t>Schedule 7</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Regeneron shall be solely responsible for paying any royalties, fees or other consideration that Aventis may be obligated to pay to a Third Party in respect of any such transfer or sublicense to Regeneron of such licenses or other rights with respect to the Terminated Territory; and </w:t>
      </w:r>
      <w:r>
        <w:rPr>
          <w:rFonts w:ascii="Arial" w:cs="Arial" w:eastAsia="Arial" w:hAnsi="Arial"/>
          <w:sz w:val="21"/>
          <w:szCs w:val="21"/>
          <w:i w:val="1"/>
          <w:iCs w:val="1"/>
          <w:color w:val="auto"/>
        </w:rPr>
        <w:t>provided, further</w:t>
      </w:r>
      <w:r>
        <w:rPr>
          <w:rFonts w:ascii="Arial" w:cs="Arial" w:eastAsia="Arial" w:hAnsi="Arial"/>
          <w:sz w:val="21"/>
          <w:szCs w:val="21"/>
          <w:color w:val="auto"/>
        </w:rPr>
        <w:t>, that if Aventis continues to manufacture the Licensed Products in the Terminated Territory pursuant to paragraph (h) above, Regeneron shall purchase such products at the price, and on such other terms and conditions specified therein.</w:t>
      </w:r>
    </w:p>
    <w:p>
      <w:pPr>
        <w:sectPr>
          <w:pgSz w:w="11900" w:h="16838" w:orient="portrait"/>
          <w:cols w:equalWidth="0" w:num="1">
            <w:col w:w="11380"/>
          </w:cols>
          <w:pgMar w:left="240" w:top="631" w:right="279" w:bottom="1440" w:gutter="0" w:footer="0" w:header="0"/>
        </w:sectPr>
      </w:pPr>
    </w:p>
    <w:bookmarkStart w:id="152" w:name="page153"/>
    <w:bookmarkEnd w:id="152"/>
    <w:p>
      <w:pPr>
        <w:jc w:val="center"/>
        <w:ind w:right="-1165"/>
        <w:spacing w:after="0"/>
        <w:rPr>
          <w:sz w:val="20"/>
          <w:szCs w:val="20"/>
          <w:color w:val="auto"/>
        </w:rPr>
      </w:pPr>
      <w:r>
        <w:rPr>
          <w:rFonts w:ascii="Arial" w:cs="Arial" w:eastAsia="Arial" w:hAnsi="Arial"/>
          <w:sz w:val="19"/>
          <w:szCs w:val="19"/>
          <w:color w:val="auto"/>
        </w:rPr>
        <w:t>SCHEDULE 8</w:t>
      </w:r>
    </w:p>
    <w:p>
      <w:pPr>
        <w:spacing w:after="0" w:line="254" w:lineRule="exact"/>
        <w:rPr>
          <w:sz w:val="20"/>
          <w:szCs w:val="20"/>
          <w:color w:val="auto"/>
        </w:rPr>
      </w:pPr>
    </w:p>
    <w:p>
      <w:pPr>
        <w:jc w:val="center"/>
        <w:ind w:right="-1165"/>
        <w:spacing w:after="0"/>
        <w:rPr>
          <w:sz w:val="20"/>
          <w:szCs w:val="20"/>
          <w:color w:val="auto"/>
        </w:rPr>
      </w:pPr>
      <w:r>
        <w:rPr>
          <w:rFonts w:ascii="Arial" w:cs="Arial" w:eastAsia="Arial" w:hAnsi="Arial"/>
          <w:sz w:val="22"/>
          <w:szCs w:val="22"/>
          <w:u w:val="single" w:color="auto"/>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05" w:right="7279" w:hanging="805"/>
        <w:spacing w:after="0" w:line="341" w:lineRule="auto"/>
        <w:tabs>
          <w:tab w:leader="none" w:pos="805"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to Aventis: sanofi-aventis U.S. LLC 55 Corporate Drive Bridgewater, NJ 08807 Attention: President</w:t>
      </w:r>
    </w:p>
    <w:p>
      <w:pPr>
        <w:spacing w:after="0" w:line="257" w:lineRule="exact"/>
        <w:rPr>
          <w:rFonts w:ascii="Arial" w:cs="Arial" w:eastAsia="Arial" w:hAnsi="Arial"/>
          <w:sz w:val="19"/>
          <w:szCs w:val="19"/>
          <w:color w:val="auto"/>
        </w:rPr>
      </w:pPr>
    </w:p>
    <w:p>
      <w:pPr>
        <w:ind w:left="805"/>
        <w:spacing w:after="0"/>
        <w:rPr>
          <w:rFonts w:ascii="Arial" w:cs="Arial" w:eastAsia="Arial" w:hAnsi="Arial"/>
          <w:sz w:val="19"/>
          <w:szCs w:val="19"/>
          <w:color w:val="auto"/>
        </w:rPr>
      </w:pPr>
      <w:r>
        <w:rPr>
          <w:rFonts w:ascii="Arial" w:cs="Arial" w:eastAsia="Arial" w:hAnsi="Arial"/>
          <w:sz w:val="22"/>
          <w:szCs w:val="22"/>
          <w:color w:val="auto"/>
        </w:rPr>
        <w:t>With a copy to: General Counsel</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left="805" w:hanging="805"/>
        <w:spacing w:after="0"/>
        <w:tabs>
          <w:tab w:leader="none" w:pos="805"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to Regeneron:</w:t>
      </w:r>
    </w:p>
    <w:p>
      <w:pPr>
        <w:spacing w:after="0" w:line="44" w:lineRule="exact"/>
        <w:rPr>
          <w:rFonts w:ascii="Arial" w:cs="Arial" w:eastAsia="Arial" w:hAnsi="Arial"/>
          <w:sz w:val="22"/>
          <w:szCs w:val="22"/>
          <w:color w:val="auto"/>
        </w:rPr>
      </w:pPr>
    </w:p>
    <w:p>
      <w:pPr>
        <w:ind w:left="805" w:right="6259"/>
        <w:spacing w:after="0" w:line="295" w:lineRule="auto"/>
        <w:rPr>
          <w:rFonts w:ascii="Arial" w:cs="Arial" w:eastAsia="Arial" w:hAnsi="Arial"/>
          <w:sz w:val="22"/>
          <w:szCs w:val="22"/>
          <w:color w:val="auto"/>
        </w:rPr>
      </w:pPr>
      <w:r>
        <w:rPr>
          <w:rFonts w:ascii="Arial" w:cs="Arial" w:eastAsia="Arial" w:hAnsi="Arial"/>
          <w:sz w:val="21"/>
          <w:szCs w:val="21"/>
          <w:color w:val="auto"/>
        </w:rPr>
        <w:t>Regeneron Pharmaceuticals, Inc. 777 Old Saw Mill River Road Tarrytown, New York 10591 U.S.A. Attention: President</w:t>
      </w:r>
    </w:p>
    <w:p>
      <w:pPr>
        <w:spacing w:after="0" w:line="1" w:lineRule="exact"/>
        <w:rPr>
          <w:rFonts w:ascii="Arial" w:cs="Arial" w:eastAsia="Arial" w:hAnsi="Arial"/>
          <w:sz w:val="22"/>
          <w:szCs w:val="22"/>
          <w:color w:val="auto"/>
        </w:rPr>
      </w:pPr>
    </w:p>
    <w:p>
      <w:pPr>
        <w:ind w:left="805"/>
        <w:spacing w:after="0"/>
        <w:rPr>
          <w:rFonts w:ascii="Arial" w:cs="Arial" w:eastAsia="Arial" w:hAnsi="Arial"/>
          <w:sz w:val="22"/>
          <w:szCs w:val="22"/>
          <w:color w:val="auto"/>
        </w:rPr>
      </w:pPr>
      <w:r>
        <w:rPr>
          <w:rFonts w:ascii="Arial" w:cs="Arial" w:eastAsia="Arial" w:hAnsi="Arial"/>
          <w:sz w:val="22"/>
          <w:szCs w:val="22"/>
          <w:color w:val="auto"/>
        </w:rPr>
        <w:t>Copy: General Counsel</w:t>
      </w:r>
    </w:p>
    <w:p>
      <w:pPr>
        <w:sectPr>
          <w:pgSz w:w="11900" w:h="16838" w:orient="portrait"/>
          <w:cols w:equalWidth="0" w:num="1">
            <w:col w:w="10184"/>
          </w:cols>
          <w:pgMar w:left="275" w:top="847" w:right="1440" w:bottom="1440" w:gutter="0" w:footer="0" w:header="0"/>
        </w:sectPr>
      </w:pPr>
    </w:p>
    <w:bookmarkStart w:id="153" w:name="page154"/>
    <w:bookmarkEnd w:id="153"/>
    <w:p>
      <w:pPr>
        <w:jc w:val="center"/>
        <w:ind w:right="-1200"/>
        <w:spacing w:after="0"/>
        <w:rPr>
          <w:sz w:val="20"/>
          <w:szCs w:val="20"/>
          <w:color w:val="auto"/>
        </w:rPr>
      </w:pPr>
      <w:r>
        <w:rPr>
          <w:rFonts w:ascii="Arial" w:cs="Arial" w:eastAsia="Arial" w:hAnsi="Arial"/>
          <w:sz w:val="22"/>
          <w:szCs w:val="22"/>
          <w:color w:val="auto"/>
        </w:rPr>
        <w:t>SCHEDULE 9</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19"/>
          <w:szCs w:val="19"/>
          <w:u w:val="single" w:color="auto"/>
          <w:color w:val="auto"/>
        </w:rPr>
        <w:t>Regeneron Licensed Product Domain Names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848"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2"/>
          <w:szCs w:val="22"/>
          <w:color w:val="auto"/>
        </w:rPr>
        <w:t>SCHEDULE 10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Example of Profit Sharing Payment</w:t>
      </w:r>
    </w:p>
    <w:p>
      <w:pPr>
        <w:spacing w:after="0" w:line="200" w:lineRule="exact"/>
        <w:rPr>
          <w:sz w:val="20"/>
          <w:szCs w:val="20"/>
          <w:color w:val="auto"/>
        </w:rPr>
      </w:pPr>
    </w:p>
    <w:p>
      <w:pPr>
        <w:spacing w:after="0" w:line="23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An example of a calculation of profit sharing payments owed by Aventis to Regeneron for a Contract Year if aggregate sum of the Net Sales of all Licensed Products in the Field in the Territory in each Calendar Quarter of such Contract Year is $US 600,000,000 would be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65347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34785" cy="8890"/>
                    </a:xfrm>
                    <a:prstGeom prst="rect">
                      <a:avLst/>
                    </a:prstGeom>
                    <a:noFill/>
                  </pic:spPr>
                </pic:pic>
              </a:graphicData>
            </a:graphic>
          </wp:anchor>
        </w:drawing>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440" w:type="dxa"/>
            <w:vAlign w:val="bottom"/>
          </w:tcPr>
          <w:p>
            <w:pPr>
              <w:spacing w:after="0"/>
              <w:rPr>
                <w:sz w:val="23"/>
                <w:szCs w:val="23"/>
                <w:color w:val="auto"/>
              </w:rPr>
            </w:pPr>
          </w:p>
        </w:tc>
        <w:tc>
          <w:tcPr>
            <w:tcW w:w="1000" w:type="dxa"/>
            <w:vAlign w:val="bottom"/>
          </w:tcPr>
          <w:p>
            <w:pPr>
              <w:jc w:val="center"/>
              <w:ind w:right="72"/>
              <w:spacing w:after="0"/>
              <w:rPr>
                <w:sz w:val="20"/>
                <w:szCs w:val="20"/>
                <w:color w:val="auto"/>
              </w:rPr>
            </w:pPr>
            <w:r>
              <w:rPr>
                <w:rFonts w:ascii="Arial" w:cs="Arial" w:eastAsia="Arial" w:hAnsi="Arial"/>
                <w:sz w:val="22"/>
                <w:szCs w:val="22"/>
                <w:color w:val="auto"/>
                <w:w w:val="88"/>
              </w:rPr>
              <w:t>Q1</w:t>
            </w:r>
          </w:p>
        </w:tc>
        <w:tc>
          <w:tcPr>
            <w:tcW w:w="960" w:type="dxa"/>
            <w:vAlign w:val="bottom"/>
          </w:tcPr>
          <w:p>
            <w:pPr>
              <w:jc w:val="center"/>
              <w:spacing w:after="0"/>
              <w:rPr>
                <w:sz w:val="20"/>
                <w:szCs w:val="20"/>
                <w:color w:val="auto"/>
              </w:rPr>
            </w:pPr>
            <w:r>
              <w:rPr>
                <w:rFonts w:ascii="Arial" w:cs="Arial" w:eastAsia="Arial" w:hAnsi="Arial"/>
                <w:sz w:val="22"/>
                <w:szCs w:val="22"/>
                <w:color w:val="auto"/>
                <w:w w:val="88"/>
              </w:rPr>
              <w:t>Q2</w:t>
            </w:r>
          </w:p>
        </w:tc>
        <w:tc>
          <w:tcPr>
            <w:tcW w:w="1020" w:type="dxa"/>
            <w:vAlign w:val="bottom"/>
          </w:tcPr>
          <w:p>
            <w:pPr>
              <w:jc w:val="center"/>
              <w:spacing w:after="0"/>
              <w:rPr>
                <w:sz w:val="20"/>
                <w:szCs w:val="20"/>
                <w:color w:val="auto"/>
              </w:rPr>
            </w:pPr>
            <w:r>
              <w:rPr>
                <w:rFonts w:ascii="Arial" w:cs="Arial" w:eastAsia="Arial" w:hAnsi="Arial"/>
                <w:sz w:val="22"/>
                <w:szCs w:val="22"/>
                <w:color w:val="auto"/>
                <w:w w:val="88"/>
              </w:rPr>
              <w:t>Q3</w:t>
            </w:r>
          </w:p>
        </w:tc>
        <w:tc>
          <w:tcPr>
            <w:tcW w:w="1040" w:type="dxa"/>
            <w:vAlign w:val="bottom"/>
          </w:tcPr>
          <w:p>
            <w:pPr>
              <w:jc w:val="center"/>
              <w:spacing w:after="0"/>
              <w:rPr>
                <w:sz w:val="20"/>
                <w:szCs w:val="20"/>
                <w:color w:val="auto"/>
              </w:rPr>
            </w:pPr>
            <w:r>
              <w:rPr>
                <w:rFonts w:ascii="Arial" w:cs="Arial" w:eastAsia="Arial" w:hAnsi="Arial"/>
                <w:sz w:val="22"/>
                <w:szCs w:val="22"/>
                <w:color w:val="auto"/>
                <w:w w:val="88"/>
              </w:rPr>
              <w:t>Q4</w:t>
            </w:r>
          </w:p>
        </w:tc>
        <w:tc>
          <w:tcPr>
            <w:tcW w:w="1840" w:type="dxa"/>
            <w:vAlign w:val="bottom"/>
          </w:tcPr>
          <w:p>
            <w:pPr>
              <w:ind w:left="340"/>
              <w:spacing w:after="0"/>
              <w:rPr>
                <w:sz w:val="20"/>
                <w:szCs w:val="20"/>
                <w:color w:val="auto"/>
              </w:rPr>
            </w:pPr>
            <w:r>
              <w:rPr>
                <w:rFonts w:ascii="Arial" w:cs="Arial" w:eastAsia="Arial" w:hAnsi="Arial"/>
                <w:sz w:val="22"/>
                <w:szCs w:val="22"/>
                <w:color w:val="auto"/>
              </w:rPr>
              <w:t>Annual Total</w:t>
            </w:r>
          </w:p>
        </w:tc>
      </w:tr>
      <w:tr>
        <w:trPr>
          <w:trHeight w:val="341"/>
        </w:trPr>
        <w:tc>
          <w:tcPr>
            <w:tcW w:w="4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598"/>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Quarterly Net Sales*</w:t>
            </w:r>
          </w:p>
        </w:tc>
        <w:tc>
          <w:tcPr>
            <w:tcW w:w="1000" w:type="dxa"/>
            <w:vAlign w:val="bottom"/>
          </w:tcPr>
          <w:p>
            <w:pPr>
              <w:jc w:val="center"/>
              <w:ind w:right="52"/>
              <w:spacing w:after="0"/>
              <w:rPr>
                <w:sz w:val="20"/>
                <w:szCs w:val="20"/>
                <w:color w:val="auto"/>
              </w:rPr>
            </w:pPr>
            <w:r>
              <w:rPr>
                <w:rFonts w:ascii="Arial" w:cs="Arial" w:eastAsia="Arial" w:hAnsi="Arial"/>
                <w:sz w:val="22"/>
                <w:szCs w:val="22"/>
                <w:color w:val="auto"/>
                <w:w w:val="87"/>
              </w:rPr>
              <w:t>100</w:t>
            </w:r>
          </w:p>
        </w:tc>
        <w:tc>
          <w:tcPr>
            <w:tcW w:w="960" w:type="dxa"/>
            <w:vAlign w:val="bottom"/>
          </w:tcPr>
          <w:p>
            <w:pPr>
              <w:jc w:val="center"/>
              <w:spacing w:after="0"/>
              <w:rPr>
                <w:sz w:val="20"/>
                <w:szCs w:val="20"/>
                <w:color w:val="auto"/>
              </w:rPr>
            </w:pPr>
            <w:r>
              <w:rPr>
                <w:rFonts w:ascii="Arial" w:cs="Arial" w:eastAsia="Arial" w:hAnsi="Arial"/>
                <w:sz w:val="22"/>
                <w:szCs w:val="22"/>
                <w:color w:val="auto"/>
                <w:w w:val="87"/>
              </w:rPr>
              <w:t>130</w:t>
            </w:r>
          </w:p>
        </w:tc>
        <w:tc>
          <w:tcPr>
            <w:tcW w:w="1020" w:type="dxa"/>
            <w:vAlign w:val="bottom"/>
          </w:tcPr>
          <w:p>
            <w:pPr>
              <w:jc w:val="center"/>
              <w:spacing w:after="0"/>
              <w:rPr>
                <w:sz w:val="20"/>
                <w:szCs w:val="20"/>
                <w:color w:val="auto"/>
              </w:rPr>
            </w:pPr>
            <w:r>
              <w:rPr>
                <w:rFonts w:ascii="Arial" w:cs="Arial" w:eastAsia="Arial" w:hAnsi="Arial"/>
                <w:sz w:val="22"/>
                <w:szCs w:val="22"/>
                <w:color w:val="auto"/>
                <w:w w:val="92"/>
              </w:rPr>
              <w:t>170</w:t>
            </w:r>
          </w:p>
        </w:tc>
        <w:tc>
          <w:tcPr>
            <w:tcW w:w="1040" w:type="dxa"/>
            <w:vAlign w:val="bottom"/>
          </w:tcPr>
          <w:p>
            <w:pPr>
              <w:jc w:val="center"/>
              <w:spacing w:after="0"/>
              <w:rPr>
                <w:sz w:val="20"/>
                <w:szCs w:val="20"/>
                <w:color w:val="auto"/>
              </w:rPr>
            </w:pPr>
            <w:r>
              <w:rPr>
                <w:rFonts w:ascii="Arial" w:cs="Arial" w:eastAsia="Arial" w:hAnsi="Arial"/>
                <w:sz w:val="22"/>
                <w:szCs w:val="22"/>
                <w:color w:val="auto"/>
                <w:w w:val="87"/>
              </w:rPr>
              <w:t>200</w:t>
            </w:r>
          </w:p>
        </w:tc>
        <w:tc>
          <w:tcPr>
            <w:tcW w:w="1840" w:type="dxa"/>
            <w:vAlign w:val="bottom"/>
          </w:tcPr>
          <w:p>
            <w:pPr>
              <w:jc w:val="right"/>
              <w:ind w:right="652"/>
              <w:spacing w:after="0"/>
              <w:rPr>
                <w:sz w:val="20"/>
                <w:szCs w:val="20"/>
                <w:color w:val="auto"/>
              </w:rPr>
            </w:pPr>
            <w:r>
              <w:rPr>
                <w:rFonts w:ascii="Arial" w:cs="Arial" w:eastAsia="Arial" w:hAnsi="Arial"/>
                <w:sz w:val="22"/>
                <w:szCs w:val="22"/>
                <w:color w:val="auto"/>
              </w:rPr>
              <w:t>600</w:t>
            </w:r>
          </w:p>
        </w:tc>
      </w:tr>
      <w:tr>
        <w:trPr>
          <w:trHeight w:val="297"/>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Cumulative Net Sales by Quarter*</w:t>
            </w:r>
          </w:p>
        </w:tc>
        <w:tc>
          <w:tcPr>
            <w:tcW w:w="1000" w:type="dxa"/>
            <w:vAlign w:val="bottom"/>
          </w:tcPr>
          <w:p>
            <w:pPr>
              <w:jc w:val="center"/>
              <w:ind w:right="52"/>
              <w:spacing w:after="0"/>
              <w:rPr>
                <w:sz w:val="20"/>
                <w:szCs w:val="20"/>
                <w:color w:val="auto"/>
              </w:rPr>
            </w:pPr>
            <w:r>
              <w:rPr>
                <w:rFonts w:ascii="Arial" w:cs="Arial" w:eastAsia="Arial" w:hAnsi="Arial"/>
                <w:sz w:val="22"/>
                <w:szCs w:val="22"/>
                <w:color w:val="auto"/>
                <w:w w:val="87"/>
              </w:rPr>
              <w:t>100</w:t>
            </w:r>
          </w:p>
        </w:tc>
        <w:tc>
          <w:tcPr>
            <w:tcW w:w="960" w:type="dxa"/>
            <w:vAlign w:val="bottom"/>
          </w:tcPr>
          <w:p>
            <w:pPr>
              <w:jc w:val="center"/>
              <w:spacing w:after="0"/>
              <w:rPr>
                <w:sz w:val="20"/>
                <w:szCs w:val="20"/>
                <w:color w:val="auto"/>
              </w:rPr>
            </w:pPr>
            <w:r>
              <w:rPr>
                <w:rFonts w:ascii="Arial" w:cs="Arial" w:eastAsia="Arial" w:hAnsi="Arial"/>
                <w:sz w:val="22"/>
                <w:szCs w:val="22"/>
                <w:color w:val="auto"/>
                <w:w w:val="87"/>
              </w:rPr>
              <w:t>230</w:t>
            </w:r>
          </w:p>
        </w:tc>
        <w:tc>
          <w:tcPr>
            <w:tcW w:w="1020" w:type="dxa"/>
            <w:vAlign w:val="bottom"/>
          </w:tcPr>
          <w:p>
            <w:pPr>
              <w:jc w:val="center"/>
              <w:spacing w:after="0"/>
              <w:rPr>
                <w:sz w:val="20"/>
                <w:szCs w:val="20"/>
                <w:color w:val="auto"/>
              </w:rPr>
            </w:pPr>
            <w:r>
              <w:rPr>
                <w:rFonts w:ascii="Arial" w:cs="Arial" w:eastAsia="Arial" w:hAnsi="Arial"/>
                <w:sz w:val="22"/>
                <w:szCs w:val="22"/>
                <w:color w:val="auto"/>
                <w:w w:val="92"/>
              </w:rPr>
              <w:t>400</w:t>
            </w:r>
          </w:p>
        </w:tc>
        <w:tc>
          <w:tcPr>
            <w:tcW w:w="1040" w:type="dxa"/>
            <w:vAlign w:val="bottom"/>
          </w:tcPr>
          <w:p>
            <w:pPr>
              <w:jc w:val="center"/>
              <w:spacing w:after="0"/>
              <w:rPr>
                <w:sz w:val="20"/>
                <w:szCs w:val="20"/>
                <w:color w:val="auto"/>
              </w:rPr>
            </w:pPr>
            <w:r>
              <w:rPr>
                <w:rFonts w:ascii="Arial" w:cs="Arial" w:eastAsia="Arial" w:hAnsi="Arial"/>
                <w:sz w:val="22"/>
                <w:szCs w:val="22"/>
                <w:color w:val="auto"/>
                <w:w w:val="87"/>
              </w:rPr>
              <w:t>600</w:t>
            </w:r>
          </w:p>
        </w:tc>
        <w:tc>
          <w:tcPr>
            <w:tcW w:w="1840" w:type="dxa"/>
            <w:vAlign w:val="bottom"/>
          </w:tcPr>
          <w:p>
            <w:pPr>
              <w:spacing w:after="0"/>
              <w:rPr>
                <w:sz w:val="24"/>
                <w:szCs w:val="24"/>
                <w:color w:val="auto"/>
              </w:rPr>
            </w:pPr>
          </w:p>
        </w:tc>
      </w:tr>
      <w:tr>
        <w:trPr>
          <w:trHeight w:val="266"/>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 xml:space="preserve">(C) </w:t>
            </w:r>
            <w:r>
              <w:rPr>
                <w:rFonts w:ascii="Arial" w:cs="Arial" w:eastAsia="Arial" w:hAnsi="Arial"/>
                <w:sz w:val="22"/>
                <w:szCs w:val="22"/>
                <w:color w:val="auto"/>
              </w:rPr>
              <w:t>Applicable Percentage of Aggregate Net</w:t>
            </w:r>
          </w:p>
        </w:tc>
        <w:tc>
          <w:tcPr>
            <w:tcW w:w="1000" w:type="dxa"/>
            <w:vAlign w:val="bottom"/>
          </w:tcPr>
          <w:p>
            <w:pPr>
              <w:jc w:val="center"/>
              <w:ind w:right="7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75"/>
        </w:trPr>
        <w:tc>
          <w:tcPr>
            <w:tcW w:w="4440" w:type="dxa"/>
            <w:vAlign w:val="bottom"/>
          </w:tcPr>
          <w:p>
            <w:pPr>
              <w:ind w:left="40"/>
              <w:spacing w:after="0"/>
              <w:rPr>
                <w:sz w:val="20"/>
                <w:szCs w:val="20"/>
                <w:color w:val="auto"/>
              </w:rPr>
            </w:pPr>
            <w:r>
              <w:rPr>
                <w:rFonts w:ascii="Arial" w:cs="Arial" w:eastAsia="Arial" w:hAnsi="Arial"/>
                <w:sz w:val="22"/>
                <w:szCs w:val="22"/>
                <w:color w:val="auto"/>
              </w:rPr>
              <w:t>Sales, as set forth in Section 9.6(b)</w:t>
            </w: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66"/>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 xml:space="preserve">(D) = ((B) x (C)) </w:t>
            </w:r>
            <w:r>
              <w:rPr>
                <w:rFonts w:ascii="Arial" w:cs="Arial" w:eastAsia="Arial" w:hAnsi="Arial"/>
                <w:sz w:val="22"/>
                <w:szCs w:val="22"/>
                <w:color w:val="auto"/>
              </w:rPr>
              <w:t>Aggregate Profit Sharing</w:t>
            </w:r>
          </w:p>
        </w:tc>
        <w:tc>
          <w:tcPr>
            <w:tcW w:w="1000" w:type="dxa"/>
            <w:vAlign w:val="bottom"/>
          </w:tcPr>
          <w:p>
            <w:pPr>
              <w:jc w:val="center"/>
              <w:ind w:right="7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3"/>
        </w:trPr>
        <w:tc>
          <w:tcPr>
            <w:tcW w:w="4440" w:type="dxa"/>
            <w:vAlign w:val="bottom"/>
          </w:tcPr>
          <w:p>
            <w:pPr>
              <w:ind w:left="40"/>
              <w:spacing w:after="0" w:line="243" w:lineRule="exact"/>
              <w:rPr>
                <w:sz w:val="20"/>
                <w:szCs w:val="20"/>
                <w:color w:val="auto"/>
              </w:rPr>
            </w:pPr>
            <w:r>
              <w:rPr>
                <w:rFonts w:ascii="Arial" w:cs="Arial" w:eastAsia="Arial" w:hAnsi="Arial"/>
                <w:sz w:val="22"/>
                <w:szCs w:val="22"/>
                <w:color w:val="auto"/>
                <w:w w:val="96"/>
              </w:rPr>
              <w:t>Payments Owned on Cumulative Net Sales for</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43"/>
        </w:trPr>
        <w:tc>
          <w:tcPr>
            <w:tcW w:w="4440" w:type="dxa"/>
            <w:vAlign w:val="bottom"/>
          </w:tcPr>
          <w:p>
            <w:pPr>
              <w:ind w:left="40"/>
              <w:spacing w:after="0" w:line="243" w:lineRule="exact"/>
              <w:rPr>
                <w:sz w:val="20"/>
                <w:szCs w:val="20"/>
                <w:color w:val="auto"/>
              </w:rPr>
            </w:pPr>
            <w:r>
              <w:rPr>
                <w:rFonts w:ascii="Arial" w:cs="Arial" w:eastAsia="Arial" w:hAnsi="Arial"/>
                <w:sz w:val="22"/>
                <w:szCs w:val="22"/>
                <w:color w:val="auto"/>
                <w:w w:val="97"/>
              </w:rPr>
              <w:t>all Calendar Quarters to date in such Contract</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5"/>
        </w:trPr>
        <w:tc>
          <w:tcPr>
            <w:tcW w:w="4440" w:type="dxa"/>
            <w:vAlign w:val="bottom"/>
          </w:tcPr>
          <w:p>
            <w:pPr>
              <w:ind w:left="40"/>
              <w:spacing w:after="0"/>
              <w:rPr>
                <w:sz w:val="20"/>
                <w:szCs w:val="20"/>
                <w:color w:val="auto"/>
              </w:rPr>
            </w:pPr>
            <w:r>
              <w:rPr>
                <w:rFonts w:ascii="Arial" w:cs="Arial" w:eastAsia="Arial" w:hAnsi="Arial"/>
                <w:sz w:val="22"/>
                <w:szCs w:val="22"/>
                <w:color w:val="auto"/>
              </w:rPr>
              <w:t>Year*</w:t>
            </w: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66"/>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color w:val="auto"/>
              </w:rPr>
              <w:t>Portion of the Aggregate Profit Sharing</w:t>
            </w:r>
          </w:p>
        </w:tc>
        <w:tc>
          <w:tcPr>
            <w:tcW w:w="1000" w:type="dxa"/>
            <w:vAlign w:val="bottom"/>
          </w:tcPr>
          <w:p>
            <w:pPr>
              <w:jc w:val="center"/>
              <w:ind w:right="7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3"/>
        </w:trPr>
        <w:tc>
          <w:tcPr>
            <w:tcW w:w="4440" w:type="dxa"/>
            <w:vAlign w:val="bottom"/>
          </w:tcPr>
          <w:p>
            <w:pPr>
              <w:ind w:left="40"/>
              <w:spacing w:after="0" w:line="243" w:lineRule="exact"/>
              <w:rPr>
                <w:sz w:val="20"/>
                <w:szCs w:val="20"/>
                <w:color w:val="auto"/>
              </w:rPr>
            </w:pPr>
            <w:r>
              <w:rPr>
                <w:rFonts w:ascii="Arial" w:cs="Arial" w:eastAsia="Arial" w:hAnsi="Arial"/>
                <w:sz w:val="22"/>
                <w:szCs w:val="22"/>
                <w:color w:val="auto"/>
              </w:rPr>
              <w:t>Payments Paid in Prior Calendar Quarters of</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5"/>
        </w:trPr>
        <w:tc>
          <w:tcPr>
            <w:tcW w:w="4440" w:type="dxa"/>
            <w:vAlign w:val="bottom"/>
          </w:tcPr>
          <w:p>
            <w:pPr>
              <w:ind w:left="40"/>
              <w:spacing w:after="0"/>
              <w:rPr>
                <w:sz w:val="20"/>
                <w:szCs w:val="20"/>
                <w:color w:val="auto"/>
              </w:rPr>
            </w:pPr>
            <w:r>
              <w:rPr>
                <w:rFonts w:ascii="Arial" w:cs="Arial" w:eastAsia="Arial" w:hAnsi="Arial"/>
                <w:sz w:val="22"/>
                <w:szCs w:val="22"/>
                <w:color w:val="auto"/>
              </w:rPr>
              <w:t>such Contract Year*</w:t>
            </w:r>
          </w:p>
        </w:tc>
        <w:tc>
          <w:tcPr>
            <w:tcW w:w="10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341"/>
        </w:trPr>
        <w:tc>
          <w:tcPr>
            <w:tcW w:w="44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98"/>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((D)-(E)) Profit Sharing</w:t>
            </w:r>
          </w:p>
        </w:tc>
        <w:tc>
          <w:tcPr>
            <w:tcW w:w="1000" w:type="dxa"/>
            <w:vAlign w:val="bottom"/>
          </w:tcPr>
          <w:p>
            <w:pPr>
              <w:jc w:val="center"/>
              <w:ind w:right="72"/>
              <w:spacing w:after="0"/>
              <w:rPr>
                <w:sz w:val="20"/>
                <w:szCs w:val="20"/>
                <w:color w:val="auto"/>
              </w:rPr>
            </w:pPr>
            <w:r>
              <w:rPr>
                <w:rFonts w:ascii="Arial" w:cs="Arial" w:eastAsia="Arial" w:hAnsi="Arial"/>
                <w:sz w:val="22"/>
                <w:szCs w:val="22"/>
                <w:color w:val="auto"/>
              </w:rPr>
              <w:t>[****]</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7"/>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rPr>
              <w:t>Payment Due for Applicable Quarter*</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584"/>
        </w:trPr>
        <w:tc>
          <w:tcPr>
            <w:tcW w:w="4440" w:type="dxa"/>
            <w:vAlign w:val="bottom"/>
          </w:tcPr>
          <w:p>
            <w:pPr>
              <w:ind w:left="40"/>
              <w:spacing w:after="0"/>
              <w:rPr>
                <w:sz w:val="20"/>
                <w:szCs w:val="20"/>
                <w:color w:val="auto"/>
              </w:rPr>
            </w:pPr>
            <w:r>
              <w:rPr>
                <w:rFonts w:ascii="Arial" w:cs="Arial" w:eastAsia="Arial" w:hAnsi="Arial"/>
                <w:sz w:val="22"/>
                <w:szCs w:val="22"/>
                <w:b w:val="1"/>
                <w:bCs w:val="1"/>
                <w:color w:val="auto"/>
                <w:w w:val="92"/>
              </w:rPr>
              <w:t>Total Profit Sharing Payment for the Contract</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91"/>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22"/>
                <w:szCs w:val="22"/>
                <w:b w:val="1"/>
                <w:bCs w:val="1"/>
                <w:color w:val="auto"/>
              </w:rPr>
              <w:t>Year*</w:t>
            </w:r>
          </w:p>
        </w:tc>
        <w:tc>
          <w:tcPr>
            <w:tcW w:w="10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w:t>
            </w: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color w:val="auto"/>
        </w:rPr>
        <w:t>*All amounts in $US millions</w:t>
      </w:r>
    </w:p>
    <w:p>
      <w:pPr>
        <w:sectPr>
          <w:pgSz w:w="11900" w:h="16838" w:orient="portrait"/>
          <w:cols w:equalWidth="0" w:num="1">
            <w:col w:w="11420"/>
          </w:cols>
          <w:pgMar w:left="240" w:top="847" w:right="2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22"/>
          <w:szCs w:val="22"/>
          <w:color w:val="auto"/>
        </w:rPr>
        <w:t>SCHEDULE 11</w:t>
      </w:r>
    </w:p>
    <w:p>
      <w:pPr>
        <w:spacing w:after="0" w:line="260" w:lineRule="exact"/>
        <w:rPr>
          <w:sz w:val="20"/>
          <w:szCs w:val="20"/>
          <w:color w:val="auto"/>
        </w:rPr>
      </w:pPr>
    </w:p>
    <w:p>
      <w:pPr>
        <w:ind w:left="1980"/>
        <w:spacing w:after="0"/>
        <w:rPr>
          <w:sz w:val="20"/>
          <w:szCs w:val="20"/>
          <w:color w:val="auto"/>
        </w:rPr>
      </w:pPr>
      <w:r>
        <w:rPr>
          <w:rFonts w:ascii="Arial" w:cs="Arial" w:eastAsia="Arial" w:hAnsi="Arial"/>
          <w:sz w:val="22"/>
          <w:szCs w:val="22"/>
          <w:u w:val="single" w:color="auto"/>
          <w:color w:val="auto"/>
        </w:rPr>
        <w:t>ACTUAL FULLY BURDENED MANUFACTURING COST AND PERIOD COSTS</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Capitalized terms used in this </w:t>
      </w:r>
      <w:r>
        <w:rPr>
          <w:rFonts w:ascii="Arial" w:cs="Arial" w:eastAsia="Arial" w:hAnsi="Arial"/>
          <w:sz w:val="19"/>
          <w:szCs w:val="19"/>
          <w:u w:val="single" w:color="auto"/>
          <w:color w:val="auto"/>
        </w:rPr>
        <w:t>Schedule 11</w:t>
      </w:r>
      <w:r>
        <w:rPr>
          <w:rFonts w:ascii="Arial" w:cs="Arial" w:eastAsia="Arial" w:hAnsi="Arial"/>
          <w:sz w:val="19"/>
          <w:szCs w:val="19"/>
          <w:color w:val="auto"/>
        </w:rPr>
        <w:t xml:space="preserve"> that are not otherwise defined herein or in the Agreement shall have the meaning</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ascribed to them in the Supply Agreement.</w:t>
      </w:r>
    </w:p>
    <w:p>
      <w:pPr>
        <w:spacing w:after="0" w:line="242"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Actual Fully Burdened Manufacturing Cost</w:t>
      </w:r>
      <w:r>
        <w:rPr>
          <w:rFonts w:ascii="Arial" w:cs="Arial" w:eastAsia="Arial" w:hAnsi="Arial"/>
          <w:sz w:val="22"/>
          <w:szCs w:val="22"/>
          <w:color w:val="auto"/>
        </w:rPr>
        <w: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70"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u w:val="single" w:color="auto"/>
          <w:color w:val="auto"/>
        </w:rPr>
        <w:t>Period Costs</w:t>
      </w:r>
      <w:r>
        <w:rPr>
          <w:rFonts w:ascii="Arial" w:cs="Arial" w:eastAsia="Arial" w:hAnsi="Arial"/>
          <w:sz w:val="19"/>
          <w:szCs w:val="19"/>
          <w:color w:val="auto"/>
        </w:rPr>
        <w:t>. “</w:t>
      </w:r>
      <w:r>
        <w:rPr>
          <w:rFonts w:ascii="Arial" w:cs="Arial" w:eastAsia="Arial" w:hAnsi="Arial"/>
          <w:sz w:val="19"/>
          <w:szCs w:val="19"/>
          <w:b w:val="1"/>
          <w:bCs w:val="1"/>
          <w:color w:val="auto"/>
        </w:rPr>
        <w:t>Period Costs</w:t>
      </w:r>
      <w:r>
        <w:rPr>
          <w:rFonts w:ascii="Arial" w:cs="Arial" w:eastAsia="Arial" w:hAnsi="Arial"/>
          <w:sz w:val="19"/>
          <w:szCs w:val="19"/>
          <w:color w:val="auto"/>
        </w:rPr>
        <w:t>” shall mean the following:</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ind w:firstLine="8"/>
        <w:spacing w:after="0" w:line="263" w:lineRule="auto"/>
        <w:tabs>
          <w:tab w:leader="none" w:pos="50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Contract Manufacturers</w:t>
      </w:r>
      <w:r>
        <w:rPr>
          <w:rFonts w:ascii="Arial" w:cs="Arial" w:eastAsia="Arial" w:hAnsi="Arial"/>
          <w:sz w:val="22"/>
          <w:szCs w:val="22"/>
          <w:color w:val="auto"/>
        </w:rPr>
        <w:t>. With respect to any Actual Fully Burdened Manufacturing Costs paid to contract manufacturers or other Third Parties in connection with the manufacture of Product, [****]. [****]</w:t>
      </w:r>
    </w:p>
    <w:p>
      <w:pPr>
        <w:sectPr>
          <w:pgSz w:w="11900" w:h="16838" w:orient="portrait"/>
          <w:cols w:equalWidth="0" w:num="1">
            <w:col w:w="11400"/>
          </w:cols>
          <w:pgMar w:left="240" w:top="631" w:right="259" w:bottom="1440" w:gutter="0" w:footer="0" w:header="0"/>
        </w:sectPr>
      </w:pPr>
    </w:p>
    <w:bookmarkStart w:id="156" w:name="page157"/>
    <w:bookmarkEnd w:id="156"/>
    <w:p>
      <w:pPr>
        <w:jc w:val="center"/>
        <w:ind w:right="-839"/>
        <w:spacing w:after="0"/>
        <w:rPr>
          <w:sz w:val="20"/>
          <w:szCs w:val="20"/>
          <w:color w:val="auto"/>
        </w:rPr>
      </w:pPr>
      <w:r>
        <w:rPr>
          <w:rFonts w:ascii="Arial" w:cs="Arial" w:eastAsia="Arial" w:hAnsi="Arial"/>
          <w:sz w:val="22"/>
          <w:szCs w:val="22"/>
          <w:color w:val="auto"/>
        </w:rPr>
        <w:t>APPENDIX 1</w:t>
      </w:r>
    </w:p>
    <w:p>
      <w:pPr>
        <w:spacing w:after="0" w:line="260" w:lineRule="exact"/>
        <w:rPr>
          <w:sz w:val="20"/>
          <w:szCs w:val="20"/>
          <w:color w:val="auto"/>
        </w:rPr>
      </w:pPr>
    </w:p>
    <w:p>
      <w:pPr>
        <w:ind w:left="840"/>
        <w:spacing w:after="0"/>
        <w:rPr>
          <w:sz w:val="20"/>
          <w:szCs w:val="20"/>
          <w:color w:val="auto"/>
        </w:rPr>
      </w:pPr>
      <w:r>
        <w:rPr>
          <w:rFonts w:ascii="Arial" w:cs="Arial" w:eastAsia="Arial" w:hAnsi="Arial"/>
          <w:sz w:val="19"/>
          <w:szCs w:val="19"/>
          <w:u w:val="single" w:color="auto"/>
          <w:color w:val="auto"/>
        </w:rPr>
        <w:t>ESTIMATED FULLY BURDENED BATCH PRICE FOR PRODUCT MANUFACTURED IN 2014 AND 2015</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4100" w:type="dxa"/>
            <w:vAlign w:val="bottom"/>
          </w:tcPr>
          <w:p>
            <w:pPr>
              <w:spacing w:after="0"/>
              <w:rPr>
                <w:sz w:val="20"/>
                <w:szCs w:val="20"/>
                <w:color w:val="auto"/>
              </w:rPr>
            </w:pPr>
            <w:r>
              <w:rPr>
                <w:rFonts w:ascii="Arial" w:cs="Arial" w:eastAsia="Arial" w:hAnsi="Arial"/>
                <w:sz w:val="22"/>
                <w:szCs w:val="22"/>
                <w:color w:val="auto"/>
                <w:w w:val="94"/>
              </w:rPr>
              <w:t>2014 Estimated Fully Burdened Batch Price:</w:t>
            </w:r>
          </w:p>
        </w:tc>
        <w:tc>
          <w:tcPr>
            <w:tcW w:w="96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1</w:t>
            </w:r>
          </w:p>
        </w:tc>
      </w:tr>
      <w:tr>
        <w:trPr>
          <w:trHeight w:val="375"/>
        </w:trPr>
        <w:tc>
          <w:tcPr>
            <w:tcW w:w="4100" w:type="dxa"/>
            <w:vAlign w:val="bottom"/>
          </w:tcPr>
          <w:p>
            <w:pPr>
              <w:spacing w:after="0"/>
              <w:rPr>
                <w:sz w:val="20"/>
                <w:szCs w:val="20"/>
                <w:color w:val="auto"/>
              </w:rPr>
            </w:pPr>
            <w:r>
              <w:rPr>
                <w:rFonts w:ascii="Arial" w:cs="Arial" w:eastAsia="Arial" w:hAnsi="Arial"/>
                <w:sz w:val="22"/>
                <w:szCs w:val="22"/>
                <w:color w:val="auto"/>
                <w:w w:val="94"/>
              </w:rPr>
              <w:t>2015 Estimated Fully Burdened Batch Price:</w:t>
            </w:r>
          </w:p>
        </w:tc>
        <w:tc>
          <w:tcPr>
            <w:tcW w:w="96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8"/>
                <w:szCs w:val="28"/>
                <w:color w:val="auto"/>
                <w:vertAlign w:val="superscript"/>
              </w:rPr>
              <w:t>1</w:t>
            </w:r>
          </w:p>
        </w:tc>
      </w:tr>
      <w:tr>
        <w:trPr>
          <w:trHeight w:val="424"/>
        </w:trPr>
        <w:tc>
          <w:tcPr>
            <w:tcW w:w="4100" w:type="dxa"/>
            <w:vAlign w:val="bottom"/>
          </w:tcPr>
          <w:p>
            <w:pPr>
              <w:spacing w:after="0"/>
              <w:rPr>
                <w:sz w:val="20"/>
                <w:szCs w:val="20"/>
                <w:color w:val="auto"/>
              </w:rPr>
            </w:pPr>
            <w:r>
              <w:rPr>
                <w:rFonts w:ascii="Arial" w:cs="Arial" w:eastAsia="Arial" w:hAnsi="Arial"/>
                <w:sz w:val="22"/>
                <w:szCs w:val="22"/>
                <w:color w:val="auto"/>
              </w:rPr>
              <w:t>(1) [****].</w:t>
            </w:r>
          </w:p>
        </w:tc>
        <w:tc>
          <w:tcPr>
            <w:tcW w:w="960" w:type="dxa"/>
            <w:vAlign w:val="bottom"/>
          </w:tcPr>
          <w:p>
            <w:pPr>
              <w:spacing w:after="0"/>
              <w:rPr>
                <w:sz w:val="24"/>
                <w:szCs w:val="24"/>
                <w:color w:val="auto"/>
              </w:rPr>
            </w:pPr>
          </w:p>
        </w:tc>
      </w:tr>
    </w:tbl>
    <w:p>
      <w:pPr>
        <w:sectPr>
          <w:pgSz w:w="11900" w:h="16838" w:orient="portrait"/>
          <w:cols w:equalWidth="0" w:num="1">
            <w:col w:w="10580"/>
          </w:cols>
          <w:pgMar w:left="240" w:top="631" w:right="107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10.2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ind w:left="40"/>
              <w:spacing w:after="0"/>
              <w:rPr>
                <w:sz w:val="20"/>
                <w:szCs w:val="20"/>
                <w:color w:val="auto"/>
              </w:rPr>
            </w:pPr>
            <w:r>
              <w:rPr>
                <w:rFonts w:ascii="Arial" w:cs="Arial" w:eastAsia="Arial" w:hAnsi="Arial"/>
                <w:sz w:val="18"/>
                <w:szCs w:val="18"/>
                <w:color w:val="auto"/>
              </w:rPr>
              <w:t>Date:</w:t>
            </w:r>
          </w:p>
        </w:tc>
        <w:tc>
          <w:tcPr>
            <w:tcW w:w="10380" w:type="dxa"/>
            <w:vAlign w:val="bottom"/>
          </w:tcPr>
          <w:p>
            <w:pPr>
              <w:ind w:left="260"/>
              <w:spacing w:after="0"/>
              <w:rPr>
                <w:sz w:val="20"/>
                <w:szCs w:val="20"/>
                <w:color w:val="auto"/>
              </w:rPr>
            </w:pPr>
            <w:r>
              <w:rPr>
                <w:rFonts w:ascii="Arial" w:cs="Arial" w:eastAsia="Arial" w:hAnsi="Arial"/>
                <w:sz w:val="18"/>
                <w:szCs w:val="18"/>
                <w:color w:val="auto"/>
              </w:rPr>
              <w:t>February 27, 2015</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To:</w:t>
            </w:r>
          </w:p>
        </w:tc>
        <w:tc>
          <w:tcPr>
            <w:tcW w:w="10380" w:type="dxa"/>
            <w:vAlign w:val="bottom"/>
          </w:tcPr>
          <w:p>
            <w:pPr>
              <w:ind w:left="260"/>
              <w:spacing w:after="0"/>
              <w:rPr>
                <w:sz w:val="20"/>
                <w:szCs w:val="20"/>
                <w:color w:val="auto"/>
              </w:rPr>
            </w:pPr>
            <w:r>
              <w:rPr>
                <w:rFonts w:ascii="Arial" w:cs="Arial" w:eastAsia="Arial" w:hAnsi="Arial"/>
                <w:sz w:val="18"/>
                <w:szCs w:val="18"/>
                <w:color w:val="auto"/>
              </w:rPr>
              <w:t>Regeneron Pharmaceuticals, Inc.</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777 Old Saw Mill River Road</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Tarrytown, NY 10591-6707</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Attention:</w:t>
            </w:r>
          </w:p>
        </w:tc>
        <w:tc>
          <w:tcPr>
            <w:tcW w:w="10380" w:type="dxa"/>
            <w:vAlign w:val="bottom"/>
          </w:tcPr>
          <w:p>
            <w:pPr>
              <w:ind w:left="260"/>
              <w:spacing w:after="0"/>
              <w:rPr>
                <w:sz w:val="20"/>
                <w:szCs w:val="20"/>
                <w:color w:val="auto"/>
              </w:rPr>
            </w:pPr>
            <w:r>
              <w:rPr>
                <w:rFonts w:ascii="Arial" w:cs="Arial" w:eastAsia="Arial" w:hAnsi="Arial"/>
                <w:sz w:val="18"/>
                <w:szCs w:val="18"/>
                <w:color w:val="auto"/>
              </w:rPr>
              <w:t>Dominick Agron</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VP and Treasurer</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777 Old Saw Mill River Road</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Tarrytown, NY 10591-6707</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Facsimile:</w:t>
            </w:r>
          </w:p>
        </w:tc>
        <w:tc>
          <w:tcPr>
            <w:tcW w:w="10380" w:type="dxa"/>
            <w:vAlign w:val="bottom"/>
          </w:tcPr>
          <w:p>
            <w:pPr>
              <w:ind w:left="260"/>
              <w:spacing w:after="0"/>
              <w:rPr>
                <w:sz w:val="20"/>
                <w:szCs w:val="20"/>
                <w:color w:val="auto"/>
              </w:rPr>
            </w:pPr>
            <w:r>
              <w:rPr>
                <w:rFonts w:ascii="Arial" w:cs="Arial" w:eastAsia="Arial" w:hAnsi="Arial"/>
                <w:sz w:val="18"/>
                <w:szCs w:val="18"/>
                <w:color w:val="auto"/>
              </w:rPr>
              <w:t>(914) 847-1555</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From:</w:t>
            </w:r>
          </w:p>
        </w:tc>
        <w:tc>
          <w:tcPr>
            <w:tcW w:w="10380" w:type="dxa"/>
            <w:vAlign w:val="bottom"/>
          </w:tcPr>
          <w:p>
            <w:pPr>
              <w:ind w:left="260"/>
              <w:spacing w:after="0"/>
              <w:rPr>
                <w:sz w:val="20"/>
                <w:szCs w:val="20"/>
                <w:color w:val="auto"/>
              </w:rPr>
            </w:pPr>
            <w:r>
              <w:rPr>
                <w:rFonts w:ascii="Arial" w:cs="Arial" w:eastAsia="Arial" w:hAnsi="Arial"/>
                <w:sz w:val="18"/>
                <w:szCs w:val="18"/>
                <w:color w:val="auto"/>
              </w:rPr>
              <w:t>Goldman, Sachs &amp; Co.</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200 West Street</w:t>
            </w:r>
          </w:p>
        </w:tc>
      </w:tr>
      <w:tr>
        <w:trPr>
          <w:trHeight w:val="270"/>
        </w:trPr>
        <w:tc>
          <w:tcPr>
            <w:tcW w:w="1040" w:type="dxa"/>
            <w:vAlign w:val="bottom"/>
          </w:tcPr>
          <w:p>
            <w:pPr>
              <w:spacing w:after="0"/>
              <w:rPr>
                <w:sz w:val="23"/>
                <w:szCs w:val="23"/>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New York, NY 10282-2198</w:t>
            </w:r>
          </w:p>
        </w:tc>
      </w:tr>
      <w:tr>
        <w:trPr>
          <w:trHeight w:val="392"/>
        </w:trPr>
        <w:tc>
          <w:tcPr>
            <w:tcW w:w="1040" w:type="dxa"/>
            <w:vAlign w:val="bottom"/>
          </w:tcPr>
          <w:p>
            <w:pPr>
              <w:ind w:left="40"/>
              <w:spacing w:after="0"/>
              <w:rPr>
                <w:sz w:val="20"/>
                <w:szCs w:val="20"/>
                <w:color w:val="auto"/>
              </w:rPr>
            </w:pPr>
            <w:r>
              <w:rPr>
                <w:rFonts w:ascii="Arial" w:cs="Arial" w:eastAsia="Arial" w:hAnsi="Arial"/>
                <w:sz w:val="18"/>
                <w:szCs w:val="18"/>
                <w:color w:val="auto"/>
              </w:rPr>
              <w:t>Re:</w:t>
            </w:r>
          </w:p>
        </w:tc>
        <w:tc>
          <w:tcPr>
            <w:tcW w:w="10380" w:type="dxa"/>
            <w:vAlign w:val="bottom"/>
          </w:tcPr>
          <w:p>
            <w:pPr>
              <w:ind w:left="260"/>
              <w:spacing w:after="0"/>
              <w:rPr>
                <w:sz w:val="20"/>
                <w:szCs w:val="20"/>
                <w:color w:val="auto"/>
              </w:rPr>
            </w:pPr>
            <w:r>
              <w:rPr>
                <w:rFonts w:ascii="Arial" w:cs="Arial" w:eastAsia="Arial" w:hAnsi="Arial"/>
                <w:sz w:val="18"/>
                <w:szCs w:val="18"/>
                <w:color w:val="auto"/>
              </w:rPr>
              <w:t>Third Amendment of the Warrant Transaction between Goldman, Sachs &amp; Co. and Regeneron Pharmaceuticals, Inc.</w:t>
            </w:r>
          </w:p>
        </w:tc>
      </w:tr>
      <w:tr>
        <w:trPr>
          <w:trHeight w:val="149"/>
        </w:trPr>
        <w:tc>
          <w:tcPr>
            <w:tcW w:w="1040" w:type="dxa"/>
            <w:vAlign w:val="bottom"/>
            <w:tcBorders>
              <w:bottom w:val="single" w:sz="8" w:color="auto"/>
            </w:tcBorders>
          </w:tcPr>
          <w:p>
            <w:pPr>
              <w:spacing w:after="0"/>
              <w:rPr>
                <w:sz w:val="12"/>
                <w:szCs w:val="12"/>
                <w:color w:val="auto"/>
              </w:rPr>
            </w:pPr>
          </w:p>
        </w:tc>
        <w:tc>
          <w:tcPr>
            <w:tcW w:w="1038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Goldman, Sachs &amp; Co. (“</w:t>
      </w:r>
      <w:r>
        <w:rPr>
          <w:rFonts w:ascii="Arial" w:cs="Arial" w:eastAsia="Arial" w:hAnsi="Arial"/>
          <w:sz w:val="18"/>
          <w:szCs w:val="18"/>
          <w:b w:val="1"/>
          <w:bCs w:val="1"/>
          <w:color w:val="auto"/>
        </w:rPr>
        <w:t>GS&amp;Co.</w:t>
      </w:r>
      <w:r>
        <w:rPr>
          <w:rFonts w:ascii="Arial" w:cs="Arial" w:eastAsia="Arial" w:hAnsi="Arial"/>
          <w:sz w:val="18"/>
          <w:szCs w:val="18"/>
          <w:color w:val="auto"/>
        </w:rPr>
        <w:t>”) and Regeneron Pharmaceuticals, Inc. (“</w:t>
      </w:r>
      <w:r>
        <w:rPr>
          <w:rFonts w:ascii="Arial" w:cs="Arial" w:eastAsia="Arial" w:hAnsi="Arial"/>
          <w:sz w:val="18"/>
          <w:szCs w:val="18"/>
          <w:b w:val="1"/>
          <w:bCs w:val="1"/>
          <w:color w:val="auto"/>
        </w:rPr>
        <w:t>Issuer</w:t>
      </w:r>
      <w:r>
        <w:rPr>
          <w:rFonts w:ascii="Arial" w:cs="Arial" w:eastAsia="Arial" w:hAnsi="Arial"/>
          <w:sz w:val="18"/>
          <w:szCs w:val="18"/>
          <w:color w:val="auto"/>
        </w:rPr>
        <w:t>”) are parties to a warrant transaction evidenced by the Master Terms and Conditions for Base Warrants Issued by Regeneron Pharmaceuticals, Inc. dated as of October 18, 2011, supplemented by the written confirmation dated as of October 18, 2011 (as amended prior to the date hereof, the “</w:t>
      </w:r>
      <w:r>
        <w:rPr>
          <w:rFonts w:ascii="Arial" w:cs="Arial" w:eastAsia="Arial" w:hAnsi="Arial"/>
          <w:sz w:val="18"/>
          <w:szCs w:val="18"/>
          <w:b w:val="1"/>
          <w:bCs w:val="1"/>
          <w:color w:val="auto"/>
        </w:rPr>
        <w:t>Confirmation</w:t>
      </w:r>
      <w:r>
        <w:rPr>
          <w:rFonts w:ascii="Arial" w:cs="Arial" w:eastAsia="Arial" w:hAnsi="Arial"/>
          <w:sz w:val="18"/>
          <w:szCs w:val="18"/>
          <w:color w:val="auto"/>
        </w:rPr>
        <w:t>”). Terms used herein but are not otherwise defined shall have meanings assigned to them in the Confirmation.</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effectiveness of each daily Amendment as set forth in Paragraph 1 below,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81" w:lineRule="exact"/>
        <w:rPr>
          <w:sz w:val="20"/>
          <w:szCs w:val="20"/>
          <w:color w:val="auto"/>
        </w:rPr>
      </w:pPr>
    </w:p>
    <w:p>
      <w:pPr>
        <w:jc w:val="both"/>
        <w:ind w:firstLine="656"/>
        <w:spacing w:after="0" w:line="232" w:lineRule="auto"/>
        <w:tabs>
          <w:tab w:leader="none" w:pos="842"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For each Unwind Date (as defined below), effective upon the closeout of GS&amp;Co’s Hedge Positions on such Unwind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Warrants for each Component of the Transaction shall be reduced by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Daily Number of Warrants (as defined below) for such Unwind Date, with each such Number of Warrants rounded up to the nearest whole number, except that the Number of Warrants for the Component with the latest Expiration Date shall be reduced by the aggregate number resulting from such rounding.</w:t>
      </w:r>
    </w:p>
    <w:p>
      <w:pPr>
        <w:spacing w:after="0" w:line="202" w:lineRule="exact"/>
        <w:rPr>
          <w:rFonts w:ascii="Arial" w:cs="Arial" w:eastAsia="Arial" w:hAnsi="Arial"/>
          <w:sz w:val="18"/>
          <w:szCs w:val="18"/>
          <w:color w:val="auto"/>
        </w:rPr>
      </w:pPr>
    </w:p>
    <w:p>
      <w:pPr>
        <w:jc w:val="both"/>
        <w:ind w:firstLine="656"/>
        <w:spacing w:after="0" w:line="276" w:lineRule="auto"/>
        <w:tabs>
          <w:tab w:leader="none" w:pos="828"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Amendment Payment</w:t>
      </w:r>
      <w:r>
        <w:rPr>
          <w:rFonts w:ascii="Arial" w:cs="Arial" w:eastAsia="Arial" w:hAnsi="Arial"/>
          <w:sz w:val="17"/>
          <w:szCs w:val="17"/>
          <w:color w:val="auto"/>
        </w:rPr>
        <w:t>. In consideration of the amendments to the Transaction, Issuer agrees to pay to GS&amp;Co. on each Payment Date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an amount in USD (the “</w:t>
      </w:r>
      <w:r>
        <w:rPr>
          <w:rFonts w:ascii="Arial" w:cs="Arial" w:eastAsia="Arial" w:hAnsi="Arial"/>
          <w:sz w:val="17"/>
          <w:szCs w:val="17"/>
          <w:b w:val="1"/>
          <w:bCs w:val="1"/>
          <w:color w:val="auto"/>
        </w:rPr>
        <w:t>Daily Amendment Payment</w:t>
      </w:r>
      <w:r>
        <w:rPr>
          <w:rFonts w:ascii="Arial" w:cs="Arial" w:eastAsia="Arial" w:hAnsi="Arial"/>
          <w:sz w:val="17"/>
          <w:szCs w:val="17"/>
          <w:color w:val="auto"/>
        </w:rPr>
        <w:t xml:space="preserve">”) equal to the product of the Daily Number of Warrants for the related Unwind Date and the Amendment Payment Amount per Warrant (each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of the Daily Amendment Payments shall not exceed the Maximum Amendment Payment Amount (as defined below); </w:t>
      </w:r>
      <w:r>
        <w:rPr>
          <w:rFonts w:ascii="Arial" w:cs="Arial" w:eastAsia="Arial" w:hAnsi="Arial"/>
          <w:sz w:val="17"/>
          <w:szCs w:val="17"/>
          <w:i w:val="1"/>
          <w:iCs w:val="1"/>
          <w:color w:val="auto"/>
        </w:rPr>
        <w:t>provided further</w:t>
      </w:r>
      <w:r>
        <w:rPr>
          <w:rFonts w:ascii="Arial" w:cs="Arial" w:eastAsia="Arial" w:hAnsi="Arial"/>
          <w:sz w:val="17"/>
          <w:szCs w:val="17"/>
          <w:color w:val="auto"/>
        </w:rPr>
        <w:t>, that in lieu of payment in USD, Issuer may elect in its sole discretion to satisfy, with respect to any Unwind Date, the Daily Amendment Payment in Shares as provided in Annex B hereto.</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Daily Number of Warrants: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For any Unwind Date (as defined below), a number of Warrants as determined by GS&amp;Co. with respect to which GS&amp;Co. has closed out its Hedge Positions on such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the Daily Number of Warrants shall not exceed the Maximum Number of Warrants (as defined below).</w:t>
      </w:r>
    </w:p>
    <w:p>
      <w:pPr>
        <w:spacing w:after="0" w:line="174" w:lineRule="exact"/>
        <w:rPr>
          <w:sz w:val="20"/>
          <w:szCs w:val="20"/>
          <w:color w:val="auto"/>
        </w:rPr>
      </w:pPr>
    </w:p>
    <w:p>
      <w:pPr>
        <w:sectPr>
          <w:pgSz w:w="11900" w:h="16838" w:orient="portrait"/>
          <w:cols w:equalWidth="0" w:num="2">
            <w:col w:w="3180" w:space="720"/>
            <w:col w:w="752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158" w:name="page159"/>
    <w:bookmarkEnd w:id="158"/>
    <w:p>
      <w:pPr>
        <w:ind w:left="4"/>
        <w:spacing w:after="0"/>
        <w:rPr>
          <w:sz w:val="20"/>
          <w:szCs w:val="20"/>
          <w:color w:val="auto"/>
        </w:rPr>
      </w:pPr>
      <w:r>
        <w:rPr>
          <w:rFonts w:ascii="Arial" w:cs="Arial" w:eastAsia="Arial" w:hAnsi="Arial"/>
          <w:sz w:val="16"/>
          <w:szCs w:val="16"/>
          <w:color w:val="auto"/>
        </w:rPr>
        <w:t>Maximum Number 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76,749</w:t>
      </w:r>
    </w:p>
    <w:p>
      <w:pPr>
        <w:spacing w:after="0" w:line="200" w:lineRule="exact"/>
        <w:rPr>
          <w:sz w:val="20"/>
          <w:szCs w:val="20"/>
          <w:color w:val="auto"/>
        </w:rPr>
      </w:pPr>
    </w:p>
    <w:p>
      <w:pPr>
        <w:sectPr>
          <w:pgSz w:w="11900" w:h="16838" w:orient="portrait"/>
          <w:cols w:equalWidth="0" w:num="2">
            <w:col w:w="2524" w:space="720"/>
            <w:col w:w="7520"/>
          </w:cols>
          <w:pgMar w:left="896" w:top="342" w:right="239" w:bottom="1440" w:gutter="0" w:footer="0" w:header="0"/>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Amendment Payment Amount</w:t>
      </w:r>
    </w:p>
    <w:p>
      <w:pPr>
        <w:sectPr>
          <w:pgSz w:w="11900" w:h="16838" w:orient="portrait"/>
          <w:cols w:equalWidth="0" w:num="1">
            <w:col w:w="10764"/>
          </w:cols>
          <w:pgMar w:left="896" w:top="342" w:right="239" w:bottom="1440" w:gutter="0" w:footer="0" w:header="0"/>
          <w:type w:val="continuous"/>
        </w:sectPr>
      </w:pP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 Warrant: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As set forth in Annex A, to be the amount specified for the relevant Unwind Period Price.</w:t>
      </w:r>
    </w:p>
    <w:p>
      <w:pPr>
        <w:spacing w:after="0" w:line="32"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Maximum Amendment</w:t>
      </w:r>
    </w:p>
    <w:p>
      <w:pPr>
        <w:sectPr>
          <w:pgSz w:w="11900" w:h="16838" w:orient="portrait"/>
          <w:cols w:equalWidth="0" w:num="1">
            <w:col w:w="10764"/>
          </w:cols>
          <w:pgMar w:left="896" w:top="342" w:right="239" w:bottom="1440" w:gutter="0" w:footer="0" w:header="0"/>
          <w:type w:val="continuous"/>
        </w:sectPr>
      </w:pP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 Amount:</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USD 23,985,597.48.</w:t>
      </w:r>
    </w:p>
    <w:p>
      <w:pPr>
        <w:spacing w:after="0" w:line="200"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spacing w:after="0" w:line="34" w:lineRule="exact"/>
        <w:rPr>
          <w:sz w:val="20"/>
          <w:szCs w:val="20"/>
          <w:color w:val="auto"/>
        </w:rPr>
      </w:pPr>
    </w:p>
    <w:p>
      <w:pPr>
        <w:ind w:left="4"/>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For each Unwind Date, the third Currency Business Day following such Unwind Date.</w:t>
      </w:r>
    </w:p>
    <w:p>
      <w:pPr>
        <w:spacing w:after="0" w:line="200"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Unwind Period: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number of Scheduled Trading Days selected by GS&amp;Co. in its sole discretion, beginning on the Scheduled Trading Day immediately following the date hereof, and ending no later than May 7, 2015.</w:t>
      </w:r>
    </w:p>
    <w:p>
      <w:pPr>
        <w:spacing w:after="0" w:line="124"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Unwind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Each Scheduled Trading Day during the Unwind Period on which GS&amp;Co. has closed out its Hedge Positions in respect of Warrants.</w:t>
      </w:r>
    </w:p>
    <w:p>
      <w:pPr>
        <w:spacing w:after="0" w:line="170"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ind w:left="4"/>
        <w:spacing w:after="0"/>
        <w:rPr>
          <w:sz w:val="20"/>
          <w:szCs w:val="20"/>
          <w:color w:val="auto"/>
        </w:rPr>
      </w:pPr>
      <w:r>
        <w:rPr>
          <w:rFonts w:ascii="Arial" w:cs="Arial" w:eastAsia="Arial" w:hAnsi="Arial"/>
          <w:sz w:val="16"/>
          <w:szCs w:val="16"/>
          <w:color w:val="auto"/>
        </w:rPr>
        <w:t>Unwind Date Price: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 xml:space="preserve">For any Unwind Date, the volume-weighted average of the per Share prices at which GS&amp;Co. purchases Shares in order to close out its Hedge Positions in respect of the Daily Number of Warrants on such Unwind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GS&amp;Co. shall not effect any such purchases at a price per Share in excess of the Limit Price.</w:t>
      </w:r>
    </w:p>
    <w:p>
      <w:pPr>
        <w:spacing w:after="0" w:line="187"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ind w:left="4"/>
        <w:spacing w:after="0"/>
        <w:rPr>
          <w:sz w:val="20"/>
          <w:szCs w:val="20"/>
          <w:color w:val="auto"/>
        </w:rPr>
      </w:pPr>
      <w:r>
        <w:rPr>
          <w:rFonts w:ascii="Arial" w:cs="Arial" w:eastAsia="Arial" w:hAnsi="Arial"/>
          <w:sz w:val="17"/>
          <w:szCs w:val="17"/>
          <w:color w:val="auto"/>
        </w:rPr>
        <w:t>Limit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408.00 per Share.</w:t>
      </w:r>
    </w:p>
    <w:p>
      <w:pPr>
        <w:spacing w:after="0" w:line="211" w:lineRule="exact"/>
        <w:rPr>
          <w:sz w:val="20"/>
          <w:szCs w:val="20"/>
          <w:color w:val="auto"/>
        </w:rPr>
      </w:pPr>
    </w:p>
    <w:p>
      <w:pPr>
        <w:sectPr>
          <w:pgSz w:w="11900" w:h="16838" w:orient="portrait"/>
          <w:cols w:equalWidth="0" w:num="2">
            <w:col w:w="2524" w:space="720"/>
            <w:col w:w="7520"/>
          </w:cols>
          <w:pgMar w:left="896" w:top="342" w:right="239" w:bottom="1440" w:gutter="0" w:footer="0" w:header="0"/>
          <w:type w:val="continuous"/>
        </w:sectPr>
      </w:pPr>
    </w:p>
    <w:p>
      <w:pPr>
        <w:spacing w:after="0" w:line="37" w:lineRule="exact"/>
        <w:rPr>
          <w:sz w:val="20"/>
          <w:szCs w:val="20"/>
          <w:color w:val="auto"/>
        </w:rPr>
      </w:pPr>
    </w:p>
    <w:p>
      <w:pPr>
        <w:ind w:left="184" w:hanging="184"/>
        <w:spacing w:after="0"/>
        <w:tabs>
          <w:tab w:leader="none" w:pos="184"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p>
    <w:p>
      <w:pPr>
        <w:spacing w:after="0" w:line="225" w:lineRule="exact"/>
        <w:rPr>
          <w:sz w:val="20"/>
          <w:szCs w:val="20"/>
          <w:color w:val="auto"/>
        </w:rPr>
      </w:pPr>
    </w:p>
    <w:p>
      <w:pPr>
        <w:ind w:left="424" w:hanging="424"/>
        <w:spacing w:after="0"/>
        <w:tabs>
          <w:tab w:leader="none" w:pos="4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party represents to the other party that:</w:t>
      </w:r>
    </w:p>
    <w:p>
      <w:pPr>
        <w:spacing w:after="0" w:line="225" w:lineRule="exact"/>
        <w:rPr>
          <w:rFonts w:ascii="Arial" w:cs="Arial" w:eastAsia="Arial" w:hAnsi="Arial"/>
          <w:sz w:val="18"/>
          <w:szCs w:val="18"/>
          <w:color w:val="auto"/>
        </w:rPr>
      </w:pPr>
    </w:p>
    <w:p>
      <w:pPr>
        <w:ind w:left="4" w:firstLine="645"/>
        <w:spacing w:after="0" w:line="277" w:lineRule="auto"/>
        <w:tabs>
          <w:tab w:leader="none" w:pos="105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organization or incorporation and, if relevant under such laws, in good standing.</w:t>
      </w:r>
    </w:p>
    <w:p>
      <w:pPr>
        <w:spacing w:after="0" w:line="170" w:lineRule="exact"/>
        <w:rPr>
          <w:rFonts w:ascii="Arial" w:cs="Arial" w:eastAsia="Arial" w:hAnsi="Arial"/>
          <w:sz w:val="18"/>
          <w:szCs w:val="18"/>
          <w:color w:val="auto"/>
        </w:rPr>
      </w:pPr>
    </w:p>
    <w:p>
      <w:pPr>
        <w:jc w:val="both"/>
        <w:ind w:left="4" w:firstLine="645"/>
        <w:spacing w:after="0" w:line="286" w:lineRule="auto"/>
        <w:tabs>
          <w:tab w:leader="none" w:pos="1066" w:val="left"/>
        </w:tabs>
        <w:numPr>
          <w:ilvl w:val="1"/>
          <w:numId w:val="100"/>
        </w:numPr>
        <w:rPr>
          <w:rFonts w:ascii="Arial" w:cs="Arial" w:eastAsia="Arial" w:hAnsi="Arial"/>
          <w:sz w:val="17"/>
          <w:szCs w:val="17"/>
          <w:color w:val="auto"/>
        </w:rPr>
      </w:pPr>
      <w:r>
        <w:rPr>
          <w:rFonts w:ascii="Arial" w:cs="Arial" w:eastAsia="Arial" w:hAnsi="Arial"/>
          <w:sz w:val="17"/>
          <w:szCs w:val="17"/>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65" w:lineRule="exact"/>
        <w:rPr>
          <w:rFonts w:ascii="Arial" w:cs="Arial" w:eastAsia="Arial" w:hAnsi="Arial"/>
          <w:sz w:val="17"/>
          <w:szCs w:val="17"/>
          <w:color w:val="auto"/>
        </w:rPr>
      </w:pPr>
    </w:p>
    <w:p>
      <w:pPr>
        <w:jc w:val="both"/>
        <w:ind w:left="4" w:firstLine="645"/>
        <w:spacing w:after="0" w:line="264" w:lineRule="auto"/>
        <w:tabs>
          <w:tab w:leader="none" w:pos="113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81" w:lineRule="exact"/>
        <w:rPr>
          <w:rFonts w:ascii="Arial" w:cs="Arial" w:eastAsia="Arial" w:hAnsi="Arial"/>
          <w:sz w:val="18"/>
          <w:szCs w:val="18"/>
          <w:color w:val="auto"/>
        </w:rPr>
      </w:pPr>
    </w:p>
    <w:p>
      <w:pPr>
        <w:ind w:left="4" w:firstLine="645"/>
        <w:spacing w:after="0" w:line="277" w:lineRule="auto"/>
        <w:tabs>
          <w:tab w:leader="none" w:pos="1089"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jc w:val="both"/>
        <w:ind w:left="4" w:firstLine="645"/>
        <w:spacing w:after="0" w:line="264" w:lineRule="auto"/>
        <w:tabs>
          <w:tab w:leader="none" w:pos="119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w:t>
      </w:r>
    </w:p>
    <w:p>
      <w:pPr>
        <w:spacing w:after="0" w:line="20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42" w:right="239" w:bottom="1440" w:gutter="0" w:footer="0" w:header="0"/>
          <w:type w:val="continuous"/>
        </w:sectPr>
      </w:pPr>
    </w:p>
    <w:bookmarkStart w:id="159" w:name="page160"/>
    <w:bookmarkEnd w:id="159"/>
    <w:p>
      <w:pPr>
        <w:ind w:left="4"/>
        <w:spacing w:after="0"/>
        <w:rPr>
          <w:sz w:val="20"/>
          <w:szCs w:val="20"/>
          <w:color w:val="auto"/>
        </w:rPr>
      </w:pPr>
      <w:r>
        <w:rPr>
          <w:rFonts w:ascii="Arial" w:cs="Arial" w:eastAsia="Arial" w:hAnsi="Arial"/>
          <w:sz w:val="18"/>
          <w:szCs w:val="18"/>
          <w:color w:val="auto"/>
        </w:rPr>
        <w:t>to equitable principles of general application (regardless of whether enforcement is sought in a proceeding in equity or at law)).</w:t>
      </w:r>
    </w:p>
    <w:p>
      <w:pPr>
        <w:spacing w:after="0" w:line="225" w:lineRule="exact"/>
        <w:rPr>
          <w:sz w:val="20"/>
          <w:szCs w:val="20"/>
          <w:color w:val="auto"/>
        </w:rPr>
      </w:pPr>
    </w:p>
    <w:p>
      <w:pPr>
        <w:ind w:left="444" w:hanging="444"/>
        <w:spacing w:after="0"/>
        <w:tabs>
          <w:tab w:leader="none" w:pos="4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Issuer represents and warrants to and for the benefit of GS&amp;Co. as follows:</w:t>
      </w:r>
    </w:p>
    <w:p>
      <w:pPr>
        <w:spacing w:after="0" w:line="225" w:lineRule="exact"/>
        <w:rPr>
          <w:rFonts w:ascii="Arial" w:cs="Arial" w:eastAsia="Arial" w:hAnsi="Arial"/>
          <w:sz w:val="18"/>
          <w:szCs w:val="18"/>
          <w:color w:val="auto"/>
        </w:rPr>
      </w:pPr>
    </w:p>
    <w:p>
      <w:pPr>
        <w:jc w:val="both"/>
        <w:ind w:left="4" w:firstLine="645"/>
        <w:spacing w:after="0" w:line="273" w:lineRule="auto"/>
        <w:tabs>
          <w:tab w:leader="none" w:pos="107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 On the date hereof, Issuer is not aware of any material non-public information regarding Issuer or the Shares and (B)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78" w:lineRule="exact"/>
        <w:rPr>
          <w:rFonts w:ascii="Arial" w:cs="Arial" w:eastAsia="Arial" w:hAnsi="Arial"/>
          <w:sz w:val="17"/>
          <w:szCs w:val="17"/>
          <w:color w:val="auto"/>
        </w:rPr>
      </w:pPr>
    </w:p>
    <w:p>
      <w:pPr>
        <w:jc w:val="both"/>
        <w:ind w:left="4" w:firstLine="645"/>
        <w:spacing w:after="0" w:line="312" w:lineRule="auto"/>
        <w:tabs>
          <w:tab w:leader="none" w:pos="109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the date hereof and on the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46" w:lineRule="exact"/>
        <w:rPr>
          <w:rFonts w:ascii="Arial" w:cs="Arial" w:eastAsia="Arial" w:hAnsi="Arial"/>
          <w:sz w:val="16"/>
          <w:szCs w:val="16"/>
          <w:color w:val="auto"/>
        </w:rPr>
      </w:pPr>
    </w:p>
    <w:p>
      <w:pPr>
        <w:ind w:left="4" w:firstLine="645"/>
        <w:spacing w:after="0" w:line="277" w:lineRule="auto"/>
        <w:tabs>
          <w:tab w:leader="none" w:pos="113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Issuer acknowledges its responsibilities under applicable federal securities laws, including, without limitation, Rule 10b-5 under the Exchange Act, in relation to the Transaction and its amendment.</w:t>
      </w:r>
    </w:p>
    <w:p>
      <w:pPr>
        <w:spacing w:after="0" w:line="170" w:lineRule="exact"/>
        <w:rPr>
          <w:rFonts w:ascii="Arial" w:cs="Arial" w:eastAsia="Arial" w:hAnsi="Arial"/>
          <w:sz w:val="18"/>
          <w:szCs w:val="18"/>
          <w:color w:val="auto"/>
        </w:rPr>
      </w:pPr>
    </w:p>
    <w:p>
      <w:pPr>
        <w:jc w:val="both"/>
        <w:ind w:left="4" w:firstLine="645"/>
        <w:spacing w:after="0" w:line="276" w:lineRule="auto"/>
        <w:tabs>
          <w:tab w:leader="none" w:pos="114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Issuer is entering into this Amendment in good faith and not as part of a plan or scheme to evade the prohibitions of Rule 10b5-1 under the Exchange Act (“</w:t>
      </w:r>
      <w:r>
        <w:rPr>
          <w:rFonts w:ascii="Arial" w:cs="Arial" w:eastAsia="Arial" w:hAnsi="Arial"/>
          <w:sz w:val="17"/>
          <w:szCs w:val="17"/>
          <w:b w:val="1"/>
          <w:bCs w:val="1"/>
          <w:color w:val="auto"/>
        </w:rPr>
        <w:t>Rule 10b5-1</w:t>
      </w:r>
      <w:r>
        <w:rPr>
          <w:rFonts w:ascii="Arial" w:cs="Arial" w:eastAsia="Arial" w:hAnsi="Arial"/>
          <w:sz w:val="17"/>
          <w:szCs w:val="17"/>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Issuer acknowledges that it is the intent of the parties that this Amendment comply with the requirements of paragraphs (c)(1)(i)(A) and (B) of Rule 10b5-1 and this Amendment shall be interpreted to comply with the requirements of Rule 10b5-1(c).</w:t>
      </w:r>
    </w:p>
    <w:p>
      <w:pPr>
        <w:spacing w:after="0" w:line="172" w:lineRule="exact"/>
        <w:rPr>
          <w:rFonts w:ascii="Arial" w:cs="Arial" w:eastAsia="Arial" w:hAnsi="Arial"/>
          <w:sz w:val="17"/>
          <w:szCs w:val="17"/>
          <w:color w:val="auto"/>
        </w:rPr>
      </w:pPr>
    </w:p>
    <w:p>
      <w:pPr>
        <w:jc w:val="both"/>
        <w:ind w:left="4" w:firstLine="645"/>
        <w:spacing w:after="0" w:line="259" w:lineRule="auto"/>
        <w:tabs>
          <w:tab w:leader="none" w:pos="108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Issuer will not seek to control or influence GS&amp;Co.’s decision to make any “purchases or sales” (within the meaning of Rule 10b5-1(c)(1)(i)(B)(3)) of Shares during the Unwind Period, including, without limitation, GS&amp;Co.’s decision to enter into any hedging transactions. Issuer represents and warrants that it has consulted with its own advisors as to the legal aspects of its adoption and implementation of this Amendment under Rule 10b5-1.</w:t>
      </w:r>
    </w:p>
    <w:p>
      <w:pPr>
        <w:spacing w:after="0" w:line="186" w:lineRule="exact"/>
        <w:rPr>
          <w:rFonts w:ascii="Arial" w:cs="Arial" w:eastAsia="Arial" w:hAnsi="Arial"/>
          <w:sz w:val="18"/>
          <w:szCs w:val="18"/>
          <w:color w:val="auto"/>
        </w:rPr>
      </w:pPr>
    </w:p>
    <w:p>
      <w:pPr>
        <w:jc w:val="both"/>
        <w:ind w:left="4" w:firstLine="645"/>
        <w:spacing w:after="0" w:line="257" w:lineRule="auto"/>
        <w:tabs>
          <w:tab w:leader="none" w:pos="115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Issuer acknowledges and agrees that any amendment, modification, waiver or termination of this Amendment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10b5-1, and no such amendment, modification or waiver shall be made at any time at which Issuer is aware of any material non-public information regarding Issuer or the Shares.</w:t>
      </w:r>
    </w:p>
    <w:p>
      <w:pPr>
        <w:spacing w:after="0" w:line="188" w:lineRule="exact"/>
        <w:rPr>
          <w:rFonts w:ascii="Arial" w:cs="Arial" w:eastAsia="Arial" w:hAnsi="Arial"/>
          <w:sz w:val="18"/>
          <w:szCs w:val="18"/>
          <w:color w:val="auto"/>
        </w:rPr>
      </w:pPr>
    </w:p>
    <w:p>
      <w:pPr>
        <w:jc w:val="both"/>
        <w:ind w:left="4" w:firstLine="645"/>
        <w:spacing w:after="0" w:line="286" w:lineRule="auto"/>
        <w:tabs>
          <w:tab w:leader="none" w:pos="132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In the event Issuer elects to pay the Amendment Payment by delivering Shares in accordance with Annex B hereto, the representation and agreement set forth in Section 9.11 of the Equity Definitions shall be true and correct at the time of such delivery, excluding any representations therein relating to restrictions, obligations, limitations or requirements under applicable securities laws.</w:t>
      </w:r>
    </w:p>
    <w:p>
      <w:pPr>
        <w:spacing w:after="0" w:line="200" w:lineRule="exact"/>
        <w:rPr>
          <w:sz w:val="20"/>
          <w:szCs w:val="20"/>
          <w:color w:val="auto"/>
        </w:rPr>
      </w:pPr>
    </w:p>
    <w:p>
      <w:pPr>
        <w:spacing w:after="0" w:line="20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125" w:right="239" w:bottom="1440" w:gutter="0" w:footer="0" w:header="0"/>
        </w:sectPr>
      </w:pPr>
    </w:p>
    <w:bookmarkStart w:id="160" w:name="page161"/>
    <w:bookmarkEnd w:id="160"/>
    <w:p>
      <w:pPr>
        <w:ind w:left="66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i w:val="1"/>
          <w:iCs w:val="1"/>
          <w:color w:val="auto"/>
        </w:rPr>
        <w:t>Covenants of Issuer during Unwind Period</w:t>
      </w:r>
      <w:r>
        <w:rPr>
          <w:rFonts w:ascii="Arial" w:cs="Arial" w:eastAsia="Arial" w:hAnsi="Arial"/>
          <w:sz w:val="18"/>
          <w:szCs w:val="18"/>
          <w:color w:val="auto"/>
        </w:rPr>
        <w:t>. Issuer agrees with GS&amp;Co. that during the Unwind Period that:</w:t>
      </w:r>
    </w:p>
    <w:p>
      <w:pPr>
        <w:spacing w:after="0" w:line="225" w:lineRule="exact"/>
        <w:rPr>
          <w:sz w:val="20"/>
          <w:szCs w:val="20"/>
          <w:color w:val="auto"/>
        </w:rPr>
      </w:pPr>
    </w:p>
    <w:p>
      <w:pPr>
        <w:jc w:val="both"/>
        <w:ind w:firstLine="656"/>
        <w:spacing w:after="0" w:line="264"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Shares or securities that are convertible into, or exchangeable or exercisable for Shares, are not, and shall not be, subject to a “restricted period,” as such term is defined in Regulation M and (B) Issuer shall not engage in any “distribution,” as such term is defined in Regulation M until the second Exchange Business Day immediately following the Unwind Period;</w:t>
      </w:r>
    </w:p>
    <w:p>
      <w:pPr>
        <w:spacing w:after="0" w:line="181" w:lineRule="exact"/>
        <w:rPr>
          <w:rFonts w:ascii="Arial" w:cs="Arial" w:eastAsia="Arial" w:hAnsi="Arial"/>
          <w:sz w:val="18"/>
          <w:szCs w:val="18"/>
          <w:color w:val="auto"/>
        </w:rPr>
      </w:pPr>
    </w:p>
    <w:p>
      <w:pPr>
        <w:jc w:val="both"/>
        <w:ind w:firstLine="656"/>
        <w:spacing w:after="0" w:line="291" w:lineRule="auto"/>
        <w:tabs>
          <w:tab w:leader="none" w:pos="106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neither Issuer nor any “affiliated purchaser” (as defined in Rule 10b-18)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(i) for purposes of this Section 4(b) “affiliated purchaser” shall not include Sanofi or any of its directly or indirectly wholly owned subsidiaries; and (ii) this Section 4(b) shall not preclude Issuer from receiving (or retaining) any Shares in payment of the option exercise price or receiving (or retaining) any Shares in respect of tax withholding or other similar tax obligation in connection with the exercise, vesting or delivery of any awards granted under Issuer’s equity incentive award plans;</w:t>
      </w:r>
    </w:p>
    <w:p>
      <w:pPr>
        <w:spacing w:after="0" w:line="167" w:lineRule="exact"/>
        <w:rPr>
          <w:rFonts w:ascii="Arial" w:cs="Arial" w:eastAsia="Arial" w:hAnsi="Arial"/>
          <w:sz w:val="16"/>
          <w:szCs w:val="16"/>
          <w:color w:val="auto"/>
        </w:rPr>
      </w:pPr>
    </w:p>
    <w:p>
      <w:pPr>
        <w:jc w:val="both"/>
        <w:ind w:firstLine="656"/>
        <w:spacing w:after="0" w:line="259" w:lineRule="auto"/>
        <w:tabs>
          <w:tab w:leader="none" w:pos="110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(A) will not make any public announcement (as defined in Rule 165(f) under the Securities Act) of any Merger Transaction or potential Merger Transaction unless such public announcement is made prior to the opening or after the close of the regular trading session on the Exchange for the Shares; and (B) shall promptly (but in any event prior to the next opening of the regular trading session on the Exchange) notify GS&amp;Co. following any such announcement that such announcement has been made.</w:t>
      </w:r>
    </w:p>
    <w:p>
      <w:pPr>
        <w:spacing w:after="0" w:line="187" w:lineRule="exact"/>
        <w:rPr>
          <w:sz w:val="20"/>
          <w:szCs w:val="20"/>
          <w:color w:val="auto"/>
        </w:rPr>
      </w:pPr>
    </w:p>
    <w:p>
      <w:pPr>
        <w:ind w:left="840" w:hanging="184"/>
        <w:spacing w:after="0"/>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GS&amp;Co. Activities during Unwind Period</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9" w:lineRule="auto"/>
        <w:tabs>
          <w:tab w:leader="none" w:pos="104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GS&amp;Co. agrees with Issuer that during the Unwind Period, GS&amp;Co. shall use commercially reasonable efforts to make all purchases of Shares in a manner that would comply with the limitations set forth in clauses (b)(1), (b)(2), (b)(3), (b)(4) and (c) of Rule 10b-18, as if such rule were applicable to such purchases, taking into account any applicable Securities and Exchange Commission no-action letters as appropriate and subject to any delays between the execution and reporting of a trade of the Shares on the Exchange and other circumstances beyond GS&amp;Co.’s control.</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15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GS&amp;Co. and Issuer agree and acknowledge that any transactions with respect to the Shares (including, without limitation, any hedging transactions) entered into by GS&amp;Co. during the Unwind Period are entered into for GS&amp;Co.’s own account and on its own behalf and not for the account of, or on behalf of, Issuer.</w:t>
      </w:r>
    </w:p>
    <w:p>
      <w:pPr>
        <w:spacing w:after="0" w:line="181" w:lineRule="exact"/>
        <w:rPr>
          <w:sz w:val="20"/>
          <w:szCs w:val="20"/>
          <w:color w:val="auto"/>
        </w:rPr>
      </w:pPr>
    </w:p>
    <w:p>
      <w:pPr>
        <w:ind w:firstLine="656"/>
        <w:spacing w:after="0" w:line="277" w:lineRule="auto"/>
        <w:tabs>
          <w:tab w:leader="none" w:pos="842"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No Additional Amendments or Waivers</w:t>
      </w:r>
      <w:r>
        <w:rPr>
          <w:rFonts w:ascii="Arial" w:cs="Arial" w:eastAsia="Arial" w:hAnsi="Arial"/>
          <w:sz w:val="18"/>
          <w:szCs w:val="18"/>
          <w:color w:val="auto"/>
        </w:rPr>
        <w:t>. Except as amended hereby, all the terms of the Transaction and provisions in the Confirmation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remain and continue in full force and effect and are hereby confirmed in all respects.</w:t>
      </w:r>
    </w:p>
    <w:p>
      <w:pPr>
        <w:spacing w:after="0" w:line="170" w:lineRule="exact"/>
        <w:rPr>
          <w:rFonts w:ascii="Arial" w:cs="Arial" w:eastAsia="Arial" w:hAnsi="Arial"/>
          <w:sz w:val="18"/>
          <w:szCs w:val="18"/>
          <w:color w:val="auto"/>
        </w:rPr>
      </w:pPr>
    </w:p>
    <w:p>
      <w:pPr>
        <w:ind w:firstLine="656"/>
        <w:spacing w:after="0" w:line="277" w:lineRule="auto"/>
        <w:tabs>
          <w:tab w:leader="none" w:pos="828"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signed in any number of counterparts, each of which shall be an original, with the same effect as if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signatures thereto and hereto were upon the same instrument.</w:t>
      </w:r>
    </w:p>
    <w:p>
      <w:pPr>
        <w:spacing w:after="0" w:line="170" w:lineRule="exact"/>
        <w:rPr>
          <w:rFonts w:ascii="Arial" w:cs="Arial" w:eastAsia="Arial" w:hAnsi="Arial"/>
          <w:sz w:val="18"/>
          <w:szCs w:val="18"/>
          <w:color w:val="auto"/>
        </w:rPr>
      </w:pPr>
    </w:p>
    <w:p>
      <w:pPr>
        <w:ind w:left="840" w:hanging="184"/>
        <w:spacing w:after="0"/>
        <w:tabs>
          <w:tab w:leader="none" w:pos="84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Governing Law</w:t>
      </w:r>
      <w:r>
        <w:rPr>
          <w:rFonts w:ascii="Arial" w:cs="Arial" w:eastAsia="Arial" w:hAnsi="Arial"/>
          <w:sz w:val="17"/>
          <w:szCs w:val="17"/>
          <w:color w:val="auto"/>
        </w:rPr>
        <w:t>. The provisions of this Amendment shall be governed by the New York law (without reference to choice of law doctrine).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61" w:name="page162"/>
    <w:bookmarkEnd w:id="161"/>
    <w:p>
      <w:pPr>
        <w:ind w:left="660"/>
        <w:spacing w:after="0"/>
        <w:rPr>
          <w:sz w:val="20"/>
          <w:szCs w:val="20"/>
          <w:color w:val="auto"/>
        </w:rPr>
      </w:pPr>
      <w:r>
        <w:rPr>
          <w:rFonts w:ascii="Arial" w:cs="Arial" w:eastAsia="Arial" w:hAnsi="Arial"/>
          <w:sz w:val="16"/>
          <w:szCs w:val="16"/>
          <w:color w:val="auto"/>
        </w:rPr>
        <w:t>Please confirm that the foregoing correctly sets forth the terms of our agreement by executing this Amendment and returning it in the manner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indicated in the attached cover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By:__</w:t>
      </w:r>
      <w:r>
        <w:rPr>
          <w:rFonts w:ascii="Arial" w:cs="Arial" w:eastAsia="Arial" w:hAnsi="Arial"/>
          <w:sz w:val="18"/>
          <w:szCs w:val="18"/>
          <w:u w:val="single" w:color="auto"/>
          <w:color w:val="auto"/>
        </w:rPr>
        <w:t>/s/ Daniela A. Rouse</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Daniela A. Rouse</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240" w:top="584" w:right="81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Dominick Agron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Dominick Agron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 &amp; Treasurer</w:t>
      </w:r>
    </w:p>
    <w:p>
      <w:pPr>
        <w:spacing w:after="0" w:line="200" w:lineRule="exact"/>
        <w:rPr>
          <w:sz w:val="20"/>
          <w:szCs w:val="20"/>
          <w:color w:val="auto"/>
        </w:rPr>
      </w:pPr>
    </w:p>
    <w:p>
      <w:pPr>
        <w:spacing w:after="0" w:line="25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163" w:name="page164"/>
    <w:bookmarkEnd w:id="163"/>
    <w:tbl>
      <w:tblPr>
        <w:tblLayout w:type="fixed"/>
        <w:tblInd w:w="10" w:type="dxa"/>
        <w:tblCellMar>
          <w:top w:w="0" w:type="dxa"/>
          <w:left w:w="0" w:type="dxa"/>
          <w:bottom w:w="0" w:type="dxa"/>
          <w:right w:w="0" w:type="dxa"/>
        </w:tblCellMar>
      </w:tblPr>
      <w:tr>
        <w:trPr>
          <w:trHeight w:val="256"/>
        </w:trPr>
        <w:tc>
          <w:tcPr>
            <w:tcW w:w="13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460" w:type="dxa"/>
            <w:vAlign w:val="bottom"/>
            <w:gridSpan w:val="2"/>
          </w:tcPr>
          <w:p>
            <w:pPr>
              <w:ind w:left="380"/>
              <w:spacing w:after="0"/>
              <w:rPr>
                <w:sz w:val="20"/>
                <w:szCs w:val="20"/>
                <w:color w:val="auto"/>
              </w:rPr>
            </w:pPr>
            <w:r>
              <w:rPr>
                <w:rFonts w:ascii="Arial" w:cs="Arial" w:eastAsia="Arial" w:hAnsi="Arial"/>
                <w:sz w:val="20"/>
                <w:szCs w:val="20"/>
                <w:b w:val="1"/>
                <w:bCs w:val="1"/>
                <w:color w:val="auto"/>
              </w:rPr>
              <w:t>Annex A</w:t>
            </w:r>
          </w:p>
        </w:tc>
      </w:tr>
      <w:tr>
        <w:trPr>
          <w:trHeight w:val="361"/>
        </w:trPr>
        <w:tc>
          <w:tcPr>
            <w:tcW w:w="13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tcBorders>
          </w:tcPr>
          <w:p>
            <w:pPr>
              <w:spacing w:after="0"/>
              <w:rPr>
                <w:sz w:val="24"/>
                <w:szCs w:val="24"/>
                <w:color w:val="auto"/>
              </w:rPr>
            </w:pPr>
          </w:p>
        </w:tc>
        <w:tc>
          <w:tcPr>
            <w:tcW w:w="1320" w:type="dxa"/>
            <w:vAlign w:val="bottom"/>
            <w:tcBorders>
              <w:bottom w:val="single" w:sz="8" w:color="00000A"/>
            </w:tcBorders>
          </w:tcPr>
          <w:p>
            <w:pPr>
              <w:spacing w:after="0"/>
              <w:rPr>
                <w:sz w:val="24"/>
                <w:szCs w:val="24"/>
                <w:color w:val="auto"/>
              </w:rPr>
            </w:pPr>
          </w:p>
        </w:tc>
        <w:tc>
          <w:tcPr>
            <w:tcW w:w="700" w:type="dxa"/>
            <w:vAlign w:val="bottom"/>
            <w:tcBorders>
              <w:bottom w:val="single" w:sz="8" w:color="00000A"/>
            </w:tcBorders>
          </w:tcPr>
          <w:p>
            <w:pPr>
              <w:spacing w:after="0"/>
              <w:rPr>
                <w:sz w:val="24"/>
                <w:szCs w:val="24"/>
                <w:color w:val="auto"/>
              </w:rPr>
            </w:pPr>
          </w:p>
        </w:tc>
        <w:tc>
          <w:tcPr>
            <w:tcW w:w="372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tcBorders>
          </w:tcPr>
          <w:p>
            <w:pPr>
              <w:spacing w:after="0"/>
              <w:rPr>
                <w:sz w:val="24"/>
                <w:szCs w:val="24"/>
                <w:color w:val="auto"/>
              </w:rPr>
            </w:pPr>
          </w:p>
        </w:tc>
      </w:tr>
      <w:tr>
        <w:trPr>
          <w:trHeight w:val="210"/>
        </w:trPr>
        <w:tc>
          <w:tcPr>
            <w:tcW w:w="4260" w:type="dxa"/>
            <w:vAlign w:val="bottom"/>
            <w:tcBorders>
              <w:left w:val="single" w:sz="8" w:color="00000A"/>
              <w:right w:val="single" w:sz="8" w:color="00000A"/>
            </w:tcBorders>
            <w:gridSpan w:val="3"/>
          </w:tcPr>
          <w:p>
            <w:pPr>
              <w:jc w:val="center"/>
              <w:spacing w:after="0" w:line="209" w:lineRule="exact"/>
              <w:rPr>
                <w:sz w:val="20"/>
                <w:szCs w:val="20"/>
                <w:color w:val="auto"/>
              </w:rPr>
            </w:pPr>
            <w:r>
              <w:rPr>
                <w:rFonts w:ascii="Arial" w:cs="Arial" w:eastAsia="Arial" w:hAnsi="Arial"/>
                <w:sz w:val="20"/>
                <w:szCs w:val="20"/>
                <w:b w:val="1"/>
                <w:bCs w:val="1"/>
                <w:color w:val="auto"/>
                <w:w w:val="92"/>
              </w:rPr>
              <w:t>Unwind Date Price</w:t>
            </w:r>
          </w:p>
        </w:tc>
        <w:tc>
          <w:tcPr>
            <w:tcW w:w="5160" w:type="dxa"/>
            <w:vAlign w:val="bottom"/>
            <w:tcBorders>
              <w:right w:val="single" w:sz="8" w:color="00000A"/>
            </w:tcBorders>
            <w:gridSpan w:val="3"/>
          </w:tcPr>
          <w:p>
            <w:pPr>
              <w:jc w:val="center"/>
              <w:ind w:right="40"/>
              <w:spacing w:after="0" w:line="209" w:lineRule="exact"/>
              <w:rPr>
                <w:sz w:val="20"/>
                <w:szCs w:val="20"/>
                <w:color w:val="auto"/>
              </w:rPr>
            </w:pPr>
            <w:r>
              <w:rPr>
                <w:rFonts w:ascii="Arial" w:cs="Arial" w:eastAsia="Arial" w:hAnsi="Arial"/>
                <w:sz w:val="20"/>
                <w:szCs w:val="20"/>
                <w:b w:val="1"/>
                <w:bCs w:val="1"/>
                <w:color w:val="auto"/>
                <w:w w:val="91"/>
              </w:rPr>
              <w:t>Amendment Payment Amount Per Warrant</w:t>
            </w:r>
          </w:p>
        </w:tc>
      </w:tr>
      <w:tr>
        <w:trPr>
          <w:trHeight w:val="48"/>
        </w:trPr>
        <w:tc>
          <w:tcPr>
            <w:tcW w:w="1320" w:type="dxa"/>
            <w:vAlign w:val="bottom"/>
            <w:tcBorders>
              <w:left w:val="single" w:sz="8" w:color="00000A"/>
              <w:bottom w:val="single" w:sz="8" w:color="00000A"/>
            </w:tcBorders>
          </w:tcPr>
          <w:p>
            <w:pPr>
              <w:spacing w:after="0"/>
              <w:rPr>
                <w:sz w:val="4"/>
                <w:szCs w:val="4"/>
                <w:color w:val="auto"/>
              </w:rPr>
            </w:pPr>
          </w:p>
        </w:tc>
        <w:tc>
          <w:tcPr>
            <w:tcW w:w="1620" w:type="dxa"/>
            <w:vAlign w:val="bottom"/>
            <w:tcBorders>
              <w:top w:val="single" w:sz="8" w:color="auto"/>
              <w:bottom w:val="single" w:sz="8" w:color="00000A"/>
            </w:tcBorders>
          </w:tcPr>
          <w:p>
            <w:pPr>
              <w:spacing w:after="0"/>
              <w:rPr>
                <w:sz w:val="4"/>
                <w:szCs w:val="4"/>
                <w:color w:val="auto"/>
              </w:rPr>
            </w:pPr>
          </w:p>
        </w:tc>
        <w:tc>
          <w:tcPr>
            <w:tcW w:w="1320" w:type="dxa"/>
            <w:vAlign w:val="bottom"/>
            <w:tcBorders>
              <w:bottom w:val="single" w:sz="8" w:color="00000A"/>
              <w:right w:val="single" w:sz="8" w:color="00000A"/>
            </w:tcBorders>
          </w:tcPr>
          <w:p>
            <w:pPr>
              <w:spacing w:after="0"/>
              <w:rPr>
                <w:sz w:val="4"/>
                <w:szCs w:val="4"/>
                <w:color w:val="auto"/>
              </w:rPr>
            </w:pPr>
          </w:p>
        </w:tc>
        <w:tc>
          <w:tcPr>
            <w:tcW w:w="700" w:type="dxa"/>
            <w:vAlign w:val="bottom"/>
            <w:tcBorders>
              <w:bottom w:val="single" w:sz="8" w:color="00000A"/>
            </w:tcBorders>
          </w:tcPr>
          <w:p>
            <w:pPr>
              <w:spacing w:after="0"/>
              <w:rPr>
                <w:sz w:val="4"/>
                <w:szCs w:val="4"/>
                <w:color w:val="auto"/>
              </w:rPr>
            </w:pPr>
          </w:p>
        </w:tc>
        <w:tc>
          <w:tcPr>
            <w:tcW w:w="3720" w:type="dxa"/>
            <w:vAlign w:val="bottom"/>
            <w:tcBorders>
              <w:top w:val="single" w:sz="8" w:color="auto"/>
              <w:bottom w:val="single" w:sz="8" w:color="00000A"/>
            </w:tcBorders>
          </w:tcPr>
          <w:p>
            <w:pPr>
              <w:spacing w:after="0"/>
              <w:rPr>
                <w:sz w:val="4"/>
                <w:szCs w:val="4"/>
                <w:color w:val="auto"/>
              </w:rPr>
            </w:pPr>
          </w:p>
        </w:tc>
        <w:tc>
          <w:tcPr>
            <w:tcW w:w="740" w:type="dxa"/>
            <w:vAlign w:val="bottom"/>
            <w:tcBorders>
              <w:bottom w:val="single" w:sz="8" w:color="00000A"/>
              <w:right w:val="single" w:sz="8" w:color="00000A"/>
            </w:tcBorders>
          </w:tcPr>
          <w:p>
            <w:pPr>
              <w:spacing w:after="0"/>
              <w:rPr>
                <w:sz w:val="4"/>
                <w:szCs w:val="4"/>
                <w:color w:val="auto"/>
              </w:rPr>
            </w:pPr>
          </w:p>
        </w:tc>
      </w:tr>
      <w:tr>
        <w:trPr>
          <w:trHeight w:val="244"/>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$370.00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$274.55</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$375.00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$279.54</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$380.00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$284.53</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$385.00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$289.52</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$390.00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$294.55</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$395.00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$299.54</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$400.00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$304.53</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$405.00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$309.52</w:t>
            </w:r>
          </w:p>
        </w:tc>
        <w:tc>
          <w:tcPr>
            <w:tcW w:w="740" w:type="dxa"/>
            <w:vAlign w:val="bottom"/>
            <w:tcBorders>
              <w:bottom w:val="single" w:sz="8" w:color="00000A"/>
              <w:right w:val="single" w:sz="8" w:color="00000A"/>
            </w:tcBorders>
          </w:tcPr>
          <w:p>
            <w:pPr>
              <w:spacing w:after="0"/>
              <w:rPr>
                <w:sz w:val="21"/>
                <w:szCs w:val="21"/>
                <w:color w:val="auto"/>
              </w:rPr>
            </w:pPr>
          </w:p>
        </w:tc>
      </w:tr>
      <w:tr>
        <w:trPr>
          <w:trHeight w:val="250"/>
        </w:trPr>
        <w:tc>
          <w:tcPr>
            <w:tcW w:w="2940" w:type="dxa"/>
            <w:vAlign w:val="bottom"/>
            <w:tcBorders>
              <w:left w:val="single" w:sz="8" w:color="00000A"/>
              <w:bottom w:val="single" w:sz="8" w:color="00000A"/>
            </w:tcBorders>
            <w:gridSpan w:val="2"/>
          </w:tcPr>
          <w:p>
            <w:pPr>
              <w:jc w:val="center"/>
              <w:ind w:left="1229"/>
              <w:spacing w:after="0"/>
              <w:rPr>
                <w:sz w:val="20"/>
                <w:szCs w:val="20"/>
                <w:color w:val="auto"/>
              </w:rPr>
            </w:pPr>
            <w:r>
              <w:rPr>
                <w:rFonts w:ascii="Arial" w:cs="Arial" w:eastAsia="Arial" w:hAnsi="Arial"/>
                <w:sz w:val="18"/>
                <w:szCs w:val="18"/>
                <w:color w:val="auto"/>
              </w:rPr>
              <w:t>$408.00</w:t>
            </w:r>
          </w:p>
        </w:tc>
        <w:tc>
          <w:tcPr>
            <w:tcW w:w="1320" w:type="dxa"/>
            <w:vAlign w:val="bottom"/>
            <w:tcBorders>
              <w:bottom w:val="single" w:sz="8" w:color="00000A"/>
              <w:right w:val="single" w:sz="8" w:color="00000A"/>
            </w:tcBorders>
          </w:tcPr>
          <w:p>
            <w:pPr>
              <w:spacing w:after="0"/>
              <w:rPr>
                <w:sz w:val="21"/>
                <w:szCs w:val="21"/>
                <w:color w:val="auto"/>
              </w:rPr>
            </w:pPr>
          </w:p>
        </w:tc>
        <w:tc>
          <w:tcPr>
            <w:tcW w:w="4420" w:type="dxa"/>
            <w:vAlign w:val="bottom"/>
            <w:tcBorders>
              <w:bottom w:val="single" w:sz="8" w:color="00000A"/>
            </w:tcBorders>
            <w:gridSpan w:val="2"/>
          </w:tcPr>
          <w:p>
            <w:pPr>
              <w:jc w:val="center"/>
              <w:ind w:left="609"/>
              <w:spacing w:after="0"/>
              <w:rPr>
                <w:sz w:val="20"/>
                <w:szCs w:val="20"/>
                <w:color w:val="auto"/>
              </w:rPr>
            </w:pPr>
            <w:r>
              <w:rPr>
                <w:rFonts w:ascii="Arial" w:cs="Arial" w:eastAsia="Arial" w:hAnsi="Arial"/>
                <w:sz w:val="18"/>
                <w:szCs w:val="18"/>
                <w:color w:val="auto"/>
                <w:w w:val="98"/>
              </w:rPr>
              <w:t>$312.52</w:t>
            </w:r>
          </w:p>
        </w:tc>
        <w:tc>
          <w:tcPr>
            <w:tcW w:w="740" w:type="dxa"/>
            <w:vAlign w:val="bottom"/>
            <w:tcBorders>
              <w:bottom w:val="single" w:sz="8" w:color="00000A"/>
              <w:right w:val="single" w:sz="8" w:color="00000A"/>
            </w:tcBorders>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an Unwind Date Price falling between the amounts appearing in such column, the Amendment Payment Amount per Warrant will be calculated by GS&amp;Co. using linear interpolation. If the Amendment Payment Amount per Warrant is otherwise not determinable pursuant to the foregoing because the Unwind Date Price is less than the lowest Unwind Date Price set forth above, the Amendment Payment Amount per Warrant will be determined by GS&amp;Co. by linear extrapolation based on the two lowest Unwind Date Prices set forth above. If the Amendment Payment Amount per Warrant is otherwise not determinable pursuant to the foregoing because the Unwind Date Price is greater than the highest Unwind Date Price set forth above, the Amendment Payment Amount per Warrant will be determined by GS&amp;Co. by linear extrapolation based on the two highest Unwind Date Prices set forth above.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3"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 SETTLEMENT PROVISIONS</w:t>
      </w:r>
    </w:p>
    <w:p>
      <w:pPr>
        <w:spacing w:after="0" w:line="225" w:lineRule="exact"/>
        <w:rPr>
          <w:sz w:val="20"/>
          <w:szCs w:val="20"/>
          <w:color w:val="auto"/>
        </w:rPr>
      </w:pPr>
    </w:p>
    <w:p>
      <w:pPr>
        <w:jc w:val="both"/>
        <w:ind w:firstLine="656"/>
        <w:spacing w:after="0" w:line="257" w:lineRule="auto"/>
        <w:tabs>
          <w:tab w:leader="none" w:pos="96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 of any Daily Amendment Payment in Shares by Issuer shall be made by delivery on the Payment Date of a number of Shares satisfying the conditions set forth in paragraph 2 below (the “</w:t>
      </w:r>
      <w:r>
        <w:rPr>
          <w:rFonts w:ascii="Arial" w:cs="Arial" w:eastAsia="Arial" w:hAnsi="Arial"/>
          <w:sz w:val="18"/>
          <w:szCs w:val="18"/>
          <w:b w:val="1"/>
          <w:bCs w:val="1"/>
          <w:color w:val="auto"/>
        </w:rPr>
        <w:t>Registered Settlement Shares</w:t>
      </w:r>
      <w:r>
        <w:rPr>
          <w:rFonts w:ascii="Arial" w:cs="Arial" w:eastAsia="Arial" w:hAnsi="Arial"/>
          <w:sz w:val="18"/>
          <w:szCs w:val="18"/>
          <w:color w:val="auto"/>
        </w:rPr>
        <w:t>”), or a number of Shares not satisfying such conditions (the “</w:t>
      </w:r>
      <w:r>
        <w:rPr>
          <w:rFonts w:ascii="Arial" w:cs="Arial" w:eastAsia="Arial" w:hAnsi="Arial"/>
          <w:sz w:val="18"/>
          <w:szCs w:val="18"/>
          <w:b w:val="1"/>
          <w:bCs w:val="1"/>
          <w:color w:val="auto"/>
        </w:rPr>
        <w:t>Unregistered</w:t>
      </w:r>
      <w:r>
        <w:rPr>
          <w:rFonts w:ascii="Arial" w:cs="Arial" w:eastAsia="Arial" w:hAnsi="Arial"/>
          <w:sz w:val="18"/>
          <w:szCs w:val="18"/>
          <w:color w:val="auto"/>
        </w:rPr>
        <w:t xml:space="preserve"> </w:t>
      </w:r>
      <w:r>
        <w:rPr>
          <w:rFonts w:ascii="Arial" w:cs="Arial" w:eastAsia="Arial" w:hAnsi="Arial"/>
          <w:sz w:val="18"/>
          <w:szCs w:val="18"/>
          <w:b w:val="1"/>
          <w:bCs w:val="1"/>
          <w:color w:val="auto"/>
        </w:rPr>
        <w:t>Settlement Shares</w:t>
      </w:r>
      <w:r>
        <w:rPr>
          <w:rFonts w:ascii="Arial" w:cs="Arial" w:eastAsia="Arial" w:hAnsi="Arial"/>
          <w:sz w:val="18"/>
          <w:szCs w:val="18"/>
          <w:color w:val="auto"/>
        </w:rPr>
        <w:t>”), in either case with a value equal to such Daily Amendment Payment, with such Shares’ value determined by GS&amp;Co. in good faith and</w:t>
      </w:r>
      <w:r>
        <w:rPr>
          <w:rFonts w:ascii="Arial" w:cs="Arial" w:eastAsia="Arial" w:hAnsi="Arial"/>
          <w:sz w:val="18"/>
          <w:szCs w:val="18"/>
          <w:b w:val="1"/>
          <w:bCs w:val="1"/>
          <w:color w:val="auto"/>
        </w:rPr>
        <w:t xml:space="preserve"> </w:t>
      </w:r>
      <w:r>
        <w:rPr>
          <w:rFonts w:ascii="Arial" w:cs="Arial" w:eastAsia="Arial" w:hAnsi="Arial"/>
          <w:sz w:val="18"/>
          <w:szCs w:val="18"/>
          <w:color w:val="auto"/>
        </w:rPr>
        <w:t>in a commercially reasonable manner (which value shall, in the case of Unregistered Settlement Shares, take into account a commercially reasonable illiquidity discount).</w:t>
      </w:r>
    </w:p>
    <w:p>
      <w:pPr>
        <w:spacing w:after="0" w:line="188"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Issuer may only deliver Registered Settlement Shares pursuant to paragraph 2 above if:</w:t>
      </w:r>
    </w:p>
    <w:p>
      <w:pPr>
        <w:spacing w:after="0" w:line="221" w:lineRule="exact"/>
        <w:rPr>
          <w:rFonts w:ascii="Arial" w:cs="Arial" w:eastAsia="Arial" w:hAnsi="Arial"/>
          <w:sz w:val="18"/>
          <w:szCs w:val="18"/>
          <w:color w:val="auto"/>
        </w:rPr>
      </w:pPr>
    </w:p>
    <w:p>
      <w:pPr>
        <w:jc w:val="both"/>
        <w:ind w:firstLine="1305"/>
        <w:spacing w:after="0" w:line="258" w:lineRule="auto"/>
        <w:tabs>
          <w:tab w:leader="none" w:pos="173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registration statement covering the public resale of the Registered Settlement Shares by GS&amp;Co.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any prospectus supplement thereto, the “</w:t>
      </w:r>
      <w:r>
        <w:rPr>
          <w:rFonts w:ascii="Arial" w:cs="Arial" w:eastAsia="Arial" w:hAnsi="Arial"/>
          <w:sz w:val="18"/>
          <w:szCs w:val="18"/>
          <w:b w:val="1"/>
          <w:bCs w:val="1"/>
          <w:color w:val="auto"/>
        </w:rPr>
        <w:t>Prospectus</w:t>
      </w:r>
      <w:r>
        <w:rPr>
          <w:rFonts w:ascii="Arial" w:cs="Arial" w:eastAsia="Arial" w:hAnsi="Arial"/>
          <w:sz w:val="18"/>
          <w:szCs w:val="18"/>
          <w:color w:val="auto"/>
        </w:rPr>
        <w:t>”) shall have been delivered to GS&amp;Co., in such quantities as GS&amp;Co. shall reasonably have requested, on or prior to the date of delivery;</w:t>
      </w:r>
    </w:p>
    <w:p>
      <w:pPr>
        <w:spacing w:after="0" w:line="187" w:lineRule="exact"/>
        <w:rPr>
          <w:rFonts w:ascii="Arial" w:cs="Arial" w:eastAsia="Arial" w:hAnsi="Arial"/>
          <w:sz w:val="18"/>
          <w:szCs w:val="18"/>
          <w:color w:val="auto"/>
        </w:rPr>
      </w:pPr>
    </w:p>
    <w:p>
      <w:pPr>
        <w:ind w:firstLine="1305"/>
        <w:spacing w:after="0" w:line="277" w:lineRule="auto"/>
        <w:tabs>
          <w:tab w:leader="none" w:pos="170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form and content of the Registration Statement and the Prospectus (including, without limitation, any sections describing the plan of distribution) shall be reasonably satisfactory to GS&amp;Co.;</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76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 of or prior to the date of delivery, GS&amp;Co. and its agents shall have been afforded a reasonable opportunity to conduct a due diligence investigation with respect to Issuer customary in scope for underwritten offerings of equity securities and the results of such investigation are satisfactory to GS&amp;Co., in its good faith discretion; and</w:t>
      </w:r>
    </w:p>
    <w:p>
      <w:pPr>
        <w:spacing w:after="0" w:line="177" w:lineRule="exact"/>
        <w:rPr>
          <w:rFonts w:ascii="Arial" w:cs="Arial" w:eastAsia="Arial" w:hAnsi="Arial"/>
          <w:sz w:val="18"/>
          <w:szCs w:val="18"/>
          <w:color w:val="auto"/>
        </w:rPr>
      </w:pPr>
    </w:p>
    <w:p>
      <w:pPr>
        <w:jc w:val="both"/>
        <w:ind w:firstLine="1305"/>
        <w:spacing w:after="0" w:line="274" w:lineRule="auto"/>
        <w:tabs>
          <w:tab w:leader="none" w:pos="172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as of the date of delivery, an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shall have been entered into with GS&amp;Co. in connection with the public resale of the Registered Settlement Shares by GS&amp;Co. substantially similar to underwriting agreements customary for underwritten offerings of equity securities of a similar size by companies similar to Issuer, in form and substance reasonably satisfactory to GS&amp;Co., which Underwriting Agreement shall include, without limitation, provisions substantially similar to those contained in such underwriting agreements for offerings of a similar size by companies similar to Issuer relating, without limitation, to the indemnification of, and contribution in connection with the liability of, GS&amp;Co. and its affiliates and the provision of customary opinions, accountants’ comfort letters and lawyers’ negative assurance letters.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Issuer delivers Unregistered Settlement Shares pursuant to paragraph 1 above:</w:t>
      </w:r>
    </w:p>
    <w:p>
      <w:pPr>
        <w:spacing w:after="0" w:line="225" w:lineRule="exact"/>
        <w:rPr>
          <w:rFonts w:ascii="Arial" w:cs="Arial" w:eastAsia="Arial" w:hAnsi="Arial"/>
          <w:sz w:val="18"/>
          <w:szCs w:val="18"/>
          <w:color w:val="auto"/>
        </w:rPr>
      </w:pPr>
    </w:p>
    <w:p>
      <w:pPr>
        <w:ind w:right="20" w:firstLine="1305"/>
        <w:spacing w:after="0" w:line="277" w:lineRule="auto"/>
        <w:tabs>
          <w:tab w:leader="none" w:pos="170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Unregistered Settlement Shares shall be delivered to GS&amp;Co. (or any affiliate of GS&amp;Co. designated by GS&amp;Co.) pursuant to the exemption from the registration requirements of the Securities Act provided by Section 4(a)(2) thereof;</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1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 of or prior to the date of delivery, GS&amp;Co. and any potential purchaser of any such Unregistered Settlement Shares from GS&amp;Co. (or any affiliate of GS&amp;Co. designated by GS&amp;Co.) identified by GS&amp;Co. shall be afforded a commercially reasonable opportunity to conduct a due diligence investigation with respect to Issuer customary in scope for private placements of equity securities of a similar size by companies similar to Issuer (including, without limitation, the right to have made available to them for inspection all financial and other records, pertinent corporate documents and other information reasonably requested by them);</w:t>
      </w:r>
    </w:p>
    <w:p>
      <w:pPr>
        <w:spacing w:after="0" w:line="184" w:lineRule="exact"/>
        <w:rPr>
          <w:rFonts w:ascii="Arial" w:cs="Arial" w:eastAsia="Arial" w:hAnsi="Arial"/>
          <w:sz w:val="18"/>
          <w:szCs w:val="18"/>
          <w:color w:val="auto"/>
        </w:rPr>
      </w:pPr>
    </w:p>
    <w:p>
      <w:pPr>
        <w:ind w:firstLine="1305"/>
        <w:spacing w:after="0" w:line="282" w:lineRule="auto"/>
        <w:tabs>
          <w:tab w:leader="none" w:pos="170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as of the date of delivery, Issuer shall enter into an agreement (a “</w:t>
      </w:r>
      <w:r>
        <w:rPr>
          <w:rFonts w:ascii="Arial" w:cs="Arial" w:eastAsia="Arial" w:hAnsi="Arial"/>
          <w:sz w:val="18"/>
          <w:szCs w:val="18"/>
          <w:b w:val="1"/>
          <w:bCs w:val="1"/>
          <w:color w:val="auto"/>
        </w:rPr>
        <w:t>Private Placement Agreement</w:t>
      </w:r>
      <w:r>
        <w:rPr>
          <w:rFonts w:ascii="Arial" w:cs="Arial" w:eastAsia="Arial" w:hAnsi="Arial"/>
          <w:sz w:val="18"/>
          <w:szCs w:val="18"/>
          <w:color w:val="auto"/>
        </w:rPr>
        <w:t>”) with GS&amp;Co. (or any affiliate of GS&amp;Co. designated by GS&amp;Co.) in connection with the private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1" w:right="239" w:bottom="1440" w:gutter="0" w:footer="0" w:header="0"/>
        </w:sectPr>
      </w:pPr>
    </w:p>
    <w:bookmarkStart w:id="165" w:name="page166"/>
    <w:bookmarkEnd w:id="165"/>
    <w:p>
      <w:pPr>
        <w:jc w:val="both"/>
        <w:spacing w:after="0" w:line="289" w:lineRule="auto"/>
        <w:rPr>
          <w:sz w:val="20"/>
          <w:szCs w:val="20"/>
          <w:color w:val="auto"/>
        </w:rPr>
      </w:pPr>
      <w:r>
        <w:rPr>
          <w:rFonts w:ascii="Arial" w:cs="Arial" w:eastAsia="Arial" w:hAnsi="Arial"/>
          <w:sz w:val="16"/>
          <w:szCs w:val="16"/>
          <w:color w:val="auto"/>
        </w:rPr>
        <w:t>placement of such Unregistered Settlement Shares by Issuer to GS&amp;Co. (or any such affiliate) and the private resale of such Unregistered Settlement Shares by GS&amp;Co. (or any such affiliate), substantially similar to private placement purchase agreements customary for private placements of equity securities of a similar size by companies similar to Issuer, in form and substance commercially reasonably satisfactory to GS&amp;Co., which Private Placement Agreement shall include, without limitation, provisions substantially similar to those contained in such private placement purchase agreements for offerings of similar size by companies similar to Issuer relating, without limitation, to the indemnification of, and contribution in connection with the liability of, GS&amp;Co. and its affiliates and the provision of customary opinions, accountants’ comfort letters and lawyers’ negative assurance letters, and shall provide for the payment by Issuer of all commercially reasonable fees and expenses in connection with such resale, including all commercially reasonable fees and expenses of counsel for GS&amp;Co., and shall contain representations, warranties, covenants and agreements of Issuer reasonably necessary or advisable to establish and maintain the availability of an exemption from the registration requirements of the Securities Act for such resale; and</w:t>
      </w:r>
    </w:p>
    <w:p>
      <w:pPr>
        <w:spacing w:after="0" w:line="167" w:lineRule="exact"/>
        <w:rPr>
          <w:sz w:val="20"/>
          <w:szCs w:val="20"/>
          <w:color w:val="auto"/>
        </w:rPr>
      </w:pPr>
    </w:p>
    <w:p>
      <w:pPr>
        <w:jc w:val="both"/>
        <w:ind w:firstLine="1305"/>
        <w:spacing w:after="0" w:line="259" w:lineRule="auto"/>
        <w:tabs>
          <w:tab w:leader="none" w:pos="17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connection with the private placement of such shares by Issuer to GS&amp;Co. (or any such affiliate) and the private resale of such shares by GS&amp;Co. (or any such affiliate), Issuer shall, if so requested by GS&amp;Co., prepare, in cooperation with GS&amp;Co., a private placement memorandum in form and substance reasonably satisfactory to GS&amp;Co. and customary for private placements of equity securities of similar size by companies similar to Issuer.</w:t>
      </w:r>
    </w:p>
    <w:p>
      <w:pPr>
        <w:spacing w:after="0" w:line="182" w:lineRule="exact"/>
        <w:rPr>
          <w:rFonts w:ascii="Arial" w:cs="Arial" w:eastAsia="Arial" w:hAnsi="Arial"/>
          <w:sz w:val="18"/>
          <w:szCs w:val="18"/>
          <w:color w:val="auto"/>
        </w:rPr>
      </w:pPr>
    </w:p>
    <w:p>
      <w:pPr>
        <w:jc w:val="both"/>
        <w:ind w:firstLine="656"/>
        <w:spacing w:after="0" w:line="287" w:lineRule="auto"/>
        <w:tabs>
          <w:tab w:leader="none" w:pos="101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GS&amp;Co., itself or through an affiliate (the “</w:t>
      </w:r>
      <w:r>
        <w:rPr>
          <w:rFonts w:ascii="Arial" w:cs="Arial" w:eastAsia="Arial" w:hAnsi="Arial"/>
          <w:sz w:val="16"/>
          <w:szCs w:val="16"/>
          <w:b w:val="1"/>
          <w:bCs w:val="1"/>
          <w:color w:val="auto"/>
        </w:rPr>
        <w:t>Selling Agent</w:t>
      </w:r>
      <w:r>
        <w:rPr>
          <w:rFonts w:ascii="Arial" w:cs="Arial" w:eastAsia="Arial" w:hAnsi="Arial"/>
          <w:sz w:val="16"/>
          <w:szCs w:val="16"/>
          <w:color w:val="auto"/>
        </w:rPr>
        <w:t>”) or any underwriter(s), will sell, in a commercially reasonable manner and over a commercially reasonable period, all, or such lesser portion as may be required hereunder, of the Registered Settlement Shares or Unregistered Settlement Shares and any Makewhole Shares (as defined below) (together, the “</w:t>
      </w:r>
      <w:r>
        <w:rPr>
          <w:rFonts w:ascii="Arial" w:cs="Arial" w:eastAsia="Arial" w:hAnsi="Arial"/>
          <w:sz w:val="16"/>
          <w:szCs w:val="16"/>
          <w:b w:val="1"/>
          <w:bCs w:val="1"/>
          <w:color w:val="auto"/>
        </w:rPr>
        <w:t>Settlement Shares</w:t>
      </w:r>
      <w:r>
        <w:rPr>
          <w:rFonts w:ascii="Arial" w:cs="Arial" w:eastAsia="Arial" w:hAnsi="Arial"/>
          <w:sz w:val="16"/>
          <w:szCs w:val="16"/>
          <w:color w:val="auto"/>
        </w:rPr>
        <w:t>”) delivered by Issuer to GS&amp;Co. pursuant to paragraph 5 below in a commercially reasonable manner commencing on the date one Settlement Cycle following the Termination Date (such date, the “</w:t>
      </w:r>
      <w:r>
        <w:rPr>
          <w:rFonts w:ascii="Arial" w:cs="Arial" w:eastAsia="Arial" w:hAnsi="Arial"/>
          <w:sz w:val="16"/>
          <w:szCs w:val="16"/>
          <w:b w:val="1"/>
          <w:bCs w:val="1"/>
          <w:color w:val="auto"/>
        </w:rPr>
        <w:t>Net Share Settlement</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for purposes of Net Share Settlement by Issuer) and continuing until the date on which the aggregate Net Proceeds (as such term is defined below)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sales, as determined by GS&amp;Co. in a commercially reasonable manner, is equal to the Amendment Payment (such date, the “</w:t>
      </w:r>
      <w:r>
        <w:rPr>
          <w:rFonts w:ascii="Arial" w:cs="Arial" w:eastAsia="Arial" w:hAnsi="Arial"/>
          <w:sz w:val="16"/>
          <w:szCs w:val="16"/>
          <w:b w:val="1"/>
          <w:bCs w:val="1"/>
          <w:color w:val="auto"/>
        </w:rPr>
        <w:t>Final Resale Date</w:t>
      </w:r>
      <w:r>
        <w:rPr>
          <w:rFonts w:ascii="Arial" w:cs="Arial" w:eastAsia="Arial" w:hAnsi="Arial"/>
          <w:sz w:val="16"/>
          <w:szCs w:val="16"/>
          <w:color w:val="auto"/>
        </w:rPr>
        <w:t>”). If the proceeds of any sale(s) made by GS&amp;Co., the Selling Agent or any underwriter(s), net of any commercially reasonable fees and commissions (including, without limitation, commercially reasonable underwriting or placement fees) customary for similar transactions of a similar size under the circumstances at the time of the offering, together with commercially reasonable carrying charges and expenses incurred in connection with the offer and sale of the Shares (including, but without limitation to, the covering of any over-allotment or short position (syndicate or otherwise)) (the “</w:t>
      </w:r>
      <w:r>
        <w:rPr>
          <w:rFonts w:ascii="Arial" w:cs="Arial" w:eastAsia="Arial" w:hAnsi="Arial"/>
          <w:sz w:val="16"/>
          <w:szCs w:val="16"/>
          <w:b w:val="1"/>
          <w:bCs w:val="1"/>
          <w:color w:val="auto"/>
        </w:rPr>
        <w:t>Net Proceeds</w:t>
      </w:r>
      <w:r>
        <w:rPr>
          <w:rFonts w:ascii="Arial" w:cs="Arial" w:eastAsia="Arial" w:hAnsi="Arial"/>
          <w:sz w:val="16"/>
          <w:szCs w:val="16"/>
          <w:color w:val="auto"/>
        </w:rPr>
        <w:t>”) exceed the Amendment Payment, GS&amp;Co. will refund, in USD, such excess to Issuer on the date that is three (3) Currency Business Days following the Final Resale Date, and, if any portion of the Settlement Shares remains unsold, GS&amp;Co. shall return to Issuer on that date such unsold Shares.</w:t>
      </w:r>
    </w:p>
    <w:p>
      <w:pPr>
        <w:spacing w:after="0" w:line="159" w:lineRule="exact"/>
        <w:rPr>
          <w:rFonts w:ascii="Arial" w:cs="Arial" w:eastAsia="Arial" w:hAnsi="Arial"/>
          <w:sz w:val="16"/>
          <w:szCs w:val="16"/>
          <w:color w:val="auto"/>
        </w:rPr>
      </w:pPr>
    </w:p>
    <w:p>
      <w:pPr>
        <w:jc w:val="both"/>
        <w:ind w:firstLine="656"/>
        <w:spacing w:after="0" w:line="349" w:lineRule="auto"/>
        <w:tabs>
          <w:tab w:leader="none" w:pos="97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the Calculation Agent determines that the Net Proceeds received from the sale of the Registered Settlement Shares or Unregistered Settlement Shares or any Makewhole Shares, if any, pursuant to this paragraph 5 are less than the Amendment Payment (the amount in USD by which the Net Proceeds</w:t>
      </w:r>
    </w:p>
    <w:p>
      <w:pPr>
        <w:spacing w:after="0" w:line="1" w:lineRule="exact"/>
        <w:rPr>
          <w:rFonts w:ascii="Arial" w:cs="Arial" w:eastAsia="Arial" w:hAnsi="Arial"/>
          <w:sz w:val="16"/>
          <w:szCs w:val="16"/>
          <w:color w:val="auto"/>
        </w:rPr>
      </w:pPr>
    </w:p>
    <w:p>
      <w:pPr>
        <w:jc w:val="both"/>
        <w:spacing w:after="0" w:line="337" w:lineRule="auto"/>
        <w:rPr>
          <w:rFonts w:ascii="Arial" w:cs="Arial" w:eastAsia="Arial" w:hAnsi="Arial"/>
          <w:sz w:val="16"/>
          <w:szCs w:val="16"/>
          <w:color w:val="auto"/>
        </w:rPr>
      </w:pPr>
      <w:r>
        <w:rPr>
          <w:rFonts w:ascii="Arial" w:cs="Arial" w:eastAsia="Arial" w:hAnsi="Arial"/>
          <w:sz w:val="16"/>
          <w:szCs w:val="16"/>
          <w:color w:val="auto"/>
        </w:rPr>
        <w:t>are less than the Amendment Payment being the “</w:t>
      </w:r>
      <w:r>
        <w:rPr>
          <w:rFonts w:ascii="Arial" w:cs="Arial" w:eastAsia="Arial" w:hAnsi="Arial"/>
          <w:sz w:val="16"/>
          <w:szCs w:val="16"/>
          <w:b w:val="1"/>
          <w:bCs w:val="1"/>
          <w:color w:val="auto"/>
        </w:rPr>
        <w:t>Shortfall</w:t>
      </w:r>
      <w:r>
        <w:rPr>
          <w:rFonts w:ascii="Arial" w:cs="Arial" w:eastAsia="Arial" w:hAnsi="Arial"/>
          <w:sz w:val="16"/>
          <w:szCs w:val="16"/>
          <w:color w:val="auto"/>
        </w:rPr>
        <w:t>” and the date on which such determination is made, the “</w:t>
      </w:r>
      <w:r>
        <w:rPr>
          <w:rFonts w:ascii="Arial" w:cs="Arial" w:eastAsia="Arial" w:hAnsi="Arial"/>
          <w:sz w:val="16"/>
          <w:szCs w:val="16"/>
          <w:b w:val="1"/>
          <w:bCs w:val="1"/>
          <w:color w:val="auto"/>
        </w:rPr>
        <w:t>Deficiency Determination Date</w:t>
      </w:r>
      <w:r>
        <w:rPr>
          <w:rFonts w:ascii="Arial" w:cs="Arial" w:eastAsia="Arial" w:hAnsi="Arial"/>
          <w:sz w:val="16"/>
          <w:szCs w:val="16"/>
          <w:color w:val="auto"/>
        </w:rPr>
        <w:t>”), Issuer shall on the Exchange Business Day next succeeding the Deficiency Determination Date (the “</w:t>
      </w:r>
      <w:r>
        <w:rPr>
          <w:rFonts w:ascii="Arial" w:cs="Arial" w:eastAsia="Arial" w:hAnsi="Arial"/>
          <w:sz w:val="16"/>
          <w:szCs w:val="16"/>
          <w:b w:val="1"/>
          <w:bCs w:val="1"/>
          <w:color w:val="auto"/>
        </w:rPr>
        <w:t>Makewhole Notice Date</w:t>
      </w:r>
      <w:r>
        <w:rPr>
          <w:rFonts w:ascii="Arial" w:cs="Arial" w:eastAsia="Arial" w:hAnsi="Arial"/>
          <w:sz w:val="16"/>
          <w:szCs w:val="16"/>
          <w:color w:val="auto"/>
        </w:rPr>
        <w:t>”) deliver to GS&amp;Co., through the Selling Agent, a notice of Issuer’s election that Issuer shall either (i) pay an amount in cash equal to the Shortfall on the day that is one (1) Currency Business Day after the Makewhole Notice Date, or (ii) deliver additional Shares. If Issuer elects to deliver to GS&amp;Co. additional Shares, then Issuer shall deliver additional Shares in compliance with the terms and conditions of paragraph 2 or paragraph 3 above, as the case may be (the “</w:t>
      </w:r>
      <w:r>
        <w:rPr>
          <w:rFonts w:ascii="Arial" w:cs="Arial" w:eastAsia="Arial" w:hAnsi="Arial"/>
          <w:sz w:val="16"/>
          <w:szCs w:val="16"/>
          <w:b w:val="1"/>
          <w:bCs w:val="1"/>
          <w:color w:val="auto"/>
        </w:rPr>
        <w:t>Makewhole Shares</w:t>
      </w:r>
      <w:r>
        <w:rPr>
          <w:rFonts w:ascii="Arial" w:cs="Arial" w:eastAsia="Arial" w:hAnsi="Arial"/>
          <w:sz w:val="16"/>
          <w:szCs w:val="16"/>
          <w:color w:val="auto"/>
        </w:rPr>
        <w:t xml:space="preserve">”), on the first Clearance System Business Day which is also an Exchange Business Day following the Makewhole Notice Date in such number as the Calculation Agent commercially reasonably believes would have a market value on that Exchange Business Day equal to the Shortfall. Such Makewhole Shares shall be sold by GS&amp;Co. in accordance with the provisions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sum of the Net Proceeds from the sale of the originally</w:t>
      </w:r>
    </w:p>
    <w:p>
      <w:pPr>
        <w:spacing w:after="0" w:line="3" w:lineRule="exact"/>
        <w:rPr>
          <w:rFonts w:ascii="Arial" w:cs="Arial" w:eastAsia="Arial" w:hAnsi="Arial"/>
          <w:sz w:val="16"/>
          <w:szCs w:val="16"/>
          <w:color w:val="auto"/>
        </w:rPr>
      </w:pPr>
    </w:p>
    <w:p>
      <w:pPr>
        <w:spacing w:after="0" w:line="324" w:lineRule="auto"/>
        <w:rPr>
          <w:rFonts w:ascii="Arial" w:cs="Arial" w:eastAsia="Arial" w:hAnsi="Arial"/>
          <w:sz w:val="16"/>
          <w:szCs w:val="16"/>
          <w:color w:val="auto"/>
        </w:rPr>
      </w:pPr>
      <w:r>
        <w:rPr>
          <w:rFonts w:ascii="Arial" w:cs="Arial" w:eastAsia="Arial" w:hAnsi="Arial"/>
          <w:sz w:val="18"/>
          <w:szCs w:val="18"/>
          <w:color w:val="auto"/>
        </w:rPr>
        <w:t>delivered Shares and the Net Proceeds from the sale of any Makewhole Shares is less than the Amendment Payment then Issuer shall, at its election, either make such cash payment or deliver to GS&amp;Co. further Makewhole Shares until such Shortfall has been reduced to zero.</w:t>
      </w:r>
    </w:p>
    <w:p>
      <w:pPr>
        <w:spacing w:after="0" w:line="210" w:lineRule="exact"/>
        <w:rPr>
          <w:rFonts w:ascii="Arial" w:cs="Arial" w:eastAsia="Arial" w:hAnsi="Arial"/>
          <w:sz w:val="16"/>
          <w:szCs w:val="16"/>
          <w:color w:val="auto"/>
        </w:rPr>
      </w:pPr>
    </w:p>
    <w:p>
      <w:pPr>
        <w:ind w:right="20" w:firstLine="656"/>
        <w:spacing w:after="0" w:line="277" w:lineRule="auto"/>
        <w:tabs>
          <w:tab w:leader="none" w:pos="98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the foregoing, and without limiting the Issuer’s ability to elect to settle any Daily Amendment Payment in Shares, as provided in this Annex B, in no event shall the aggregate number of Settlement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66" w:name="page167"/>
    <w:bookmarkEnd w:id="166"/>
    <w:p>
      <w:pPr>
        <w:jc w:val="both"/>
        <w:spacing w:after="0" w:line="302" w:lineRule="auto"/>
        <w:rPr>
          <w:sz w:val="20"/>
          <w:szCs w:val="20"/>
          <w:color w:val="auto"/>
        </w:rPr>
      </w:pPr>
      <w:r>
        <w:rPr>
          <w:rFonts w:ascii="Arial" w:cs="Arial" w:eastAsia="Arial" w:hAnsi="Arial"/>
          <w:sz w:val="16"/>
          <w:szCs w:val="16"/>
          <w:color w:val="auto"/>
        </w:rPr>
        <w:t>Shares and Makewhole Shares required to be delivered by the Issuer upon settlement of all Daily Amendment Payments so settled in Shares, in the aggregate, be greater than 250,000 Shares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For the avoidance of doubt, in no event will the Company be required to deliver cash in the event the aggregate number of Settlement Shares and Makewhole Shares required to be delivered by the Issuer upon settlement of all Daily Amendment Payments so settled in Shares, in the aggregate, would, but for the foregoing sentence, exceed the Maximum Number of Shares.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3"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0"/>
        <w:spacing w:after="0"/>
        <w:tabs>
          <w:tab w:leader="none" w:pos="436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March 31, 2015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2015</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7, 2015</w:t>
      </w:r>
    </w:p>
    <w:sectPr>
      <w:pgSz w:w="11900" w:h="16838" w:orient="portrait"/>
      <w:cols w:equalWidth="0" w:num="1">
        <w:col w:w="11420"/>
      </w:cols>
      <w:pgMar w:left="240" w:top="66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75AC794"/>
    <w:multiLevelType w:val="hybridMultilevel"/>
    <w:lvl w:ilvl="0">
      <w:lvlJc w:val="left"/>
      <w:lvlText w:val="(%1)"/>
      <w:numFmt w:val="upperLetter"/>
      <w:start w:val="24"/>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1."/>
      <w:numFmt w:val="lowerLetter"/>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
      <w:numFmt w:val="bullet"/>
      <w:start w:val="1"/>
    </w:lvl>
  </w:abstractNum>
  <w:abstractNum w:abstractNumId="9">
    <w:nsid w:val="D34B6A8"/>
    <w:multiLevelType w:val="hybridMultilevel"/>
    <w:lvl w:ilvl="0">
      <w:lvlJc w:val="left"/>
      <w:lvlText w:val="•"/>
      <w:numFmt w:val="bullet"/>
      <w:start w:val="1"/>
    </w:lvl>
  </w:abstractNum>
  <w:abstractNum w:abstractNumId="10">
    <w:nsid w:val="10233C99"/>
    <w:multiLevelType w:val="hybridMultilevel"/>
    <w:lvl w:ilvl="0">
      <w:lvlJc w:val="left"/>
      <w:lvlText w:val="Ÿ"/>
      <w:numFmt w:val="bullet"/>
      <w:start w:val="1"/>
    </w:lvl>
  </w:abstractNum>
  <w:abstractNum w:abstractNumId="11">
    <w:nsid w:val="3F6AB60F"/>
    <w:multiLevelType w:val="hybridMultilevel"/>
    <w:lvl w:ilvl="0">
      <w:lvlJc w:val="left"/>
      <w:lvlText w:val="Ÿ"/>
      <w:numFmt w:val="bullet"/>
      <w:start w:val="1"/>
    </w:lvl>
  </w:abstractNum>
  <w:abstractNum w:abstractNumId="12">
    <w:nsid w:val="61574095"/>
    <w:multiLevelType w:val="hybridMultilevel"/>
    <w:lvl w:ilvl="0">
      <w:lvlJc w:val="left"/>
      <w:lvlText w:val="(%1)"/>
      <w:numFmt w:val="decimal"/>
    </w:lvl>
    <w:lvl w:ilvl="1">
      <w:lvlJc w:val="left"/>
      <w:lvlText w:val="*"/>
      <w:numFmt w:val="bullet"/>
      <w:start w:val="1"/>
    </w:lvl>
  </w:abstractNum>
  <w:abstractNum w:abstractNumId="13">
    <w:nsid w:val="7E0C57B1"/>
    <w:multiLevelType w:val="hybridMultilevel"/>
    <w:lvl w:ilvl="0">
      <w:lvlJc w:val="left"/>
      <w:lvlText w:val="(%1)"/>
      <w:numFmt w:val="lowerRoman"/>
      <w:start w:val="1"/>
    </w:lvl>
  </w:abstractNum>
  <w:abstractNum w:abstractNumId="14">
    <w:nsid w:val="77AE35EB"/>
    <w:multiLevelType w:val="hybridMultilevel"/>
    <w:lvl w:ilvl="0">
      <w:lvlJc w:val="left"/>
      <w:lvlText w:val="•"/>
      <w:numFmt w:val="bullet"/>
      <w:start w:val="1"/>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
      <w:numFmt w:val="bullet"/>
      <w:start w:val="1"/>
    </w:lvl>
  </w:abstractNum>
  <w:abstractNum w:abstractNumId="18">
    <w:nsid w:val="2F305DEF"/>
    <w:multiLevelType w:val="hybridMultilevel"/>
    <w:lvl w:ilvl="0">
      <w:lvlJc w:val="left"/>
      <w:lvlText w:val="•"/>
      <w:numFmt w:val="bullet"/>
      <w:start w:val="1"/>
    </w:lvl>
  </w:abstractNum>
  <w:abstractNum w:abstractNumId="19">
    <w:nsid w:val="25A70BF7"/>
    <w:multiLevelType w:val="hybridMultilevel"/>
    <w:lvl w:ilvl="0">
      <w:lvlJc w:val="left"/>
      <w:lvlText w:val="•"/>
      <w:numFmt w:val="bullet"/>
      <w:start w:val="1"/>
    </w:lvl>
  </w:abstractNum>
  <w:abstractNum w:abstractNumId="20">
    <w:nsid w:val="1DBABF00"/>
    <w:multiLevelType w:val="hybridMultilevel"/>
    <w:lvl w:ilvl="0">
      <w:lvlJc w:val="left"/>
      <w:lvlText w:val="•"/>
      <w:numFmt w:val="bullet"/>
      <w:start w:val="1"/>
    </w:lvl>
  </w:abstractNum>
  <w:abstractNum w:abstractNumId="21">
    <w:nsid w:val="4AD084E9"/>
    <w:multiLevelType w:val="hybridMultilevel"/>
    <w:lvl w:ilvl="0">
      <w:lvlJc w:val="left"/>
      <w:lvlText w:val="•"/>
      <w:numFmt w:val="bullet"/>
      <w:start w:val="1"/>
    </w:lvl>
  </w:abstractNum>
  <w:abstractNum w:abstractNumId="22">
    <w:nsid w:val="1F48EAA1"/>
    <w:multiLevelType w:val="hybridMultilevel"/>
    <w:lvl w:ilvl="0">
      <w:lvlJc w:val="left"/>
      <w:lvlText w:val="•"/>
      <w:numFmt w:val="bullet"/>
      <w:start w:val="1"/>
    </w:lvl>
  </w:abstractNum>
  <w:abstractNum w:abstractNumId="23">
    <w:nsid w:val="1381823A"/>
    <w:multiLevelType w:val="hybridMultilevel"/>
    <w:lvl w:ilvl="0">
      <w:lvlJc w:val="left"/>
      <w:lvlText w:val="(%1)"/>
      <w:numFmt w:val="lowerRoman"/>
      <w:start w:val="4"/>
    </w:lvl>
  </w:abstractNum>
  <w:abstractNum w:abstractNumId="24">
    <w:nsid w:val="5DB70AE5"/>
    <w:multiLevelType w:val="hybridMultilevel"/>
    <w:lvl w:ilvl="0">
      <w:lvlJc w:val="left"/>
      <w:lvlText w:val="*"/>
      <w:numFmt w:val="bullet"/>
      <w:start w:val="1"/>
    </w:lvl>
  </w:abstractNum>
  <w:abstractNum w:abstractNumId="25">
    <w:nsid w:val="100F8FCA"/>
    <w:multiLevelType w:val="hybridMultilevel"/>
    <w:lvl w:ilvl="0">
      <w:lvlJc w:val="left"/>
      <w:lvlText w:val="(%1)"/>
      <w:numFmt w:val="lowerLetter"/>
      <w:start w:val="1"/>
    </w:lvl>
  </w:abstractNum>
  <w:abstractNum w:abstractNumId="26">
    <w:nsid w:val="6590700B"/>
    <w:multiLevelType w:val="hybridMultilevel"/>
    <w:lvl w:ilvl="0">
      <w:lvlJc w:val="left"/>
      <w:lvlText w:val="(%1)"/>
      <w:numFmt w:val="lowerLetter"/>
      <w:start w:val="1"/>
    </w:lvl>
  </w:abstractNum>
  <w:abstractNum w:abstractNumId="27">
    <w:nsid w:val="15014ACB"/>
    <w:multiLevelType w:val="hybridMultilevel"/>
    <w:lvl w:ilvl="0">
      <w:lvlJc w:val="left"/>
      <w:lvlText w:val="(%1)"/>
      <w:numFmt w:val="lowerLetter"/>
      <w:start w:val="2"/>
    </w:lvl>
  </w:abstractNum>
  <w:abstractNum w:abstractNumId="28">
    <w:nsid w:val="5F5E7FD0"/>
    <w:multiLevelType w:val="hybridMultilevel"/>
    <w:lvl w:ilvl="0">
      <w:lvlJc w:val="left"/>
      <w:lvlText w:val="(%1)"/>
      <w:numFmt w:val="lowerLetter"/>
      <w:start w:val="3"/>
    </w:lvl>
  </w:abstractNum>
  <w:abstractNum w:abstractNumId="29">
    <w:nsid w:val="98A3148"/>
    <w:multiLevelType w:val="hybridMultilevel"/>
    <w:lvl w:ilvl="0">
      <w:lvlJc w:val="left"/>
      <w:lvlText w:val="(%1)"/>
      <w:numFmt w:val="lowerLetter"/>
      <w:start w:val="1"/>
    </w:lvl>
  </w:abstractNum>
  <w:abstractNum w:abstractNumId="30">
    <w:nsid w:val="799D0247"/>
    <w:multiLevelType w:val="hybridMultilevel"/>
    <w:lvl w:ilvl="0">
      <w:lvlJc w:val="left"/>
      <w:lvlText w:val="(%1)"/>
      <w:numFmt w:val="lowerLetter"/>
      <w:start w:val="2"/>
    </w:lvl>
  </w:abstractNum>
  <w:abstractNum w:abstractNumId="31">
    <w:nsid w:val="6B94764"/>
    <w:multiLevelType w:val="hybridMultilevel"/>
    <w:lvl w:ilvl="0">
      <w:lvlJc w:val="left"/>
      <w:lvlText w:val="(%1)"/>
      <w:numFmt w:val="lowerLetter"/>
      <w:start w:val="1"/>
    </w:lvl>
  </w:abstractNum>
  <w:abstractNum w:abstractNumId="32">
    <w:nsid w:val="42C296BD"/>
    <w:multiLevelType w:val="hybridMultilevel"/>
    <w:lvl w:ilvl="0">
      <w:lvlJc w:val="left"/>
      <w:lvlText w:val="(%1)"/>
      <w:numFmt w:val="lowerLetter"/>
      <w:start w:val="1"/>
    </w:lvl>
  </w:abstractNum>
  <w:abstractNum w:abstractNumId="33">
    <w:nsid w:val="168E121F"/>
    <w:multiLevelType w:val="hybridMultilevel"/>
    <w:lvl w:ilvl="0">
      <w:lvlJc w:val="left"/>
      <w:lvlText w:val="(%1)"/>
      <w:numFmt w:val="decimal"/>
      <w:start w:val="6"/>
    </w:lvl>
  </w:abstractNum>
  <w:abstractNum w:abstractNumId="34">
    <w:nsid w:val="1EBA5D23"/>
    <w:multiLevelType w:val="hybridMultilevel"/>
    <w:lvl w:ilvl="0">
      <w:lvlJc w:val="left"/>
      <w:lvlText w:val="(%1)"/>
      <w:numFmt w:val="lowerRoman"/>
      <w:start w:val="2"/>
    </w:lvl>
  </w:abstractNum>
  <w:abstractNum w:abstractNumId="35">
    <w:nsid w:val="661E3F1E"/>
    <w:multiLevelType w:val="hybridMultilevel"/>
    <w:lvl w:ilvl="0">
      <w:lvlJc w:val="left"/>
      <w:lvlText w:val="(%1)"/>
      <w:numFmt w:val="lowerRoman"/>
      <w:start w:val="3"/>
    </w:lvl>
  </w:abstractNum>
  <w:abstractNum w:abstractNumId="36">
    <w:nsid w:val="5DC79EA8"/>
    <w:multiLevelType w:val="hybridMultilevel"/>
    <w:lvl w:ilvl="0">
      <w:lvlJc w:val="left"/>
      <w:lvlText w:val="(%1)"/>
      <w:numFmt w:val="lowerLetter"/>
      <w:start w:val="1"/>
    </w:lvl>
    <w:lvl w:ilvl="1">
      <w:lvlJc w:val="left"/>
      <w:lvlText w:val="(%2)"/>
      <w:numFmt w:val="lowerLetter"/>
      <w:start w:val="9"/>
    </w:lvl>
  </w:abstractNum>
  <w:abstractNum w:abstractNumId="37">
    <w:nsid w:val="540A471C"/>
    <w:multiLevelType w:val="hybridMultilevel"/>
    <w:lvl w:ilvl="0">
      <w:lvlJc w:val="left"/>
      <w:lvlText w:val="%1"/>
      <w:numFmt w:val="lowerLetter"/>
      <w:start w:val="1"/>
    </w:lvl>
    <w:lvl w:ilvl="1">
      <w:lvlJc w:val="left"/>
      <w:lvlText w:val="(%2)"/>
      <w:numFmt w:val="lowerRoman"/>
      <w:start w:val="2"/>
    </w:lvl>
  </w:abstractNum>
  <w:abstractNum w:abstractNumId="38">
    <w:nsid w:val="7BD3EE7B"/>
    <w:multiLevelType w:val="hybridMultilevel"/>
    <w:lvl w:ilvl="0">
      <w:lvlJc w:val="left"/>
      <w:lvlText w:val="(%1)"/>
      <w:numFmt w:val="lowerLetter"/>
      <w:start w:val="3"/>
    </w:lvl>
    <w:lvl w:ilvl="1">
      <w:lvlJc w:val="left"/>
      <w:lvlText w:val="%2"/>
      <w:numFmt w:val="lowerRoman"/>
      <w:start w:val="1"/>
    </w:lvl>
  </w:abstractNum>
  <w:abstractNum w:abstractNumId="39">
    <w:nsid w:val="51D9C564"/>
    <w:multiLevelType w:val="hybridMultilevel"/>
    <w:lvl w:ilvl="0">
      <w:lvlJc w:val="left"/>
      <w:lvlText w:val="(%1)"/>
      <w:numFmt w:val="lowerLetter"/>
      <w:start w:val="4"/>
    </w:lvl>
  </w:abstractNum>
  <w:abstractNum w:abstractNumId="40">
    <w:nsid w:val="613EFDC5"/>
    <w:multiLevelType w:val="hybridMultilevel"/>
    <w:lvl w:ilvl="0">
      <w:lvlJc w:val="left"/>
      <w:lvlText w:val="(%1)"/>
      <w:numFmt w:val="lowerLetter"/>
      <w:start w:val="1"/>
    </w:lvl>
  </w:abstractNum>
  <w:abstractNum w:abstractNumId="41">
    <w:nsid w:val="BF72B14"/>
    <w:multiLevelType w:val="hybridMultilevel"/>
    <w:lvl w:ilvl="0">
      <w:lvlJc w:val="left"/>
      <w:lvlText w:val="(%1)"/>
      <w:numFmt w:val="lowerLetter"/>
      <w:start w:val="1"/>
    </w:lvl>
  </w:abstractNum>
  <w:abstractNum w:abstractNumId="42">
    <w:nsid w:val="11447B73"/>
    <w:multiLevelType w:val="hybridMultilevel"/>
    <w:lvl w:ilvl="0">
      <w:lvlJc w:val="left"/>
      <w:lvlText w:val="(%1)"/>
      <w:numFmt w:val="lowerLetter"/>
      <w:start w:val="4"/>
    </w:lvl>
  </w:abstractNum>
  <w:abstractNum w:abstractNumId="43">
    <w:nsid w:val="42963E5A"/>
    <w:multiLevelType w:val="hybridMultilevel"/>
    <w:lvl w:ilvl="0">
      <w:lvlJc w:val="left"/>
      <w:lvlText w:val="(%1)"/>
      <w:numFmt w:val="lowerLetter"/>
      <w:start w:val="7"/>
    </w:lvl>
  </w:abstractNum>
  <w:abstractNum w:abstractNumId="44">
    <w:nsid w:val="A0382C5"/>
    <w:multiLevelType w:val="hybridMultilevel"/>
    <w:lvl w:ilvl="0">
      <w:lvlJc w:val="left"/>
      <w:lvlText w:val="(%1)"/>
      <w:numFmt w:val="lowerRoman"/>
      <w:start w:val="1"/>
    </w:lvl>
  </w:abstractNum>
  <w:abstractNum w:abstractNumId="45">
    <w:nsid w:val="8F2B15E"/>
    <w:multiLevelType w:val="hybridMultilevel"/>
    <w:lvl w:ilvl="0">
      <w:lvlJc w:val="left"/>
      <w:lvlText w:val="(%1)"/>
      <w:numFmt w:val="lowerLetter"/>
      <w:start w:val="24"/>
    </w:lvl>
  </w:abstractNum>
  <w:abstractNum w:abstractNumId="46">
    <w:nsid w:val="1A32234B"/>
    <w:multiLevelType w:val="hybridMultilevel"/>
    <w:lvl w:ilvl="0">
      <w:lvlJc w:val="left"/>
      <w:lvlText w:val="(%1)"/>
      <w:numFmt w:val="decimal"/>
      <w:start w:val="48"/>
    </w:lvl>
  </w:abstractNum>
  <w:abstractNum w:abstractNumId="47">
    <w:nsid w:val="3B0FD379"/>
    <w:multiLevelType w:val="hybridMultilevel"/>
    <w:lvl w:ilvl="0">
      <w:lvlJc w:val="left"/>
      <w:lvlText w:val="(%1)"/>
      <w:numFmt w:val="lowerLetter"/>
      <w:start w:val="1"/>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Letter"/>
      <w:start w:val="3"/>
    </w:lvl>
  </w:abstractNum>
  <w:abstractNum w:abstractNumId="50">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1">
    <w:nsid w:val="6A5EE64"/>
    <w:multiLevelType w:val="hybridMultilevel"/>
    <w:lvl w:ilvl="0">
      <w:lvlJc w:val="left"/>
      <w:lvlText w:val="(%1)"/>
      <w:numFmt w:val="decimal"/>
      <w:start w:val="45"/>
    </w:lvl>
    <w:lvl w:ilvl="1">
      <w:lvlJc w:val="left"/>
      <w:lvlText w:val="(%2)"/>
      <w:numFmt w:val="lowerLetter"/>
      <w:start w:val="2"/>
    </w:lvl>
    <w:lvl w:ilvl="2">
      <w:lvlJc w:val="left"/>
      <w:lvlText w:val="(%3)"/>
      <w:numFmt w:val="lowerLetter"/>
      <w:start w:val="9"/>
    </w:lvl>
  </w:abstractNum>
  <w:abstractNum w:abstractNumId="52">
    <w:nsid w:val="14330624"/>
    <w:multiLevelType w:val="hybridMultilevel"/>
    <w:lvl w:ilvl="0">
      <w:lvlJc w:val="left"/>
      <w:lvlText w:val="%1"/>
      <w:numFmt w:val="decimal"/>
      <w:start w:val="1"/>
    </w:lvl>
    <w:lvl w:ilvl="1">
      <w:lvlJc w:val="left"/>
      <w:lvlText w:val="(%2)"/>
      <w:numFmt w:val="lowerRoman"/>
      <w:start w:val="2"/>
    </w:lvl>
  </w:abstractNum>
  <w:abstractNum w:abstractNumId="53">
    <w:nsid w:val="7FFFCA11"/>
    <w:multiLevelType w:val="hybridMultilevel"/>
    <w:lvl w:ilvl="0">
      <w:lvlJc w:val="left"/>
      <w:lvlText w:val="(%1)"/>
      <w:numFmt w:val="decimal"/>
      <w:start w:val="45"/>
    </w:lvl>
    <w:lvl w:ilvl="1">
      <w:lvlJc w:val="left"/>
      <w:lvlText w:val="(%2)"/>
      <w:numFmt w:val="lowerRoman"/>
      <w:start w:val="3"/>
    </w:lvl>
  </w:abstractNum>
  <w:abstractNum w:abstractNumId="54">
    <w:nsid w:val="1A27709E"/>
    <w:multiLevelType w:val="hybridMultilevel"/>
    <w:lvl w:ilvl="0">
      <w:lvlJc w:val="left"/>
      <w:lvlText w:val="(%1)"/>
      <w:numFmt w:val="lowerRoman"/>
      <w:start w:val="3"/>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lowerLetter"/>
      <w:start w:val="1"/>
    </w:lvl>
  </w:abstractNum>
  <w:abstractNum w:abstractNumId="57">
    <w:nsid w:val="7FB7E0AA"/>
    <w:multiLevelType w:val="hybridMultilevel"/>
    <w:lvl w:ilvl="0">
      <w:lvlJc w:val="left"/>
      <w:lvlText w:val="(%1)"/>
      <w:numFmt w:val="lowerLetter"/>
      <w:start w:val="2"/>
    </w:lvl>
  </w:abstractNum>
  <w:abstractNum w:abstractNumId="58">
    <w:nsid w:val="6EB5BD4"/>
    <w:multiLevelType w:val="hybridMultilevel"/>
    <w:lvl w:ilvl="0">
      <w:lvlJc w:val="left"/>
      <w:lvlText w:val="(%1)"/>
      <w:numFmt w:val="lowerLetter"/>
      <w:start w:val="1"/>
    </w:lvl>
  </w:abstractNum>
  <w:abstractNum w:abstractNumId="59">
    <w:nsid w:val="6F6DD9AC"/>
    <w:multiLevelType w:val="hybridMultilevel"/>
    <w:lvl w:ilvl="0">
      <w:lvlJc w:val="left"/>
      <w:lvlText w:val="(%1)"/>
      <w:numFmt w:val="lowerLetter"/>
      <w:start w:val="3"/>
    </w:lvl>
  </w:abstractNum>
  <w:abstractNum w:abstractNumId="60">
    <w:nsid w:val="94211F2"/>
    <w:multiLevelType w:val="hybridMultilevel"/>
    <w:lvl w:ilvl="0">
      <w:lvlJc w:val="left"/>
      <w:lvlText w:val="(%1)"/>
      <w:numFmt w:val="lowerLetter"/>
      <w:start w:val="4"/>
    </w:lvl>
  </w:abstractNum>
  <w:abstractNum w:abstractNumId="61">
    <w:nsid w:val="885E1B"/>
    <w:multiLevelType w:val="hybridMultilevel"/>
    <w:lvl w:ilvl="0">
      <w:lvlJc w:val="left"/>
      <w:lvlText w:val="(%1)"/>
      <w:numFmt w:val="lowerLetter"/>
      <w:start w:val="1"/>
    </w:lvl>
  </w:abstractNum>
  <w:abstractNum w:abstractNumId="62">
    <w:nsid w:val="76272110"/>
    <w:multiLevelType w:val="hybridMultilevel"/>
    <w:lvl w:ilvl="0">
      <w:lvlJc w:val="left"/>
      <w:lvlText w:val="(%1)"/>
      <w:numFmt w:val="lowerLetter"/>
      <w:start w:val="1"/>
    </w:lvl>
  </w:abstractNum>
  <w:abstractNum w:abstractNumId="63">
    <w:nsid w:val="4C04A8AF"/>
    <w:multiLevelType w:val="hybridMultilevel"/>
    <w:lvl w:ilvl="0">
      <w:lvlJc w:val="left"/>
      <w:lvlText w:val="(%1)"/>
      <w:numFmt w:val="lowerLetter"/>
      <w:start w:val="3"/>
    </w:lvl>
  </w:abstractNum>
  <w:abstractNum w:abstractNumId="64">
    <w:nsid w:val="1716703B"/>
    <w:multiLevelType w:val="hybridMultilevel"/>
    <w:lvl w:ilvl="0">
      <w:lvlJc w:val="left"/>
      <w:lvlText w:val="(%1)"/>
      <w:numFmt w:val="lowerLetter"/>
      <w:start w:val="1"/>
    </w:lvl>
  </w:abstractNum>
  <w:abstractNum w:abstractNumId="65">
    <w:nsid w:val="14E17E33"/>
    <w:multiLevelType w:val="hybridMultilevel"/>
    <w:lvl w:ilvl="0">
      <w:lvlJc w:val="left"/>
      <w:lvlText w:val="(%1)"/>
      <w:numFmt w:val="lowerLetter"/>
      <w:start w:val="4"/>
    </w:lvl>
  </w:abstractNum>
  <w:abstractNum w:abstractNumId="66">
    <w:nsid w:val="3222E7CD"/>
    <w:multiLevelType w:val="hybridMultilevel"/>
    <w:lvl w:ilvl="0">
      <w:lvlJc w:val="left"/>
      <w:lvlText w:val="(%1)"/>
      <w:numFmt w:val="lowerLetter"/>
      <w:start w:val="1"/>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lowerLetter"/>
      <w:start w:val="1"/>
    </w:lvl>
  </w:abstractNum>
  <w:abstractNum w:abstractNumId="69">
    <w:nsid w:val="2DF6D648"/>
    <w:multiLevelType w:val="hybridMultilevel"/>
    <w:lvl w:ilvl="0">
      <w:lvlJc w:val="left"/>
      <w:lvlText w:val="(%1)"/>
      <w:numFmt w:val="lowerLetter"/>
      <w:start w:val="1"/>
    </w:lvl>
  </w:abstractNum>
  <w:abstractNum w:abstractNumId="70">
    <w:nsid w:val="46B7D447"/>
    <w:multiLevelType w:val="hybridMultilevel"/>
    <w:lvl w:ilvl="0">
      <w:lvlJc w:val="left"/>
      <w:lvlText w:val="%1"/>
      <w:numFmt w:val="lowerLetter"/>
      <w:start w:val="1"/>
    </w:lvl>
    <w:lvl w:ilvl="1">
      <w:lvlJc w:val="left"/>
      <w:lvlText w:val="(%2)"/>
      <w:numFmt w:val="lowerRoman"/>
      <w:start w:val="1"/>
    </w:lvl>
  </w:abstractNum>
  <w:abstractNum w:abstractNumId="71">
    <w:nsid w:val="4A2AC315"/>
    <w:multiLevelType w:val="hybridMultilevel"/>
    <w:lvl w:ilvl="0">
      <w:lvlJc w:val="left"/>
      <w:lvlText w:val="(%1)"/>
      <w:numFmt w:val="lowerLetter"/>
      <w:start w:val="2"/>
    </w:lvl>
    <w:lvl w:ilvl="1">
      <w:lvlJc w:val="left"/>
      <w:lvlText w:val="(%2)"/>
      <w:numFmt w:val="lowerRoman"/>
      <w:start w:val="1"/>
    </w:lvl>
  </w:abstractNum>
  <w:abstractNum w:abstractNumId="72">
    <w:nsid w:val="39EE015C"/>
    <w:multiLevelType w:val="hybridMultilevel"/>
    <w:lvl w:ilvl="0">
      <w:lvlJc w:val="left"/>
      <w:lvlText w:val="(%1)"/>
      <w:numFmt w:val="lowerLetter"/>
      <w:start w:val="3"/>
    </w:lvl>
  </w:abstractNum>
  <w:abstractNum w:abstractNumId="73">
    <w:nsid w:val="57FC4FBB"/>
    <w:multiLevelType w:val="hybridMultilevel"/>
    <w:lvl w:ilvl="0">
      <w:lvlJc w:val="left"/>
      <w:lvlText w:val="(%1)"/>
      <w:numFmt w:val="lowerLetter"/>
      <w:start w:val="1"/>
    </w:lvl>
    <w:lvl w:ilvl="1">
      <w:lvlJc w:val="left"/>
      <w:lvlText w:val="(%2)"/>
      <w:numFmt w:val="lowerLetter"/>
      <w:start w:val="9"/>
    </w:lvl>
  </w:abstractNum>
  <w:abstractNum w:abstractNumId="74">
    <w:nsid w:val="CC1016F"/>
    <w:multiLevelType w:val="hybridMultilevel"/>
    <w:lvl w:ilvl="0">
      <w:lvlJc w:val="left"/>
      <w:lvlText w:val="%1"/>
      <w:numFmt w:val="lowerLetter"/>
      <w:start w:val="1"/>
    </w:lvl>
    <w:lvl w:ilvl="1">
      <w:lvlJc w:val="left"/>
      <w:lvlText w:val="(%2)"/>
      <w:numFmt w:val="lowerRoman"/>
      <w:start w:val="2"/>
    </w:lvl>
  </w:abstractNum>
  <w:abstractNum w:abstractNumId="75">
    <w:nsid w:val="43F18422"/>
    <w:multiLevelType w:val="hybridMultilevel"/>
    <w:lvl w:ilvl="0">
      <w:lvlJc w:val="left"/>
      <w:lvlText w:val="(%1)"/>
      <w:numFmt w:val="lowerLetter"/>
      <w:start w:val="2"/>
    </w:lvl>
    <w:lvl w:ilvl="1">
      <w:lvlJc w:val="left"/>
      <w:lvlText w:val="(%2)"/>
      <w:numFmt w:val="lowerRoman"/>
      <w:start w:val="1"/>
    </w:lvl>
  </w:abstractNum>
  <w:abstractNum w:abstractNumId="76">
    <w:nsid w:val="60EF0119"/>
    <w:multiLevelType w:val="hybridMultilevel"/>
    <w:lvl w:ilvl="0">
      <w:lvlJc w:val="left"/>
      <w:lvlText w:val="(%1)"/>
      <w:numFmt w:val="lowerLetter"/>
      <w:start w:val="1"/>
    </w:lvl>
    <w:lvl w:ilvl="1">
      <w:lvlJc w:val="left"/>
      <w:lvlText w:val="(%2)"/>
      <w:numFmt w:val="lowerRoman"/>
      <w:start w:val="1"/>
    </w:lvl>
  </w:abstractNum>
  <w:abstractNum w:abstractNumId="77">
    <w:nsid w:val="26F324BA"/>
    <w:multiLevelType w:val="hybridMultilevel"/>
    <w:lvl w:ilvl="0">
      <w:lvlJc w:val="left"/>
      <w:lvlText w:val="(%1)"/>
      <w:numFmt w:val="lowerRoman"/>
      <w:start w:val="3"/>
    </w:lvl>
  </w:abstractNum>
  <w:abstractNum w:abstractNumId="78">
    <w:nsid w:val="7F01579B"/>
    <w:multiLevelType w:val="hybridMultilevel"/>
    <w:lvl w:ilvl="0">
      <w:lvlJc w:val="left"/>
      <w:lvlText w:val="(%1)"/>
      <w:numFmt w:val="lowerLetter"/>
      <w:start w:val="1"/>
    </w:lvl>
  </w:abstractNum>
  <w:abstractNum w:abstractNumId="79">
    <w:nsid w:val="49DA307D"/>
    <w:multiLevelType w:val="hybridMultilevel"/>
    <w:lvl w:ilvl="0">
      <w:lvlJc w:val="left"/>
      <w:lvlText w:val="(%1)"/>
      <w:numFmt w:val="decimal"/>
      <w:start w:val="5"/>
    </w:lvl>
  </w:abstractNum>
  <w:abstractNum w:abstractNumId="80">
    <w:nsid w:val="7055A5F5"/>
    <w:multiLevelType w:val="hybridMultilevel"/>
    <w:lvl w:ilvl="0">
      <w:lvlJc w:val="left"/>
      <w:lvlText w:val="(%1)"/>
      <w:numFmt w:val="lowerLetter"/>
      <w:start w:val="1"/>
    </w:lvl>
  </w:abstractNum>
  <w:abstractNum w:abstractNumId="81">
    <w:nsid w:val="5FB8370B"/>
    <w:multiLevelType w:val="hybridMultilevel"/>
    <w:lvl w:ilvl="0">
      <w:lvlJc w:val="left"/>
      <w:lvlText w:val="%1"/>
      <w:numFmt w:val="lowerLetter"/>
      <w:start w:val="1"/>
    </w:lvl>
    <w:lvl w:ilvl="1">
      <w:lvlJc w:val="left"/>
      <w:lvlText w:val="(%2)"/>
      <w:numFmt w:val="lowerLetter"/>
      <w:start w:val="1"/>
    </w:lvl>
  </w:abstractNum>
  <w:abstractNum w:abstractNumId="82">
    <w:nsid w:val="50801EE1"/>
    <w:multiLevelType w:val="hybridMultilevel"/>
    <w:lvl w:ilvl="0">
      <w:lvlJc w:val="left"/>
      <w:lvlText w:val="(%1)"/>
      <w:numFmt w:val="lowerLetter"/>
      <w:start w:val="35"/>
    </w:lvl>
    <w:lvl w:ilvl="1">
      <w:lvlJc w:val="left"/>
      <w:lvlText w:val="%2"/>
      <w:numFmt w:val="lowerLetter"/>
      <w:start w:val="1"/>
    </w:lvl>
  </w:abstractNum>
  <w:abstractNum w:abstractNumId="83">
    <w:nsid w:val="488AC1A"/>
    <w:multiLevelType w:val="hybridMultilevel"/>
    <w:lvl w:ilvl="0">
      <w:lvlJc w:val="left"/>
      <w:lvlText w:val="(%1)"/>
      <w:numFmt w:val="lowerLetter"/>
      <w:start w:val="3"/>
    </w:lvl>
  </w:abstractNum>
  <w:abstractNum w:abstractNumId="84">
    <w:nsid w:val="5FB8011C"/>
    <w:multiLevelType w:val="hybridMultilevel"/>
    <w:lvl w:ilvl="0">
      <w:lvlJc w:val="left"/>
      <w:lvlText w:val="(%1)"/>
      <w:numFmt w:val="lowerLetter"/>
      <w:start w:val="1"/>
    </w:lvl>
  </w:abstractNum>
  <w:abstractNum w:abstractNumId="85">
    <w:nsid w:val="6AA78F7F"/>
    <w:multiLevelType w:val="hybridMultilevel"/>
    <w:lvl w:ilvl="0">
      <w:lvlJc w:val="left"/>
      <w:lvlText w:val="(%1)"/>
      <w:numFmt w:val="lowerLetter"/>
      <w:start w:val="2"/>
    </w:lvl>
  </w:abstractNum>
  <w:abstractNum w:abstractNumId="86">
    <w:nsid w:val="7672BD23"/>
    <w:multiLevelType w:val="hybridMultilevel"/>
    <w:lvl w:ilvl="0">
      <w:lvlJc w:val="left"/>
      <w:lvlText w:val="(%1)"/>
      <w:numFmt w:val="lowerLetter"/>
      <w:start w:val="1"/>
    </w:lvl>
  </w:abstractNum>
  <w:abstractNum w:abstractNumId="87">
    <w:nsid w:val="6FC75AF8"/>
    <w:multiLevelType w:val="hybridMultilevel"/>
    <w:lvl w:ilvl="0">
      <w:lvlJc w:val="left"/>
      <w:lvlText w:val="%1."/>
      <w:numFmt w:val="decimal"/>
      <w:start w:val="1"/>
    </w:lvl>
    <w:lvl w:ilvl="1">
      <w:lvlJc w:val="left"/>
      <w:lvlText w:val="(%2)"/>
      <w:numFmt w:val="lowerLetter"/>
      <w:start w:val="1"/>
    </w:lvl>
  </w:abstractNum>
  <w:abstractNum w:abstractNumId="88">
    <w:nsid w:val="6A5F7029"/>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9"/>
    </w:lvl>
  </w:abstractNum>
  <w:abstractNum w:abstractNumId="89">
    <w:nsid w:val="7D5E18F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90">
    <w:nsid w:val="5F3534A4"/>
    <w:multiLevelType w:val="hybridMultilevel"/>
    <w:lvl w:ilvl="0">
      <w:lvlJc w:val="left"/>
      <w:lvlText w:val="%1."/>
      <w:numFmt w:val="decimal"/>
      <w:start w:val="1"/>
    </w:lvl>
    <w:lvl w:ilvl="1">
      <w:lvlJc w:val="left"/>
      <w:lvlText w:val="(%2)"/>
      <w:numFmt w:val="lowerLetter"/>
      <w:start w:val="1"/>
    </w:lvl>
  </w:abstractNum>
  <w:abstractNum w:abstractNumId="91">
    <w:nsid w:val="73A1821B"/>
    <w:multiLevelType w:val="hybridMultilevel"/>
    <w:lvl w:ilvl="0">
      <w:lvlJc w:val="left"/>
      <w:lvlText w:val="%1"/>
      <w:numFmt w:val="decimal"/>
      <w:start w:val="1"/>
    </w:lvl>
    <w:lvl w:ilvl="1">
      <w:lvlJc w:val="left"/>
      <w:lvlText w:val="(%2)"/>
      <w:numFmt w:val="lowerLetter"/>
      <w:start w:val="4"/>
    </w:lvl>
  </w:abstractNum>
  <w:abstractNum w:abstractNumId="92">
    <w:nsid w:val="7DE67713"/>
    <w:multiLevelType w:val="hybridMultilevel"/>
    <w:lvl w:ilvl="0">
      <w:lvlJc w:val="left"/>
      <w:lvlText w:val="%1."/>
      <w:numFmt w:val="decimal"/>
      <w:start w:val="3"/>
    </w:lvl>
    <w:lvl w:ilvl="1">
      <w:lvlJc w:val="left"/>
      <w:lvlText w:val="%2"/>
      <w:numFmt w:val="lowerLetter"/>
      <w:start w:val="1"/>
    </w:lvl>
  </w:abstractNum>
  <w:abstractNum w:abstractNumId="93">
    <w:nsid w:val="555C55B5"/>
    <w:multiLevelType w:val="hybridMultilevel"/>
    <w:lvl w:ilvl="0">
      <w:lvlJc w:val="left"/>
      <w:lvlText w:val="%1."/>
      <w:numFmt w:val="decimal"/>
      <w:start w:val="5"/>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decimal"/>
      <w:start w:val="1"/>
    </w:lvl>
  </w:abstractNum>
  <w:abstractNum w:abstractNumId="96">
    <w:nsid w:val="6A3DD3E8"/>
    <w:multiLevelType w:val="hybridMultilevel"/>
    <w:lvl w:ilvl="0">
      <w:lvlJc w:val="left"/>
      <w:lvlText w:val="%1."/>
      <w:numFmt w:val="decimal"/>
      <w:start w:val="3"/>
    </w:lvl>
  </w:abstractNum>
  <w:abstractNum w:abstractNumId="97">
    <w:nsid w:val="71C91298"/>
    <w:multiLevelType w:val="hybridMultilevel"/>
    <w:lvl w:ilvl="0">
      <w:lvlJc w:val="left"/>
      <w:lvlText w:val="%1."/>
      <w:numFmt w:val="decimal"/>
      <w:start w:val="1"/>
    </w:lvl>
  </w:abstractNum>
  <w:abstractNum w:abstractNumId="98">
    <w:nsid w:val="9DAF632"/>
    <w:multiLevelType w:val="hybridMultilevel"/>
    <w:lvl w:ilvl="0">
      <w:lvlJc w:val="left"/>
      <w:lvlText w:val="%1."/>
      <w:numFmt w:val="decimal"/>
      <w:start w:val="3"/>
    </w:lvl>
  </w:abstractNum>
  <w:abstractNum w:abstractNumId="99">
    <w:nsid w:val="53299938"/>
    <w:multiLevelType w:val="hybridMultilevel"/>
    <w:lvl w:ilvl="0">
      <w:lvlJc w:val="left"/>
      <w:lvlText w:val="(%1)"/>
      <w:numFmt w:val="lowerLetter"/>
      <w:start w:val="1"/>
    </w:lvl>
    <w:lvl w:ilvl="1">
      <w:lvlJc w:val="left"/>
      <w:lvlText w:val="(%2)"/>
      <w:numFmt w:val="lowerRoman"/>
      <w:start w:val="1"/>
    </w:lvl>
  </w:abstractNum>
  <w:abstractNum w:abstractNumId="100">
    <w:nsid w:val="1FBFE8E0"/>
    <w:multiLevelType w:val="hybridMultilevel"/>
    <w:lvl w:ilvl="0">
      <w:lvlJc w:val="left"/>
      <w:lvlText w:val="(%1)"/>
      <w:numFmt w:val="lowerLetter"/>
      <w:start w:val="2"/>
    </w:lvl>
    <w:lvl w:ilvl="1">
      <w:lvlJc w:val="left"/>
      <w:lvlText w:val="(%2)"/>
      <w:numFmt w:val="lowerRoman"/>
      <w:start w:val="1"/>
    </w:lvl>
  </w:abstractNum>
  <w:abstractNum w:abstractNumId="101">
    <w:nsid w:val="5092CA79"/>
    <w:multiLevelType w:val="hybridMultilevel"/>
    <w:lvl w:ilvl="0">
      <w:lvlJc w:val="left"/>
      <w:lvlText w:val="(%1)"/>
      <w:numFmt w:val="lowerLetter"/>
      <w:start w:val="1"/>
    </w:lvl>
  </w:abstractNum>
  <w:abstractNum w:abstractNumId="102">
    <w:nsid w:val="1D545C4D"/>
    <w:multiLevelType w:val="hybridMultilevel"/>
    <w:lvl w:ilvl="0">
      <w:lvlJc w:val="left"/>
      <w:lvlText w:val="%1."/>
      <w:numFmt w:val="decimal"/>
      <w:start w:val="5"/>
    </w:lvl>
  </w:abstractNum>
  <w:abstractNum w:abstractNumId="103">
    <w:nsid w:val="59ADEA3D"/>
    <w:multiLevelType w:val="hybridMultilevel"/>
    <w:lvl w:ilvl="0">
      <w:lvlJc w:val="left"/>
      <w:lvlText w:val="(%1)"/>
      <w:numFmt w:val="lowerLetter"/>
      <w:start w:val="1"/>
    </w:lvl>
  </w:abstractNum>
  <w:abstractNum w:abstractNumId="104">
    <w:nsid w:val="288F1A34"/>
    <w:multiLevelType w:val="hybridMultilevel"/>
    <w:lvl w:ilvl="0">
      <w:lvlJc w:val="left"/>
      <w:lvlText w:val="%1."/>
      <w:numFmt w:val="decimal"/>
      <w:start w:val="6"/>
    </w:lvl>
  </w:abstractNum>
  <w:abstractNum w:abstractNumId="105">
    <w:nsid w:val="2A155DBC"/>
    <w:multiLevelType w:val="hybridMultilevel"/>
    <w:lvl w:ilvl="0">
      <w:lvlJc w:val="left"/>
      <w:lvlText w:val="%1."/>
      <w:numFmt w:val="decimal"/>
      <w:start w:val="1"/>
    </w:lvl>
    <w:lvl w:ilvl="1">
      <w:lvlJc w:val="left"/>
      <w:lvlText w:val="(%2)"/>
      <w:numFmt w:val="lowerLetter"/>
      <w:start w:val="1"/>
    </w:lvl>
  </w:abstractNum>
  <w:abstractNum w:abstractNumId="106">
    <w:nsid w:val="1D9F6E5F"/>
    <w:multiLevelType w:val="hybridMultilevel"/>
    <w:lvl w:ilvl="0">
      <w:lvlJc w:val="left"/>
      <w:lvlText w:val="%1"/>
      <w:numFmt w:val="decimal"/>
      <w:start w:val="1"/>
    </w:lvl>
    <w:lvl w:ilvl="1">
      <w:lvlJc w:val="left"/>
      <w:lvlText w:val="(%2)"/>
      <w:numFmt w:val="lowerLetter"/>
      <w:start w:val="4"/>
    </w:lvl>
  </w:abstractNum>
  <w:abstractNum w:abstractNumId="107">
    <w:nsid w:val="97E1B4E"/>
    <w:multiLevelType w:val="hybridMultilevel"/>
    <w:lvl w:ilvl="0">
      <w:lvlJc w:val="left"/>
      <w:lvlText w:val="%1."/>
      <w:numFmt w:val="decimal"/>
      <w:start w:val="4"/>
    </w:lvl>
    <w:lvl w:ilvl="1">
      <w:lvlJc w:val="left"/>
      <w:lvlText w:val="%2"/>
      <w:numFmt w:val="lowerLetter"/>
      <w:start w:val="1"/>
    </w:lvl>
  </w:abstractNum>
  <w:abstractNum w:abstractNumId="108">
    <w:nsid w:val="51088277"/>
    <w:multiLevelType w:val="hybridMultilevel"/>
    <w:lvl w:ilvl="0">
      <w:lvlJc w:val="left"/>
      <w:lvlText w:val="%1."/>
      <w:numFmt w:val="decimal"/>
      <w:start w:val="1"/>
    </w:lvl>
    <w:lvl w:ilvl="1">
      <w:lvlJc w:val="left"/>
      <w:lvlText w:val="%2)"/>
      <w:numFmt w:val="lowerLetter"/>
      <w:start w:val="1"/>
    </w:lvl>
  </w:abstractNum>
  <w:abstractNum w:abstractNumId="109">
    <w:nsid w:val="1CA0C5FA"/>
    <w:multiLevelType w:val="hybridMultilevel"/>
    <w:lvl w:ilvl="0">
      <w:lvlJc w:val="left"/>
      <w:lvlText w:val="%1."/>
      <w:numFmt w:val="decimal"/>
      <w:start w:val="1"/>
    </w:lvl>
    <w:lvl w:ilvl="1">
      <w:lvlJc w:val="left"/>
      <w:lvlText w:val="%2)"/>
      <w:numFmt w:val="lowerLetter"/>
      <w:start w:val="1"/>
    </w:lvl>
  </w:abstractNum>
  <w:abstractNum w:abstractNumId="110">
    <w:nsid w:val="53584BC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2019-12-29T16:39:37Z</dcterms:created>
  <dcterms:modified xsi:type="dcterms:W3CDTF">2019-12-29T16:39:37Z</dcterms:modified>
</cp:coreProperties>
</file>