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1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26" w:lineRule="exact"/>
        <w:rPr>
          <w:sz w:val="24"/>
          <w:szCs w:val="24"/>
          <w:color w:val="auto"/>
        </w:rPr>
      </w:pPr>
    </w:p>
    <w:p>
      <w:pPr>
        <w:ind w:left="380" w:right="2260" w:hanging="355"/>
        <w:spacing w:after="0" w:line="296" w:lineRule="auto"/>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2022</w:t>
      </w:r>
    </w:p>
    <w:p>
      <w:pPr>
        <w:spacing w:after="0" w:line="187" w:lineRule="exact"/>
        <w:rPr>
          <w:sz w:val="24"/>
          <w:szCs w:val="24"/>
          <w:color w:val="auto"/>
        </w:rPr>
      </w:pPr>
    </w:p>
    <w:p>
      <w:pPr>
        <w:ind w:left="380" w:right="2260" w:hanging="355"/>
        <w:spacing w:after="0" w:line="312" w:lineRule="auto"/>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w:t>
      </w:r>
    </w:p>
    <w:p>
      <w:pPr>
        <w:spacing w:after="0" w:line="1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0-19034</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6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8"/>
              </w:rPr>
              <w:t>(Exact name of registrant as specified in its charter)</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60" w:type="dxa"/>
            <w:vAlign w:val="bottom"/>
          </w:tcPr>
          <w:p>
            <w:pPr>
              <w:spacing w:after="0"/>
              <w:rPr>
                <w:sz w:val="19"/>
                <w:szCs w:val="19"/>
                <w:color w:val="auto"/>
              </w:rPr>
            </w:pPr>
          </w:p>
        </w:tc>
        <w:tc>
          <w:tcPr>
            <w:tcW w:w="2920" w:type="dxa"/>
            <w:vAlign w:val="bottom"/>
            <w:gridSpan w:val="2"/>
          </w:tcPr>
          <w:p>
            <w:pPr>
              <w:jc w:val="center"/>
              <w:ind w:right="1451"/>
              <w:spacing w:after="0"/>
              <w:rPr>
                <w:sz w:val="20"/>
                <w:szCs w:val="20"/>
                <w:color w:val="auto"/>
              </w:rPr>
            </w:pPr>
            <w:r>
              <w:rPr>
                <w:rFonts w:ascii="Times New Roman" w:cs="Times New Roman" w:eastAsia="Times New Roman" w:hAnsi="Times New Roman"/>
                <w:sz w:val="18"/>
                <w:szCs w:val="18"/>
                <w:b w:val="1"/>
                <w:bCs w:val="1"/>
                <w:color w:val="auto"/>
                <w:w w:val="94"/>
              </w:rPr>
              <w:t>New York</w:t>
            </w: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13-3444607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980" w:type="dxa"/>
            <w:vAlign w:val="bottom"/>
            <w:gridSpan w:val="3"/>
          </w:tcPr>
          <w:p>
            <w:pPr>
              <w:jc w:val="center"/>
              <w:ind w:left="438"/>
              <w:spacing w:after="0"/>
              <w:rPr>
                <w:sz w:val="20"/>
                <w:szCs w:val="20"/>
                <w:color w:val="auto"/>
              </w:rPr>
            </w:pPr>
            <w:r>
              <w:rPr>
                <w:rFonts w:ascii="Times New Roman" w:cs="Times New Roman" w:eastAsia="Times New Roman" w:hAnsi="Times New Roman"/>
                <w:sz w:val="18"/>
                <w:szCs w:val="18"/>
                <w:i w:val="1"/>
                <w:iCs w:val="1"/>
                <w:color w:val="auto"/>
                <w:w w:val="98"/>
              </w:rPr>
              <w:t>(State or other jurisdiction of incorporation or organization)</w:t>
            </w: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8"/>
              </w:rPr>
              <w:t>(I.R.S. Employer Identification No.)</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7"/>
        </w:trPr>
        <w:tc>
          <w:tcPr>
            <w:tcW w:w="2060" w:type="dxa"/>
            <w:vAlign w:val="bottom"/>
          </w:tcPr>
          <w:p>
            <w:pPr>
              <w:spacing w:after="0"/>
              <w:rPr>
                <w:sz w:val="24"/>
                <w:szCs w:val="24"/>
                <w:color w:val="auto"/>
              </w:rPr>
            </w:pPr>
          </w:p>
        </w:tc>
        <w:tc>
          <w:tcPr>
            <w:tcW w:w="8140" w:type="dxa"/>
            <w:vAlign w:val="bottom"/>
            <w:gridSpan w:val="7"/>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777 Old Saw Mill River Road, Tarrytown, New York 10591-6707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60" w:type="dxa"/>
            <w:vAlign w:val="bottom"/>
            <w:gridSpan w:val="6"/>
          </w:tcPr>
          <w:p>
            <w:pPr>
              <w:jc w:val="center"/>
              <w:ind w:right="2320"/>
              <w:spacing w:after="0"/>
              <w:rPr>
                <w:sz w:val="20"/>
                <w:szCs w:val="20"/>
                <w:color w:val="auto"/>
              </w:rPr>
            </w:pPr>
            <w:r>
              <w:rPr>
                <w:rFonts w:ascii="Times New Roman" w:cs="Times New Roman" w:eastAsia="Times New Roman" w:hAnsi="Times New Roman"/>
                <w:sz w:val="18"/>
                <w:szCs w:val="18"/>
                <w:i w:val="1"/>
                <w:iCs w:val="1"/>
                <w:color w:val="auto"/>
                <w:w w:val="98"/>
              </w:rPr>
              <w:t>(Address of principal executive offices, including zip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2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(914) 847-7000</w:t>
            </w: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60" w:type="dxa"/>
            <w:vAlign w:val="bottom"/>
            <w:gridSpan w:val="6"/>
          </w:tcPr>
          <w:p>
            <w:pPr>
              <w:jc w:val="center"/>
              <w:ind w:right="232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2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6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60" w:type="dxa"/>
            <w:vAlign w:val="bottom"/>
          </w:tcPr>
          <w:p>
            <w:pPr>
              <w:spacing w:after="0"/>
              <w:rPr>
                <w:sz w:val="24"/>
                <w:szCs w:val="24"/>
                <w:color w:val="auto"/>
              </w:rPr>
            </w:pPr>
          </w:p>
        </w:tc>
        <w:tc>
          <w:tcPr>
            <w:tcW w:w="2920" w:type="dxa"/>
            <w:vAlign w:val="bottom"/>
            <w:gridSpan w:val="2"/>
          </w:tcPr>
          <w:p>
            <w:pPr>
              <w:jc w:val="center"/>
              <w:ind w:right="1551"/>
              <w:spacing w:after="0"/>
              <w:rPr>
                <w:sz w:val="20"/>
                <w:szCs w:val="20"/>
                <w:color w:val="auto"/>
              </w:rPr>
            </w:pPr>
            <w:r>
              <w:rPr>
                <w:rFonts w:ascii="Times New Roman" w:cs="Times New Roman" w:eastAsia="Times New Roman" w:hAnsi="Times New Roman"/>
                <w:sz w:val="18"/>
                <w:szCs w:val="18"/>
                <w:i w:val="1"/>
                <w:iCs w:val="1"/>
                <w:color w:val="auto"/>
                <w:w w:val="98"/>
              </w:rPr>
              <w:t>Title of each class</w:t>
            </w:r>
          </w:p>
        </w:tc>
        <w:tc>
          <w:tcPr>
            <w:tcW w:w="19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i w:val="1"/>
                <w:iCs w:val="1"/>
                <w:color w:val="auto"/>
                <w:w w:val="98"/>
              </w:rPr>
              <w:t>Trading Symbol</w:t>
            </w: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80" w:type="dxa"/>
            <w:vAlign w:val="bottom"/>
            <w:gridSpan w:val="3"/>
          </w:tcPr>
          <w:p>
            <w:pPr>
              <w:jc w:val="center"/>
              <w:ind w:left="358"/>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60" w:type="dxa"/>
            <w:vAlign w:val="bottom"/>
          </w:tcPr>
          <w:p>
            <w:pPr>
              <w:spacing w:after="0"/>
              <w:rPr>
                <w:sz w:val="21"/>
                <w:szCs w:val="21"/>
                <w:color w:val="auto"/>
              </w:rPr>
            </w:pPr>
          </w:p>
        </w:tc>
        <w:tc>
          <w:tcPr>
            <w:tcW w:w="188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NASDAQ Global Select Market</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102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10200" w:type="dxa"/>
            <w:vAlign w:val="bottom"/>
            <w:gridSpan w:val="8"/>
          </w:tcPr>
          <w:p>
            <w:pPr>
              <w:spacing w:after="0" w:line="161" w:lineRule="exact"/>
              <w:rPr>
                <w:sz w:val="20"/>
                <w:szCs w:val="20"/>
                <w:color w:val="auto"/>
              </w:rPr>
            </w:pPr>
            <w:r>
              <w:rPr>
                <w:rFonts w:ascii="Times New Roman" w:cs="Times New Roman" w:eastAsia="Times New Roman" w:hAnsi="Times New Roman"/>
                <w:sz w:val="16"/>
                <w:szCs w:val="16"/>
                <w:color w:val="auto"/>
              </w:rPr>
              <w:t>1934 during the preceding 12 months (or for such shorter period that the registrant was required to file such reports), and (2) has been subject to</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2"/>
                <w:szCs w:val="12"/>
                <w:color w:val="auto"/>
                <w:w w:val="92"/>
              </w:rPr>
              <w:t xml:space="preserve">No </w:t>
            </w:r>
            <w:r>
              <w:rPr>
                <w:rFonts w:ascii="MS PGothic" w:cs="MS PGothic" w:eastAsia="MS PGothic" w:hAnsi="MS PGothic"/>
                <w:sz w:val="17"/>
                <w:szCs w:val="17"/>
                <w:color w:val="auto"/>
                <w:w w:val="92"/>
              </w:rPr>
              <w:t>☐</w:t>
            </w:r>
          </w:p>
        </w:tc>
        <w:tc>
          <w:tcPr>
            <w:tcW w:w="0" w:type="dxa"/>
            <w:vAlign w:val="bottom"/>
          </w:tcPr>
          <w:p>
            <w:pPr>
              <w:spacing w:after="0"/>
              <w:rPr>
                <w:sz w:val="1"/>
                <w:szCs w:val="1"/>
                <w:color w:val="auto"/>
              </w:rPr>
            </w:pPr>
          </w:p>
        </w:tc>
      </w:tr>
      <w:tr>
        <w:trPr>
          <w:trHeight w:val="267"/>
        </w:trPr>
        <w:tc>
          <w:tcPr>
            <w:tcW w:w="4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such filing requirements for the past 90 days.</w:t>
            </w:r>
          </w:p>
        </w:tc>
        <w:tc>
          <w:tcPr>
            <w:tcW w:w="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80" w:type="dxa"/>
            <w:vAlign w:val="bottom"/>
            <w:gridSpan w:val="2"/>
          </w:tcPr>
          <w:p>
            <w:pPr>
              <w:ind w:left="2760"/>
              <w:spacing w:after="0" w:line="196"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10200" w:type="dxa"/>
            <w:vAlign w:val="bottom"/>
            <w:gridSpan w:val="8"/>
          </w:tcPr>
          <w:p>
            <w:pPr>
              <w:spacing w:after="0" w:line="161" w:lineRule="exact"/>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200" w:type="dxa"/>
            <w:vAlign w:val="bottom"/>
            <w:gridSpan w:val="8"/>
          </w:tcPr>
          <w:p>
            <w:pPr>
              <w:spacing w:after="0" w:line="161" w:lineRule="exact"/>
              <w:rPr>
                <w:sz w:val="20"/>
                <w:szCs w:val="20"/>
                <w:color w:val="auto"/>
              </w:rPr>
            </w:pPr>
            <w:r>
              <w:rPr>
                <w:rFonts w:ascii="Times New Roman" w:cs="Times New Roman" w:eastAsia="Times New Roman" w:hAnsi="Times New Roman"/>
                <w:sz w:val="16"/>
                <w:szCs w:val="16"/>
                <w:color w:val="auto"/>
              </w:rPr>
              <w:t>405 of Regulation S-T (§232.405 of this chapter) during the preceding 12 months (or for such shorter period that the registrant was required to</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2"/>
                <w:szCs w:val="12"/>
                <w:color w:val="auto"/>
                <w:w w:val="92"/>
              </w:rPr>
              <w:t xml:space="preserve">No </w:t>
            </w:r>
            <w:r>
              <w:rPr>
                <w:rFonts w:ascii="MS PGothic" w:cs="MS PGothic" w:eastAsia="MS PGothic" w:hAnsi="MS PGothic"/>
                <w:sz w:val="17"/>
                <w:szCs w:val="17"/>
                <w:color w:val="auto"/>
                <w:w w:val="92"/>
              </w:rPr>
              <w:t>☐</w:t>
            </w:r>
          </w:p>
        </w:tc>
        <w:tc>
          <w:tcPr>
            <w:tcW w:w="0" w:type="dxa"/>
            <w:vAlign w:val="bottom"/>
          </w:tcPr>
          <w:p>
            <w:pPr>
              <w:spacing w:after="0"/>
              <w:rPr>
                <w:sz w:val="1"/>
                <w:szCs w:val="1"/>
                <w:color w:val="auto"/>
              </w:rPr>
            </w:pPr>
          </w:p>
        </w:tc>
      </w:tr>
      <w:tr>
        <w:trPr>
          <w:trHeight w:val="279"/>
        </w:trPr>
        <w:tc>
          <w:tcPr>
            <w:tcW w:w="4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submit such files).</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80" w:type="dxa"/>
            <w:vAlign w:val="bottom"/>
            <w:gridSpan w:val="2"/>
          </w:tcPr>
          <w:p>
            <w:pPr>
              <w:ind w:left="2760"/>
              <w:spacing w:after="0" w:line="196"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54" w:lineRule="exact"/>
        <w:rPr>
          <w:sz w:val="24"/>
          <w:szCs w:val="24"/>
          <w:color w:val="auto"/>
        </w:rPr>
      </w:pPr>
    </w:p>
    <w:p>
      <w:pPr>
        <w:jc w:val="both"/>
        <w:ind w:left="20" w:right="260"/>
        <w:spacing w:after="0" w:line="23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Large accelerated</w:t>
            </w:r>
          </w:p>
        </w:tc>
        <w:tc>
          <w:tcPr>
            <w:tcW w:w="1700" w:type="dxa"/>
            <w:vAlign w:val="bottom"/>
            <w:gridSpan w:val="2"/>
            <w:vMerge w:val="restart"/>
          </w:tcPr>
          <w:p>
            <w:pPr>
              <w:ind w:left="160"/>
              <w:spacing w:after="0" w:line="196"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7"/>
                <w:szCs w:val="17"/>
                <w:color w:val="auto"/>
              </w:rPr>
              <w:t>☐</w:t>
            </w:r>
          </w:p>
        </w:tc>
        <w:tc>
          <w:tcPr>
            <w:tcW w:w="2300" w:type="dxa"/>
            <w:vAlign w:val="bottom"/>
            <w:gridSpan w:val="2"/>
            <w:vMerge w:val="restart"/>
          </w:tcPr>
          <w:p>
            <w:pPr>
              <w:ind w:left="260"/>
              <w:spacing w:after="0" w:line="196"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7"/>
                <w:szCs w:val="17"/>
                <w:color w:val="auto"/>
              </w:rPr>
              <w:t>☐</w:t>
            </w:r>
          </w:p>
        </w:tc>
        <w:tc>
          <w:tcPr>
            <w:tcW w:w="20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Smaller reporting</w:t>
            </w:r>
          </w:p>
        </w:tc>
        <w:tc>
          <w:tcPr>
            <w:tcW w:w="2340" w:type="dxa"/>
            <w:vAlign w:val="bottom"/>
            <w:gridSpan w:val="2"/>
            <w:vMerge w:val="restart"/>
          </w:tcPr>
          <w:p>
            <w:pPr>
              <w:jc w:val="right"/>
              <w:ind w:right="284"/>
              <w:spacing w:after="0" w:line="196" w:lineRule="exact"/>
              <w:rPr>
                <w:sz w:val="20"/>
                <w:szCs w:val="20"/>
                <w:color w:val="auto"/>
              </w:rPr>
            </w:pPr>
            <w:r>
              <w:rPr>
                <w:rFonts w:ascii="Times New Roman" w:cs="Times New Roman" w:eastAsia="Times New Roman" w:hAnsi="Times New Roman"/>
                <w:sz w:val="16"/>
                <w:szCs w:val="16"/>
                <w:color w:val="auto"/>
                <w:w w:val="99"/>
              </w:rPr>
              <w:t xml:space="preserve">Emerging growth company </w:t>
            </w:r>
            <w:r>
              <w:rPr>
                <w:rFonts w:ascii="MS PGothic" w:cs="MS PGothic" w:eastAsia="MS PGothic" w:hAnsi="MS PGothic"/>
                <w:sz w:val="17"/>
                <w:szCs w:val="17"/>
                <w:color w:val="auto"/>
                <w:w w:val="99"/>
              </w:rPr>
              <w:t>☐</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1820" w:type="dxa"/>
            <w:vAlign w:val="bottom"/>
          </w:tcPr>
          <w:p>
            <w:pPr>
              <w:ind w:left="1180"/>
              <w:spacing w:after="0" w:line="196" w:lineRule="exact"/>
              <w:rPr>
                <w:sz w:val="20"/>
                <w:szCs w:val="20"/>
                <w:color w:val="auto"/>
              </w:rPr>
            </w:pPr>
            <w:r>
              <w:rPr>
                <w:rFonts w:ascii="Times New Roman" w:cs="Times New Roman" w:eastAsia="Times New Roman" w:hAnsi="Times New Roman"/>
                <w:sz w:val="16"/>
                <w:szCs w:val="16"/>
                <w:color w:val="auto"/>
              </w:rPr>
              <w:t xml:space="preserve">filer </w:t>
            </w:r>
            <w:r>
              <w:rPr>
                <w:rFonts w:ascii="MS PGothic" w:cs="MS PGothic" w:eastAsia="MS PGothic" w:hAnsi="MS PGothic"/>
                <w:sz w:val="17"/>
                <w:szCs w:val="17"/>
                <w:color w:val="auto"/>
              </w:rPr>
              <w:t>☒</w:t>
            </w:r>
          </w:p>
        </w:tc>
        <w:tc>
          <w:tcPr>
            <w:tcW w:w="1700" w:type="dxa"/>
            <w:vAlign w:val="bottom"/>
            <w:gridSpan w:val="2"/>
            <w:vMerge w:val="continue"/>
          </w:tcPr>
          <w:p>
            <w:pPr>
              <w:spacing w:after="0"/>
              <w:rPr>
                <w:sz w:val="24"/>
                <w:szCs w:val="24"/>
                <w:color w:val="auto"/>
              </w:rPr>
            </w:pPr>
          </w:p>
        </w:tc>
        <w:tc>
          <w:tcPr>
            <w:tcW w:w="2300" w:type="dxa"/>
            <w:vAlign w:val="bottom"/>
            <w:gridSpan w:val="2"/>
            <w:vMerge w:val="continue"/>
          </w:tcPr>
          <w:p>
            <w:pPr>
              <w:spacing w:after="0"/>
              <w:rPr>
                <w:sz w:val="24"/>
                <w:szCs w:val="24"/>
                <w:color w:val="auto"/>
              </w:rPr>
            </w:pPr>
          </w:p>
        </w:tc>
        <w:tc>
          <w:tcPr>
            <w:tcW w:w="2020" w:type="dxa"/>
            <w:vAlign w:val="bottom"/>
          </w:tcPr>
          <w:p>
            <w:pPr>
              <w:ind w:left="960"/>
              <w:spacing w:after="0" w:line="196" w:lineRule="exact"/>
              <w:rPr>
                <w:sz w:val="20"/>
                <w:szCs w:val="20"/>
                <w:color w:val="auto"/>
              </w:rPr>
            </w:pPr>
            <w:r>
              <w:rPr>
                <w:rFonts w:ascii="Times New Roman" w:cs="Times New Roman" w:eastAsia="Times New Roman" w:hAnsi="Times New Roman"/>
                <w:sz w:val="16"/>
                <w:szCs w:val="16"/>
                <w:color w:val="auto"/>
              </w:rPr>
              <w:t xml:space="preserve">company </w:t>
            </w:r>
            <w:r>
              <w:rPr>
                <w:rFonts w:ascii="MS PGothic" w:cs="MS PGothic" w:eastAsia="MS PGothic" w:hAnsi="MS PGothic"/>
                <w:sz w:val="17"/>
                <w:szCs w:val="17"/>
                <w:color w:val="auto"/>
              </w:rPr>
              <w:t>☐</w:t>
            </w:r>
          </w:p>
        </w:tc>
        <w:tc>
          <w:tcPr>
            <w:tcW w:w="234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18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any new or revised financial accounting standards provided pursuant to Section 13(a) of the Exchange Act.</w:t>
            </w:r>
          </w:p>
        </w:tc>
        <w:tc>
          <w:tcPr>
            <w:tcW w:w="1180" w:type="dxa"/>
            <w:vAlign w:val="bottom"/>
          </w:tcPr>
          <w:p>
            <w:pPr>
              <w:spacing w:after="0"/>
              <w:rPr>
                <w:sz w:val="20"/>
                <w:szCs w:val="20"/>
                <w:color w:val="auto"/>
              </w:rPr>
            </w:pPr>
          </w:p>
        </w:tc>
        <w:tc>
          <w:tcPr>
            <w:tcW w:w="1160" w:type="dxa"/>
            <w:vAlign w:val="bottom"/>
          </w:tcPr>
          <w:p>
            <w:pPr>
              <w:jc w:val="right"/>
              <w:ind w:right="84"/>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78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1180" w:type="dxa"/>
            <w:vAlign w:val="bottom"/>
          </w:tcPr>
          <w:p>
            <w:pPr>
              <w:spacing w:after="0"/>
              <w:rPr>
                <w:sz w:val="24"/>
                <w:szCs w:val="24"/>
                <w:color w:val="auto"/>
              </w:rPr>
            </w:pPr>
          </w:p>
        </w:tc>
        <w:tc>
          <w:tcPr>
            <w:tcW w:w="1160" w:type="dxa"/>
            <w:vAlign w:val="bottom"/>
          </w:tcPr>
          <w:p>
            <w:pPr>
              <w:jc w:val="right"/>
              <w:ind w:right="84"/>
              <w:spacing w:after="0" w:line="196"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7"/>
                <w:szCs w:val="17"/>
                <w:color w:val="auto"/>
              </w:rPr>
              <w:t>☐</w:t>
            </w:r>
          </w:p>
        </w:tc>
        <w:tc>
          <w:tcPr>
            <w:tcW w:w="1060" w:type="dxa"/>
            <w:vAlign w:val="bottom"/>
          </w:tcPr>
          <w:p>
            <w:pPr>
              <w:ind w:left="180"/>
              <w:spacing w:after="0" w:line="196"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70"/>
        </w:trPr>
        <w:tc>
          <w:tcPr>
            <w:tcW w:w="784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as of October 24, 2022:</w:t>
            </w:r>
          </w:p>
        </w:tc>
        <w:tc>
          <w:tcPr>
            <w:tcW w:w="1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color w:val="auto"/>
                <w:w w:val="99"/>
              </w:rPr>
              <w:t>Class of Common Stock</w:t>
            </w:r>
          </w:p>
        </w:tc>
        <w:tc>
          <w:tcPr>
            <w:tcW w:w="4360" w:type="dxa"/>
            <w:vAlign w:val="bottom"/>
            <w:gridSpan w:val="3"/>
          </w:tcPr>
          <w:p>
            <w:pPr>
              <w:jc w:val="right"/>
              <w:ind w:right="2104"/>
              <w:spacing w:after="0"/>
              <w:rPr>
                <w:sz w:val="20"/>
                <w:szCs w:val="20"/>
                <w:color w:val="auto"/>
              </w:rPr>
            </w:pPr>
            <w:r>
              <w:rPr>
                <w:rFonts w:ascii="Times New Roman" w:cs="Times New Roman" w:eastAsia="Times New Roman" w:hAnsi="Times New Roman"/>
                <w:sz w:val="16"/>
                <w:szCs w:val="16"/>
                <w:color w:val="auto"/>
              </w:rPr>
              <w:t>Number of Shares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Class A Stock, $.001 par value</w:t>
            </w:r>
          </w:p>
        </w:tc>
        <w:tc>
          <w:tcPr>
            <w:tcW w:w="320" w:type="dxa"/>
            <w:vAlign w:val="bottom"/>
          </w:tcPr>
          <w:p>
            <w:pPr>
              <w:spacing w:after="0"/>
              <w:rPr>
                <w:sz w:val="17"/>
                <w:szCs w:val="17"/>
                <w:color w:val="auto"/>
              </w:rPr>
            </w:pPr>
          </w:p>
        </w:tc>
        <w:tc>
          <w:tcPr>
            <w:tcW w:w="20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1,818,146</w:t>
            </w:r>
          </w:p>
        </w:tc>
        <w:tc>
          <w:tcPr>
            <w:tcW w:w="1180" w:type="dxa"/>
            <w:vAlign w:val="bottom"/>
            <w:tcBorders>
              <w:top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107,083,789</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5"/>
        </w:trPr>
        <w:tc>
          <w:tcPr>
            <w:tcW w:w="18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3"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gridSpan w:val="7"/>
          </w:tcPr>
          <w:p>
            <w:pPr>
              <w:ind w:left="380"/>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712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2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1.</w:t>
            </w:r>
          </w:p>
        </w:tc>
        <w:tc>
          <w:tcPr>
            <w:tcW w:w="712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1020" w:type="dxa"/>
            <w:vAlign w:val="bottom"/>
            <w:gridSpan w:val="5"/>
            <w:shd w:val="clear" w:color="auto" w:fill="CCEEFF"/>
          </w:tcPr>
          <w:p>
            <w:pPr>
              <w:jc w:val="center"/>
              <w:ind w:left="751"/>
              <w:spacing w:after="0" w:line="188" w:lineRule="exact"/>
              <w:rPr>
                <w:sz w:val="20"/>
                <w:szCs w:val="20"/>
                <w:color w:val="auto"/>
              </w:rPr>
            </w:pPr>
            <w:r>
              <w:rPr>
                <w:rFonts w:ascii="Times New Roman" w:cs="Times New Roman" w:eastAsia="Times New Roman" w:hAnsi="Times New Roman"/>
                <w:sz w:val="18"/>
                <w:szCs w:val="18"/>
                <w:color w:val="0000FF"/>
              </w:rPr>
              <w:t>2</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2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12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2022 and December 31, 2021</w:t>
            </w:r>
          </w:p>
        </w:tc>
        <w:tc>
          <w:tcPr>
            <w:tcW w:w="1020" w:type="dxa"/>
            <w:vAlign w:val="bottom"/>
            <w:gridSpan w:val="5"/>
            <w:shd w:val="clear" w:color="auto" w:fill="CCEEFF"/>
          </w:tcPr>
          <w:p>
            <w:pPr>
              <w:jc w:val="center"/>
              <w:ind w:left="751"/>
              <w:spacing w:after="0" w:line="188" w:lineRule="exact"/>
              <w:rPr>
                <w:sz w:val="20"/>
                <w:szCs w:val="20"/>
                <w:color w:val="auto"/>
              </w:rPr>
            </w:pPr>
            <w:r>
              <w:rPr>
                <w:rFonts w:ascii="Times New Roman" w:cs="Times New Roman" w:eastAsia="Times New Roman" w:hAnsi="Times New Roman"/>
                <w:sz w:val="18"/>
                <w:szCs w:val="18"/>
                <w:color w:val="0000FF"/>
              </w:rPr>
              <w:t>2</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187"/>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12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for the Three</w:t>
            </w:r>
          </w:p>
        </w:tc>
        <w:tc>
          <w:tcPr>
            <w:tcW w:w="1020" w:type="dxa"/>
            <w:vAlign w:val="bottom"/>
            <w:gridSpan w:val="5"/>
            <w:shd w:val="clear" w:color="auto" w:fill="CCEEFF"/>
          </w:tcPr>
          <w:p>
            <w:pPr>
              <w:jc w:val="center"/>
              <w:ind w:left="751"/>
              <w:spacing w:after="0" w:line="188" w:lineRule="exact"/>
              <w:rPr>
                <w:sz w:val="20"/>
                <w:szCs w:val="20"/>
                <w:color w:val="auto"/>
              </w:rPr>
            </w:pPr>
            <w:r>
              <w:rPr>
                <w:rFonts w:ascii="Times New Roman" w:cs="Times New Roman" w:eastAsia="Times New Roman" w:hAnsi="Times New Roman"/>
                <w:sz w:val="18"/>
                <w:szCs w:val="18"/>
                <w:color w:val="0000FF"/>
              </w:rPr>
              <w:t>3</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6640" w:type="dxa"/>
            <w:vAlign w:val="bottom"/>
            <w:tcBorders>
              <w:top w:val="single" w:sz="8" w:color="0000FF"/>
            </w:tcBorders>
            <w:gridSpan w:val="18"/>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and Nine Months Ended September 30, 2022 and 2021</w:t>
            </w:r>
          </w:p>
        </w:tc>
        <w:tc>
          <w:tcPr>
            <w:tcW w:w="1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187"/>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12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w:t>
            </w:r>
          </w:p>
        </w:tc>
        <w:tc>
          <w:tcPr>
            <w:tcW w:w="1020" w:type="dxa"/>
            <w:vAlign w:val="bottom"/>
            <w:gridSpan w:val="5"/>
            <w:shd w:val="clear" w:color="auto" w:fill="CCEEFF"/>
          </w:tcPr>
          <w:p>
            <w:pPr>
              <w:jc w:val="center"/>
              <w:ind w:left="751"/>
              <w:spacing w:after="0" w:line="188" w:lineRule="exact"/>
              <w:rPr>
                <w:sz w:val="20"/>
                <w:szCs w:val="20"/>
                <w:color w:val="auto"/>
              </w:rPr>
            </w:pPr>
            <w:r>
              <w:rPr>
                <w:rFonts w:ascii="Times New Roman" w:cs="Times New Roman" w:eastAsia="Times New Roman" w:hAnsi="Times New Roman"/>
                <w:sz w:val="18"/>
                <w:szCs w:val="18"/>
                <w:color w:val="0000FF"/>
              </w:rPr>
              <w:t>4</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6580" w:type="dxa"/>
            <w:vAlign w:val="bottom"/>
            <w:tcBorders>
              <w:top w:val="single" w:sz="8" w:color="0000FF"/>
            </w:tcBorders>
            <w:gridSpan w:val="17"/>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Ended September 30, 2022 and 2021</w:t>
            </w:r>
          </w:p>
        </w:tc>
        <w:tc>
          <w:tcPr>
            <w:tcW w:w="180" w:type="dxa"/>
            <w:vAlign w:val="bottom"/>
            <w:tcBorders>
              <w:top w:val="single" w:sz="8" w:color="CCEEFF"/>
            </w:tcBorders>
            <w:gridSpan w:val="2"/>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187"/>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12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w:t>
            </w:r>
          </w:p>
        </w:tc>
        <w:tc>
          <w:tcPr>
            <w:tcW w:w="1020" w:type="dxa"/>
            <w:vAlign w:val="bottom"/>
            <w:gridSpan w:val="5"/>
            <w:shd w:val="clear" w:color="auto" w:fill="CCEEFF"/>
          </w:tcPr>
          <w:p>
            <w:pPr>
              <w:jc w:val="center"/>
              <w:ind w:left="751"/>
              <w:spacing w:after="0" w:line="188" w:lineRule="exact"/>
              <w:rPr>
                <w:sz w:val="20"/>
                <w:szCs w:val="20"/>
                <w:color w:val="auto"/>
              </w:rPr>
            </w:pPr>
            <w:r>
              <w:rPr>
                <w:rFonts w:ascii="Times New Roman" w:cs="Times New Roman" w:eastAsia="Times New Roman" w:hAnsi="Times New Roman"/>
                <w:sz w:val="18"/>
                <w:szCs w:val="18"/>
                <w:color w:val="0000FF"/>
              </w:rPr>
              <w:t>6</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6760" w:type="dxa"/>
            <w:vAlign w:val="bottom"/>
            <w:tcBorders>
              <w:top w:val="single" w:sz="8" w:color="0000FF"/>
            </w:tcBorders>
            <w:gridSpan w:val="19"/>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2022 and 2021</w:t>
            </w:r>
          </w:p>
        </w:tc>
        <w:tc>
          <w:tcPr>
            <w:tcW w:w="3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2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12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20" w:type="dxa"/>
            <w:vAlign w:val="bottom"/>
            <w:gridSpan w:val="5"/>
            <w:shd w:val="clear" w:color="auto" w:fill="CCEEFF"/>
          </w:tcPr>
          <w:p>
            <w:pPr>
              <w:jc w:val="center"/>
              <w:ind w:left="751"/>
              <w:spacing w:after="0" w:line="188" w:lineRule="exact"/>
              <w:rPr>
                <w:sz w:val="20"/>
                <w:szCs w:val="20"/>
                <w:color w:val="auto"/>
              </w:rPr>
            </w:pPr>
            <w:r>
              <w:rPr>
                <w:rFonts w:ascii="Times New Roman" w:cs="Times New Roman" w:eastAsia="Times New Roman" w:hAnsi="Times New Roman"/>
                <w:sz w:val="18"/>
                <w:szCs w:val="18"/>
                <w:color w:val="0000FF"/>
              </w:rPr>
              <w:t>7</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2.</w:t>
            </w:r>
          </w:p>
        </w:tc>
        <w:tc>
          <w:tcPr>
            <w:tcW w:w="712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80" w:type="dxa"/>
            <w:vAlign w:val="bottom"/>
            <w:gridSpan w:val="6"/>
            <w:shd w:val="clear" w:color="auto" w:fill="CCEEFF"/>
          </w:tcPr>
          <w:p>
            <w:pPr>
              <w:jc w:val="center"/>
              <w:ind w:left="291"/>
              <w:spacing w:after="0" w:line="188" w:lineRule="exact"/>
              <w:rPr>
                <w:sz w:val="20"/>
                <w:szCs w:val="20"/>
                <w:color w:val="auto"/>
              </w:rPr>
            </w:pPr>
            <w:r>
              <w:rPr>
                <w:rFonts w:ascii="Times New Roman" w:cs="Times New Roman" w:eastAsia="Times New Roman" w:hAnsi="Times New Roman"/>
                <w:sz w:val="18"/>
                <w:szCs w:val="18"/>
                <w:color w:val="0000FF"/>
                <w:w w:val="99"/>
              </w:rPr>
              <w:t>25</w:t>
            </w: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3.</w:t>
            </w:r>
          </w:p>
        </w:tc>
        <w:tc>
          <w:tcPr>
            <w:tcW w:w="712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480" w:type="dxa"/>
            <w:vAlign w:val="bottom"/>
            <w:gridSpan w:val="6"/>
            <w:shd w:val="clear" w:color="auto" w:fill="CCEEFF"/>
          </w:tcPr>
          <w:p>
            <w:pPr>
              <w:jc w:val="center"/>
              <w:ind w:left="291"/>
              <w:spacing w:after="0" w:line="188" w:lineRule="exact"/>
              <w:rPr>
                <w:sz w:val="20"/>
                <w:szCs w:val="20"/>
                <w:color w:val="auto"/>
              </w:rPr>
            </w:pPr>
            <w:r>
              <w:rPr>
                <w:rFonts w:ascii="Times New Roman" w:cs="Times New Roman" w:eastAsia="Times New Roman" w:hAnsi="Times New Roman"/>
                <w:sz w:val="18"/>
                <w:szCs w:val="18"/>
                <w:color w:val="0000FF"/>
                <w:w w:val="99"/>
              </w:rPr>
              <w:t>50</w:t>
            </w: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4.</w:t>
            </w:r>
          </w:p>
        </w:tc>
        <w:tc>
          <w:tcPr>
            <w:tcW w:w="712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Controls and Procedures</w:t>
            </w:r>
          </w:p>
        </w:tc>
        <w:tc>
          <w:tcPr>
            <w:tcW w:w="1480" w:type="dxa"/>
            <w:vAlign w:val="bottom"/>
            <w:gridSpan w:val="6"/>
            <w:shd w:val="clear" w:color="auto" w:fill="CCEEFF"/>
          </w:tcPr>
          <w:p>
            <w:pPr>
              <w:jc w:val="center"/>
              <w:ind w:left="291"/>
              <w:spacing w:after="0" w:line="188" w:lineRule="exact"/>
              <w:rPr>
                <w:sz w:val="20"/>
                <w:szCs w:val="20"/>
                <w:color w:val="auto"/>
              </w:rPr>
            </w:pPr>
            <w:r>
              <w:rPr>
                <w:rFonts w:ascii="Times New Roman" w:cs="Times New Roman" w:eastAsia="Times New Roman" w:hAnsi="Times New Roman"/>
                <w:sz w:val="18"/>
                <w:szCs w:val="18"/>
                <w:color w:val="0000FF"/>
                <w:w w:val="99"/>
              </w:rPr>
              <w:t>50</w:t>
            </w: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2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712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2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1.</w:t>
            </w:r>
          </w:p>
        </w:tc>
        <w:tc>
          <w:tcPr>
            <w:tcW w:w="712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Legal Proceedings</w:t>
            </w:r>
          </w:p>
        </w:tc>
        <w:tc>
          <w:tcPr>
            <w:tcW w:w="1480" w:type="dxa"/>
            <w:vAlign w:val="bottom"/>
            <w:gridSpan w:val="6"/>
            <w:shd w:val="clear" w:color="auto" w:fill="CCEEFF"/>
          </w:tcPr>
          <w:p>
            <w:pPr>
              <w:jc w:val="center"/>
              <w:ind w:left="291"/>
              <w:spacing w:after="0" w:line="188" w:lineRule="exact"/>
              <w:rPr>
                <w:sz w:val="20"/>
                <w:szCs w:val="20"/>
                <w:color w:val="auto"/>
              </w:rPr>
            </w:pPr>
            <w:r>
              <w:rPr>
                <w:rFonts w:ascii="Times New Roman" w:cs="Times New Roman" w:eastAsia="Times New Roman" w:hAnsi="Times New Roman"/>
                <w:sz w:val="18"/>
                <w:szCs w:val="18"/>
                <w:color w:val="0000FF"/>
                <w:w w:val="99"/>
              </w:rPr>
              <w:t>51</w:t>
            </w: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2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1A.</w:t>
            </w:r>
          </w:p>
        </w:tc>
        <w:tc>
          <w:tcPr>
            <w:tcW w:w="712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Risk Factors</w:t>
            </w:r>
          </w:p>
        </w:tc>
        <w:tc>
          <w:tcPr>
            <w:tcW w:w="1480" w:type="dxa"/>
            <w:vAlign w:val="bottom"/>
            <w:gridSpan w:val="6"/>
            <w:shd w:val="clear" w:color="auto" w:fill="CCEEFF"/>
          </w:tcPr>
          <w:p>
            <w:pPr>
              <w:jc w:val="center"/>
              <w:ind w:left="291"/>
              <w:spacing w:after="0" w:line="188" w:lineRule="exact"/>
              <w:rPr>
                <w:sz w:val="20"/>
                <w:szCs w:val="20"/>
                <w:color w:val="auto"/>
              </w:rPr>
            </w:pPr>
            <w:r>
              <w:rPr>
                <w:rFonts w:ascii="Times New Roman" w:cs="Times New Roman" w:eastAsia="Times New Roman" w:hAnsi="Times New Roman"/>
                <w:sz w:val="18"/>
                <w:szCs w:val="18"/>
                <w:color w:val="0000FF"/>
                <w:w w:val="99"/>
              </w:rPr>
              <w:t>51</w:t>
            </w: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2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2.</w:t>
            </w:r>
          </w:p>
        </w:tc>
        <w:tc>
          <w:tcPr>
            <w:tcW w:w="712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480" w:type="dxa"/>
            <w:vAlign w:val="bottom"/>
            <w:gridSpan w:val="6"/>
            <w:shd w:val="clear" w:color="auto" w:fill="CCEEFF"/>
          </w:tcPr>
          <w:p>
            <w:pPr>
              <w:jc w:val="center"/>
              <w:ind w:left="291"/>
              <w:spacing w:after="0" w:line="188" w:lineRule="exact"/>
              <w:rPr>
                <w:sz w:val="20"/>
                <w:szCs w:val="20"/>
                <w:color w:val="auto"/>
              </w:rPr>
            </w:pPr>
            <w:r>
              <w:rPr>
                <w:rFonts w:ascii="Times New Roman" w:cs="Times New Roman" w:eastAsia="Times New Roman" w:hAnsi="Times New Roman"/>
                <w:sz w:val="18"/>
                <w:szCs w:val="18"/>
                <w:color w:val="0000FF"/>
                <w:w w:val="99"/>
              </w:rPr>
              <w:t>87</w:t>
            </w: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6.</w:t>
            </w:r>
          </w:p>
        </w:tc>
        <w:tc>
          <w:tcPr>
            <w:tcW w:w="712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Exhibits</w:t>
            </w:r>
          </w:p>
        </w:tc>
        <w:tc>
          <w:tcPr>
            <w:tcW w:w="1480" w:type="dxa"/>
            <w:vAlign w:val="bottom"/>
            <w:gridSpan w:val="6"/>
            <w:shd w:val="clear" w:color="auto" w:fill="CCEEFF"/>
          </w:tcPr>
          <w:p>
            <w:pPr>
              <w:jc w:val="center"/>
              <w:ind w:left="291"/>
              <w:spacing w:after="0" w:line="188" w:lineRule="exact"/>
              <w:rPr>
                <w:sz w:val="20"/>
                <w:szCs w:val="20"/>
                <w:color w:val="auto"/>
              </w:rPr>
            </w:pPr>
            <w:r>
              <w:rPr>
                <w:rFonts w:ascii="Times New Roman" w:cs="Times New Roman" w:eastAsia="Times New Roman" w:hAnsi="Times New Roman"/>
                <w:sz w:val="18"/>
                <w:szCs w:val="18"/>
                <w:color w:val="0000FF"/>
                <w:w w:val="99"/>
              </w:rPr>
              <w:t>88</w:t>
            </w: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2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187"/>
        </w:trPr>
        <w:tc>
          <w:tcPr>
            <w:tcW w:w="20" w:type="dxa"/>
            <w:vAlign w:val="bottom"/>
            <w:shd w:val="clear" w:color="auto" w:fill="CCEEFF"/>
          </w:tcPr>
          <w:p>
            <w:pPr>
              <w:spacing w:after="0"/>
              <w:rPr>
                <w:sz w:val="16"/>
                <w:szCs w:val="16"/>
                <w:color w:val="auto"/>
              </w:rPr>
            </w:pPr>
          </w:p>
        </w:tc>
        <w:tc>
          <w:tcPr>
            <w:tcW w:w="8260" w:type="dxa"/>
            <w:vAlign w:val="bottom"/>
            <w:gridSpan w:val="25"/>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0000FF"/>
              </w:rPr>
              <w:t>SIGNATURE PAGE</w:t>
            </w:r>
          </w:p>
        </w:tc>
        <w:tc>
          <w:tcPr>
            <w:tcW w:w="1480" w:type="dxa"/>
            <w:vAlign w:val="bottom"/>
            <w:gridSpan w:val="6"/>
            <w:shd w:val="clear" w:color="auto" w:fill="CCEEFF"/>
          </w:tcPr>
          <w:p>
            <w:pPr>
              <w:jc w:val="center"/>
              <w:ind w:left="291"/>
              <w:spacing w:after="0" w:line="188" w:lineRule="exact"/>
              <w:rPr>
                <w:sz w:val="20"/>
                <w:szCs w:val="20"/>
                <w:color w:val="auto"/>
              </w:rPr>
            </w:pPr>
            <w:r>
              <w:rPr>
                <w:rFonts w:ascii="Times New Roman" w:cs="Times New Roman" w:eastAsia="Times New Roman" w:hAnsi="Times New Roman"/>
                <w:sz w:val="18"/>
                <w:szCs w:val="18"/>
                <w:color w:val="0000FF"/>
                <w:w w:val="99"/>
              </w:rPr>
              <w:t>89</w:t>
            </w:r>
          </w:p>
        </w:tc>
        <w:tc>
          <w:tcPr>
            <w:tcW w:w="2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"Evkeeza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"Inmazeb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"Praluent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the United States), "REGEN-COV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"Regeneron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"Regeneron</w:t>
      </w:r>
    </w:p>
    <w:p>
      <w:pPr>
        <w:jc w:val="both"/>
        <w:spacing w:after="0" w:line="186" w:lineRule="auto"/>
        <w:rPr>
          <w:sz w:val="20"/>
          <w:szCs w:val="20"/>
          <w:color w:val="auto"/>
        </w:rPr>
      </w:pPr>
      <w:r>
        <w:rPr>
          <w:rFonts w:ascii="Times New Roman" w:cs="Times New Roman" w:eastAsia="Times New Roman" w:hAnsi="Times New Roman"/>
          <w:sz w:val="17"/>
          <w:szCs w:val="17"/>
          <w:color w:val="auto"/>
        </w:rPr>
        <w:t>Genetics Center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"RGC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Veloci-Bi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VelociGene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VelociHum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VelociMab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VelocImmune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VelociMouse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VelociSuite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"ZALTRAP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are trademarks of Regeneron Pharmaceuticals, Inc. Trademarks and trade names of other companies appearing in this report are, to the knowledge of Regeneron Pharmaceuticals, Inc., the property of their respective owners. This report refers to products of Regeneron Pharmaceuticals,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collaborators, and other parties. Consult the product label in each territory for specific information about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712470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92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9"/>
                <w:szCs w:val="19"/>
                <w:color w:val="auto"/>
              </w:rPr>
            </w:pPr>
          </w:p>
        </w:tc>
        <w:tc>
          <w:tcPr>
            <w:tcW w:w="130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7"/>
        </w:trPr>
        <w:tc>
          <w:tcPr>
            <w:tcW w:w="8260" w:type="dxa"/>
            <w:vAlign w:val="bottom"/>
            <w:shd w:val="clear" w:color="auto" w:fill="CCEEFF"/>
          </w:tcPr>
          <w:p>
            <w:pPr>
              <w:ind w:left="53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2,809.1</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6,036.5</w:t>
            </w: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0" w:type="dxa"/>
            <w:vAlign w:val="bottom"/>
          </w:tcPr>
          <w:p>
            <w:pPr>
              <w:spacing w:after="0"/>
              <w:rPr>
                <w:sz w:val="1"/>
                <w:szCs w:val="1"/>
                <w:color w:val="auto"/>
              </w:rPr>
            </w:pPr>
          </w:p>
        </w:tc>
      </w:tr>
      <w:tr>
        <w:trPr>
          <w:trHeight w:val="221"/>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14,014.9</w:t>
            </w:r>
          </w:p>
        </w:tc>
        <w:tc>
          <w:tcPr>
            <w:tcW w:w="0" w:type="dxa"/>
            <w:vAlign w:val="bottom"/>
          </w:tcPr>
          <w:p>
            <w:pPr>
              <w:spacing w:after="0"/>
              <w:rPr>
                <w:sz w:val="1"/>
                <w:szCs w:val="1"/>
                <w:color w:val="auto"/>
              </w:rPr>
            </w:pPr>
          </w:p>
        </w:tc>
      </w:tr>
      <w:tr>
        <w:trPr>
          <w:trHeight w:val="201"/>
        </w:trPr>
        <w:tc>
          <w:tcPr>
            <w:tcW w:w="8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6,838.0</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3,482.2</w:t>
            </w: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0" w:type="dxa"/>
            <w:vAlign w:val="bottom"/>
          </w:tcPr>
          <w:p>
            <w:pPr>
              <w:spacing w:after="0"/>
              <w:rPr>
                <w:sz w:val="1"/>
                <w:szCs w:val="1"/>
                <w:color w:val="auto"/>
              </w:rPr>
            </w:pPr>
          </w:p>
        </w:tc>
      </w:tr>
      <w:tr>
        <w:trPr>
          <w:trHeight w:val="227"/>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46"/>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25,434.8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37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8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2,206.8</w:t>
            </w: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0" w:type="dxa"/>
            <w:vAlign w:val="bottom"/>
          </w:tcPr>
          <w:p>
            <w:pPr>
              <w:spacing w:after="0"/>
              <w:rPr>
                <w:sz w:val="1"/>
                <w:szCs w:val="1"/>
                <w:color w:val="auto"/>
              </w:rPr>
            </w:pPr>
          </w:p>
        </w:tc>
      </w:tr>
      <w:tr>
        <w:trPr>
          <w:trHeight w:val="221"/>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3,932.5</w:t>
            </w:r>
          </w:p>
        </w:tc>
        <w:tc>
          <w:tcPr>
            <w:tcW w:w="0" w:type="dxa"/>
            <w:vAlign w:val="bottom"/>
          </w:tcPr>
          <w:p>
            <w:pPr>
              <w:spacing w:after="0"/>
              <w:rPr>
                <w:sz w:val="1"/>
                <w:szCs w:val="1"/>
                <w:color w:val="auto"/>
              </w:rPr>
            </w:pPr>
          </w:p>
        </w:tc>
      </w:tr>
      <w:tr>
        <w:trPr>
          <w:trHeight w:val="201"/>
        </w:trPr>
        <w:tc>
          <w:tcPr>
            <w:tcW w:w="8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0" w:type="dxa"/>
            <w:vAlign w:val="bottom"/>
          </w:tcPr>
          <w:p>
            <w:pPr>
              <w:spacing w:after="0"/>
              <w:rPr>
                <w:sz w:val="1"/>
                <w:szCs w:val="1"/>
                <w:color w:val="auto"/>
              </w:rPr>
            </w:pPr>
          </w:p>
        </w:tc>
      </w:tr>
      <w:tr>
        <w:trPr>
          <w:trHeight w:val="221"/>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6,666.0</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par value $.01 per share; 30.0 shares authorized; issued and outstanding - none</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8260" w:type="dxa"/>
            <w:vAlign w:val="bottom"/>
          </w:tcPr>
          <w:p>
            <w:pPr>
              <w:ind w:left="220"/>
              <w:spacing w:after="0" w:line="174" w:lineRule="exact"/>
              <w:rPr>
                <w:sz w:val="20"/>
                <w:szCs w:val="20"/>
                <w:color w:val="auto"/>
              </w:rPr>
            </w:pPr>
            <w:r>
              <w:rPr>
                <w:rFonts w:ascii="Times New Roman" w:cs="Times New Roman" w:eastAsia="Times New Roman" w:hAnsi="Times New Roman"/>
                <w:sz w:val="18"/>
                <w:szCs w:val="18"/>
                <w:color w:val="auto"/>
              </w:rPr>
              <w:t>Class A Stock, convertible, par value $.001 per share; 40.0 shares authorized; shares issued and outstanding -</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1.8 in 2022 and 2021</w:t>
            </w:r>
          </w:p>
        </w:tc>
        <w:tc>
          <w:tcPr>
            <w:tcW w:w="1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8260" w:type="dxa"/>
            <w:vAlign w:val="bottom"/>
            <w:shd w:val="clear" w:color="auto" w:fill="CCEEFF"/>
          </w:tcPr>
          <w:p>
            <w:pPr>
              <w:ind w:left="220"/>
              <w:spacing w:after="0" w:line="174" w:lineRule="exact"/>
              <w:rPr>
                <w:sz w:val="20"/>
                <w:szCs w:val="20"/>
                <w:color w:val="auto"/>
              </w:rPr>
            </w:pPr>
            <w:r>
              <w:rPr>
                <w:rFonts w:ascii="Times New Roman" w:cs="Times New Roman" w:eastAsia="Times New Roman" w:hAnsi="Times New Roman"/>
                <w:sz w:val="18"/>
                <w:szCs w:val="18"/>
                <w:color w:val="auto"/>
              </w:rPr>
              <w:t>Common Stock, par value $.001 per share; 320.0 shares authorized; shares issued - 129.0 in 2022 and 126.2 in</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8,087.5</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18,968.3</w:t>
            </w: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 22.0 shares in 2022 and 19.4 shares in 2021</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(8,260.9)</w:t>
            </w:r>
          </w:p>
        </w:tc>
        <w:tc>
          <w:tcPr>
            <w:tcW w:w="0" w:type="dxa"/>
            <w:vAlign w:val="bottom"/>
          </w:tcPr>
          <w:p>
            <w:pPr>
              <w:spacing w:after="0"/>
              <w:rPr>
                <w:sz w:val="1"/>
                <w:szCs w:val="1"/>
                <w:color w:val="auto"/>
              </w:rPr>
            </w:pPr>
          </w:p>
        </w:tc>
      </w:tr>
      <w:tr>
        <w:trPr>
          <w:trHeight w:val="221"/>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18,768.8</w:t>
            </w:r>
          </w:p>
        </w:tc>
        <w:tc>
          <w:tcPr>
            <w:tcW w:w="0" w:type="dxa"/>
            <w:vAlign w:val="bottom"/>
          </w:tcPr>
          <w:p>
            <w:pPr>
              <w:spacing w:after="0"/>
              <w:rPr>
                <w:sz w:val="1"/>
                <w:szCs w:val="1"/>
                <w:color w:val="auto"/>
              </w:rPr>
            </w:pPr>
          </w:p>
        </w:tc>
      </w:tr>
      <w:tr>
        <w:trPr>
          <w:trHeight w:val="246"/>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25,434.8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573"/>
        </w:trPr>
        <w:tc>
          <w:tcPr>
            <w:tcW w:w="4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680" w:type="dxa"/>
            <w:vAlign w:val="bottom"/>
          </w:tcPr>
          <w:p>
            <w:pPr>
              <w:spacing w:after="0"/>
              <w:rPr>
                <w:sz w:val="24"/>
                <w:szCs w:val="24"/>
                <w:color w:val="auto"/>
              </w:rPr>
            </w:pPr>
          </w:p>
        </w:tc>
        <w:tc>
          <w:tcPr>
            <w:tcW w:w="36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4"/>
        </w:trPr>
        <w:tc>
          <w:tcPr>
            <w:tcW w:w="40" w:type="dxa"/>
            <w:vAlign w:val="bottom"/>
          </w:tcPr>
          <w:p>
            <w:pPr>
              <w:spacing w:after="0"/>
              <w:rPr>
                <w:sz w:val="18"/>
                <w:szCs w:val="18"/>
                <w:color w:val="auto"/>
              </w:rPr>
            </w:pPr>
          </w:p>
        </w:tc>
        <w:tc>
          <w:tcPr>
            <w:tcW w:w="10260" w:type="dxa"/>
            <w:vAlign w:val="bottom"/>
            <w:gridSpan w:val="13"/>
          </w:tcPr>
          <w:p>
            <w:pPr>
              <w:jc w:val="center"/>
              <w:ind w:left="811"/>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 AND COMPREHENSIVE INCOME (Unaudited)</w:t>
            </w:r>
          </w:p>
        </w:tc>
        <w:tc>
          <w:tcPr>
            <w:tcW w:w="920" w:type="dxa"/>
            <w:vAlign w:val="bottom"/>
          </w:tcPr>
          <w:p>
            <w:pPr>
              <w:spacing w:after="0"/>
              <w:rPr>
                <w:sz w:val="18"/>
                <w:szCs w:val="18"/>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280" w:type="dxa"/>
            <w:vAlign w:val="bottom"/>
            <w:gridSpan w:val="4"/>
          </w:tcPr>
          <w:p>
            <w:pPr>
              <w:jc w:val="center"/>
              <w:ind w:left="251"/>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4"/>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80" w:type="dxa"/>
            <w:vAlign w:val="bottom"/>
          </w:tcPr>
          <w:p>
            <w:pPr>
              <w:spacing w:after="0"/>
              <w:rPr>
                <w:sz w:val="24"/>
                <w:szCs w:val="24"/>
                <w:color w:val="auto"/>
              </w:rPr>
            </w:pPr>
          </w:p>
        </w:tc>
        <w:tc>
          <w:tcPr>
            <w:tcW w:w="2420" w:type="dxa"/>
            <w:vAlign w:val="bottom"/>
            <w:gridSpan w:val="4"/>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420" w:type="dxa"/>
            <w:vAlign w:val="bottom"/>
            <w:gridSpan w:val="4"/>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40" w:type="dxa"/>
            <w:vAlign w:val="bottom"/>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4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1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product sales</w:t>
            </w:r>
          </w:p>
        </w:tc>
        <w:tc>
          <w:tcPr>
            <w:tcW w:w="21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8,142.0</w:t>
            </w:r>
          </w:p>
        </w:tc>
      </w:tr>
      <w:tr>
        <w:trPr>
          <w:trHeight w:val="227"/>
        </w:trPr>
        <w:tc>
          <w:tcPr>
            <w:tcW w:w="4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Collaboration revenue</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2,783.0</w:t>
            </w: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revenue</w:t>
            </w:r>
          </w:p>
        </w:tc>
        <w:tc>
          <w:tcPr>
            <w:tcW w:w="1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21"/>
        </w:trPr>
        <w:tc>
          <w:tcPr>
            <w:tcW w:w="40" w:type="dxa"/>
            <w:vAlign w:val="bottom"/>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11,120.0</w:t>
            </w:r>
          </w:p>
        </w:tc>
      </w:tr>
      <w:tr>
        <w:trPr>
          <w:trHeight w:val="194"/>
        </w:trPr>
        <w:tc>
          <w:tcPr>
            <w:tcW w:w="40" w:type="dxa"/>
            <w:vAlign w:val="bottom"/>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2,122.5</w:t>
            </w:r>
          </w:p>
        </w:tc>
      </w:tr>
      <w:tr>
        <w:trPr>
          <w:trHeight w:val="227"/>
        </w:trPr>
        <w:tc>
          <w:tcPr>
            <w:tcW w:w="4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1,265.3</w:t>
            </w:r>
          </w:p>
        </w:tc>
      </w:tr>
      <w:tr>
        <w:trPr>
          <w:trHeight w:val="227"/>
        </w:trPr>
        <w:tc>
          <w:tcPr>
            <w:tcW w:w="4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w:t>
            </w: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1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r>
      <w:tr>
        <w:trPr>
          <w:trHeight w:val="227"/>
        </w:trPr>
        <w:tc>
          <w:tcPr>
            <w:tcW w:w="40" w:type="dxa"/>
            <w:vAlign w:val="bottom"/>
          </w:tcPr>
          <w:p>
            <w:pPr>
              <w:spacing w:after="0"/>
              <w:rPr>
                <w:sz w:val="19"/>
                <w:szCs w:val="19"/>
                <w:color w:val="auto"/>
              </w:rPr>
            </w:pPr>
          </w:p>
        </w:tc>
        <w:tc>
          <w:tcPr>
            <w:tcW w:w="37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1"/>
        </w:trPr>
        <w:tc>
          <w:tcPr>
            <w:tcW w:w="4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4,812.9</w:t>
            </w:r>
          </w:p>
        </w:tc>
      </w:tr>
      <w:tr>
        <w:trPr>
          <w:trHeight w:val="194"/>
        </w:trPr>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6,307.1</w:t>
            </w:r>
          </w:p>
        </w:tc>
      </w:tr>
      <w:tr>
        <w:trPr>
          <w:trHeight w:val="214"/>
        </w:trPr>
        <w:tc>
          <w:tcPr>
            <w:tcW w:w="4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w:t>
            </w: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21"/>
        </w:trPr>
        <w:tc>
          <w:tcPr>
            <w:tcW w:w="40" w:type="dxa"/>
            <w:vAlign w:val="bottom"/>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w:t>
            </w:r>
          </w:p>
        </w:tc>
      </w:tr>
      <w:tr>
        <w:trPr>
          <w:trHeight w:val="194"/>
        </w:trPr>
        <w:tc>
          <w:tcPr>
            <w:tcW w:w="40" w:type="dxa"/>
            <w:vAlign w:val="bottom"/>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6,822.4</w:t>
            </w:r>
          </w:p>
        </w:tc>
      </w:tr>
      <w:tr>
        <w:trPr>
          <w:trHeight w:val="214"/>
        </w:trPr>
        <w:tc>
          <w:tcPr>
            <w:tcW w:w="40" w:type="dxa"/>
            <w:vAlign w:val="bottom"/>
          </w:tcPr>
          <w:p>
            <w:pPr>
              <w:spacing w:after="0"/>
              <w:rPr>
                <w:sz w:val="18"/>
                <w:szCs w:val="18"/>
                <w:color w:val="auto"/>
              </w:rPr>
            </w:pPr>
          </w:p>
        </w:tc>
        <w:tc>
          <w:tcPr>
            <w:tcW w:w="3780" w:type="dxa"/>
            <w:vAlign w:val="bottom"/>
            <w:gridSpan w:val="2"/>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3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976.1</w:t>
            </w:r>
          </w:p>
        </w:tc>
      </w:tr>
      <w:tr>
        <w:trPr>
          <w:trHeight w:val="194"/>
        </w:trPr>
        <w:tc>
          <w:tcPr>
            <w:tcW w:w="40" w:type="dxa"/>
            <w:vAlign w:val="bottom"/>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6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1,632.2</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3,141.3</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5,846.3</w:t>
            </w:r>
          </w:p>
        </w:tc>
      </w:tr>
      <w:tr>
        <w:trPr>
          <w:trHeight w:val="20"/>
        </w:trPr>
        <w:tc>
          <w:tcPr>
            <w:tcW w:w="40" w:type="dxa"/>
            <w:vAlign w:val="bottom"/>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81"/>
        </w:trPr>
        <w:tc>
          <w:tcPr>
            <w:tcW w:w="4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16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w:t>
            </w: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1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r>
      <w:tr>
        <w:trPr>
          <w:trHeight w:val="214"/>
        </w:trPr>
        <w:tc>
          <w:tcPr>
            <w:tcW w:w="4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27"/>
        </w:trPr>
        <w:tc>
          <w:tcPr>
            <w:tcW w:w="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14"/>
        </w:trPr>
        <w:tc>
          <w:tcPr>
            <w:tcW w:w="40" w:type="dxa"/>
            <w:vAlign w:val="bottom"/>
          </w:tcPr>
          <w:p>
            <w:pPr>
              <w:spacing w:after="0"/>
              <w:rPr>
                <w:sz w:val="18"/>
                <w:szCs w:val="18"/>
                <w:color w:val="auto"/>
              </w:rPr>
            </w:pPr>
          </w:p>
        </w:tc>
        <w:tc>
          <w:tcPr>
            <w:tcW w:w="3780" w:type="dxa"/>
            <w:vAlign w:val="bottom"/>
            <w:gridSpan w:val="2"/>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5,846.3</w:t>
            </w:r>
          </w:p>
        </w:tc>
      </w:tr>
      <w:tr>
        <w:trPr>
          <w:trHeight w:val="227"/>
        </w:trPr>
        <w:tc>
          <w:tcPr>
            <w:tcW w:w="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loss on debt securities</w:t>
            </w:r>
          </w:p>
        </w:tc>
        <w:tc>
          <w:tcPr>
            <w:tcW w:w="1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7"/>
        </w:trPr>
        <w:tc>
          <w:tcPr>
            <w:tcW w:w="4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gain on cash flow hedges</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6"/>
        </w:trPr>
        <w:tc>
          <w:tcPr>
            <w:tcW w:w="40" w:type="dxa"/>
            <w:vAlign w:val="bottom"/>
          </w:tcPr>
          <w:p>
            <w:pPr>
              <w:spacing w:after="0"/>
              <w:rPr>
                <w:sz w:val="20"/>
                <w:szCs w:val="20"/>
                <w:color w:val="auto"/>
              </w:rPr>
            </w:pPr>
          </w:p>
        </w:tc>
        <w:tc>
          <w:tcPr>
            <w:tcW w:w="3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5,826.5</w:t>
            </w:r>
          </w:p>
        </w:tc>
      </w:tr>
      <w:tr>
        <w:trPr>
          <w:trHeight w:val="20"/>
        </w:trPr>
        <w:tc>
          <w:tcPr>
            <w:tcW w:w="4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18415</wp:posOffset>
            </wp:positionV>
            <wp:extent cx="7108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81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43815</wp:posOffset>
            </wp:positionV>
            <wp:extent cx="71081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819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5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0"/>
        </w:trPr>
        <w:tc>
          <w:tcPr>
            <w:tcW w:w="2880" w:type="dxa"/>
            <w:vAlign w:val="bottom"/>
          </w:tcPr>
          <w:p>
            <w:pPr>
              <w:spacing w:after="0"/>
              <w:rPr>
                <w:sz w:val="13"/>
                <w:szCs w:val="13"/>
                <w:color w:val="auto"/>
              </w:rPr>
            </w:pPr>
          </w:p>
        </w:tc>
        <w:tc>
          <w:tcPr>
            <w:tcW w:w="11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80" w:type="dxa"/>
            <w:vAlign w:val="bottom"/>
            <w:vMerge w:val="restart"/>
          </w:tcPr>
          <w:p>
            <w:pPr>
              <w:spacing w:after="0"/>
              <w:rPr>
                <w:sz w:val="13"/>
                <w:szCs w:val="13"/>
                <w:color w:val="auto"/>
              </w:rPr>
            </w:pPr>
          </w:p>
        </w:tc>
        <w:tc>
          <w:tcPr>
            <w:tcW w:w="1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center"/>
              <w:ind w:right="320"/>
              <w:spacing w:after="0" w:line="161"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2"/>
                <w:szCs w:val="12"/>
                <w:color w:val="auto"/>
              </w:rPr>
            </w:pPr>
          </w:p>
        </w:tc>
        <w:tc>
          <w:tcPr>
            <w:tcW w:w="118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6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6"/>
                <w:szCs w:val="16"/>
                <w:b w:val="1"/>
                <w:bCs w:val="1"/>
                <w:color w:val="auto"/>
              </w:rPr>
              <w:t>Paid-in</w:t>
            </w:r>
          </w:p>
        </w:tc>
        <w:tc>
          <w:tcPr>
            <w:tcW w:w="880" w:type="dxa"/>
            <w:vAlign w:val="bottom"/>
            <w:gridSpan w:val="2"/>
          </w:tcPr>
          <w:p>
            <w:pPr>
              <w:ind w:left="100"/>
              <w:spacing w:after="0" w:line="141"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8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6"/>
        </w:trPr>
        <w:tc>
          <w:tcPr>
            <w:tcW w:w="28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7"/>
                <w:szCs w:val="17"/>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2"/>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$ 8,087.5</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$18,968.3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$(8,260.9)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18,768.8</w:t>
            </w: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Common Stock tendered upon exercise of</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stock options and vesting of restricted</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1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for employee tax obligations</w:t>
            </w:r>
          </w:p>
        </w:tc>
        <w:tc>
          <w:tcPr>
            <w:tcW w:w="5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21"/>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2022</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8,754.1</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19,941.8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19,914.7</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Common Stock tendered upon exercise of</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stock options and vesting of restricted</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for employee tax obligations</w:t>
            </w:r>
          </w:p>
        </w:tc>
        <w:tc>
          <w:tcPr>
            <w:tcW w:w="5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21"/>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2022</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9,120.2</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20,793.9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20,687.8</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Common Stock tendered upon exercise of</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stock options and vesting of restricted</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1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for employee tax obligations</w:t>
            </w:r>
          </w:p>
        </w:tc>
        <w:tc>
          <w:tcPr>
            <w:tcW w:w="5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46"/>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2022</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$ 9,518.2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22,109.6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(9,914.0)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21,438.8</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40"/>
          </w:cols>
          <w:pgMar w:left="320" w:top="366"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 (continued)</w:t>
      </w:r>
    </w:p>
    <w:p>
      <w:pPr>
        <w:spacing w:after="0" w:line="59"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0"/>
        </w:trPr>
        <w:tc>
          <w:tcPr>
            <w:tcW w:w="2880" w:type="dxa"/>
            <w:vAlign w:val="bottom"/>
          </w:tcPr>
          <w:p>
            <w:pPr>
              <w:spacing w:after="0"/>
              <w:rPr>
                <w:sz w:val="13"/>
                <w:szCs w:val="13"/>
                <w:color w:val="auto"/>
              </w:rPr>
            </w:pPr>
          </w:p>
        </w:tc>
        <w:tc>
          <w:tcPr>
            <w:tcW w:w="11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80" w:type="dxa"/>
            <w:vAlign w:val="bottom"/>
            <w:vMerge w:val="restart"/>
          </w:tcPr>
          <w:p>
            <w:pPr>
              <w:spacing w:after="0"/>
              <w:rPr>
                <w:sz w:val="13"/>
                <w:szCs w:val="13"/>
                <w:color w:val="auto"/>
              </w:rPr>
            </w:pPr>
          </w:p>
        </w:tc>
        <w:tc>
          <w:tcPr>
            <w:tcW w:w="1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center"/>
              <w:ind w:right="320"/>
              <w:spacing w:after="0" w:line="161"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880" w:type="dxa"/>
            <w:vAlign w:val="bottom"/>
          </w:tcPr>
          <w:p>
            <w:pPr>
              <w:spacing w:after="0"/>
              <w:rPr>
                <w:sz w:val="9"/>
                <w:szCs w:val="9"/>
                <w:color w:val="auto"/>
              </w:rPr>
            </w:pPr>
          </w:p>
        </w:tc>
        <w:tc>
          <w:tcPr>
            <w:tcW w:w="118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860" w:type="dxa"/>
            <w:vAlign w:val="bottom"/>
            <w:gridSpan w:val="2"/>
            <w:vMerge w:val="restart"/>
          </w:tcPr>
          <w:p>
            <w:pPr>
              <w:jc w:val="center"/>
              <w:ind w:right="80"/>
              <w:spacing w:after="0" w:line="161" w:lineRule="exact"/>
              <w:rPr>
                <w:sz w:val="20"/>
                <w:szCs w:val="20"/>
                <w:color w:val="auto"/>
              </w:rPr>
            </w:pPr>
            <w:r>
              <w:rPr>
                <w:rFonts w:ascii="Times New Roman" w:cs="Times New Roman" w:eastAsia="Times New Roman" w:hAnsi="Times New Roman"/>
                <w:sz w:val="16"/>
                <w:szCs w:val="16"/>
                <w:b w:val="1"/>
                <w:bCs w:val="1"/>
                <w:color w:val="auto"/>
              </w:rPr>
              <w:t>Paid-in</w:t>
            </w:r>
          </w:p>
        </w:tc>
        <w:tc>
          <w:tcPr>
            <w:tcW w:w="880" w:type="dxa"/>
            <w:vAlign w:val="bottom"/>
            <w:gridSpan w:val="2"/>
            <w:vMerge w:val="restart"/>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vMerge w:val="restart"/>
          </w:tcPr>
          <w:p>
            <w:pPr>
              <w:jc w:val="center"/>
              <w:ind w:right="80"/>
              <w:spacing w:after="0" w:line="16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980" w:type="dxa"/>
            <w:vAlign w:val="bottom"/>
            <w:gridSpan w:val="2"/>
            <w:vMerge w:val="restart"/>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6"/>
        </w:trPr>
        <w:tc>
          <w:tcPr>
            <w:tcW w:w="2880" w:type="dxa"/>
            <w:vAlign w:val="bottom"/>
          </w:tcPr>
          <w:p>
            <w:pPr>
              <w:spacing w:after="0"/>
              <w:rPr>
                <w:sz w:val="3"/>
                <w:szCs w:val="3"/>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88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6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2"/>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$ 6,716.2</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$10,893.0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$(6,613.3)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11,025.3</w:t>
            </w: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Common Stock tendered upon exercise of</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stock options and vesting of restricted</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for employee tax obligations</w:t>
            </w:r>
          </w:p>
        </w:tc>
        <w:tc>
          <w:tcPr>
            <w:tcW w:w="5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1"/>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2021</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6,887.8</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12,008.2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11,977.0</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Common Stock tendered upon exercise of</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stock options and vesting of restricted</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for employee tax obligations</w:t>
            </w:r>
          </w:p>
        </w:tc>
        <w:tc>
          <w:tcPr>
            <w:tcW w:w="5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3,098.9</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1"/>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2021</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7,225.8</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15,107.1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15,127.3</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Common Stock tendered upon exercise of</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stock options and vesting of restricted</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1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for employee tax obligations</w:t>
            </w:r>
          </w:p>
        </w:tc>
        <w:tc>
          <w:tcPr>
            <w:tcW w:w="5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1,632.2</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6"/>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2021</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$ 7,919.3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16,739.3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(7,410.2)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17,258.0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18415</wp:posOffset>
            </wp:positionV>
            <wp:extent cx="68700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7006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43815</wp:posOffset>
            </wp:positionV>
            <wp:extent cx="6870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7006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40"/>
          </w:cols>
          <w:pgMar w:left="320" w:top="366" w:right="5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573"/>
        </w:trPr>
        <w:tc>
          <w:tcPr>
            <w:tcW w:w="1140" w:type="dxa"/>
            <w:vAlign w:val="bottom"/>
            <w:tcBorders>
              <w:top w:val="single" w:sz="8" w:color="0000FF"/>
            </w:tcBorders>
          </w:tcPr>
          <w:p>
            <w:pPr>
              <w:spacing w:after="0"/>
              <w:rPr>
                <w:sz w:val="24"/>
                <w:szCs w:val="24"/>
                <w:color w:val="auto"/>
              </w:rPr>
            </w:pPr>
          </w:p>
        </w:tc>
        <w:tc>
          <w:tcPr>
            <w:tcW w:w="6940" w:type="dxa"/>
            <w:vAlign w:val="bottom"/>
          </w:tcPr>
          <w:p>
            <w:pPr>
              <w:jc w:val="center"/>
              <w:ind w:left="1951"/>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4"/>
        </w:trPr>
        <w:tc>
          <w:tcPr>
            <w:tcW w:w="1140" w:type="dxa"/>
            <w:vAlign w:val="bottom"/>
          </w:tcPr>
          <w:p>
            <w:pPr>
              <w:spacing w:after="0"/>
              <w:rPr>
                <w:sz w:val="18"/>
                <w:szCs w:val="18"/>
                <w:color w:val="auto"/>
              </w:rPr>
            </w:pPr>
          </w:p>
        </w:tc>
        <w:tc>
          <w:tcPr>
            <w:tcW w:w="850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CASH FLOWS (Unaudited)</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7"/>
        </w:trPr>
        <w:tc>
          <w:tcPr>
            <w:tcW w:w="1140" w:type="dxa"/>
            <w:vAlign w:val="bottom"/>
          </w:tcPr>
          <w:p>
            <w:pPr>
              <w:spacing w:after="0"/>
              <w:rPr>
                <w:sz w:val="20"/>
                <w:szCs w:val="20"/>
                <w:color w:val="auto"/>
              </w:rPr>
            </w:pPr>
          </w:p>
        </w:tc>
        <w:tc>
          <w:tcPr>
            <w:tcW w:w="6940" w:type="dxa"/>
            <w:vAlign w:val="bottom"/>
          </w:tcPr>
          <w:p>
            <w:pPr>
              <w:jc w:val="center"/>
              <w:ind w:left="1931"/>
              <w:spacing w:after="0"/>
              <w:rPr>
                <w:sz w:val="20"/>
                <w:szCs w:val="20"/>
                <w:color w:val="auto"/>
              </w:rPr>
            </w:pPr>
            <w:r>
              <w:rPr>
                <w:rFonts w:ascii="Times New Roman" w:cs="Times New Roman" w:eastAsia="Times New Roman" w:hAnsi="Times New Roman"/>
                <w:sz w:val="18"/>
                <w:szCs w:val="18"/>
                <w:b w:val="1"/>
                <w:bCs w:val="1"/>
                <w:i w:val="1"/>
                <w:iCs w:val="1"/>
                <w:color w:val="auto"/>
                <w:w w:val="98"/>
              </w:rPr>
              <w:t>(In millions)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4"/>
        </w:trPr>
        <w:tc>
          <w:tcPr>
            <w:tcW w:w="11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4"/>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9"/>
        </w:trPr>
        <w:tc>
          <w:tcPr>
            <w:tcW w:w="11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23"/>
        </w:trPr>
        <w:tc>
          <w:tcPr>
            <w:tcW w:w="1140" w:type="dxa"/>
            <w:vAlign w:val="bottom"/>
            <w:tcBorders>
              <w:bottom w:val="single" w:sz="8" w:color="CCEEFF"/>
            </w:tcBorders>
          </w:tcPr>
          <w:p>
            <w:pPr>
              <w:spacing w:after="0"/>
              <w:rPr>
                <w:sz w:val="19"/>
                <w:szCs w:val="19"/>
                <w:color w:val="auto"/>
              </w:rPr>
            </w:pPr>
          </w:p>
        </w:tc>
        <w:tc>
          <w:tcPr>
            <w:tcW w:w="69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07"/>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7"/>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3,141.3</w:t>
            </w:r>
          </w:p>
        </w:tc>
        <w:tc>
          <w:tcPr>
            <w:tcW w:w="120" w:type="dxa"/>
            <w:vAlign w:val="bottom"/>
          </w:tcPr>
          <w:p>
            <w:pPr>
              <w:spacing w:after="0"/>
              <w:rPr>
                <w:sz w:val="19"/>
                <w:szCs w:val="19"/>
                <w:color w:val="auto"/>
              </w:rPr>
            </w:pPr>
          </w:p>
        </w:tc>
        <w:tc>
          <w:tcPr>
            <w:tcW w:w="5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5,846.3</w:t>
            </w:r>
          </w:p>
        </w:tc>
      </w:tr>
      <w:tr>
        <w:trPr>
          <w:trHeight w:val="227"/>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7"/>
        </w:trPr>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r>
      <w:tr>
        <w:trPr>
          <w:trHeight w:val="227"/>
        </w:trPr>
        <w:tc>
          <w:tcPr>
            <w:tcW w:w="8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r>
      <w:tr>
        <w:trPr>
          <w:trHeight w:val="227"/>
        </w:trPr>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Losses (gains) on marketable and other securities,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w:t>
            </w:r>
          </w:p>
        </w:tc>
      </w:tr>
      <w:tr>
        <w:trPr>
          <w:trHeight w:val="227"/>
        </w:trPr>
        <w:tc>
          <w:tcPr>
            <w:tcW w:w="8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non-cash items,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r>
      <w:tr>
        <w:trPr>
          <w:trHeight w:val="227"/>
        </w:trPr>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27"/>
        </w:trPr>
        <w:tc>
          <w:tcPr>
            <w:tcW w:w="8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Acquired in-process research and development in connection with asset acquisition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8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Decrease (increase) in 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w:t>
            </w:r>
          </w:p>
        </w:tc>
      </w:tr>
      <w:tr>
        <w:trPr>
          <w:trHeight w:val="227"/>
        </w:trPr>
        <w:tc>
          <w:tcPr>
            <w:tcW w:w="8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Increase in 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r>
      <w:tr>
        <w:trPr>
          <w:trHeight w:val="227"/>
        </w:trPr>
        <w:tc>
          <w:tcPr>
            <w:tcW w:w="8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r>
      <w:tr>
        <w:trPr>
          <w:trHeight w:val="227"/>
        </w:trPr>
        <w:tc>
          <w:tcPr>
            <w:tcW w:w="8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Increase (decrease) in 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27"/>
        </w:trPr>
        <w:tc>
          <w:tcPr>
            <w:tcW w:w="8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(Decrease) increase in accounts payable, accrued expenses,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r>
      <w:tr>
        <w:trPr>
          <w:trHeight w:val="221"/>
        </w:trPr>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(1,137.5)</w:t>
            </w:r>
          </w:p>
        </w:tc>
      </w:tr>
      <w:tr>
        <w:trPr>
          <w:trHeight w:val="221"/>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4,708.8</w:t>
            </w:r>
          </w:p>
        </w:tc>
      </w:tr>
      <w:tr>
        <w:trPr>
          <w:trHeight w:val="194"/>
        </w:trPr>
        <w:tc>
          <w:tcPr>
            <w:tcW w:w="11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7"/>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7"/>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Purchases of marketable and other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(4,872.3)</w:t>
            </w:r>
          </w:p>
        </w:tc>
      </w:tr>
      <w:tr>
        <w:trPr>
          <w:trHeight w:val="227"/>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or maturities of marketable and other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1,897.3</w:t>
            </w:r>
          </w:p>
        </w:tc>
      </w:tr>
      <w:tr>
        <w:trPr>
          <w:trHeight w:val="227"/>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r>
      <w:tr>
        <w:trPr>
          <w:trHeight w:val="227"/>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Libtayo intangible asset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Asset acquisition, net of cash acquired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(3,372.0)</w:t>
            </w:r>
          </w:p>
        </w:tc>
      </w:tr>
      <w:tr>
        <w:trPr>
          <w:trHeight w:val="214"/>
        </w:trPr>
        <w:tc>
          <w:tcPr>
            <w:tcW w:w="80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7"/>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7"/>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w:t>
            </w:r>
          </w:p>
        </w:tc>
      </w:tr>
      <w:tr>
        <w:trPr>
          <w:trHeight w:val="227"/>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r>
      <w:tr>
        <w:trPr>
          <w:trHeight w:val="227"/>
        </w:trPr>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(778.5)</w:t>
            </w:r>
          </w:p>
        </w:tc>
      </w:tr>
      <w:tr>
        <w:trPr>
          <w:trHeight w:val="221"/>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194"/>
        </w:trPr>
        <w:tc>
          <w:tcPr>
            <w:tcW w:w="11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7"/>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1,237.6</w:t>
            </w:r>
          </w:p>
        </w:tc>
      </w:tr>
      <w:tr>
        <w:trPr>
          <w:trHeight w:val="214"/>
        </w:trPr>
        <w:tc>
          <w:tcPr>
            <w:tcW w:w="80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7"/>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2,207.3</w:t>
            </w:r>
          </w:p>
        </w:tc>
      </w:tr>
      <w:tr>
        <w:trPr>
          <w:trHeight w:val="194"/>
        </w:trPr>
        <w:tc>
          <w:tcPr>
            <w:tcW w:w="11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2"/>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3,444.9</w:t>
            </w: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0319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1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43815</wp:posOffset>
            </wp:positionV>
            <wp:extent cx="70319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199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80"/>
          </w:cols>
          <w:pgMar w:left="320" w:top="357"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condensed consolidated financial statements for such periods. The results of operations for any interim period are not necessarily indicative of the results for the full year. The December 31, 2021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2021.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with the current period's presentation.</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Beginning with the first quarter of 2022, the Company added a new line item, Acquired in-process research and development, to its Condensed Consolidated Statements of Operations and Comprehensive Income. This line item includes in-process research and development acquired in connection with asset acquisitions as well as up-front/opt-in payments related to license and collaboration agreements. Amounts recorded in this line item for the nine months ended September 30, 2022 would have historically been recorded to Research and development expenses. No such amounts were recorded for the three and nine months ended September 30, 2021.</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Product Sales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sales consist of the following:</w:t>
      </w:r>
    </w:p>
    <w:p>
      <w:pPr>
        <w:spacing w:after="0" w:line="260" w:lineRule="exact"/>
        <w:rPr>
          <w:sz w:val="20"/>
          <w:szCs w:val="20"/>
          <w:color w:val="auto"/>
        </w:rPr>
      </w:pPr>
    </w:p>
    <w:tbl>
      <w:tblPr>
        <w:tblLayout w:type="fixed"/>
        <w:tblInd w:w="182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1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60" w:type="dxa"/>
            <w:vAlign w:val="bottom"/>
          </w:tcPr>
          <w:p>
            <w:pPr>
              <w:spacing w:after="0"/>
              <w:rPr>
                <w:sz w:val="20"/>
                <w:szCs w:val="20"/>
                <w:color w:val="auto"/>
              </w:rPr>
            </w:pPr>
          </w:p>
        </w:tc>
        <w:tc>
          <w:tcPr>
            <w:tcW w:w="2120" w:type="dxa"/>
            <w:vAlign w:val="bottom"/>
            <w:gridSpan w:val="4"/>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1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156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p>
        </w:tc>
        <w:tc>
          <w:tcPr>
            <w:tcW w:w="1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4,245.1</w:t>
            </w:r>
          </w:p>
        </w:tc>
      </w:tr>
      <w:tr>
        <w:trPr>
          <w:trHeight w:val="219"/>
        </w:trPr>
        <w:tc>
          <w:tcPr>
            <w:tcW w:w="1560" w:type="dxa"/>
            <w:vAlign w:val="bottom"/>
          </w:tcPr>
          <w:p>
            <w:pPr>
              <w:spacing w:after="0" w:line="219"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®(a)</w:t>
            </w:r>
          </w:p>
        </w:tc>
        <w:tc>
          <w:tcPr>
            <w:tcW w:w="1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r>
      <w:tr>
        <w:trPr>
          <w:trHeight w:val="236"/>
        </w:trPr>
        <w:tc>
          <w:tcPr>
            <w:tcW w:w="1560" w:type="dxa"/>
            <w:vAlign w:val="bottom"/>
          </w:tcPr>
          <w:p>
            <w:pPr>
              <w:spacing w:after="0"/>
              <w:rPr>
                <w:sz w:val="20"/>
                <w:szCs w:val="20"/>
                <w:color w:val="auto"/>
              </w:rPr>
            </w:pPr>
          </w:p>
        </w:tc>
        <w:tc>
          <w:tcPr>
            <w:tcW w:w="1200" w:type="dxa"/>
            <w:vAlign w:val="bottom"/>
          </w:tcPr>
          <w:p>
            <w:pPr>
              <w:ind w:left="320"/>
              <w:spacing w:after="0" w:line="235" w:lineRule="exact"/>
              <w:rPr>
                <w:sz w:val="20"/>
                <w:szCs w:val="20"/>
                <w:color w:val="auto"/>
              </w:rPr>
            </w:pPr>
            <w:r>
              <w:rPr>
                <w:rFonts w:ascii="Times New Roman" w:cs="Times New Roman" w:eastAsia="Times New Roman" w:hAnsi="Times New Roman"/>
                <w:sz w:val="18"/>
                <w:szCs w:val="18"/>
                <w:color w:val="auto"/>
              </w:rPr>
              <w:t>ROW</w:t>
            </w:r>
            <w:r>
              <w:rPr>
                <w:rFonts w:ascii="Times New Roman" w:cs="Times New Roman" w:eastAsia="Times New Roman" w:hAnsi="Times New Roman"/>
                <w:sz w:val="23"/>
                <w:szCs w:val="23"/>
                <w:color w:val="auto"/>
                <w:vertAlign w:val="superscript"/>
              </w:rPr>
              <w:t>(b)</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156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w:t>
            </w:r>
          </w:p>
        </w:tc>
        <w:tc>
          <w:tcPr>
            <w:tcW w:w="1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27"/>
        </w:trPr>
        <w:tc>
          <w:tcPr>
            <w:tcW w:w="1560" w:type="dxa"/>
            <w:vAlign w:val="bottom"/>
          </w:tcPr>
          <w:p>
            <w:pPr>
              <w:spacing w:after="0" w:line="228"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®(c)</w:t>
            </w:r>
          </w:p>
        </w:tc>
        <w:tc>
          <w:tcPr>
            <w:tcW w:w="1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3,530.1</w:t>
            </w:r>
          </w:p>
        </w:tc>
      </w:tr>
      <w:tr>
        <w:trPr>
          <w:trHeight w:val="227"/>
        </w:trPr>
        <w:tc>
          <w:tcPr>
            <w:tcW w:w="156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p>
        </w:tc>
        <w:tc>
          <w:tcPr>
            <w:tcW w:w="1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7"/>
        </w:trPr>
        <w:tc>
          <w:tcPr>
            <w:tcW w:w="1560" w:type="dxa"/>
            <w:vAlign w:val="bottom"/>
          </w:tcPr>
          <w:p>
            <w:pPr>
              <w:spacing w:after="0" w:line="228" w:lineRule="exact"/>
              <w:rPr>
                <w:sz w:val="20"/>
                <w:szCs w:val="20"/>
                <w:color w:val="auto"/>
              </w:rPr>
            </w:pPr>
            <w:r>
              <w:rPr>
                <w:rFonts w:ascii="Times New Roman" w:cs="Times New Roman" w:eastAsia="Times New Roman" w:hAnsi="Times New Roman"/>
                <w:sz w:val="18"/>
                <w:szCs w:val="18"/>
                <w:color w:val="auto"/>
              </w:rPr>
              <w:t>Inmazeb</w:t>
            </w:r>
            <w:r>
              <w:rPr>
                <w:rFonts w:ascii="Times New Roman" w:cs="Times New Roman" w:eastAsia="Times New Roman" w:hAnsi="Times New Roman"/>
                <w:sz w:val="23"/>
                <w:szCs w:val="23"/>
                <w:color w:val="auto"/>
                <w:vertAlign w:val="superscript"/>
              </w:rPr>
              <w:t>®</w:t>
            </w:r>
          </w:p>
        </w:tc>
        <w:tc>
          <w:tcPr>
            <w:tcW w:w="1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156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3"/>
                <w:szCs w:val="23"/>
                <w:color w:val="auto"/>
                <w:vertAlign w:val="superscript"/>
              </w:rPr>
              <w:t>®(d)</w:t>
            </w:r>
          </w:p>
        </w:tc>
        <w:tc>
          <w:tcPr>
            <w:tcW w:w="1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1"/>
        </w:trPr>
        <w:tc>
          <w:tcPr>
            <w:tcW w:w="1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8,142.0</w:t>
            </w:r>
          </w:p>
        </w:tc>
      </w:tr>
      <w:tr>
        <w:trPr>
          <w:trHeight w:val="20"/>
        </w:trPr>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1980" w:right="1920" w:firstLine="4"/>
        <w:spacing w:after="0" w:line="212" w:lineRule="auto"/>
        <w:tabs>
          <w:tab w:leader="none" w:pos="2148"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Prior to July 1, 2022, Regeneron recorded net product sales of Libtayo in the United States and Sanofi recorded net product sales of Libtayo outside the United States. Effective July 1, 2022, the Company began recording net product sales of Libtayo outside the United States. See Note 3 for further details.</w:t>
      </w:r>
    </w:p>
    <w:p>
      <w:pPr>
        <w:spacing w:after="0" w:line="1" w:lineRule="exact"/>
        <w:rPr>
          <w:rFonts w:ascii="Times New Roman" w:cs="Times New Roman" w:eastAsia="Times New Roman" w:hAnsi="Times New Roman"/>
          <w:sz w:val="22"/>
          <w:szCs w:val="22"/>
          <w:color w:val="auto"/>
          <w:vertAlign w:val="superscript"/>
        </w:rPr>
      </w:pPr>
    </w:p>
    <w:p>
      <w:pPr>
        <w:ind w:left="2140" w:hanging="156"/>
        <w:spacing w:after="0" w:line="223" w:lineRule="auto"/>
        <w:tabs>
          <w:tab w:leader="none" w:pos="2140"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Rest of world ("ROW")</w:t>
      </w:r>
    </w:p>
    <w:p>
      <w:pPr>
        <w:spacing w:after="0" w:line="23" w:lineRule="exact"/>
        <w:rPr>
          <w:rFonts w:ascii="Times New Roman" w:cs="Times New Roman" w:eastAsia="Times New Roman" w:hAnsi="Times New Roman"/>
          <w:sz w:val="20"/>
          <w:szCs w:val="20"/>
          <w:color w:val="auto"/>
          <w:vertAlign w:val="superscript"/>
        </w:rPr>
      </w:pPr>
    </w:p>
    <w:p>
      <w:pPr>
        <w:ind w:left="1980" w:right="1880" w:firstLine="4"/>
        <w:spacing w:after="0" w:line="215" w:lineRule="auto"/>
        <w:tabs>
          <w:tab w:leader="none" w:pos="2134"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Net product sales of REGEN-COV in the United States relate to product sold in connection with our agreements with the U.S. government. See Note 3 for further details.</w:t>
      </w:r>
    </w:p>
    <w:p>
      <w:pPr>
        <w:spacing w:after="0" w:line="6" w:lineRule="exact"/>
        <w:rPr>
          <w:rFonts w:ascii="Times New Roman" w:cs="Times New Roman" w:eastAsia="Times New Roman" w:hAnsi="Times New Roman"/>
          <w:sz w:val="20"/>
          <w:szCs w:val="20"/>
          <w:color w:val="auto"/>
          <w:vertAlign w:val="superscript"/>
        </w:rPr>
      </w:pPr>
    </w:p>
    <w:p>
      <w:pPr>
        <w:ind w:left="1980" w:right="2000" w:firstLine="4"/>
        <w:spacing w:after="0" w:line="214" w:lineRule="auto"/>
        <w:tabs>
          <w:tab w:leader="none" w:pos="2155"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Effective April 1, 2021, Kiniksa records net product sales of ARCALYST in the United States. Previously, the Company recorded net product sales of ARCALYST in the United States.</w:t>
      </w:r>
    </w:p>
    <w:p>
      <w:pPr>
        <w:spacing w:after="0" w:line="21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$4.268 billion and $5.059 billion, respectively, of trade accounts receivable that were recorded within Accounts receivable, net.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product sales to certain customers that accounted for more than 10% of total gross product revenue for the three and nine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2021. Sales to each of these customers as a percentage of the Company's total gross product revenue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8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gridSpan w:val="4"/>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r>
      <w:tr>
        <w:trPr>
          <w:trHeight w:val="239"/>
        </w:trPr>
        <w:tc>
          <w:tcPr>
            <w:tcW w:w="1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8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60" w:type="dxa"/>
            <w:vAlign w:val="bottom"/>
            <w:gridSpan w:val="4"/>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23"/>
        </w:trPr>
        <w:tc>
          <w:tcPr>
            <w:tcW w:w="5080" w:type="dxa"/>
            <w:vAlign w:val="bottom"/>
            <w:gridSpan w:val="2"/>
          </w:tcPr>
          <w:p>
            <w:pPr>
              <w:spacing w:after="0"/>
              <w:rPr>
                <w:sz w:val="19"/>
                <w:szCs w:val="19"/>
                <w:color w:val="auto"/>
              </w:rPr>
            </w:pPr>
          </w:p>
        </w:tc>
        <w:tc>
          <w:tcPr>
            <w:tcW w:w="7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3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60" w:type="dxa"/>
            <w:vAlign w:val="bottom"/>
          </w:tcPr>
          <w:p>
            <w:pPr>
              <w:spacing w:after="0"/>
              <w:rPr>
                <w:sz w:val="19"/>
                <w:szCs w:val="19"/>
                <w:color w:val="auto"/>
              </w:rPr>
            </w:pPr>
          </w:p>
        </w:tc>
      </w:tr>
      <w:tr>
        <w:trPr>
          <w:trHeight w:val="154"/>
        </w:trPr>
        <w:tc>
          <w:tcPr>
            <w:tcW w:w="1100" w:type="dxa"/>
            <w:vAlign w:val="bottom"/>
          </w:tcPr>
          <w:p>
            <w:pPr>
              <w:spacing w:after="0"/>
              <w:rPr>
                <w:sz w:val="13"/>
                <w:szCs w:val="13"/>
                <w:color w:val="auto"/>
              </w:rPr>
            </w:pPr>
          </w:p>
        </w:tc>
        <w:tc>
          <w:tcPr>
            <w:tcW w:w="398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Besse Medical, a subsidiary of AmerisourceBergen</w:t>
            </w:r>
          </w:p>
        </w:tc>
        <w:tc>
          <w:tcPr>
            <w:tcW w:w="7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60" w:type="dxa"/>
            <w:vAlign w:val="bottom"/>
          </w:tcPr>
          <w:p>
            <w:pPr>
              <w:spacing w:after="0"/>
              <w:rPr>
                <w:sz w:val="13"/>
                <w:szCs w:val="13"/>
                <w:color w:val="auto"/>
              </w:rPr>
            </w:pPr>
          </w:p>
        </w:tc>
      </w:tr>
      <w:tr>
        <w:trPr>
          <w:trHeight w:val="241"/>
        </w:trPr>
        <w:tc>
          <w:tcPr>
            <w:tcW w:w="1100" w:type="dxa"/>
            <w:vAlign w:val="bottom"/>
          </w:tcPr>
          <w:p>
            <w:pPr>
              <w:spacing w:after="0"/>
              <w:rPr>
                <w:sz w:val="20"/>
                <w:szCs w:val="20"/>
                <w:color w:val="auto"/>
              </w:rPr>
            </w:pPr>
          </w:p>
        </w:tc>
        <w:tc>
          <w:tcPr>
            <w:tcW w:w="4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Corporation</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60" w:type="dxa"/>
            <w:vAlign w:val="bottom"/>
          </w:tcPr>
          <w:p>
            <w:pPr>
              <w:spacing w:after="0"/>
              <w:rPr>
                <w:sz w:val="20"/>
                <w:szCs w:val="20"/>
                <w:color w:val="auto"/>
              </w:rPr>
            </w:pPr>
          </w:p>
        </w:tc>
      </w:tr>
      <w:tr>
        <w:trPr>
          <w:trHeight w:val="227"/>
        </w:trPr>
        <w:tc>
          <w:tcPr>
            <w:tcW w:w="110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McKesson Corporation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60" w:type="dxa"/>
            <w:vAlign w:val="bottom"/>
          </w:tcPr>
          <w:p>
            <w:pPr>
              <w:spacing w:after="0"/>
              <w:rPr>
                <w:sz w:val="19"/>
                <w:szCs w:val="19"/>
                <w:color w:val="auto"/>
              </w:rPr>
            </w:pPr>
          </w:p>
        </w:tc>
      </w:tr>
      <w:tr>
        <w:trPr>
          <w:trHeight w:val="227"/>
        </w:trPr>
        <w:tc>
          <w:tcPr>
            <w:tcW w:w="110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w:t>
            </w:r>
          </w:p>
        </w:tc>
        <w:tc>
          <w:tcPr>
            <w:tcW w:w="130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60" w:type="dxa"/>
            <w:vAlign w:val="bottom"/>
          </w:tcPr>
          <w:p>
            <w:pPr>
              <w:spacing w:after="0"/>
              <w:rPr>
                <w:sz w:val="19"/>
                <w:szCs w:val="19"/>
                <w:color w:val="auto"/>
              </w:rPr>
            </w:pPr>
          </w:p>
        </w:tc>
      </w:tr>
      <w:tr>
        <w:trPr>
          <w:trHeight w:val="790"/>
        </w:trPr>
        <w:tc>
          <w:tcPr>
            <w:tcW w:w="5860" w:type="dxa"/>
            <w:vAlign w:val="bottom"/>
            <w:gridSpan w:val="3"/>
          </w:tcPr>
          <w:p>
            <w:pPr>
              <w:jc w:val="right"/>
              <w:ind w:right="111"/>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4"/>
        </w:trPr>
        <w:tc>
          <w:tcPr>
            <w:tcW w:w="11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License, and Other Agreements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Sanofi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our Statements of Operations in connection with our collaborations with Sanofi are detailed below:</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Pr>
          <w:p>
            <w:pPr>
              <w:spacing w:after="0"/>
              <w:rPr>
                <w:sz w:val="17"/>
                <w:szCs w:val="17"/>
                <w:color w:val="auto"/>
              </w:rPr>
            </w:pPr>
          </w:p>
        </w:tc>
        <w:tc>
          <w:tcPr>
            <w:tcW w:w="2020" w:type="dxa"/>
            <w:vAlign w:val="bottom"/>
            <w:gridSpan w:val="5"/>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6"/>
        </w:trPr>
        <w:tc>
          <w:tcPr>
            <w:tcW w:w="3920" w:type="dxa"/>
            <w:vAlign w:val="bottom"/>
          </w:tcPr>
          <w:p>
            <w:pPr>
              <w:spacing w:after="0"/>
              <w:rPr>
                <w:sz w:val="20"/>
                <w:szCs w:val="20"/>
                <w:color w:val="auto"/>
              </w:rPr>
            </w:pPr>
          </w:p>
        </w:tc>
        <w:tc>
          <w:tcPr>
            <w:tcW w:w="27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00" w:type="dxa"/>
            <w:vAlign w:val="bottom"/>
          </w:tcPr>
          <w:p>
            <w:pPr>
              <w:spacing w:after="0"/>
              <w:rPr>
                <w:sz w:val="20"/>
                <w:szCs w:val="20"/>
                <w:color w:val="auto"/>
              </w:rPr>
            </w:pPr>
          </w:p>
        </w:tc>
        <w:tc>
          <w:tcPr>
            <w:tcW w:w="212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202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7"/>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7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7"/>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2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92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Regeneron's share of profits in connection with</w:t>
            </w:r>
          </w:p>
        </w:tc>
        <w:tc>
          <w:tcPr>
            <w:tcW w:w="27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Collaboration revenue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0" w:type="dxa"/>
            <w:vAlign w:val="bottom"/>
          </w:tcPr>
          <w:p>
            <w:pPr>
              <w:spacing w:after="0"/>
              <w:rPr>
                <w:sz w:val="1"/>
                <w:szCs w:val="1"/>
                <w:color w:val="auto"/>
              </w:rPr>
            </w:pPr>
          </w:p>
        </w:tc>
      </w:tr>
      <w:tr>
        <w:trPr>
          <w:trHeight w:val="227"/>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Sales-based milestone earned</w:t>
            </w:r>
          </w:p>
        </w:tc>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82"/>
        </w:trPr>
        <w:tc>
          <w:tcPr>
            <w:tcW w:w="392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Reimbursement for manufacturing of commercial</w:t>
            </w:r>
          </w:p>
        </w:tc>
        <w:tc>
          <w:tcPr>
            <w:tcW w:w="27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Collaboration revenue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supplies</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0" w:type="dxa"/>
            <w:vAlign w:val="bottom"/>
          </w:tcPr>
          <w:p>
            <w:pPr>
              <w:spacing w:after="0"/>
              <w:rPr>
                <w:sz w:val="1"/>
                <w:szCs w:val="1"/>
                <w:color w:val="auto"/>
              </w:rPr>
            </w:pPr>
          </w:p>
        </w:tc>
      </w:tr>
      <w:tr>
        <w:trPr>
          <w:trHeight w:val="227"/>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2"/>
        </w:trPr>
        <w:tc>
          <w:tcPr>
            <w:tcW w:w="392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(Regeneron's obligation for its share of Sanofi</w:t>
            </w:r>
          </w:p>
        </w:tc>
        <w:tc>
          <w:tcPr>
            <w:tcW w:w="27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(R&amp;D expense)/reduction of R&amp;D</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20" w:type="dxa"/>
            <w:vAlign w:val="bottom"/>
          </w:tcPr>
          <w:p>
            <w:pPr>
              <w:ind w:left="380"/>
              <w:spacing w:after="0" w:line="179" w:lineRule="exact"/>
              <w:rPr>
                <w:sz w:val="20"/>
                <w:szCs w:val="20"/>
                <w:color w:val="auto"/>
              </w:rPr>
            </w:pPr>
            <w:r>
              <w:rPr>
                <w:rFonts w:ascii="Times New Roman" w:cs="Times New Roman" w:eastAsia="Times New Roman" w:hAnsi="Times New Roman"/>
                <w:sz w:val="18"/>
                <w:szCs w:val="18"/>
                <w:color w:val="auto"/>
              </w:rPr>
              <w:t>R&amp;D expenses)/reimbursements of R&amp;D</w:t>
            </w:r>
          </w:p>
        </w:tc>
        <w:tc>
          <w:tcPr>
            <w:tcW w:w="2760" w:type="dxa"/>
            <w:vAlign w:val="bottom"/>
            <w:gridSpan w:val="2"/>
          </w:tcPr>
          <w:p>
            <w:pPr>
              <w:ind w:left="180"/>
              <w:spacing w:after="0" w:line="179" w:lineRule="exact"/>
              <w:rPr>
                <w:sz w:val="20"/>
                <w:szCs w:val="20"/>
                <w:color w:val="auto"/>
              </w:rPr>
            </w:pPr>
            <w:r>
              <w:rPr>
                <w:rFonts w:ascii="Times New Roman" w:cs="Times New Roman" w:eastAsia="Times New Roman" w:hAnsi="Times New Roman"/>
                <w:sz w:val="18"/>
                <w:szCs w:val="18"/>
                <w:color w:val="auto"/>
              </w:rPr>
              <w:t>expense</w:t>
            </w:r>
          </w:p>
        </w:tc>
        <w:tc>
          <w:tcPr>
            <w:tcW w:w="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5"/>
                <w:szCs w:val="15"/>
                <w:color w:val="auto"/>
              </w:rPr>
            </w:pPr>
          </w:p>
        </w:tc>
        <w:tc>
          <w:tcPr>
            <w:tcW w:w="2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27"/>
        </w:trPr>
        <w:tc>
          <w:tcPr>
            <w:tcW w:w="3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expenses, net</w:t>
            </w: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92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Reimbursement of commercialization-related</w:t>
            </w:r>
          </w:p>
        </w:tc>
        <w:tc>
          <w:tcPr>
            <w:tcW w:w="27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Reduction of SG&amp;A expense</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67"/>
        </w:trPr>
        <w:tc>
          <w:tcPr>
            <w:tcW w:w="39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Immuno-oncology:</w:t>
            </w:r>
          </w:p>
        </w:tc>
        <w:tc>
          <w:tcPr>
            <w:tcW w:w="2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92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Regeneron's share of profits (losses) in</w:t>
            </w:r>
          </w:p>
        </w:tc>
        <w:tc>
          <w:tcPr>
            <w:tcW w:w="27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Collaboration revenue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20" w:type="dxa"/>
            <w:vAlign w:val="bottom"/>
          </w:tcPr>
          <w:p>
            <w:pPr>
              <w:ind w:left="380"/>
              <w:spacing w:after="0" w:line="179" w:lineRule="exact"/>
              <w:rPr>
                <w:sz w:val="20"/>
                <w:szCs w:val="20"/>
                <w:color w:val="auto"/>
              </w:rPr>
            </w:pPr>
            <w:r>
              <w:rPr>
                <w:rFonts w:ascii="Times New Roman" w:cs="Times New Roman" w:eastAsia="Times New Roman" w:hAnsi="Times New Roman"/>
                <w:sz w:val="18"/>
                <w:szCs w:val="18"/>
                <w:color w:val="auto"/>
              </w:rPr>
              <w:t>connection with commercialization of Libtayo</w:t>
            </w: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5"/>
                <w:szCs w:val="15"/>
                <w:color w:val="auto"/>
              </w:rPr>
            </w:pPr>
          </w:p>
        </w:tc>
        <w:tc>
          <w:tcPr>
            <w:tcW w:w="2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7"/>
        </w:trPr>
        <w:tc>
          <w:tcPr>
            <w:tcW w:w="3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92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Reimbursement for manufacturing of ex-U.S.</w:t>
            </w:r>
          </w:p>
        </w:tc>
        <w:tc>
          <w:tcPr>
            <w:tcW w:w="27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Collaboration revenue</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 supplies</w:t>
            </w:r>
          </w:p>
        </w:tc>
        <w:tc>
          <w:tcPr>
            <w:tcW w:w="2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7"/>
        </w:trPr>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Reimbursement of R&amp;D expenses</w:t>
            </w: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Reduction of R&amp;D expense</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182"/>
        </w:trPr>
        <w:tc>
          <w:tcPr>
            <w:tcW w:w="392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Reimbursement of commercialization-related</w:t>
            </w:r>
          </w:p>
        </w:tc>
        <w:tc>
          <w:tcPr>
            <w:tcW w:w="27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Reduction of SG&amp;A expense</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182"/>
        </w:trPr>
        <w:tc>
          <w:tcPr>
            <w:tcW w:w="392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Regeneron's obligation for its share of Sanofi</w:t>
            </w:r>
          </w:p>
        </w:tc>
        <w:tc>
          <w:tcPr>
            <w:tcW w:w="27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SG&amp;A expense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expenses</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(19.9)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182"/>
        </w:trPr>
        <w:tc>
          <w:tcPr>
            <w:tcW w:w="392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Regeneron's obligation for Sanofi's share of</w:t>
            </w:r>
          </w:p>
        </w:tc>
        <w:tc>
          <w:tcPr>
            <w:tcW w:w="27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Libtayo U.S. gross profits</w:t>
            </w:r>
          </w:p>
        </w:tc>
        <w:tc>
          <w:tcPr>
            <w:tcW w:w="2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6"/>
              </w:rPr>
              <w:t>(70.1)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182"/>
        </w:trPr>
        <w:tc>
          <w:tcPr>
            <w:tcW w:w="392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Amounts recognized in connection with up-front</w:t>
            </w:r>
          </w:p>
        </w:tc>
        <w:tc>
          <w:tcPr>
            <w:tcW w:w="27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Other operating income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received</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60" w:hanging="75"/>
        <w:spacing w:after="0"/>
        <w:tabs>
          <w:tab w:leader="none" w:pos="26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Net of one-time payment of $56.9 million to Sanofi in connection with the amendment to the Antibody License and Collaboration Agreement described below</w:t>
      </w:r>
    </w:p>
    <w:p>
      <w:pPr>
        <w:spacing w:after="0" w:line="200" w:lineRule="exact"/>
        <w:rPr>
          <w:rFonts w:ascii="Times New Roman" w:cs="Times New Roman" w:eastAsia="Times New Roman" w:hAnsi="Times New Roman"/>
          <w:sz w:val="22"/>
          <w:szCs w:val="22"/>
          <w:color w:val="auto"/>
          <w:vertAlign w:val="superscript"/>
        </w:rPr>
      </w:pPr>
    </w:p>
    <w:p>
      <w:pPr>
        <w:spacing w:after="0" w:line="375" w:lineRule="exact"/>
        <w:rPr>
          <w:rFonts w:ascii="Times New Roman" w:cs="Times New Roman" w:eastAsia="Times New Roman" w:hAnsi="Times New Roman"/>
          <w:sz w:val="22"/>
          <w:szCs w:val="22"/>
          <w:color w:val="auto"/>
          <w:vertAlign w:val="superscript"/>
        </w:rPr>
      </w:pPr>
    </w:p>
    <w:p>
      <w:pPr>
        <w:ind w:left="558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Antibody</w:t>
      </w:r>
    </w:p>
    <w:p>
      <w:pPr>
        <w:spacing w:after="0" w:line="156"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Company is party to a global, strategic collaboration with Sanofi to research, develop, and commercialize fully human monoclonal antibodies (the "Antibody Collaboration"), which currently consists of Dupixent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(dupilumab), 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and itepekimab</w:t>
      </w:r>
      <w:r>
        <w:rPr>
          <w:rFonts w:ascii="Times New Roman" w:cs="Times New Roman" w:eastAsia="Times New Roman" w:hAnsi="Times New Roman"/>
          <w:sz w:val="21"/>
          <w:szCs w:val="21"/>
          <w:i w:val="1"/>
          <w:iCs w:val="1"/>
          <w:color w:val="auto"/>
        </w:rPr>
        <w:t>.</w:t>
      </w: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terms of the Antibody License and Collaboration Agreement, Sanofi is generally responsible for funding 80% to 100% of agreed-upon development costs. We are obligated to reimburse Sanofi for 30% to 50% of worldwide development expenses that were funded by Sanofi based on our share of collaboration profits from commercialization of collaboration products. Under the terms of the Antibody License and Collaboration Agreement, we were required to apply 10% of our share of the profits from the Antibody Collaboration in any calendar quarter to reimburse Sanofi for these development costs. On July 1, 2022, an amendment to the Antibody License and Collaboration Agreement became effective, pursuant to which the percentage of Regeneron’s share of profits used to reimburse Sanofi for such development costs increased from 10% to 20%. A portion of the value associated with the increase in reimbursement percentage was deemed to be contingent consideration attributable to the Company's acquisition of the Libtayo rights described within the "</w:t>
      </w:r>
      <w:r>
        <w:rPr>
          <w:rFonts w:ascii="Times New Roman" w:cs="Times New Roman" w:eastAsia="Times New Roman" w:hAnsi="Times New Roman"/>
          <w:sz w:val="18"/>
          <w:szCs w:val="18"/>
          <w:i w:val="1"/>
          <w:iCs w:val="1"/>
          <w:color w:val="auto"/>
        </w:rPr>
        <w:t>Immuno-oncology</w:t>
      </w:r>
      <w:r>
        <w:rPr>
          <w:rFonts w:ascii="Times New Roman" w:cs="Times New Roman" w:eastAsia="Times New Roman" w:hAnsi="Times New Roman"/>
          <w:sz w:val="18"/>
          <w:szCs w:val="18"/>
          <w:color w:val="auto"/>
        </w:rPr>
        <w:t>" section below; this portion will be recorded as an increase to the Libtayo intangible asset over time as the Company repays such development costs to Sanofi.</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Sanofi leads commercialization activities for products under the Antibody Collaboration, subject to the Company's right to co-commercialize such products. In addition to profit and loss sharing, the Company is entitled to receive sales milestone payments from Sanofi. During the three months ended March 31, 2022, the Company earned a $50.0 million sales-based milestone from Sanofi, upon aggregate annual sales of antibodies outside the United States (including Praluent) exceeding $2.0 billion on a rolling twelve-month basis. During the three months ended September 30, 2021, the Company earned a $50.0 million sales-based milestone from Sanofi, upon aggregate annual sales of antibodies outside the United States (including Praluent) exceeding $1.5 billion on a rolling twelve-month basis. We are entitled to receive up to an aggregate of $100.0 million in additional sales milestone payments from Sanofi, which includes the next sales milestone payment of $50.0 million that would be earned when such sales outside the United States exceed $2.5 billion on a rolling twelve-month basis.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Antibody Collaboration with Sanofi:</w:t>
      </w:r>
    </w:p>
    <w:p>
      <w:pPr>
        <w:spacing w:after="0" w:line="177" w:lineRule="exact"/>
        <w:rPr>
          <w:sz w:val="20"/>
          <w:szCs w:val="20"/>
          <w:color w:val="auto"/>
        </w:rPr>
      </w:pPr>
    </w:p>
    <w:tbl>
      <w:tblPr>
        <w:tblLayout w:type="fixed"/>
        <w:tblInd w:w="2420" w:type="dxa"/>
        <w:tblCellMar>
          <w:top w:w="0" w:type="dxa"/>
          <w:left w:w="0" w:type="dxa"/>
          <w:bottom w:w="0" w:type="dxa"/>
          <w:right w:w="0" w:type="dxa"/>
        </w:tblCellMar>
      </w:tblPr>
      <w:tr>
        <w:trPr>
          <w:trHeight w:val="227"/>
        </w:trPr>
        <w:tc>
          <w:tcPr>
            <w:tcW w:w="3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9"/>
                <w:szCs w:val="19"/>
                <w:color w:val="auto"/>
              </w:rPr>
            </w:pPr>
          </w:p>
        </w:tc>
        <w:tc>
          <w:tcPr>
            <w:tcW w:w="14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r>
      <w:tr>
        <w:trPr>
          <w:trHeight w:val="23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was previously a party to a collaboration with Sanofi for antibody-based cancer treatments in the field of immuno-oncology (the "IO Collaboration"). Under the terms of the Immuno-oncology License and Collaboration Agreement, the parties were co-developing and co-commercializing Libtayo. The parties shared equally, on an ongoing basis, development and commercialization expenses for Libtayo. The Company had principal control over the development of Libtayo and led commercialization activities in the United States, while Sanofi led commercialization activities outside of the United States. The parties shared equally in profits and losses in connection with the commercialization of Libtayo.</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July 1, 2022, the Company obtained the exclusive right to develop, commercialize, and manufacture Libtayo worldwide under an Amended and Restated Immuno-oncology License and Collaboration Agreement with Sanofi (the "A&amp;R IO LCA"). Consequently, in July 2022, the Company made a $900.0 million up-front payment to Sanofi, and Sanofi is eligible to receive a $100.0 million regulatory milestone and up to an aggregate of $100.0 million in sales-based milestones upon achieving certain amounts of worldwide net product sales of Libtayo through 2023. The Company will also pay Sanofi an 11% royalty on net product sales of Libtayo through March 31, 2034. The transaction was accounted for as an asset acquisition and amounts paid to Sanofi in connection with obtaining the worldwide rights to Libtayo, including the up-front payment and any contingent consideration, are recorded as an intangible asset. See Note 8 for additional information related to the intangible asset recorded in connection with the transaction.</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the Amended and Restated Immuno-oncology Discovery and Development Agreement, the Company was obligated to reimburse Sanofi for half of the development costs it funded that were attributable to clinical development of antibody product candidates from our share of profits from commercialized IO Collaboration products. Under the A&amp;R IO LCA, the amount of development costs incurred under the IO Collaboration for which we are obligated to reimburse Sanofi was $35.0 million as of the effective date of the A&amp;R IO LCA, and the Company pays Sanofi a 0.5% royalty on net product sales of Libtayo until all such development costs have been reimbursed by Regeneron.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IO Collaboration with Sanofi:</w:t>
      </w:r>
    </w:p>
    <w:p>
      <w:pPr>
        <w:spacing w:after="0" w:line="177" w:lineRule="exact"/>
        <w:rPr>
          <w:sz w:val="20"/>
          <w:szCs w:val="20"/>
          <w:color w:val="auto"/>
        </w:rPr>
      </w:pPr>
    </w:p>
    <w:tbl>
      <w:tblPr>
        <w:tblLayout w:type="fixed"/>
        <w:tblInd w:w="2380" w:type="dxa"/>
        <w:tblCellMar>
          <w:top w:w="0" w:type="dxa"/>
          <w:left w:w="0" w:type="dxa"/>
          <w:bottom w:w="0" w:type="dxa"/>
          <w:right w:w="0" w:type="dxa"/>
        </w:tblCellMar>
      </w:tblPr>
      <w:tr>
        <w:trPr>
          <w:trHeight w:val="227"/>
        </w:trPr>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9"/>
                <w:szCs w:val="19"/>
                <w:color w:val="auto"/>
              </w:rPr>
            </w:pPr>
          </w:p>
        </w:tc>
        <w:tc>
          <w:tcPr>
            <w:tcW w:w="14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7"/>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7"/>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r>
    </w:tbl>
    <w:p>
      <w:pPr>
        <w:spacing w:after="0" w:line="222"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Other liabilities included up-front payments received from Sanofi for which recognition had been deferred. During the three months ended September 30, 2021, we updated our estimate of the total research and development costs expected to be incurred (which resulted in a change to the estimate of the stage of completion) in connection with the IO Collaboration, and, as a result, recorded a cumulative catch-up adjustment of $66.9 million as a reduction to other operating income. In connection with the A&amp;R IO LCA described above, the remaining IO Collaboration Other liabilities balance of $241.0 million as of July 1, 2022 was recognized as a reduction to the intangible asset during the three months ended September 30, 2022.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Bayer</w:t>
      </w:r>
    </w:p>
    <w:p>
      <w:pPr>
        <w:spacing w:after="0" w:line="158"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The Company is party to a license and collaboration agreement with Bayer for the global development and commercialization of EYLEA (aflibercept) and aflibercept 8 mg outside the United States. Agreed-upon development expenses incurred by the Company and Bayer are generally shared equally. Bayer markets EYLEA outside the United States and the companies share equally in profits and losses from sales. In Japan, the Company was entitled to receive a tiered percentage of between 33.5% and 40.0% of EYLEA net product sales through 2021, and effective January 1, 2022, the companies share equally in profits and losses from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our Statements of Operations in connection with our Bayer collaboration are as follows:</w:t>
      </w:r>
    </w:p>
    <w:p>
      <w:pPr>
        <w:spacing w:after="0" w:line="260"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7"/>
                <w:szCs w:val="17"/>
                <w:color w:val="auto"/>
              </w:rPr>
            </w:pPr>
          </w:p>
        </w:tc>
        <w:tc>
          <w:tcPr>
            <w:tcW w:w="1980" w:type="dxa"/>
            <w:vAlign w:val="bottom"/>
            <w:gridSpan w:val="4"/>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9"/>
        </w:trPr>
        <w:tc>
          <w:tcPr>
            <w:tcW w:w="3980" w:type="dxa"/>
            <w:vAlign w:val="bottom"/>
          </w:tcPr>
          <w:p>
            <w:pPr>
              <w:spacing w:after="0"/>
              <w:rPr>
                <w:sz w:val="20"/>
                <w:szCs w:val="20"/>
                <w:color w:val="auto"/>
              </w:rPr>
            </w:pPr>
          </w:p>
        </w:tc>
        <w:tc>
          <w:tcPr>
            <w:tcW w:w="25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20" w:type="dxa"/>
            <w:vAlign w:val="bottom"/>
          </w:tcPr>
          <w:p>
            <w:pPr>
              <w:spacing w:after="0"/>
              <w:rPr>
                <w:sz w:val="20"/>
                <w:szCs w:val="20"/>
                <w:color w:val="auto"/>
              </w:rPr>
            </w:pPr>
          </w:p>
        </w:tc>
        <w:tc>
          <w:tcPr>
            <w:tcW w:w="22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1980" w:type="dxa"/>
            <w:vAlign w:val="bottom"/>
            <w:gridSpan w:val="4"/>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5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67"/>
        </w:trPr>
        <w:tc>
          <w:tcPr>
            <w:tcW w:w="398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Regeneron's share of profits in connection with</w:t>
            </w:r>
          </w:p>
        </w:tc>
        <w:tc>
          <w:tcPr>
            <w:tcW w:w="240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r>
      <w:tr>
        <w:trPr>
          <w:trHeight w:val="169"/>
        </w:trPr>
        <w:tc>
          <w:tcPr>
            <w:tcW w:w="398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commercialization of EYLEA outside the United</w:t>
            </w: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32"/>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w:t>
            </w:r>
          </w:p>
        </w:tc>
      </w:tr>
      <w:tr>
        <w:trPr>
          <w:trHeight w:val="174"/>
        </w:trPr>
        <w:tc>
          <w:tcPr>
            <w:tcW w:w="39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Reimbursement for manufacturing of ex-U.S.</w:t>
            </w:r>
          </w:p>
        </w:tc>
        <w:tc>
          <w:tcPr>
            <w:tcW w:w="25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41"/>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supplies</w:t>
            </w: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174"/>
        </w:trPr>
        <w:tc>
          <w:tcPr>
            <w:tcW w:w="39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One-time payment in connection with change in</w:t>
            </w:r>
          </w:p>
        </w:tc>
        <w:tc>
          <w:tcPr>
            <w:tcW w:w="25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41"/>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 arrangement</w:t>
            </w: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Reimbursement of R&amp;D expenses</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Reduction of R&amp;D expense</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174"/>
        </w:trPr>
        <w:tc>
          <w:tcPr>
            <w:tcW w:w="39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Regeneron's obligation for its share of Bayer research</w:t>
            </w:r>
          </w:p>
        </w:tc>
        <w:tc>
          <w:tcPr>
            <w:tcW w:w="25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R&amp;D expense</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41"/>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development expenses</w:t>
            </w: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our Bayer collaboration:</w:t>
      </w:r>
    </w:p>
    <w:p>
      <w:pPr>
        <w:spacing w:after="0" w:line="190" w:lineRule="exact"/>
        <w:rPr>
          <w:sz w:val="20"/>
          <w:szCs w:val="20"/>
          <w:color w:val="auto"/>
        </w:rPr>
      </w:pPr>
    </w:p>
    <w:tbl>
      <w:tblPr>
        <w:tblLayout w:type="fixed"/>
        <w:tblInd w:w="2380" w:type="dxa"/>
        <w:tblCellMar>
          <w:top w:w="0" w:type="dxa"/>
          <w:left w:w="0" w:type="dxa"/>
          <w:bottom w:w="0" w:type="dxa"/>
          <w:right w:w="0" w:type="dxa"/>
        </w:tblCellMar>
      </w:tblPr>
      <w:tr>
        <w:trPr>
          <w:trHeight w:val="227"/>
        </w:trPr>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9"/>
                <w:szCs w:val="19"/>
                <w:color w:val="auto"/>
              </w:rPr>
            </w:pPr>
          </w:p>
        </w:tc>
        <w:tc>
          <w:tcPr>
            <w:tcW w:w="14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r>
      <w:tr>
        <w:trPr>
          <w:trHeight w:val="23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U.S. Government</w:t>
      </w:r>
    </w:p>
    <w:p>
      <w:pPr>
        <w:spacing w:after="0" w:line="158"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In 2020 and 2021, we entered into agreements to manufacture and deliver filled and finished drug product of REGEN-COV (casirivimab and imdevimab) to the U.S. government. In connection with one of our 2021 agreements, Roche supplied a portion of the doses to Regeneron to fulfill our agreement with the U.S. government (see "Roche" section below for further details regarding our collaboration agreement with Roche).</w:t>
      </w:r>
    </w:p>
    <w:p>
      <w:pPr>
        <w:spacing w:after="0" w:line="109" w:lineRule="exact"/>
        <w:rPr>
          <w:sz w:val="20"/>
          <w:szCs w:val="20"/>
          <w:color w:val="auto"/>
        </w:rPr>
      </w:pPr>
    </w:p>
    <w:p>
      <w:pPr>
        <w:jc w:val="both"/>
        <w:ind w:right="100"/>
        <w:spacing w:after="0" w:line="278" w:lineRule="auto"/>
        <w:rPr>
          <w:sz w:val="20"/>
          <w:szCs w:val="20"/>
          <w:color w:val="auto"/>
        </w:rPr>
      </w:pPr>
      <w:r>
        <w:rPr>
          <w:rFonts w:ascii="Times New Roman" w:cs="Times New Roman" w:eastAsia="Times New Roman" w:hAnsi="Times New Roman"/>
          <w:sz w:val="18"/>
          <w:szCs w:val="18"/>
          <w:color w:val="auto"/>
        </w:rPr>
        <w:t>As of December 31, 2021, the Company had completed its final deliveries of drug product under its agreements with the U.S. government. See Note 2 for REGEN-COV net product sales recognized during the three and nine months ended September 30, 2021.</w:t>
      </w: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366"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Roche</w:t>
      </w:r>
    </w:p>
    <w:p>
      <w:pPr>
        <w:spacing w:after="0" w:line="145" w:lineRule="exact"/>
        <w:rPr>
          <w:sz w:val="20"/>
          <w:szCs w:val="20"/>
          <w:color w:val="auto"/>
        </w:rPr>
      </w:pPr>
    </w:p>
    <w:p>
      <w:pPr>
        <w:jc w:val="both"/>
        <w:ind w:right="100"/>
        <w:spacing w:after="0" w:line="233" w:lineRule="auto"/>
        <w:rPr>
          <w:sz w:val="20"/>
          <w:szCs w:val="20"/>
          <w:color w:val="auto"/>
        </w:rPr>
      </w:pPr>
      <w:r>
        <w:rPr>
          <w:rFonts w:ascii="Times New Roman" w:cs="Times New Roman" w:eastAsia="Times New Roman" w:hAnsi="Times New Roman"/>
          <w:sz w:val="18"/>
          <w:szCs w:val="18"/>
          <w:color w:val="auto"/>
        </w:rPr>
        <w:t>In 2020, we entered into a collaboration agreement (the "Roche Collaboration Agreement") with Roche to develop, manufacture, and distribute the casirivimab and imdevimab antibody cocktail (known as REGEN-COV in the United States and Ronapreve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other countries). Under the terms of the collaboration agreement, we lead global development activities for casirivimab and imdevimab, and the parties jointly fund certain studies.</w:t>
      </w:r>
    </w:p>
    <w:p>
      <w:pPr>
        <w:spacing w:after="0" w:line="130"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8"/>
          <w:szCs w:val="18"/>
          <w:color w:val="auto"/>
        </w:rPr>
        <w:t>Under the terms of the agreement, each party is obligated to dedicate a certain amount of manufacturing capacity to casirivimab and imdevimab each year. We distribute the product in the United States and Roche distributes the product outside of the United States. The parties share gross profits from worldwide sales based on a pre-specified formula, depending on the amount of manufactured product supplied by each party to the market. Each quarter, a single payment is due from one party to the other to true-up the global gross profits between the parties. If Regeneron is to receive a true-up payment from Roche, such amount will be recorded to Collaboration revenue. If Regeneron is to make a true-up payment to Roche, such amount will be recorded to Cost of goods sold.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our Statements of Operations in connection with the Roche Collaboration Agreement are as follows:</w:t>
      </w:r>
    </w:p>
    <w:p>
      <w:pPr>
        <w:sectPr>
          <w:pgSz w:w="11900" w:h="16838" w:orient="portrait"/>
          <w:cols w:equalWidth="0" w:num="1">
            <w:col w:w="11340"/>
          </w:cols>
          <w:pgMar w:left="320" w:top="36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28" w:lineRule="exact"/>
        <w:rPr>
          <w:sz w:val="20"/>
          <w:szCs w:val="20"/>
          <w:color w:val="auto"/>
        </w:rPr>
      </w:pPr>
    </w:p>
    <w:p>
      <w:pPr>
        <w:ind w:left="420" w:hanging="160"/>
        <w:spacing w:after="0" w:line="232" w:lineRule="auto"/>
        <w:rPr>
          <w:sz w:val="20"/>
          <w:szCs w:val="20"/>
          <w:color w:val="auto"/>
        </w:rPr>
      </w:pPr>
      <w:r>
        <w:rPr>
          <w:rFonts w:ascii="Times New Roman" w:cs="Times New Roman" w:eastAsia="Times New Roman" w:hAnsi="Times New Roman"/>
          <w:sz w:val="18"/>
          <w:szCs w:val="18"/>
          <w:color w:val="auto"/>
        </w:rPr>
        <w:t>Global gross profit payment from Roche in connection with sales of Ronapreve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7"/>
                <w:szCs w:val="17"/>
                <w:color w:val="auto"/>
              </w:rPr>
            </w:pPr>
          </w:p>
        </w:tc>
        <w:tc>
          <w:tcPr>
            <w:tcW w:w="19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Statement of Operations</w:t>
            </w:r>
          </w:p>
        </w:tc>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9"/>
        </w:trPr>
        <w:tc>
          <w:tcPr>
            <w:tcW w:w="27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67"/>
        </w:trPr>
        <w:tc>
          <w:tcPr>
            <w:tcW w:w="2480" w:type="dxa"/>
            <w:vAlign w:val="bottom"/>
            <w:tcBorders>
              <w:top w:val="single" w:sz="8" w:color="auto"/>
            </w:tcBorders>
          </w:tcPr>
          <w:p>
            <w:pPr>
              <w:ind w:left="20"/>
              <w:spacing w:after="0" w:line="167" w:lineRule="exact"/>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Pr>
          <w:p>
            <w:pPr>
              <w:spacing w:after="0"/>
              <w:rPr>
                <w:sz w:val="14"/>
                <w:szCs w:val="14"/>
                <w:color w:val="auto"/>
              </w:rPr>
            </w:pPr>
          </w:p>
        </w:tc>
        <w:tc>
          <w:tcPr>
            <w:tcW w:w="24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0" w:type="dxa"/>
            <w:vAlign w:val="bottom"/>
          </w:tcPr>
          <w:p>
            <w:pPr>
              <w:spacing w:after="0"/>
              <w:rPr>
                <w:sz w:val="1"/>
                <w:szCs w:val="1"/>
                <w:color w:val="auto"/>
              </w:rPr>
            </w:pPr>
          </w:p>
        </w:tc>
      </w:tr>
      <w:tr>
        <w:trPr>
          <w:trHeight w:val="233"/>
        </w:trPr>
        <w:tc>
          <w:tcPr>
            <w:tcW w:w="2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-266065</wp:posOffset>
            </wp:positionV>
            <wp:extent cx="7043420" cy="263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43420" cy="263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80" w:space="160"/>
            <w:col w:w="7000"/>
          </w:cols>
          <w:pgMar w:left="320" w:top="366" w:right="239" w:bottom="1440" w:gutter="0" w:footer="0" w:header="0"/>
          <w:type w:val="continuous"/>
        </w:sectPr>
      </w:pPr>
    </w:p>
    <w:p>
      <w:pPr>
        <w:spacing w:after="0" w:line="4"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Reimbursement of research and development expenses from Roche (recorded as a reduction of Research and development expense) was $10.5 million and $138.3 million for the three and nine months ended September 30, 2021. Such amounts were not material for the three and nine months ended September 30,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Roche Collaboration Agreement:</w:t>
      </w:r>
    </w:p>
    <w:p>
      <w:pPr>
        <w:spacing w:after="0" w:line="190" w:lineRule="exact"/>
        <w:rPr>
          <w:sz w:val="20"/>
          <w:szCs w:val="20"/>
          <w:color w:val="auto"/>
        </w:rPr>
      </w:pPr>
    </w:p>
    <w:tbl>
      <w:tblPr>
        <w:tblLayout w:type="fixed"/>
        <w:tblInd w:w="1900" w:type="dxa"/>
        <w:tblCellMar>
          <w:top w:w="0" w:type="dxa"/>
          <w:left w:w="0" w:type="dxa"/>
          <w:bottom w:w="0" w:type="dxa"/>
          <w:right w:w="0" w:type="dxa"/>
        </w:tblCellMar>
      </w:tblPr>
      <w:tr>
        <w:trPr>
          <w:trHeight w:val="227"/>
        </w:trPr>
        <w:tc>
          <w:tcPr>
            <w:tcW w:w="4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4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Alnylam</w:t>
      </w:r>
    </w:p>
    <w:p>
      <w:pPr>
        <w:spacing w:after="0" w:line="145"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In 2018, the Company and Alnylam Pharmaceuticals, Inc. entered into a collaboration to discover RNA interference ("RNAi") therapeutics for NASH and potentially other related diseases, as well as to research, co-develop and commercialize any therapeutic product candidates that emerge from these discovery efforts (including ALN-HSD, which is currently in clinical development). The parties share equally, on an ongoing basis, development expenses for ALN-HSD.</w:t>
      </w:r>
    </w:p>
    <w:p>
      <w:pPr>
        <w:spacing w:after="0" w:line="113"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In 2019, the parties entered into a global, strategic collaboration to discover, develop, and commercialize RNAi therapeutics for a broad range of diseases by addressing therapeutic disease targets expressed in the eye and central nervous system ("CNS"), in addition to a select number of targets expressed in the liver. For each program, we provide Alnylam with a specified amount of funding at program initiation and at lead candidate designation. Following designation of a lead candidate, the parties may further advance such lead candidate under either a co-commercialization collaboration agreement structure (under which the parties are advancing ALN-APP, which is currently in clinical development) or a license agreement.</w:t>
      </w:r>
    </w:p>
    <w:p>
      <w:pPr>
        <w:spacing w:after="0" w:line="104"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In addition, during 2019, the parties entered into a Co-Commercialization Collaboration Agreement for a silencing RNA ("siRNA") therapeutic targeting the C5 component of the human complement pathway being developed by Alnylam, with Alnylam as the lead party, and a License Agreement for a combination product consisting of such siRNA therapeutic (cemdisiran) and a fully human monoclonal antibody being developed by the Company (pozelimab), with the Company as the licensee. Under the C5 siRNA Co-Commercialization Collaboration Agreement, the parties share costs equally and under the License Agreement, the licensee is responsible for its own costs and expenses.</w:t>
      </w:r>
    </w:p>
    <w:p>
      <w:pPr>
        <w:spacing w:after="0" w:line="117"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Amounts recognized in our Statements of Operations in connection with the Alnylam agreements described above were not material for the three and nine months ended September 30, 2022 and 2021. In addition, contract balances in our Balance Sheets were not material as of September 30, 2022 and December 31, 2021.</w:t>
      </w: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366" w:right="2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Checkmate</w:t>
      </w:r>
    </w:p>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May 2022, the Company completed its acquisition of Checkmate Pharmaceuticals, Inc. (“Checkmate”) for a total equity value of approximately $250 million. The Company made an assessment as to whether the set of assets acquired constituted a business and should be accounted for as a business combination. Given that substantially all of the fair value of the gross assets acquired was concentrated in a single identifiable asset, vidutolimod, which is in clinical development for oncology, the transaction was accounted for as an asset acquisition. As a result of the acquisition, the Company recorded (i) a charge of $195.0 million to Acquired in-process research and development and (ii) net assets of $35.3 million, net of cash, related to the assets acquired (including deferred tax assets and investments) and liabilities assumed.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Teva</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 and Teva are parties to a collaboration agreement (the "Teva Collaboration Agreement") to develop and commercialize fasinumab globally, excluding certain Asian countries that are subject to our collaboration agreement with Mitsubishi Tanabe Pharma Corporation ("MTPC"). Under the terms of the Teva Collaboration Agreement, the Company leads global development activities and the parties share development costs equally.</w:t>
      </w:r>
    </w:p>
    <w:p>
      <w:pPr>
        <w:spacing w:after="0" w:line="10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connection with the agreement, Teva made a $250.0 million non-refundable up-front payment in 2016, and as of September 30, 2022, we had received an aggregate $120.0 million of development milestones from Teva. These amounts were initially recorded within other liabilities and were being recognized (as other operating income) over the period in which the Company was to satisfy its obligation to perform development activities. During the three months ended September 30, 2022, we discontinued further clinical development of fasinumab and, as a result, recorded $31.9 million as an increase to other operating income as we deemed our obligation to provide development services in connection with the Teva Collaboration Agreement to be complete.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Per Share</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4"/>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2120" w:type="dxa"/>
            <w:vAlign w:val="bottom"/>
            <w:gridSpan w:val="4"/>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5,846.3</w:t>
            </w:r>
          </w:p>
        </w:tc>
      </w:tr>
      <w:tr>
        <w:trPr>
          <w:trHeight w:val="267"/>
        </w:trPr>
        <w:tc>
          <w:tcPr>
            <w:tcW w:w="4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27"/>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7"/>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7"/>
        </w:trPr>
        <w:tc>
          <w:tcPr>
            <w:tcW w:w="4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6"/>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r>
      <w:tr>
        <w:trPr>
          <w:trHeight w:val="23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include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180" w:type="dxa"/>
            <w:vAlign w:val="bottom"/>
            <w:gridSpan w:val="4"/>
          </w:tcPr>
          <w:p>
            <w:pPr>
              <w:jc w:val="right"/>
              <w:ind w:right="23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20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418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2020" w:type="dxa"/>
            <w:vAlign w:val="bottom"/>
          </w:tcPr>
          <w:p>
            <w:pPr>
              <w:spacing w:after="0"/>
              <w:rPr>
                <w:sz w:val="19"/>
                <w:szCs w:val="19"/>
                <w:color w:val="auto"/>
              </w:rPr>
            </w:pPr>
          </w:p>
        </w:tc>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102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0" w:type="dxa"/>
            <w:vAlign w:val="bottom"/>
          </w:tcPr>
          <w:p>
            <w:pPr>
              <w:spacing w:after="0"/>
              <w:rPr>
                <w:sz w:val="19"/>
                <w:szCs w:val="19"/>
                <w:color w:val="auto"/>
              </w:rPr>
            </w:pPr>
          </w:p>
        </w:tc>
      </w:tr>
      <w:tr>
        <w:trPr>
          <w:trHeight w:val="221"/>
        </w:trPr>
        <w:tc>
          <w:tcPr>
            <w:tcW w:w="2020" w:type="dxa"/>
            <w:vAlign w:val="bottom"/>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0" w:type="dxa"/>
            <w:vAlign w:val="bottom"/>
          </w:tcPr>
          <w:p>
            <w:pPr>
              <w:spacing w:after="0"/>
              <w:rPr>
                <w:sz w:val="19"/>
                <w:szCs w:val="19"/>
                <w:color w:val="auto"/>
              </w:rPr>
            </w:pPr>
          </w:p>
        </w:tc>
      </w:tr>
      <w:tr>
        <w:trPr>
          <w:trHeight w:val="790"/>
        </w:trPr>
        <w:tc>
          <w:tcPr>
            <w:tcW w:w="20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54"/>
        </w:trPr>
        <w:tc>
          <w:tcPr>
            <w:tcW w:w="20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14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Marketable securities as of September 30, 2022 and December 31, 2021 consist of both available-for-sale debt securities of investment grade issuers (see below and Note 6) as well as equity securities of publicly traded companies (see Note 6).</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debt securities:</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181"/>
        </w:trPr>
        <w:tc>
          <w:tcPr>
            <w:tcW w:w="50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180" w:type="dxa"/>
            <w:vAlign w:val="bottom"/>
          </w:tcPr>
          <w:p>
            <w:pPr>
              <w:spacing w:after="0"/>
              <w:rPr>
                <w:sz w:val="15"/>
                <w:szCs w:val="15"/>
                <w:color w:val="auto"/>
              </w:rPr>
            </w:pPr>
          </w:p>
        </w:tc>
        <w:tc>
          <w:tcPr>
            <w:tcW w:w="126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8"/>
                <w:szCs w:val="18"/>
                <w:b w:val="1"/>
                <w:bCs w:val="1"/>
                <w:color w:val="auto"/>
              </w:rPr>
              <w:t>Cost Basis</w:t>
            </w:r>
          </w:p>
        </w:tc>
        <w:tc>
          <w:tcPr>
            <w:tcW w:w="9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b w:val="1"/>
                <w:bCs w:val="1"/>
                <w:color w:val="auto"/>
              </w:rPr>
              <w:t>Gains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311"/>
              <w:spacing w:after="0" w:line="181"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51"/>
              <w:spacing w:after="0" w:line="181" w:lineRule="exact"/>
              <w:rPr>
                <w:sz w:val="20"/>
                <w:szCs w:val="20"/>
                <w:color w:val="auto"/>
              </w:rPr>
            </w:pPr>
            <w:r>
              <w:rPr>
                <w:rFonts w:ascii="Times New Roman" w:cs="Times New Roman" w:eastAsia="Times New Roman" w:hAnsi="Times New Roman"/>
                <w:sz w:val="18"/>
                <w:szCs w:val="18"/>
                <w:b w:val="1"/>
                <w:bCs w:val="1"/>
                <w:color w:val="auto"/>
              </w:rPr>
              <w:t>Value</w:t>
            </w:r>
          </w:p>
        </w:tc>
      </w:tr>
      <w:tr>
        <w:trPr>
          <w:trHeight w:val="20"/>
        </w:trPr>
        <w:tc>
          <w:tcPr>
            <w:tcW w:w="18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1"/>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6,964.8</w:t>
            </w:r>
          </w:p>
        </w:tc>
      </w:tr>
      <w:tr>
        <w:trPr>
          <w:trHeight w:val="227"/>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w:t>
            </w:r>
          </w:p>
        </w:tc>
      </w:tr>
      <w:tr>
        <w:trPr>
          <w:trHeight w:val="227"/>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27"/>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w:t>
            </w:r>
          </w:p>
        </w:tc>
      </w:tr>
      <w:tr>
        <w:trPr>
          <w:trHeight w:val="227"/>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r>
      <w:tr>
        <w:trPr>
          <w:trHeight w:val="227"/>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46"/>
        </w:trPr>
        <w:tc>
          <w:tcPr>
            <w:tcW w:w="18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3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8,369.6</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1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7"/>
        </w:trPr>
        <w:tc>
          <w:tcPr>
            <w:tcW w:w="1880" w:type="dxa"/>
            <w:vAlign w:val="bottom"/>
            <w:tcBorders>
              <w:bottom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8"/>
              </w:rPr>
              <w:t>As of December 31, 2021</w:t>
            </w:r>
          </w:p>
        </w:tc>
        <w:tc>
          <w:tcPr>
            <w:tcW w:w="31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7"/>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7,518.4</w:t>
            </w:r>
          </w:p>
        </w:tc>
        <w:tc>
          <w:tcPr>
            <w:tcW w:w="100" w:type="dxa"/>
            <w:vAlign w:val="bottom"/>
          </w:tcPr>
          <w:p>
            <w:pPr>
              <w:spacing w:after="0"/>
              <w:rPr>
                <w:sz w:val="19"/>
                <w:szCs w:val="19"/>
                <w:color w:val="auto"/>
              </w:rPr>
            </w:pP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7,487.7</w:t>
            </w:r>
          </w:p>
        </w:tc>
      </w:tr>
      <w:tr>
        <w:trPr>
          <w:trHeight w:val="227"/>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27"/>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7"/>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r>
      <w:tr>
        <w:trPr>
          <w:trHeight w:val="227"/>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27"/>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1"/>
        </w:trPr>
        <w:tc>
          <w:tcPr>
            <w:tcW w:w="1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8,428.7</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8,397.2</w:t>
            </w:r>
          </w:p>
        </w:tc>
      </w:tr>
      <w:tr>
        <w:trPr>
          <w:trHeight w:val="20"/>
        </w:trPr>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 classifies its investments in available-for-sale debt securities based on their contractual maturity dates. The available-for-sale debt securities listed as of September 30, 2022 mature at various dates through April 2027. The fair values of available-for-sale debt securities by contractual maturity consist of the following:</w:t>
      </w:r>
    </w:p>
    <w:p>
      <w:pPr>
        <w:spacing w:after="0" w:line="225" w:lineRule="exact"/>
        <w:rPr>
          <w:sz w:val="20"/>
          <w:szCs w:val="20"/>
          <w:color w:val="auto"/>
        </w:rPr>
      </w:pPr>
    </w:p>
    <w:tbl>
      <w:tblPr>
        <w:tblLayout w:type="fixed"/>
        <w:tblInd w:w="2140" w:type="dxa"/>
        <w:tblCellMar>
          <w:top w:w="0" w:type="dxa"/>
          <w:left w:w="0" w:type="dxa"/>
          <w:bottom w:w="0" w:type="dxa"/>
          <w:right w:w="0" w:type="dxa"/>
        </w:tblCellMar>
      </w:tblPr>
      <w:tr>
        <w:trPr>
          <w:trHeight w:val="227"/>
        </w:trPr>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36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2,809.1</w:t>
            </w:r>
          </w:p>
        </w:tc>
      </w:tr>
      <w:tr>
        <w:trPr>
          <w:trHeight w:val="227"/>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4,839.2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5,588.1</w:t>
            </w:r>
          </w:p>
        </w:tc>
      </w:tr>
      <w:tr>
        <w:trPr>
          <w:trHeight w:val="246"/>
        </w:trPr>
        <w:tc>
          <w:tcPr>
            <w:tcW w:w="4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The following table shows the fair value of the Company's available-for-sale debt securities that have unrealized losses, aggregated by investment category and length of time that the individual securities have been in a continuous loss position.</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20"/>
                <w:szCs w:val="20"/>
                <w:color w:val="auto"/>
              </w:rPr>
            </w:pPr>
          </w:p>
        </w:tc>
        <w:tc>
          <w:tcPr>
            <w:tcW w:w="24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gridSpan w:val="3"/>
          </w:tcPr>
          <w:p>
            <w:pPr>
              <w:spacing w:after="0" w:line="172" w:lineRule="exact"/>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71"/>
              <w:spacing w:after="0" w:line="172"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ind w:left="40"/>
              <w:spacing w:after="0" w:line="172"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91"/>
              <w:spacing w:after="0" w:line="172"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60"/>
              <w:spacing w:after="0" w:line="196" w:lineRule="exact"/>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331"/>
              <w:spacing w:after="0" w:line="196" w:lineRule="exact"/>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8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3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6"/>
        </w:trPr>
        <w:tc>
          <w:tcPr>
            <w:tcW w:w="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8"/>
              </w:rPr>
              <w:t>As of December 31, 2021</w:t>
            </w:r>
          </w:p>
        </w:tc>
        <w:tc>
          <w:tcPr>
            <w:tcW w:w="16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48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With respect to marketable securities, for the three and nine months ended September 30, 2022 and 2021, amounts reclassified from Accumulated other comprehensive loss into Other income (expense), net were related to realized gains and losses on sales of available-for-sale debt securities.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2022 and 2021, realized gains and losses on sales of marketable securities were not material.</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4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table below summarizes the Company's assets which are measured at fair value on a recurring basis. The following fair value hierarchy is used to classify assets, based on inputs to valuation techniques utilized to measure fair value:</w:t>
      </w:r>
    </w:p>
    <w:p>
      <w:pPr>
        <w:spacing w:after="0" w:line="96" w:lineRule="exact"/>
        <w:rPr>
          <w:sz w:val="20"/>
          <w:szCs w:val="20"/>
          <w:color w:val="auto"/>
        </w:rPr>
      </w:pPr>
    </w:p>
    <w:p>
      <w:pPr>
        <w:ind w:left="640" w:hanging="31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w:t>
      </w:r>
    </w:p>
    <w:p>
      <w:pPr>
        <w:spacing w:after="0" w:line="25" w:lineRule="exact"/>
        <w:rPr>
          <w:rFonts w:ascii="Times New Roman" w:cs="Times New Roman" w:eastAsia="Times New Roman" w:hAnsi="Times New Roman"/>
          <w:sz w:val="18"/>
          <w:szCs w:val="18"/>
          <w:color w:val="auto"/>
        </w:rPr>
      </w:pPr>
    </w:p>
    <w:p>
      <w:pPr>
        <w:ind w:left="640" w:hanging="312"/>
        <w:spacing w:after="0" w:line="248"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40" w:hanging="31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other unobservable inputs</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60" w:type="dxa"/>
            <w:vAlign w:val="bottom"/>
            <w:tcBorders>
              <w:bottom w:val="single" w:sz="8" w:color="auto"/>
            </w:tcBorders>
            <w:gridSpan w:val="5"/>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Fair Value Measurements at Reporting Date</w:t>
            </w:r>
          </w:p>
        </w:tc>
      </w:tr>
      <w:tr>
        <w:trPr>
          <w:trHeight w:val="181"/>
        </w:trPr>
        <w:tc>
          <w:tcPr>
            <w:tcW w:w="20" w:type="dxa"/>
            <w:vAlign w:val="bottom"/>
          </w:tcPr>
          <w:p>
            <w:pPr>
              <w:spacing w:after="0"/>
              <w:rPr>
                <w:sz w:val="15"/>
                <w:szCs w:val="15"/>
                <w:color w:val="auto"/>
              </w:rPr>
            </w:pPr>
          </w:p>
        </w:tc>
        <w:tc>
          <w:tcPr>
            <w:tcW w:w="516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260" w:type="dxa"/>
            <w:vAlign w:val="bottom"/>
          </w:tcPr>
          <w:p>
            <w:pPr>
              <w:spacing w:after="0"/>
              <w:rPr>
                <w:sz w:val="15"/>
                <w:szCs w:val="15"/>
                <w:color w:val="auto"/>
              </w:rPr>
            </w:pPr>
          </w:p>
        </w:tc>
        <w:tc>
          <w:tcPr>
            <w:tcW w:w="154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340" w:type="dxa"/>
            <w:vAlign w:val="bottom"/>
          </w:tcPr>
          <w:p>
            <w:pPr>
              <w:spacing w:after="0"/>
              <w:rPr>
                <w:sz w:val="15"/>
                <w:szCs w:val="15"/>
                <w:color w:val="auto"/>
              </w:rPr>
            </w:pPr>
          </w:p>
        </w:tc>
        <w:tc>
          <w:tcPr>
            <w:tcW w:w="14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15"/>
                <w:szCs w:val="15"/>
                <w:color w:val="auto"/>
              </w:rPr>
            </w:pPr>
          </w:p>
        </w:tc>
        <w:tc>
          <w:tcPr>
            <w:tcW w:w="1400" w:type="dxa"/>
            <w:vAlign w:val="bottom"/>
          </w:tcPr>
          <w:p>
            <w:pPr>
              <w:jc w:val="right"/>
              <w:ind w:right="511"/>
              <w:spacing w:after="0" w:line="181" w:lineRule="exact"/>
              <w:rPr>
                <w:sz w:val="20"/>
                <w:szCs w:val="20"/>
                <w:color w:val="auto"/>
              </w:rPr>
            </w:pPr>
            <w:r>
              <w:rPr>
                <w:rFonts w:ascii="Times New Roman" w:cs="Times New Roman" w:eastAsia="Times New Roman" w:hAnsi="Times New Roman"/>
                <w:sz w:val="18"/>
                <w:szCs w:val="18"/>
                <w:b w:val="1"/>
                <w:bCs w:val="1"/>
                <w:color w:val="auto"/>
              </w:rPr>
              <w:t>Level 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6,964.8</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6,964.8</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Sovereign bonds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7"/>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8,369.6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51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As of December 31, 2021</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7,487.7</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7,487.7</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Sovereign bonds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7"/>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8,397.2</w:t>
            </w: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Company held certain restricted equity securities as of September 30, 2022 which are subject to transfer restrictions that expire at various dates through 2024.</w:t>
      </w:r>
    </w:p>
    <w:p>
      <w:pPr>
        <w:spacing w:after="0" w:line="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During the three and nine months ended September 30, 2022, we recorded $254.3 million of net unrealized gains and $120.6 million of net unrealized losses, respectively, on equity securities in Other income (expense), net. During the three and nine months ended September 30, 2021, we recorded $29.1 million of net unrealized losses and $523.8 million of net unrealized gains, respectively, on equity securities in Other income (expense), net.</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addition to the investments summarized in the table above, as of September 30, 2022 and December 31, 2021, the Company had $48.3 million and $40.0 million, respectively, in equity investments that do not have a readily determinable fair value. These investments are recorded within Other noncurrent assets.</w:t>
      </w:r>
    </w:p>
    <w:p>
      <w:pPr>
        <w:spacing w:after="0" w:line="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fair value of our long-term debt (see Note 9), which was determined based on Level 2 inputs, was estimated to be $1.400 billion and $1.887 billion as of September 30, 2022 and December 31, 2021, respectively.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48"/>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2"/>
        </w:trPr>
        <w:tc>
          <w:tcPr>
            <w:tcW w:w="25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4"/>
                <w:szCs w:val="24"/>
                <w:color w:val="auto"/>
              </w:rPr>
            </w:pPr>
          </w:p>
        </w:tc>
        <w:tc>
          <w:tcPr>
            <w:tcW w:w="14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2500" w:type="dxa"/>
            <w:vAlign w:val="bottom"/>
          </w:tcPr>
          <w:p>
            <w:pPr>
              <w:spacing w:after="0"/>
              <w:rPr>
                <w:sz w:val="20"/>
                <w:szCs w:val="20"/>
                <w:color w:val="auto"/>
              </w:rPr>
            </w:pPr>
          </w:p>
        </w:tc>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2500" w:type="dxa"/>
            <w:vAlign w:val="bottom"/>
          </w:tcPr>
          <w:p>
            <w:pPr>
              <w:spacing w:after="0"/>
              <w:rPr>
                <w:sz w:val="19"/>
                <w:szCs w:val="19"/>
                <w:color w:val="auto"/>
              </w:rPr>
            </w:pPr>
          </w:p>
        </w:tc>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w:t>
            </w:r>
          </w:p>
        </w:tc>
      </w:tr>
      <w:tr>
        <w:trPr>
          <w:trHeight w:val="227"/>
        </w:trPr>
        <w:tc>
          <w:tcPr>
            <w:tcW w:w="250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w:t>
            </w:r>
          </w:p>
        </w:tc>
      </w:tr>
      <w:tr>
        <w:trPr>
          <w:trHeight w:val="227"/>
        </w:trPr>
        <w:tc>
          <w:tcPr>
            <w:tcW w:w="2500" w:type="dxa"/>
            <w:vAlign w:val="bottom"/>
          </w:tcPr>
          <w:p>
            <w:pPr>
              <w:spacing w:after="0"/>
              <w:rPr>
                <w:sz w:val="19"/>
                <w:szCs w:val="19"/>
                <w:color w:val="auto"/>
              </w:rPr>
            </w:pPr>
          </w:p>
        </w:tc>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27"/>
        </w:trPr>
        <w:tc>
          <w:tcPr>
            <w:tcW w:w="2500" w:type="dxa"/>
            <w:vAlign w:val="bottom"/>
          </w:tcPr>
          <w:p>
            <w:pPr>
              <w:spacing w:after="0"/>
              <w:rPr>
                <w:sz w:val="19"/>
                <w:szCs w:val="19"/>
                <w:color w:val="auto"/>
              </w:rPr>
            </w:pPr>
          </w:p>
        </w:tc>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r>
      <w:tr>
        <w:trPr>
          <w:trHeight w:val="246"/>
        </w:trPr>
        <w:tc>
          <w:tcPr>
            <w:tcW w:w="2500" w:type="dxa"/>
            <w:vAlign w:val="bottom"/>
          </w:tcPr>
          <w:p>
            <w:pPr>
              <w:spacing w:after="0"/>
              <w:rPr>
                <w:sz w:val="20"/>
                <w:szCs w:val="20"/>
                <w:color w:val="auto"/>
              </w:rPr>
            </w:pPr>
          </w:p>
        </w:tc>
        <w:tc>
          <w:tcPr>
            <w:tcW w:w="29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1,951.3</w:t>
            </w:r>
          </w:p>
        </w:tc>
      </w:tr>
      <w:tr>
        <w:trPr>
          <w:trHeight w:val="20"/>
        </w:trPr>
        <w:tc>
          <w:tcPr>
            <w:tcW w:w="250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 For the three and nine months ended September 30, 2022, Cost of goods sold included inventory write-offs and reserves totaling $34.7 million and $101.3 million, respectively. For the three and nine months ended September 30, 2021, Cost of goods sold included inventory write-offs and reserves totaling $38.7 million and $188.0 million,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Intangible assets acquired in connection with an asset acquisition are recorded at cost. Such amounts may include up-front payments and contingent consideration. With regards to contingent consideration, the Company recognizes regulatory milestones upon achievement, royalties in the period in which the underlying sales occur, and sales-based milestones when the milestone is deemed probable by the Company of being achieved.</w:t>
      </w:r>
    </w:p>
    <w:p>
      <w:pPr>
        <w:spacing w:after="0" w:line="1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Intangible assets are amortized to Cost of goods sold over the estimated useful lives of the assets based on the pattern in which the economic benefits of the intangible assets are consumed; if that pattern cannot be reliably determined, a straight-line basis is used. If contingent consideration is recognized subsequent to the acquisition date in an asset acquisition, the amount of such consideration is recorded as an addition to the cost basis of the intangible asset with a cumulative catch-up adjustment for amortization expense as if the additional amount of consideration had been accrued from the outset of the arrangement.</w:t>
      </w:r>
    </w:p>
    <w:p>
      <w:pPr>
        <w:spacing w:after="0" w:line="11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color w:val="auto"/>
        </w:rPr>
        <w:t>The Company's intangible assets are reviewed for recoverability whenever events or changes in circumstances indicate that the carrying amount of the asset may not be recoverable. If an indicator of impairment exists, the Company compares the projected undiscounted cash flows to be generated by the asset to the intangible asset’s carrying amount. If the projected undiscounted cash flows of the intangible asset are less than the carrying amount, the intangible asset is written down to its fair value in the period in which the impairment occurs.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60" w:type="dxa"/>
            <w:vAlign w:val="bottom"/>
          </w:tcPr>
          <w:p>
            <w:pPr>
              <w:spacing w:after="0"/>
              <w:rPr>
                <w:sz w:val="14"/>
                <w:szCs w:val="14"/>
                <w:color w:val="auto"/>
              </w:rPr>
            </w:pPr>
          </w:p>
        </w:tc>
        <w:tc>
          <w:tcPr>
            <w:tcW w:w="1020" w:type="dxa"/>
            <w:vAlign w:val="bottom"/>
          </w:tcPr>
          <w:p>
            <w:pPr>
              <w:jc w:val="center"/>
              <w:ind w:right="91"/>
              <w:spacing w:after="0" w:line="167"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Gross 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174"/>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71"/>
              <w:spacing w:after="0" w:line="17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180" w:type="dxa"/>
            <w:vAlign w:val="bottom"/>
            <w:vMerge w:val="continue"/>
          </w:tcPr>
          <w:p>
            <w:pPr>
              <w:spacing w:after="0"/>
              <w:rPr>
                <w:sz w:val="20"/>
                <w:szCs w:val="20"/>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60" w:type="dxa"/>
            <w:vAlign w:val="bottom"/>
          </w:tcPr>
          <w:p>
            <w:pPr>
              <w:spacing w:after="0"/>
              <w:rPr>
                <w:sz w:val="20"/>
                <w:szCs w:val="20"/>
                <w:color w:val="auto"/>
              </w:rPr>
            </w:pPr>
          </w:p>
        </w:tc>
        <w:tc>
          <w:tcPr>
            <w:tcW w:w="102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98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154"/>
        </w:trPr>
        <w:tc>
          <w:tcPr>
            <w:tcW w:w="218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Acquired product rights -</w:t>
            </w: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Libtayo</w:t>
            </w:r>
          </w:p>
        </w:tc>
        <w:tc>
          <w:tcPr>
            <w:tcW w:w="1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13 years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2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5–8 years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6"/>
        </w:trPr>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Note 3, the Company recorded an intangible asset in connection with obtaining the exclusive right to develop, commercialize, and manufacture Libtayo worldwide. The intangible asset recognized upon the effective date of the A&amp;R IO LCA primarily consisted of the $900.0 million up-front payment, offset by the remaining IO Collaboration Other liabilities balance of $241.0 million. During the three months ended September 30, 2022, the Company recorded additions to the Libtayo intangible asset primarily related to contingent consideration and other amounts due to Sanofi in connection with obtaining the worldwide rights to Libtayo.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2022, amortization expense of $15.6 million and $16.8 million, respectively, was recognized.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three and nine months ended September 30, 2021 was not material.</w:t>
      </w:r>
    </w:p>
    <w:p>
      <w:pPr>
        <w:spacing w:after="0" w:line="1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of September 30, 2022, assuming no changes in the gross carrying amount of intangible assets, amortization expense for the three months ending December 31, 2022 is estimated to be $15.6 million and approximately $62 million for each of the years ending December 31, 2023 through December 31, 2027.</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2020, we issued and sold $1.250 billion aggregate principal amount of senior unsecured notes due 2030 and $750 million aggregate principal amount of senior unsecured notes due 2050. Long-term debt in connection with our senior unsecured notes (collectively, the "Notes"), net of underwriting discounts and offering expenses, consists of the following:</w:t>
      </w:r>
    </w:p>
    <w:p>
      <w:pPr>
        <w:spacing w:after="0" w:line="145" w:lineRule="exact"/>
        <w:rPr>
          <w:sz w:val="20"/>
          <w:szCs w:val="20"/>
          <w:color w:val="auto"/>
        </w:rPr>
      </w:pPr>
    </w:p>
    <w:tbl>
      <w:tblPr>
        <w:tblLayout w:type="fixed"/>
        <w:tblInd w:w="1780" w:type="dxa"/>
        <w:tblCellMar>
          <w:top w:w="0" w:type="dxa"/>
          <w:left w:w="0" w:type="dxa"/>
          <w:bottom w:w="0" w:type="dxa"/>
          <w:right w:w="0" w:type="dxa"/>
        </w:tblCellMar>
      </w:tblPr>
      <w:tr>
        <w:trPr>
          <w:trHeight w:val="227"/>
        </w:trPr>
        <w:tc>
          <w:tcPr>
            <w:tcW w:w="4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9"/>
                <w:szCs w:val="19"/>
                <w:color w:val="auto"/>
              </w:rPr>
            </w:pPr>
          </w:p>
        </w:tc>
        <w:tc>
          <w:tcPr>
            <w:tcW w:w="130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1.750% Senior Notes due September 2030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1,239.9</w:t>
            </w:r>
          </w:p>
        </w:tc>
      </w:tr>
      <w:tr>
        <w:trPr>
          <w:trHeight w:val="227"/>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2.800% Senior Notes due September 2050</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w:t>
            </w:r>
          </w:p>
        </w:tc>
      </w:tr>
      <w:tr>
        <w:trPr>
          <w:trHeight w:val="246"/>
        </w:trPr>
        <w:tc>
          <w:tcPr>
            <w:tcW w:w="47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Interest expense related to the Notes was $11.1 million and $33.3 million for each of the three and nine months ended September 30, 2022, and 2021,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2022, we entered into a Second Amended and Restated Lease and Remedies Agreement (the "Restated Lease") with BA Leasing BSC, LLC, an affiliate of Banc of America Leasing &amp; Capital, LLC ("BAL"), as lessor (the "Lessor"), which amends, restates, and extends our lease of laboratory and office facilities in Tarrytown, New York (the "Facility"). In March 2022, we also entered into a Second Amended and Restated Participation Agreement (the "Restated Participation Agreement") with Bank of America, N.A., as administrative agent, the Lessor, and a syndicate of financial institutions as rent assignees (collectively with the Lessor, the "Participants"), which amends and restates the original Participation Agreement entered into in March 2017.</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original Participation Agreement and certain related agreements were amended and restated in order to, among other things, (i) effect a five-year extension of the original March 2022 maturity date of the $720.0 million lease financing (which was previously advanced in March 2017 to finance the purchase price for the Facility) and the end of the term of our lease of the Facility from the Lessor to March 2027, at which time all amounts outstanding thereunder will become due and payable in full, and (ii) modify the rate of the interest or yield that is payable to the Participants. In accordance with the terms of the Restated Lease, we continue to pay all maintenance, insurance, taxes, and other costs arising out of the use of the Facility. We are also required to make monthly payments of basic rent during the term of the Restated Lease in an amount equal to a variable rate per annum, which was modified in connection with the Restated Lease, to be an adjusted one-month forward-looking term rate based on the Secured Overnight Financing Rate ("SOFR"), plus an applicable margin that varies with our debt rating and total leverage ratio.</w:t>
      </w:r>
    </w:p>
    <w:p>
      <w:pPr>
        <w:spacing w:after="0" w:line="1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Restated Participation Agreement and Restated Lease include an option for us to elect to further extend the maturity date of the Restated Participation Agreement and the term of the Restated Lease for an additional five-year period, subject to the consent of all the Participants and certain other conditions. We also have the option prior to the end of the term of the Restated Lease to (a) purchase the Facility by paying an amount equal to the outstanding principal amount of the Participants' advances under the Restated Participation Agreement, all accrued and unpaid yield thereon, and all other outstanding amounts under the Restated Participation Agreement, Restated Lease, and certain related documents or (b) sell the Facility to a third party on behalf of the Lessor.</w:t>
      </w:r>
    </w:p>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with the original lease, the Restated Lease continues to be classified as a finance lease as we have the option to purchase the Facility under terms that make it reasonably certain to be exercised. The agreements governing the Restated Lease financing contain financial and operating covenants. Such financial covenants and certain of the operating covenants are substantially similar to the covenants set forth in our $750.0 million revolving credit facility. The Company was in compliance with all such covenants as of September 30,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4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Company is subject to U.S. federal, state, and foreign income taxes. The Company's effective tax rate was 12.9% and 10.2% for the three months ended September 30, 2022 and 2021, respectively and 11.1% and 14.3% for the nine months ended September 30, 2022 and 2021, respectively. The Company's effective tax rate for the three and nine months ended September 30, 2022 was positively impacted, compared to the U.S. federal statutory rate, primarily by income earned in foreign jurisdictions with tax rates lower than the U.S. federal statutory rate, and, to a lesser extent, stock-based compensation.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September 30, 2021 was positively impacted, compared to the U.S. federal statutory rate, primarily by stock-based compensation and income earned in foreign jurisdictions with tax rates lower than the U.S. federal statutory rate, offset by the impact of income earned in the United States during 2021 related to REGEN-COV. In addition, the effective tax rate for the nine months ended September 30, 2021 was positively impacted by the reversal of liabilities related to uncertain tax positions as a result of the audit of the Company's federal income tax returns for 2015 and 2016 being settled.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2021, our board of directors authorized a share repurchase program to repurchase up to $1.5 billion of our Common Stock. The share repurchase program permitted the Company to make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As of December 31, 2021, the Company had repurchased the entire $1.5 billion of its Common Stock that it was authorized to repurchase under the program.</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2021, our board of directors authorized an additional share repurchase program to repurchase up to $3.0 billion of our Common Stock. The share repurchase program was approved under terms substantially similar to the share repurchase program described above.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 As of September 30, 2022, $1.186 billion remained available for share repurchases under the November 2021 program.</w:t>
      </w:r>
    </w:p>
    <w:p>
      <w:pPr>
        <w:spacing w:after="0" w:line="11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table below summarizes the shares of our Common Stock we repurchased under the programs and the cost of the shares, which were recorded as Treasury Stock.</w:t>
      </w:r>
    </w:p>
    <w:p>
      <w:pPr>
        <w:spacing w:after="0" w:line="108"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7"/>
                <w:szCs w:val="17"/>
                <w:color w:val="auto"/>
              </w:rPr>
            </w:pPr>
          </w:p>
        </w:tc>
        <w:tc>
          <w:tcPr>
            <w:tcW w:w="2140" w:type="dxa"/>
            <w:vAlign w:val="bottom"/>
            <w:gridSpan w:val="4"/>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3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2140" w:type="dxa"/>
            <w:vAlign w:val="bottom"/>
            <w:gridSpan w:val="4"/>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12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2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1,658.6</w:t>
            </w: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Statement of Cash Flows</w:t>
      </w:r>
    </w:p>
    <w:p>
      <w:pPr>
        <w:spacing w:after="0" w:line="15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The following provides a reconciliation of cash, cash equivalents, and restricted cash reported within the Condensed Consolidated Balance Sheet to the total of the same such amounts shown in the Condensed Consolidated Statement of Cash Flows:</w:t>
      </w:r>
    </w:p>
    <w:p>
      <w:pPr>
        <w:spacing w:after="0" w:line="118" w:lineRule="exact"/>
        <w:rPr>
          <w:sz w:val="20"/>
          <w:szCs w:val="20"/>
          <w:color w:val="auto"/>
        </w:rPr>
      </w:pPr>
    </w:p>
    <w:tbl>
      <w:tblPr>
        <w:tblLayout w:type="fixed"/>
        <w:tblInd w:w="1020" w:type="dxa"/>
        <w:tblCellMar>
          <w:top w:w="0" w:type="dxa"/>
          <w:left w:w="0" w:type="dxa"/>
          <w:bottom w:w="0" w:type="dxa"/>
          <w:right w:w="0" w:type="dxa"/>
        </w:tblCellMar>
      </w:tblPr>
      <w:tr>
        <w:trPr>
          <w:trHeight w:val="236"/>
        </w:trPr>
        <w:tc>
          <w:tcPr>
            <w:tcW w:w="56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3,432.4</w:t>
            </w:r>
          </w:p>
        </w:tc>
        <w:tc>
          <w:tcPr>
            <w:tcW w:w="0" w:type="dxa"/>
            <w:vAlign w:val="bottom"/>
          </w:tcPr>
          <w:p>
            <w:pPr>
              <w:spacing w:after="0"/>
              <w:rPr>
                <w:sz w:val="1"/>
                <w:szCs w:val="1"/>
                <w:color w:val="auto"/>
              </w:rPr>
            </w:pPr>
          </w:p>
        </w:tc>
      </w:tr>
      <w:tr>
        <w:trPr>
          <w:trHeight w:val="227"/>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62"/>
        </w:trPr>
        <w:tc>
          <w:tcPr>
            <w:tcW w:w="568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w:t>
            </w:r>
          </w:p>
        </w:tc>
        <w:tc>
          <w:tcPr>
            <w:tcW w:w="420" w:type="dxa"/>
            <w:vAlign w:val="bottom"/>
            <w:vMerge w:val="restart"/>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3,504.8</w:t>
            </w: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3,444.9</w:t>
            </w:r>
          </w:p>
        </w:tc>
        <w:tc>
          <w:tcPr>
            <w:tcW w:w="0" w:type="dxa"/>
            <w:vAlign w:val="bottom"/>
          </w:tcPr>
          <w:p>
            <w:pPr>
              <w:spacing w:after="0"/>
              <w:rPr>
                <w:sz w:val="1"/>
                <w:szCs w:val="1"/>
                <w:color w:val="auto"/>
              </w:rPr>
            </w:pPr>
          </w:p>
        </w:tc>
      </w:tr>
      <w:tr>
        <w:trPr>
          <w:trHeight w:val="226"/>
        </w:trPr>
        <w:tc>
          <w:tcPr>
            <w:tcW w:w="5680" w:type="dxa"/>
            <w:vAlign w:val="bottom"/>
            <w:tcBorders>
              <w:bottom w:val="single" w:sz="8" w:color="CCEEFF"/>
            </w:tcBorders>
            <w:shd w:val="clear" w:color="auto" w:fill="CCEEFF"/>
          </w:tcPr>
          <w:p>
            <w:pPr>
              <w:ind w:left="180"/>
              <w:spacing w:after="0" w:line="206" w:lineRule="exact"/>
              <w:rPr>
                <w:sz w:val="20"/>
                <w:szCs w:val="20"/>
                <w:color w:val="auto"/>
              </w:rPr>
            </w:pPr>
            <w:r>
              <w:rPr>
                <w:rFonts w:ascii="Times New Roman" w:cs="Times New Roman" w:eastAsia="Times New Roman" w:hAnsi="Times New Roman"/>
                <w:sz w:val="18"/>
                <w:szCs w:val="18"/>
                <w:color w:val="auto"/>
              </w:rPr>
              <w:t>Consolidated Statement of Cash Flows</w:t>
            </w: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consists of amounts held by financial institutions pursuant to contractual arrangements.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disclosure of non-cash investing and financing activities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9"/>
                <w:szCs w:val="19"/>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19"/>
                <w:szCs w:val="19"/>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21"/>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9"/>
                <w:szCs w:val="19"/>
                <w:color w:val="auto"/>
              </w:rPr>
            </w:pPr>
          </w:p>
        </w:tc>
      </w:tr>
      <w:tr>
        <w:trPr>
          <w:trHeight w:val="23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payments for intangible assets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20"/>
                <w:szCs w:val="20"/>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797"/>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4"/>
        </w:trPr>
        <w:tc>
          <w:tcPr>
            <w:tcW w:w="3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Legal Matters</w:t>
      </w:r>
    </w:p>
    <w:p>
      <w:pPr>
        <w:spacing w:after="0" w:line="14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The Company recognizes accruals for loss contingencies associated with such proceedings when it is probable that a liability will be incurred and the amount of loss can be reasonably estimated. As of September 30, 2022 and December 31, 2021, the Company's accruals for loss contingencies were not material. If the Company were unable to prevail in any such proceedings, its consolidated financial position, results of operations, and future cash flows may be materially impacted.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Praluent (alirocumab) Injection</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greater detail in the Company's Annual Report on Form 10-K for the year ended December 31, 2021 and below, the Company is currently a party to patent infringement actions initiated by Amgen Inc. (and/or its affiliated entities) against the Company and/or Sanofi (and/or the Company's and Sanofi's respective affiliated entities) in a number of jurisdictions relating to Praluent. In addition, as described below, the Company filed a lawsuit against Amgen alleging that Amgen engaged in an anticompetitive bundling scheme which was designed to exclude Praluent from the market in violation of federal and state laws.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Amgen has asserted claims of U.S. Patent Nos. 8,829,165 (the "'165 Patent") and 8,859,741 (the "'741 Patent"), and sought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As previously reported, on February 11, 2021, the United States Court of Appeals for the Federal Circuit (the "Federal Circuit") affirmed the lower court's decision that certain of Amgen's asserted patent claims are invalid based on lack of enablement. On April 14, 2021, Amgen filed a petition for a rehearing en banc with the Federal Circuit, which was denied on June 21, 2021. On November 18, 2021, Amgen filed a petition for writ of certiorari with the United States Supreme Court.</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27, 2022, the Company filed a lawsuit against Amgen in the United States District Court for the District of Delaware, alleging that, beginning in 2020, Amgen engaged in an anticompetitive bundling scheme which was designed to exclude Praluent from the market in violation of federal and state laws. The lawsuit seeks damages for harm caused by the alleged scheme, as well as injunctive relief restraining Amgen from continuing its alleged anticompetitive conduct. On August 1, 2022, Amgen filed a motion to dismiss the complaint. On August 11, 2022, Amgen filed a motion to stay these proceedings pending resolution of the patent litigation described in the preceding paragraph. An oral hearing on Amgen's motion to dismiss and motion to stay has been scheduled for January 6, 2023.</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Amgen has asserted European Patent No. 2,215,124 (the "'124 Patent"), which pertains to PCSK9 monoclonal antibodies, in certain countries in Europe. In October 2020, the '124 Patent claims directed to compositions of matter and medical use relevant to Praluent were ruled invalid based on a lack of inventive step by the Technical Board of Appeal (the "TBA") of the European Patent Office (the "EPO"). Following the EPO's decision, each of the '124 Patent infringement proceedings initiated by Amgen against the Company and certain of Sanofi's affiliated entities in these countries was dismissed, including in Germany. The dismissal in Germany followed an earlier finding of infringement and granting of an injunction, both of which were subsequently overturned. As a result of the overturned injunction in Germany discussed in the preceding sentence, the Company and/or certain of Sanofi's affiliated entities are seeking damages caused by Amgen's enforcement of the injunction. As part of its opposition to these damages claims, on March 23, 2022, Amgen filed a counterclaim that asserted the German designation of European Patent No. 2,641,917 (the "'917 Patent") and seeks, among other things, a judgment of patent infringement, injunctive relief, and monetary damages. The '917 Patent is a divisional patent of the '124 Patent discussed above (i.e., a patent that shares the same priority date, disclosure, and patent term of the parent '124 Patent but contains claims to a different invention). The '917 Patent is also subject to opposition proceedings in the EPO, which were initiated by Sanofi on May 5, 2021. An oral hearing before the EPO has been scheduled for February 21, 2023.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Dupixent (dupilumab) Injection</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30, 2016, Sanofi initiated a revocation proceeding in the United Kingdom to invalidate the U.K. counterpart of European Patent No. 2,292,665 (the "'665 Patent"), a patent owned by Immunex Corporation relating to antibodies that bind the human interleukin-4 receptor. At the joint request of the parties to the revocation proceeding, the U.K. Patents Court ordered on January 30, 2017 that the revocation action be stayed pending the final determination of the EPO opposition proceedings initiated by the Company and Sanofi in relation to the '665 Patent. The oral hearing before the EPO on the oppositions occurred</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November 20, 2017, at which the claims of the '665 Patent were found invalid and the patent was revoked. A final written decision of revocation of the '665 Patent was issued by the EPO on January 4, 2018. Immunex filed a notice of appeal of the EPO's decision on January 31, 2018, which appeal was withdrawn at an oral hearing before the TBA on March 10, 2022 following the TBA's ruling discussed below. On May 18, 2022, the revocation action in the U.K. Patents Court was dismissed following the EPO's revocation of the '665 Patent. On September 20, 2017 and September 21, 2017, respectively, the Company and Sanofi initiated opposition proceedings in the EPO against Immunex's European Patent No. 2,990,420 (the "'420 Patent"), a divisional patent of the '665 Patent (i.e., a patent that shares the same priority date, disclosure, and patent term of the parent '665 Patent but contains claims to a different invention). The oral hearing before the EPO on the oppositions occurred on February 14–15, 2019, at which the '420 Patent was revoked in its entirety. Immunex filed a notice of appeal of the EPO's decision on May 31, 2019. At an oral hearing before the TBA on March 10, 2022, the TBA maintained the invalidity and revocation of the '420 Patent. The original patent term of the Immunex patents expired in May 2021.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Company's patents pertaining to EYLEA are subject to post-grant proceedings before the United States Patent and Trademark Office ("USPTO"), EPO, or other comparable foreign authorities, including those described in greater detail below. In addition, the Company has filed patent infringement lawsuits in several jurisdictions alleging infringement of certain Company patents pertaining to EYLEA, including those described in greater detail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3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 xml:space="preserve">On February 11, 2020, anonymous parties filed two requests for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of the Company's U.S. Patent Nos. 10,406,226 and 10,464,992, and the USPTO has granted both requests to initiate reexamination proceedings.</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May 5, 2021, Mylan Pharmaceuticals Inc. filed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("IPR") petitions in the USPTO against the Company's U.S. Patent Nos. 9,254,338 (the "'338 Patent") and 9,669,069 (the "'069 Patent") seeking declarations of invalidity of the '338 Patent and the '069 Patent. On November 10, 2021, the USPTO issued a decision instituting both IPR proceedings. On December 9, 2021, Apotex Inc. and Celltrion, Inc. each filed two separate IPR petitions against the Company's '338 and '069 Patents requesting that their IPRs be instituted and joined with the IPR proceedings initiated by Mylan concerning the '338 and '069 Patents, which petitions were granted on February 9, 2022. An oral hearing was held on August 10, 2022.</w:t>
      </w:r>
    </w:p>
    <w:p>
      <w:pPr>
        <w:spacing w:after="0" w:line="1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On July 1, 2022, Mylan filed IPR petitions against the Company's U.S. Patent Nos. 10,130,681 (the "'681 Patent") and 10,888,601 (the "'601 Patent"), seeking declarations of invalidity of the '681 and '601 Patents.</w:t>
      </w:r>
    </w:p>
    <w:p>
      <w:pPr>
        <w:spacing w:after="0" w:line="8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On September 9, 2022, Apotex filed an IPR petition against the Company's U.S. Patent No. 11,253,572 (the "'572 Patent") seeking a declaration of invalidity of the '572 Patent.</w:t>
      </w:r>
    </w:p>
    <w:p>
      <w:pPr>
        <w:spacing w:after="0" w:line="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 September 7, 2021, Celltrion, Inc. filed a post-grant review ("PGR") petition in the USPTO against the Company's U.S. Patent No. 10,857,231 (the "'231 Patent") seeking a declaration of invalidity of the '231 Patent. On March 14, 2022, the Company filed a Notice of Disclaimer with the USPTO, disclaiming all claims of the '231 Patent. As a result, on March 15, 2022, the USPTO denied institution of Celltrion's PGR petition.</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 August 2, 2022, the Company filed a patent infringement lawsuit against Mylan in the United States District Court for the Northern District of West Virginia alleging that Mylan's filing for a U.S. Food and Drug Administration approval of an aflibercept biosimilar infringes certain Company patents. A trial has been scheduled to begin on June 12, 2023.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4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On October 26 and October 27, 2021, anonymous parties initiated opposition proceedings in the EPO against the Company's European Patent No. 2,944,306 (the "'306 Patent") seeking revocation of the '306 Patent in its entirety.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Canada</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15, July 15, August 30, and October 4, 2022, the Company and Bayer Inc. filed patent infringement lawsuits against BGP Pharma ULC d.b.a Viatris Canada ("Viatris Canada") in the Federal Court of Canada seeking a declaration that the making, constructing, using, or selling of an aflibercept biosimilar would directly or indirectly infringe one or more claims of the Company's Canadian Patent Nos. 2,654,510 (the "'510 Patent) and 3,007,276 (the "'276 Patent") (in the lawsuit filed on June 15, 2022); the Company's Canadian Patent No. 2,965,495 (the "'495 Patent") (in the lawsuit filed on July 15, 2022); the Company's Canadian Patent No. 2,906,768 (the "'768 Patent") (in the lawsuit filed on August 30, 2022, which has been joined with the lawsuit filed on July 15, 2022); and the Company's Canadian Patent No. 3,129,193 (the "'193 Patent") (in the lawsuit filed on October 4, 2022). A trial for the lawsuit concerning the '510 Patent and the '276 Patent has been scheduled for March 2024 and a trial for the lawsuit concerning the '495 Patent and the '768 Patent has been scheduled for May-June 2024. The filing</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of the lawsuit concerning the '510 Patent and the '276 Patent resulted in a statutory 24-month stay of regulatory approval of Viatris Canada's aflibercept biosimilar in Canada unless the lawsuit is resolved earlier.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South Korea</w:t>
      </w:r>
    </w:p>
    <w:p>
      <w:pPr>
        <w:spacing w:after="0" w:line="15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On October 31, 2022, Samsung Bioepis Co., Ltd. initiated an invalidation proceeding before the Intellectual Property Trial and Appeal Board of the Korean Intellectual Property Office against the Company's Korean Patent No. 1131429 seeking revocation of such patent in its entirety.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 Pre-filled Syringe</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19, 2020, Novartis Pharma AG, Novartis Pharmaceuticals Corporation, and Novartis Technology LLC (collectively, "Novartis") filed a complaint with the U.S. International Trade Commission (the "ITC") pursuant to Section 337 of the Tariff Act of 1930 requesting that the ITC institute an investigation relating to the importation into the United States and/or sale within the United States after importation of EYLEA pre-filled syringes ("PFS") and/or components thereof which allegedly infringe Novartis’s U.S. Patent No. 9,220,631 (the "'631 Patent"). The ITC instituted the investigation on July 22, 2020 and a trial was scheduled for April 19–23, 2021. On March 26, 2021, the staff attorney appointed by the ITC's Office of Unfair Import Investigations ("OUII")—an independent government party to the case representing the public interest—determined that the '631 Patent is invalid on several grounds. On April 8, 2021, Novartis moved to terminate the ITC investigation in its entirety based on its withdrawal of the complaint; and, on May 3, 2021, the ITC terminated the investigation.</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19, 2020, Novartis also filed a patent infringement lawsuit (as amended on August 2, 2021) in the U.S. District Court for the Northern District of New York asserting claims of the '631 Patent and seeking preliminary and permanent injunctions to prevent the Company from continuing to infringe the '631 Patent. Novartis also seeks a judgment of patent infringement of the '631 Patent, monetary damages (together with interest), an order of willful infringement of the '631 Patent (which would allow the court in its discretion to award damages up to three times the amount assessed), costs and expenses of the lawsuits, and attorneys' fees. On July 30, 2020, the court granted the Company's motion to stay these proceedings until a determination in the ITC proceedings discussed above, including any appeals therefrom, becomes final. On June 11, 2021, the court, at the request of Novartis, lifted the stay. On November 5, 2021, the Company filed a motion to stay these proceedings in light of the pending IPR proceeding discussed below. On January 31, 2022, the court denied the Company's motion to stay these proceedings.</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16, 2020, the Company initiated two IPR petitions in the USPTO seeking a declaration of invalidity of the '631 Patent on two separate grounds. On January 15, 2021, the USPTO declined to institute an IPR proceeding on procedural grounds in light of the pending ITC investigation discussed above; the other IPR petition has been withdrawn. Following Novartis's motion to terminate the ITC investigation discussed above, on April 16, 2021 the Company filed a new IPR petition seeking a declaration of invalidity of the '631 Patent based on the same grounds that were the basis for the OUII staff attorney's determination discussed above. On October 26, 2021, the USPTO issued a decision instituting the IPR proceeding. An oral hearing was held on July 21, 2022. On October 25, 2022, the Patent Trial and Appeal Board ("PTAB") of the USPTO issued a final written decision invalidating all claims of the '631 Patent.</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17, 2020, the Company filed an antitrust lawsuit against Novartis and Vetter Pharma International Gmbh ("Vetter") in the United States District Court for the Southern District of New York seeking a declaration that the '631 Patent is unenforceable and a judgment that the defendants' conduct violates Sections 1 and 2 of the Sherman Antitrust Act of 1890, as amended (the "Sherman Antitrust Act"). The Company is also seeking injunctive relief and treble damages. On September 4, 2020, Novartis filed, and Vetter moved to join, a motion to dismiss the complaint, to transfer the lawsuit to the Northern District of New York, or to stay the suit; and on October 19, 2020, Novartis filed, and Vetter moved to join, a second motion to dismiss the complaint on different grounds. On January 25, 2021, the Company filed an amended complaint seeking a judgment that Novartis's conduct violates Section 2 of the Sherman Antitrust Act based on additional grounds, as well as a judgment of tortious interference with contract. On February 22, 2021, Novartis filed, and Vetter moved to join, a motion to dismiss the amended complaint. On September 21, 2021, the court granted Novartis and Vetter's motion to transfer this lawsuit to the Northern District of New York. As a result, this lawsuit was transferred to the same judge that had been assigned to the patent infringement lawsuit discussed above. On November 5, 2021, the Company filed a motion to stay these proceedings in light of the pending IPR proceeding discussed above. On January 31, 2022, the court denied the Company's motion to stay these proceedings and granted Novartis and Vetter's motion to dismiss the amended complaint. On June 10, 2022, the Company filed an appeal of the District Court's decision to dismiss the amended complaint with the U.S. Court of Appeals for the Second Circuit.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REGEN-COV (casirivimab and imdevimab)</w:t>
      </w:r>
    </w:p>
    <w:p>
      <w:pPr>
        <w:spacing w:after="0" w:line="156"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On October 5, 2020, Allele Biotechnology and Pharmaceuticals, Inc. ("Allele") filed a lawsuit (as amended on April 8, 2021) against the Company in the United States District Court for the Southern District of New York, asserting infringement of U.S.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Patent No. 10,221,221 (the "'221 Patent"). Allele seeks a judgment of patent infringement of the '221 Patent, an award of monetary damages (together with interest), an order of willful infringement of the '221 Patent (which would allow the court in its discretion to award damages up to three times the amount assessed), costs and expenses of the lawsuit, and attorneys' fees. On July 16, 2021, the Company filed a motion to dismiss the complaint, which motion was denied on March 2, 2022.</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Justice Matters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certain other related documents and communications. 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On August 24, 2020, the Company filed a motion to dismiss the complaint in its entirety. On December 4, 2020, the court denied the motion to dismiss.</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On June 3, 2021, the United States District Court for the Central District of California unsealed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complaint filed against the Company, Regeneron Healthcare Solutions, Inc., and Sanofi-Aventis U.S. LLC by two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plaintiffs (known as relators) purportedly on behalf of the United States and various states (the "State Plaintiffs"), asserting causes of action under the federal False Claims Act and state law. Also on June 3, 2021, the United States and the State Plaintiffs notified the court of their decision to decline to intervene in the case. On October 29, 2021,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plaintiffs filed an amended complaint in this matter. On January 14, 2022, the Company filed a motion to dismiss the amended complaint in its entirety.</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2021, the Company received a CID from the U.S. Department of Justice pursuant to the federal False Claims Act. The CID states that the investigation concerns allegations that the Company (i) violated the False Claims Act by paying kickbacks to distributors and ophthalmology practices to induce purchase of EYLEA, including through discounts, rebates, credit card fees, free units of EYLEA, and inventory management systems; and (ii) inflated reimbursement rates for EYLEA by excluding applicable discounts, rebates, and benefits from the average sales price reported to CMS. The CID covers the period from January 2011 through June 2021. The Company is cooperating with this investigation.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Department of Insurance Subpoena</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received a subpoena from the Insurance Commissioner for the State of California pursuant to the California Insurance Code. The subpoena seeks information relating to the marketing, sale, and distribution of EYLEA, including (i) discounts, rebates, credit card fees, and inventory management systems; (ii) Regeneron's relationships with distributors; (iii) price reporting; (iv) speaker programs; and (v) patient support programs. The subpoena covers the period from January 1, 2014 through August 1, 2021. The Company is cooperating with this investigation.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Initiated by Other Payors Relating to Patient Assistance Organization Support</w:t>
      </w:r>
    </w:p>
    <w:p>
      <w:pPr>
        <w:spacing w:after="0" w:line="1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party to several lawsuits relating to the conduct alleged in the civil complaint filed by the U.S. Attorney's Office for the District of Massachusetts discussed under "Department of Justice Matters" above. These lawsuits were filed by UnitedHealthcare Insurance Company and United Healthcare Services, Inc. (collectively, "UHC") and Humana Inc. ("Humana") in the United States District Court for the Southern District of New York on December 17, 2020 and July 22, 2021, respectively; and by Blue Cross and Blue Shield of Massachusetts, Inc. and Blue Cross and Blue Shield of Massachusetts HMO Blue, Inc. (collectively, "BCBS"), Medical Mutual of Ohio ("MMO"), Horizon Healthcare Services, Inc. d/b/a Horizon Blue Cross Blue Shield of New Jersey ("Horizon"), and Local 464A United Food and Commercial Workers Union Welfare Service Benefit Fund ("Local 464A") in the U.S. District Court for the District of Massachusetts on December 20, 2021, February 23, 2022, April 4, 2022, and June 17, 2022, respectively. These lawsuits allege causes of action under state law and the federal Racketeer Influenced and Corrupt Organizations Act and seek monetary damages and equitable relief. The MMO and Local 464A lawsuits are putative class action lawsuits. On December 29, 2021, the lawsuits filed by UHC and Humana were stayed by the United States District Court for the Southern District of New York pending resolution of the proceedings before the U.S. District Court for the District of Massachusetts discussed under "Department of Justice Matters" above. On September 27, 2022, the lawsuits filed by BCBS, MMO, and Horizon were stayed by the U.S. District Court for the District of Massachusetts pending resolution of the proceedings before the same court discussed under "Department of Justice Matters" above; and, in light of these stays, the parties to the Local 464A action have also agreed to stay that matter.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Demands</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or about September 30, 2020, March 30, 2022, and March 31, 2022, the Company's board of directors received three demand letters from purported shareholders of the Company. The demands allege that Regeneron and its shareholders have been damaged by the conduct alleged in the civil complaint filed by the U.S. Attorney's Office for the District of Massachusetts discussed under "Department of Justice Matters" above. The demand letters request that the Company's board of directors investigate alleged breaches of fiduciary duty by its officers and directors and other alleged violations of law and corporate governance practices and procedures; bring legal action against the persons responsible for causing the alleged damages; and implement and maintain an effective system of internal controls, compliance mechanisms, and corporate governance practices and procedures. The Company's board of directors, working with outside counsel, investigated and evaluated the allegations in the demand letters and has concluded that pursuing the claims alleged in the demands would not be in the Company's best interests at this time.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Shareholder Derivative Complaint</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June 29, 2021, an alleged shareholder filed a shareholder derivative complaint in the New York Supreme Court, naming the current and certain former members of the Company's board of directors and certain current and former executive officers of the Company as defendants and Regeneron as a nominal defendant. The complaint asserts that the individual defendants breached their fiduciary duties in relation to the allegations in the civil complaint filed by the U.S. Attorney's Office for the District of Massachusetts discussed under "Department of Justice Matters" above. The complaint seeks an award of damages allegedly sustained by the Company; an order requiring Regeneron to take all necessary actions to reform and improve its corporate governance and internal procedures; disgorgement from the individual defendants of all profits and benefits obtained by them resulting from their sales of Regeneron stock; and costs and disbursements of the action, including attorneys' fees. On July 28, 2021, the defendants filed a notice of removal, removing the case from the New York Supreme Court to the U.S. District Court for the Southern District of New York. On September 23, 2021, the plaintiff moved to remand the case to the New York Supreme Court. Also on September 23, 2021, the individual defendants moved to dismiss the complaint in its entirety.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or licensees (collectively, "Regeneron’s Products"), and the global economy; the nature, timing, and possible success and therapeutic applications of Regeneron's Products and product candidates being developed by Regeneron and/or its collaborators or licensees (collectively, "Regeneron's Product Candidates") and research and clinical programs now underway or planned, including without limitation EYLEA</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xml:space="preserve"> (aflibercept) Injection, Dupixent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(dupilumab) Injection, Libtayo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(cemiplimab) Injection, Praluent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(alirocumab) Injection, Kevzara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(sarilumab) Injection, Evkeeza</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xml:space="preserve"> (evinacumab), aflibercept 8 mg, pozelimab, odronextamab, itepekimab, fianlimab, garetosmab, linvoseltamab, REGN5713-5714-5715, Regeneron's other oncology programs (including its costimulatory bispecific portfolio), Regeneron's and its collaborators' earlier-stage programs, and the use of human genetics in Regeneron's research programs; the likelihood and timing of achieving any of our anticipated development milestones referenced in this report;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our late-stage product candidates and new indications for Regeneron's Products, including without limitation those listed above; the extent to which the results from the research and development programs conducted by us and/or our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our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our ability to manufacture and manage supply chains for multiple products and product candidates; the ability of our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payors, including private payor healthcare and insurance programs, health maintenance organizations, pharmacy benefit management companies, and government programs such as Medicare and Medicaid; coverage and reimbursement determinations by such payors and new policies and procedures adopted by such payors;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and Bayer (or their respective affiliated companies, as applicable), to be cancelled or terminated; and risks associated with intellectual property of other parties and pending or future litigation relating thereto (including without limitation the patent litigation and other related proceedings described further in Note 14 to our Condensed Consolidated Financial Statements included in this report), other litigation and other proceedings and government investigations relating to the Company and/or its operations (including without limitation those described in Note 14 to our Condensed Consolidated Financial Statements included in this report), the ultimate outcome of any such proceedings and investigations, and the impact any of the foregoing may have on our business, prospects, operating results, and financial condition.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or otherwise) any forward-looking statement,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invents, develops, manufactures, and commercializes medicines for people with serious diseases. Our products and product candidates in development are designed to help patients with eye diseases, allergic and inflammatory diseases, cancer, cardiovascular and metabolic diseases, pain, hematologic conditions, infectious diseases, and rare diseases.</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medicines for preventing and treating human diseases.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Selected financial information is summarized as follows:</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8"/>
        </w:trPr>
        <w:tc>
          <w:tcPr>
            <w:tcW w:w="16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Pr>
          <w:p>
            <w:pPr>
              <w:spacing w:after="0"/>
              <w:rPr>
                <w:sz w:val="24"/>
                <w:szCs w:val="24"/>
                <w:color w:val="auto"/>
              </w:rPr>
            </w:pPr>
          </w:p>
        </w:tc>
        <w:tc>
          <w:tcPr>
            <w:tcW w:w="2040" w:type="dxa"/>
            <w:vAlign w:val="bottom"/>
            <w:gridSpan w:val="4"/>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6"/>
        </w:trPr>
        <w:tc>
          <w:tcPr>
            <w:tcW w:w="16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204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1"/>
        </w:trPr>
        <w:tc>
          <w:tcPr>
            <w:tcW w:w="1640" w:type="dxa"/>
            <w:vAlign w:val="bottom"/>
          </w:tcPr>
          <w:p>
            <w:pPr>
              <w:spacing w:after="0"/>
              <w:rPr>
                <w:sz w:val="19"/>
                <w:szCs w:val="19"/>
                <w:color w:val="auto"/>
              </w:rPr>
            </w:pPr>
          </w:p>
        </w:tc>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1640" w:type="dxa"/>
            <w:vAlign w:val="bottom"/>
          </w:tcPr>
          <w:p>
            <w:pPr>
              <w:spacing w:after="0"/>
              <w:rPr>
                <w:sz w:val="19"/>
                <w:szCs w:val="19"/>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11,120.0</w:t>
            </w:r>
          </w:p>
        </w:tc>
      </w:tr>
      <w:tr>
        <w:trPr>
          <w:trHeight w:val="227"/>
        </w:trPr>
        <w:tc>
          <w:tcPr>
            <w:tcW w:w="164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1,632.2</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3,141.3</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5,846.3</w:t>
            </w:r>
          </w:p>
        </w:tc>
      </w:tr>
      <w:tr>
        <w:trPr>
          <w:trHeight w:val="227"/>
        </w:trPr>
        <w:tc>
          <w:tcPr>
            <w:tcW w:w="1640" w:type="dxa"/>
            <w:vAlign w:val="bottom"/>
          </w:tcPr>
          <w:p>
            <w:pPr>
              <w:spacing w:after="0"/>
              <w:rPr>
                <w:sz w:val="19"/>
                <w:szCs w:val="19"/>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r>
    </w:tbl>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this report,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that have received marketing approval are summarized in the table below.</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314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60" w:type="dxa"/>
            <w:vAlign w:val="bottom"/>
          </w:tcPr>
          <w:p>
            <w:pPr>
              <w:spacing w:after="0"/>
              <w:rPr>
                <w:sz w:val="20"/>
                <w:szCs w:val="20"/>
                <w:color w:val="auto"/>
              </w:rPr>
            </w:pPr>
          </w:p>
        </w:tc>
        <w:tc>
          <w:tcPr>
            <w:tcW w:w="350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580" w:type="dxa"/>
            <w:vAlign w:val="bottom"/>
          </w:tcPr>
          <w:p>
            <w:pPr>
              <w:jc w:val="center"/>
              <w:ind w:left="211"/>
              <w:spacing w:after="0"/>
              <w:rPr>
                <w:sz w:val="20"/>
                <w:szCs w:val="20"/>
                <w:color w:val="auto"/>
              </w:rPr>
            </w:pPr>
            <w:r>
              <w:rPr>
                <w:rFonts w:ascii="Times New Roman" w:cs="Times New Roman" w:eastAsia="Times New Roman" w:hAnsi="Times New Roman"/>
                <w:sz w:val="18"/>
                <w:szCs w:val="18"/>
                <w:b w:val="1"/>
                <w:bCs w:val="1"/>
                <w:color w:val="auto"/>
                <w:w w:val="95"/>
              </w:rPr>
              <w:t>EU</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Japan</w:t>
            </w:r>
          </w:p>
        </w:tc>
        <w:tc>
          <w:tcPr>
            <w:tcW w:w="1080" w:type="dxa"/>
            <w:vAlign w:val="bottom"/>
            <w:gridSpan w:val="2"/>
          </w:tcPr>
          <w:p>
            <w:pPr>
              <w:jc w:val="center"/>
              <w:ind w:right="180"/>
              <w:spacing w:after="0" w:line="233" w:lineRule="exact"/>
              <w:rPr>
                <w:sz w:val="20"/>
                <w:szCs w:val="20"/>
                <w:color w:val="auto"/>
              </w:rPr>
            </w:pPr>
            <w:r>
              <w:rPr>
                <w:rFonts w:ascii="Times New Roman" w:cs="Times New Roman" w:eastAsia="Times New Roman" w:hAnsi="Times New Roman"/>
                <w:sz w:val="27"/>
                <w:szCs w:val="27"/>
                <w:b w:val="1"/>
                <w:bCs w:val="1"/>
                <w:color w:val="auto"/>
                <w:vertAlign w:val="subscript"/>
              </w:rPr>
              <w:t>ROW</w:t>
            </w:r>
            <w:r>
              <w:rPr>
                <w:rFonts w:ascii="Times New Roman" w:cs="Times New Roman" w:eastAsia="Times New Roman" w:hAnsi="Times New Roman"/>
                <w:sz w:val="10"/>
                <w:szCs w:val="10"/>
                <w:b w:val="1"/>
                <w:bCs w:val="1"/>
                <w:color w:val="auto"/>
              </w:rPr>
              <w:t>(e)</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314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EYLEA (aflibercept) Injection</w:t>
            </w:r>
            <w:r>
              <w:rPr>
                <w:rFonts w:ascii="Times New Roman" w:cs="Times New Roman" w:eastAsia="Times New Roman" w:hAnsi="Times New Roman"/>
                <w:sz w:val="20"/>
                <w:szCs w:val="20"/>
                <w:color w:val="auto"/>
                <w:vertAlign w:val="superscript"/>
              </w:rPr>
              <w:t>(a)</w:t>
            </w:r>
          </w:p>
        </w:tc>
        <w:tc>
          <w:tcPr>
            <w:tcW w:w="160" w:type="dxa"/>
            <w:vAlign w:val="bottom"/>
            <w:tcBorders>
              <w:top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Neovascular age-related macular degeneration</w:t>
            </w: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3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("wet AMD")</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Diabetic macular edema ("DME")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100"/>
              <w:spacing w:after="0"/>
              <w:rPr>
                <w:sz w:val="20"/>
                <w:szCs w:val="20"/>
                <w:color w:val="auto"/>
              </w:rPr>
            </w:pPr>
            <w:r>
              <w:rPr>
                <w:rFonts w:ascii="Webdings" w:cs="Webdings" w:eastAsia="Webdings" w:hAnsi="Webdings"/>
                <w:sz w:val="18"/>
                <w:szCs w:val="18"/>
                <w:b w:val="1"/>
                <w:bCs w:val="1"/>
                <w:color w:val="auto"/>
                <w:w w:val="99"/>
              </w:rPr>
              <w:t>a</w:t>
            </w: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3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Macular edema following retinal vein occlusion</w:t>
            </w: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50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("RVO"), which includes macular edema</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5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following central retinal vein occlusion</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w w:val="99"/>
              </w:rPr>
              <w:t>("CRVO") and macular edema following branch</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retinal vein occlusion ("BRVO")</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center"/>
              <w:ind w:right="100"/>
              <w:spacing w:after="0"/>
              <w:rPr>
                <w:sz w:val="20"/>
                <w:szCs w:val="20"/>
                <w:color w:val="auto"/>
              </w:rPr>
            </w:pPr>
            <w:r>
              <w:rPr>
                <w:rFonts w:ascii="Webdings" w:cs="Webdings" w:eastAsia="Webdings" w:hAnsi="Webdings"/>
                <w:sz w:val="18"/>
                <w:szCs w:val="18"/>
                <w:b w:val="1"/>
                <w:bCs w:val="1"/>
                <w:color w:val="auto"/>
                <w:w w:val="99"/>
              </w:rPr>
              <w:t>a</w:t>
            </w: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3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vMerge w:val="continue"/>
            <w:shd w:val="clear" w:color="auto" w:fill="CCEEFF"/>
          </w:tcPr>
          <w:p>
            <w:pPr>
              <w:spacing w:after="0"/>
              <w:rPr>
                <w:sz w:val="15"/>
                <w:szCs w:val="15"/>
                <w:color w:val="auto"/>
              </w:rPr>
            </w:pPr>
          </w:p>
        </w:tc>
        <w:tc>
          <w:tcPr>
            <w:tcW w:w="350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Myopic choroidal neovascularization</w:t>
            </w: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("mCNV")</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center"/>
              <w:ind w:right="100"/>
              <w:spacing w:after="0"/>
              <w:rPr>
                <w:sz w:val="20"/>
                <w:szCs w:val="20"/>
                <w:color w:val="auto"/>
              </w:rPr>
            </w:pPr>
            <w:r>
              <w:rPr>
                <w:rFonts w:ascii="Webdings" w:cs="Webdings" w:eastAsia="Webdings" w:hAnsi="Webdings"/>
                <w:sz w:val="18"/>
                <w:szCs w:val="18"/>
                <w:b w:val="1"/>
                <w:bCs w:val="1"/>
                <w:color w:val="auto"/>
                <w:w w:val="99"/>
              </w:rPr>
              <w:t>a</w:t>
            </w: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vMerge w:val="continue"/>
            <w:shd w:val="clear" w:color="auto" w:fill="CCEEFF"/>
          </w:tcPr>
          <w:p>
            <w:pPr>
              <w:spacing w:after="0"/>
              <w:rPr>
                <w:sz w:val="19"/>
                <w:szCs w:val="19"/>
                <w:color w:val="auto"/>
              </w:rPr>
            </w:pPr>
          </w:p>
        </w:tc>
        <w:tc>
          <w:tcPr>
            <w:tcW w:w="3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Diabetic retinopathy ("DR")</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3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Neovascular glaucoma ("NVG")</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31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Retinopathy of prematurity ("ROP")</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3140" w:type="dxa"/>
            <w:vAlign w:val="bottom"/>
          </w:tcPr>
          <w:p>
            <w:pPr>
              <w:ind w:left="20"/>
              <w:spacing w:after="0" w:line="221" w:lineRule="exact"/>
              <w:rPr>
                <w:sz w:val="20"/>
                <w:szCs w:val="20"/>
                <w:color w:val="auto"/>
              </w:rPr>
            </w:pPr>
            <w:r>
              <w:rPr>
                <w:rFonts w:ascii="Times New Roman" w:cs="Times New Roman" w:eastAsia="Times New Roman" w:hAnsi="Times New Roman"/>
                <w:sz w:val="18"/>
                <w:szCs w:val="18"/>
                <w:color w:val="auto"/>
              </w:rPr>
              <w:t>Dupixent (dupilumab) Injection</w:t>
            </w:r>
            <w:r>
              <w:rPr>
                <w:rFonts w:ascii="Times New Roman" w:cs="Times New Roman" w:eastAsia="Times New Roman" w:hAnsi="Times New Roman"/>
                <w:sz w:val="23"/>
                <w:szCs w:val="23"/>
                <w:color w:val="auto"/>
                <w:vertAlign w:val="superscript"/>
              </w:rPr>
              <w:t>(b)</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Atopic dermatitis (in adults and adolescents)</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Atopic dermatitis (in pediatrics 6–11 years of</w:t>
            </w:r>
          </w:p>
        </w:tc>
        <w:tc>
          <w:tcPr>
            <w:tcW w:w="12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5"/>
                <w:szCs w:val="15"/>
                <w:color w:val="auto"/>
              </w:rPr>
            </w:pPr>
          </w:p>
        </w:tc>
        <w:tc>
          <w:tcPr>
            <w:tcW w:w="580" w:type="dxa"/>
            <w:vAlign w:val="bottom"/>
          </w:tcPr>
          <w:p>
            <w:pPr>
              <w:jc w:val="center"/>
              <w:ind w:left="211"/>
              <w:spacing w:after="0" w:line="176" w:lineRule="exact"/>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80"/>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age)</w:t>
            </w: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Atopic dermatitis (in pediatrics 6 months–5</w:t>
            </w:r>
          </w:p>
        </w:tc>
        <w:tc>
          <w:tcPr>
            <w:tcW w:w="12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of age)</w:t>
            </w: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Asthma (in adults and adolescents)</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Asthma (in pediatrics 6–11 years of age)</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Chronic rhinosinusitis with nasal polyposis</w:t>
            </w:r>
          </w:p>
        </w:tc>
        <w:tc>
          <w:tcPr>
            <w:tcW w:w="12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5"/>
                <w:szCs w:val="15"/>
                <w:color w:val="auto"/>
              </w:rPr>
            </w:pPr>
          </w:p>
        </w:tc>
        <w:tc>
          <w:tcPr>
            <w:tcW w:w="580" w:type="dxa"/>
            <w:vAlign w:val="bottom"/>
          </w:tcPr>
          <w:p>
            <w:pPr>
              <w:jc w:val="center"/>
              <w:ind w:left="211"/>
              <w:spacing w:after="0" w:line="176" w:lineRule="exact"/>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00"/>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1080" w:type="dxa"/>
            <w:vAlign w:val="bottom"/>
            <w:gridSpan w:val="2"/>
          </w:tcPr>
          <w:p>
            <w:pPr>
              <w:jc w:val="center"/>
              <w:ind w:right="180"/>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("CRSwNP")</w:t>
            </w: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3"/>
        </w:trPr>
        <w:tc>
          <w:tcPr>
            <w:tcW w:w="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660" w:type="dxa"/>
            <w:vAlign w:val="bottom"/>
            <w:gridSpan w:val="2"/>
          </w:tcPr>
          <w:p>
            <w:pPr>
              <w:jc w:val="right"/>
              <w:ind w:right="117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180" w:type="dxa"/>
        <w:tblCellMar>
          <w:top w:w="0" w:type="dxa"/>
          <w:left w:w="0" w:type="dxa"/>
          <w:bottom w:w="0" w:type="dxa"/>
          <w:right w:w="0" w:type="dxa"/>
        </w:tblCellMar>
      </w:tblPr>
      <w:tr>
        <w:trPr>
          <w:trHeight w:val="236"/>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center"/>
              <w:ind w:left="211"/>
              <w:spacing w:after="0"/>
              <w:rPr>
                <w:sz w:val="20"/>
                <w:szCs w:val="20"/>
                <w:color w:val="auto"/>
              </w:rPr>
            </w:pPr>
            <w:r>
              <w:rPr>
                <w:rFonts w:ascii="Times New Roman" w:cs="Times New Roman" w:eastAsia="Times New Roman" w:hAnsi="Times New Roman"/>
                <w:sz w:val="18"/>
                <w:szCs w:val="18"/>
                <w:b w:val="1"/>
                <w:bCs w:val="1"/>
                <w:color w:val="auto"/>
                <w:w w:val="95"/>
              </w:rPr>
              <w:t>EU</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line="233" w:lineRule="exact"/>
              <w:rPr>
                <w:sz w:val="20"/>
                <w:szCs w:val="20"/>
                <w:color w:val="auto"/>
              </w:rPr>
            </w:pPr>
            <w:r>
              <w:rPr>
                <w:rFonts w:ascii="Times New Roman" w:cs="Times New Roman" w:eastAsia="Times New Roman" w:hAnsi="Times New Roman"/>
                <w:sz w:val="27"/>
                <w:szCs w:val="27"/>
                <w:b w:val="1"/>
                <w:bCs w:val="1"/>
                <w:color w:val="auto"/>
                <w:vertAlign w:val="subscript"/>
              </w:rPr>
              <w:t>ROW</w:t>
            </w:r>
            <w:r>
              <w:rPr>
                <w:rFonts w:ascii="Times New Roman" w:cs="Times New Roman" w:eastAsia="Times New Roman" w:hAnsi="Times New Roman"/>
                <w:sz w:val="10"/>
                <w:szCs w:val="10"/>
                <w:b w:val="1"/>
                <w:bCs w:val="1"/>
                <w:color w:val="auto"/>
              </w:rPr>
              <w:t>(e)</w:t>
            </w:r>
          </w:p>
        </w:tc>
        <w:tc>
          <w:tcPr>
            <w:tcW w:w="0" w:type="dxa"/>
            <w:vAlign w:val="bottom"/>
          </w:tcPr>
          <w:p>
            <w:pPr>
              <w:spacing w:after="0"/>
              <w:rPr>
                <w:sz w:val="1"/>
                <w:szCs w:val="1"/>
                <w:color w:val="auto"/>
              </w:rPr>
            </w:pPr>
          </w:p>
        </w:tc>
      </w:tr>
      <w:tr>
        <w:trPr>
          <w:trHeight w:val="174"/>
        </w:trPr>
        <w:tc>
          <w:tcPr>
            <w:tcW w:w="314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Dupixent (dupilumab) Injection</w:t>
            </w:r>
            <w:r>
              <w:rPr>
                <w:rFonts w:ascii="Times New Roman" w:cs="Times New Roman" w:eastAsia="Times New Roman" w:hAnsi="Times New Roman"/>
                <w:sz w:val="20"/>
                <w:szCs w:val="20"/>
                <w:color w:val="auto"/>
                <w:vertAlign w:val="superscript"/>
              </w:rPr>
              <w:t>(b)</w:t>
            </w:r>
          </w:p>
        </w:tc>
        <w:tc>
          <w:tcPr>
            <w:tcW w:w="160" w:type="dxa"/>
            <w:vAlign w:val="bottom"/>
            <w:vMerge w:val="continue"/>
          </w:tcPr>
          <w:p>
            <w:pPr>
              <w:spacing w:after="0"/>
              <w:rPr>
                <w:sz w:val="15"/>
                <w:szCs w:val="15"/>
                <w:color w:val="auto"/>
              </w:rPr>
            </w:pPr>
          </w:p>
        </w:tc>
        <w:tc>
          <w:tcPr>
            <w:tcW w:w="35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Eosinophilic esophagitis ("EoE") (in adults and</w:t>
            </w:r>
          </w:p>
        </w:tc>
        <w:tc>
          <w:tcPr>
            <w:tcW w:w="120" w:type="dxa"/>
            <w:vAlign w:val="bottom"/>
          </w:tcPr>
          <w:p>
            <w:pPr>
              <w:spacing w:after="0"/>
              <w:rPr>
                <w:sz w:val="15"/>
                <w:szCs w:val="15"/>
                <w:color w:val="auto"/>
              </w:rPr>
            </w:pPr>
          </w:p>
        </w:tc>
        <w:tc>
          <w:tcPr>
            <w:tcW w:w="1020" w:type="dxa"/>
            <w:vAlign w:val="bottom"/>
            <w:gridSpan w:val="2"/>
          </w:tcPr>
          <w:p>
            <w:pPr>
              <w:jc w:val="center"/>
              <w:ind w:right="12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adolescents)</w:t>
            </w: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1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vMerge w:val="continue"/>
          </w:tcPr>
          <w:p>
            <w:pPr>
              <w:spacing w:after="0"/>
              <w:rPr>
                <w:sz w:val="19"/>
                <w:szCs w:val="19"/>
                <w:color w:val="auto"/>
              </w:rPr>
            </w:pP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Prurigo nodularis</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Libtayo (cemiplimab) Injection</w:t>
            </w:r>
            <w:r>
              <w:rPr>
                <w:rFonts w:ascii="Times New Roman" w:cs="Times New Roman" w:eastAsia="Times New Roman" w:hAnsi="Times New Roman"/>
                <w:sz w:val="20"/>
                <w:szCs w:val="20"/>
                <w:color w:val="auto"/>
                <w:vertAlign w:val="superscript"/>
              </w:rPr>
              <w:t>(c)</w:t>
            </w:r>
          </w:p>
        </w:tc>
        <w:tc>
          <w:tcPr>
            <w:tcW w:w="1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Metastatic or locally advanced first-line non-</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580" w:type="dxa"/>
            <w:vAlign w:val="bottom"/>
            <w:shd w:val="clear" w:color="auto" w:fill="CCEEFF"/>
          </w:tcPr>
          <w:p>
            <w:pPr>
              <w:jc w:val="center"/>
              <w:ind w:left="211"/>
              <w:spacing w:after="0" w:line="176" w:lineRule="exact"/>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32"/>
        </w:trPr>
        <w:tc>
          <w:tcPr>
            <w:tcW w:w="3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small cell lung cancer ("NSCLC")</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Metastatic or locally advanced basal cell</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580" w:type="dxa"/>
            <w:vAlign w:val="bottom"/>
            <w:shd w:val="clear" w:color="auto" w:fill="CCEEFF"/>
          </w:tcPr>
          <w:p>
            <w:pPr>
              <w:jc w:val="center"/>
              <w:ind w:left="211"/>
              <w:spacing w:after="0" w:line="176" w:lineRule="exact"/>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32"/>
        </w:trPr>
        <w:tc>
          <w:tcPr>
            <w:tcW w:w="3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carcinoma ("BCC")</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Metastatic or locally advanced cutaneous</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580" w:type="dxa"/>
            <w:vAlign w:val="bottom"/>
            <w:shd w:val="clear" w:color="auto" w:fill="CCEEFF"/>
          </w:tcPr>
          <w:p>
            <w:pPr>
              <w:jc w:val="center"/>
              <w:ind w:left="211"/>
              <w:spacing w:after="0" w:line="176" w:lineRule="exact"/>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32"/>
        </w:trPr>
        <w:tc>
          <w:tcPr>
            <w:tcW w:w="3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squamous cell carcinoma ("CSCC")</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Metastatic or recurrent second-line cervical</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32"/>
        </w:trPr>
        <w:tc>
          <w:tcPr>
            <w:tcW w:w="314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cancer</w:t>
            </w:r>
          </w:p>
        </w:tc>
        <w:tc>
          <w:tcPr>
            <w:tcW w:w="12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14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Praluent (alirocumab) Injection</w:t>
            </w:r>
            <w:r>
              <w:rPr>
                <w:rFonts w:ascii="Times New Roman" w:cs="Times New Roman" w:eastAsia="Times New Roman" w:hAnsi="Times New Roman"/>
                <w:sz w:val="20"/>
                <w:szCs w:val="20"/>
                <w:color w:val="auto"/>
                <w:vertAlign w:val="superscript"/>
              </w:rPr>
              <w:t>(d)</w:t>
            </w: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LDL-lowering in heterozygous familial</w:t>
            </w:r>
          </w:p>
        </w:tc>
        <w:tc>
          <w:tcPr>
            <w:tcW w:w="120" w:type="dxa"/>
            <w:vAlign w:val="bottom"/>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jc w:val="center"/>
              <w:ind w:left="211"/>
              <w:spacing w:after="0" w:line="176" w:lineRule="exact"/>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179"/>
        </w:trPr>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hypercholesterolemia ("HeFH") or clinical</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atherosclerotic cardiovascular disease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14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("ASCVD")</w:t>
            </w: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Cardiovascular risk reduction in patients with</w:t>
            </w:r>
          </w:p>
        </w:tc>
        <w:tc>
          <w:tcPr>
            <w:tcW w:w="120" w:type="dxa"/>
            <w:vAlign w:val="bottom"/>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jc w:val="center"/>
              <w:ind w:left="211"/>
              <w:spacing w:after="0" w:line="176" w:lineRule="exact"/>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32"/>
        </w:trPr>
        <w:tc>
          <w:tcPr>
            <w:tcW w:w="3140" w:type="dxa"/>
            <w:vAlign w:val="bottom"/>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established cardiovascular disease</w:t>
            </w: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1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Homozygous familial hypercholesterolemia</w:t>
            </w:r>
          </w:p>
        </w:tc>
        <w:tc>
          <w:tcPr>
            <w:tcW w:w="120" w:type="dxa"/>
            <w:vAlign w:val="bottom"/>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1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("HoFH")</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140" w:type="dxa"/>
            <w:vAlign w:val="bottom"/>
            <w:tcBorders>
              <w:bottom w:val="single" w:sz="8" w:color="auto"/>
            </w:tcBorders>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®(f)</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172"/>
        </w:trPr>
        <w:tc>
          <w:tcPr>
            <w:tcW w:w="31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Kevzara (sarilumab) Solution for</w:t>
            </w:r>
          </w:p>
        </w:tc>
        <w:tc>
          <w:tcPr>
            <w:tcW w:w="16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Rheumatoid arthritis ("RA")</w:t>
            </w:r>
          </w:p>
        </w:tc>
        <w:tc>
          <w:tcPr>
            <w:tcW w:w="120" w:type="dxa"/>
            <w:vAlign w:val="bottom"/>
          </w:tcPr>
          <w:p>
            <w:pPr>
              <w:spacing w:after="0"/>
              <w:rPr>
                <w:sz w:val="14"/>
                <w:szCs w:val="14"/>
                <w:color w:val="auto"/>
              </w:rPr>
            </w:pPr>
          </w:p>
        </w:tc>
        <w:tc>
          <w:tcPr>
            <w:tcW w:w="1020" w:type="dxa"/>
            <w:vAlign w:val="bottom"/>
            <w:gridSpan w:val="2"/>
          </w:tcPr>
          <w:p>
            <w:pPr>
              <w:jc w:val="center"/>
              <w:ind w:right="120"/>
              <w:spacing w:after="0" w:line="172" w:lineRule="exact"/>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jc w:val="center"/>
              <w:ind w:left="211"/>
              <w:spacing w:after="0" w:line="172" w:lineRule="exact"/>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00"/>
              <w:spacing w:after="0" w:line="172" w:lineRule="exact"/>
              <w:rPr>
                <w:sz w:val="20"/>
                <w:szCs w:val="20"/>
                <w:color w:val="auto"/>
              </w:rPr>
            </w:pPr>
            <w:r>
              <w:rPr>
                <w:rFonts w:ascii="Webdings" w:cs="Webdings" w:eastAsia="Webdings" w:hAnsi="Webdings"/>
                <w:sz w:val="18"/>
                <w:szCs w:val="18"/>
                <w:b w:val="1"/>
                <w:bCs w:val="1"/>
                <w:color w:val="auto"/>
                <w:w w:val="99"/>
              </w:rPr>
              <w:t>a</w:t>
            </w:r>
          </w:p>
        </w:tc>
        <w:tc>
          <w:tcPr>
            <w:tcW w:w="920" w:type="dxa"/>
            <w:vAlign w:val="bottom"/>
          </w:tcPr>
          <w:p>
            <w:pPr>
              <w:jc w:val="center"/>
              <w:spacing w:after="0" w:line="172" w:lineRule="exact"/>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36"/>
        </w:trPr>
        <w:tc>
          <w:tcPr>
            <w:tcW w:w="3140" w:type="dxa"/>
            <w:vAlign w:val="bottom"/>
            <w:tcBorders>
              <w:bottom w:val="single" w:sz="8" w:color="auto"/>
            </w:tcBorders>
          </w:tcPr>
          <w:p>
            <w:pPr>
              <w:ind w:left="20"/>
              <w:spacing w:after="0" w:line="235" w:lineRule="exact"/>
              <w:rPr>
                <w:sz w:val="20"/>
                <w:szCs w:val="20"/>
                <w:color w:val="auto"/>
              </w:rPr>
            </w:pPr>
            <w:r>
              <w:rPr>
                <w:rFonts w:ascii="Times New Roman" w:cs="Times New Roman" w:eastAsia="Times New Roman" w:hAnsi="Times New Roman"/>
                <w:sz w:val="18"/>
                <w:szCs w:val="18"/>
                <w:color w:val="auto"/>
              </w:rPr>
              <w:t>Subcutaneous Injection</w:t>
            </w:r>
            <w:r>
              <w:rPr>
                <w:rFonts w:ascii="Times New Roman" w:cs="Times New Roman" w:eastAsia="Times New Roman" w:hAnsi="Times New Roman"/>
                <w:sz w:val="23"/>
                <w:szCs w:val="23"/>
                <w:color w:val="auto"/>
                <w:vertAlign w:val="superscript"/>
              </w:rPr>
              <w:t>(b)</w:t>
            </w:r>
          </w:p>
        </w:tc>
        <w:tc>
          <w:tcPr>
            <w:tcW w:w="160" w:type="dxa"/>
            <w:vAlign w:val="bottom"/>
            <w:tcBorders>
              <w:bottom w:val="single" w:sz="8" w:color="CCEEFF"/>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140" w:type="dxa"/>
            <w:vAlign w:val="bottom"/>
            <w:tcBorders>
              <w:bottom w:val="single" w:sz="8" w:color="auto"/>
            </w:tcBorders>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Evkeeza (evinacumab) Injection</w:t>
            </w:r>
            <w:r>
              <w:rPr>
                <w:rFonts w:ascii="Times New Roman" w:cs="Times New Roman" w:eastAsia="Times New Roman" w:hAnsi="Times New Roman"/>
                <w:sz w:val="23"/>
                <w:szCs w:val="23"/>
                <w:color w:val="auto"/>
                <w:vertAlign w:val="superscript"/>
              </w:rPr>
              <w:t>(g)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HoFH (in adults and adolescents)</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176"/>
        </w:trPr>
        <w:tc>
          <w:tcPr>
            <w:tcW w:w="314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Inmazeb</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(atoltivimab, maftivimab, and</w:t>
            </w: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Infection caused by </w:t>
            </w:r>
            <w:r>
              <w:rPr>
                <w:rFonts w:ascii="Times New Roman" w:cs="Times New Roman" w:eastAsia="Times New Roman" w:hAnsi="Times New Roman"/>
                <w:sz w:val="18"/>
                <w:szCs w:val="18"/>
                <w:i w:val="1"/>
                <w:iCs w:val="1"/>
                <w:color w:val="auto"/>
              </w:rPr>
              <w:t>Zaire ebolavirus</w:t>
            </w:r>
          </w:p>
        </w:tc>
        <w:tc>
          <w:tcPr>
            <w:tcW w:w="120" w:type="dxa"/>
            <w:vAlign w:val="bottom"/>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odesivimab-ebgn) Injection</w:t>
            </w:r>
          </w:p>
        </w:tc>
        <w:tc>
          <w:tcPr>
            <w:tcW w:w="160" w:type="dxa"/>
            <w:vAlign w:val="bottom"/>
            <w:tcBorders>
              <w:bottom w:val="single" w:sz="8" w:color="CCEEFF"/>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314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5"/>
                <w:szCs w:val="15"/>
                <w:color w:val="auto"/>
              </w:rPr>
              <w:t>ARCALYST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(rilonacept) Injection for</w:t>
            </w:r>
          </w:p>
        </w:tc>
        <w:tc>
          <w:tcPr>
            <w:tcW w:w="1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Cryopyrin-associated periodic syndromes</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120"/>
              <w:spacing w:after="0" w:line="172" w:lineRule="exact"/>
              <w:rPr>
                <w:sz w:val="20"/>
                <w:szCs w:val="20"/>
                <w:color w:val="auto"/>
              </w:rPr>
            </w:pPr>
            <w:r>
              <w:rPr>
                <w:rFonts w:ascii="Webdings" w:cs="Webdings" w:eastAsia="Webdings" w:hAnsi="Webdings"/>
                <w:sz w:val="18"/>
                <w:szCs w:val="18"/>
                <w:b w:val="1"/>
                <w:bCs w:val="1"/>
                <w:color w:val="auto"/>
                <w:w w:val="99"/>
              </w:rPr>
              <w:t>a</w:t>
            </w: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color w:val="auto"/>
              </w:rPr>
              <w:t>Subcutaneous Use</w:t>
            </w:r>
            <w:r>
              <w:rPr>
                <w:rFonts w:ascii="Times New Roman" w:cs="Times New Roman" w:eastAsia="Times New Roman" w:hAnsi="Times New Roman"/>
                <w:sz w:val="21"/>
                <w:szCs w:val="21"/>
                <w:color w:val="auto"/>
                <w:vertAlign w:val="superscript"/>
              </w:rPr>
              <w:t>(h)</w:t>
            </w:r>
          </w:p>
        </w:tc>
        <w:tc>
          <w:tcPr>
            <w:tcW w:w="160" w:type="dxa"/>
            <w:vAlign w:val="bottom"/>
            <w:shd w:val="clear" w:color="auto" w:fill="CCEEFF"/>
          </w:tcPr>
          <w:p>
            <w:pPr>
              <w:spacing w:after="0"/>
              <w:rPr>
                <w:sz w:val="15"/>
                <w:szCs w:val="15"/>
                <w:color w:val="auto"/>
              </w:rPr>
            </w:pP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("CAPS"), including familial cold auto-</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5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inflammatory syndrome ("FCAS") and Muckle-</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Wells syndrome ("MWS") (in adults and</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adolescents)</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Deficiency of interleukin-1 receptor antagonist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("DIRA") (in adults and pediatrics)</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Recurrent pericarditis (in adults and</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14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adolescents)</w:t>
            </w:r>
          </w:p>
        </w:tc>
        <w:tc>
          <w:tcPr>
            <w:tcW w:w="12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3140" w:type="dxa"/>
            <w:vAlign w:val="bottom"/>
          </w:tcPr>
          <w:p>
            <w:pPr>
              <w:ind w:left="20"/>
              <w:spacing w:after="0" w:line="173" w:lineRule="exact"/>
              <w:rPr>
                <w:sz w:val="20"/>
                <w:szCs w:val="20"/>
                <w:color w:val="auto"/>
              </w:rPr>
            </w:pPr>
            <w:r>
              <w:rPr>
                <w:rFonts w:ascii="Times New Roman" w:cs="Times New Roman" w:eastAsia="Times New Roman" w:hAnsi="Times New Roman"/>
                <w:sz w:val="15"/>
                <w:szCs w:val="15"/>
                <w:color w:val="auto"/>
              </w:rPr>
              <w:t>ZALTRAP</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(ziv-aflibercept) Injection for</w:t>
            </w:r>
          </w:p>
        </w:tc>
        <w:tc>
          <w:tcPr>
            <w:tcW w:w="16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Metastatic colorectal cancer ("mCRC")</w:t>
            </w:r>
          </w:p>
        </w:tc>
        <w:tc>
          <w:tcPr>
            <w:tcW w:w="120" w:type="dxa"/>
            <w:vAlign w:val="bottom"/>
          </w:tcPr>
          <w:p>
            <w:pPr>
              <w:spacing w:after="0"/>
              <w:rPr>
                <w:sz w:val="14"/>
                <w:szCs w:val="14"/>
                <w:color w:val="auto"/>
              </w:rPr>
            </w:pPr>
          </w:p>
        </w:tc>
        <w:tc>
          <w:tcPr>
            <w:tcW w:w="1020" w:type="dxa"/>
            <w:vAlign w:val="bottom"/>
            <w:gridSpan w:val="2"/>
          </w:tcPr>
          <w:p>
            <w:pPr>
              <w:jc w:val="center"/>
              <w:ind w:right="120"/>
              <w:spacing w:after="0" w:line="172" w:lineRule="exact"/>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jc w:val="center"/>
              <w:ind w:left="211"/>
              <w:spacing w:after="0" w:line="172" w:lineRule="exact"/>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00"/>
              <w:spacing w:after="0" w:line="172" w:lineRule="exact"/>
              <w:rPr>
                <w:sz w:val="20"/>
                <w:szCs w:val="20"/>
                <w:color w:val="auto"/>
              </w:rPr>
            </w:pPr>
            <w:r>
              <w:rPr>
                <w:rFonts w:ascii="Webdings" w:cs="Webdings" w:eastAsia="Webdings" w:hAnsi="Webdings"/>
                <w:sz w:val="18"/>
                <w:szCs w:val="18"/>
                <w:b w:val="1"/>
                <w:bCs w:val="1"/>
                <w:color w:val="auto"/>
                <w:w w:val="99"/>
              </w:rPr>
              <w:t>a</w:t>
            </w:r>
          </w:p>
        </w:tc>
        <w:tc>
          <w:tcPr>
            <w:tcW w:w="920" w:type="dxa"/>
            <w:vAlign w:val="bottom"/>
          </w:tcPr>
          <w:p>
            <w:pPr>
              <w:jc w:val="center"/>
              <w:spacing w:after="0" w:line="172" w:lineRule="exact"/>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36"/>
        </w:trPr>
        <w:tc>
          <w:tcPr>
            <w:tcW w:w="3140" w:type="dxa"/>
            <w:vAlign w:val="bottom"/>
            <w:tcBorders>
              <w:bottom w:val="single" w:sz="8" w:color="auto"/>
            </w:tcBorders>
          </w:tcPr>
          <w:p>
            <w:pPr>
              <w:ind w:left="20"/>
              <w:spacing w:after="0" w:line="235" w:lineRule="exact"/>
              <w:rPr>
                <w:sz w:val="20"/>
                <w:szCs w:val="20"/>
                <w:color w:val="auto"/>
              </w:rPr>
            </w:pPr>
            <w:r>
              <w:rPr>
                <w:rFonts w:ascii="Times New Roman" w:cs="Times New Roman" w:eastAsia="Times New Roman" w:hAnsi="Times New Roman"/>
                <w:sz w:val="18"/>
                <w:szCs w:val="18"/>
                <w:color w:val="auto"/>
              </w:rPr>
              <w:t>Intravenous Infusion</w:t>
            </w:r>
            <w:r>
              <w:rPr>
                <w:rFonts w:ascii="Times New Roman" w:cs="Times New Roman" w:eastAsia="Times New Roman" w:hAnsi="Times New Roman"/>
                <w:sz w:val="23"/>
                <w:szCs w:val="23"/>
                <w:color w:val="auto"/>
                <w:vertAlign w:val="superscript"/>
              </w:rPr>
              <w:t>(i)</w:t>
            </w:r>
          </w:p>
        </w:tc>
        <w:tc>
          <w:tcPr>
            <w:tcW w:w="160" w:type="dxa"/>
            <w:vAlign w:val="bottom"/>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60" w:right="140"/>
        <w:spacing w:after="0"/>
        <w:rPr>
          <w:sz w:val="20"/>
          <w:szCs w:val="20"/>
          <w:color w:val="auto"/>
        </w:rPr>
      </w:pPr>
      <w:r>
        <w:rPr>
          <w:rFonts w:ascii="Times New Roman" w:cs="Times New Roman" w:eastAsia="Times New Roman" w:hAnsi="Times New Roman"/>
          <w:sz w:val="16"/>
          <w:szCs w:val="16"/>
          <w:color w:val="auto"/>
        </w:rPr>
        <w:t>Note: Refer to "Net Product Sales of Regeneron-Discovered Products" section below for information regarding whether net product sales for a particular product are recorded by us or others. In addition, unless otherwise noted, products in the table above are approved for use in adults in the above-referenced diseases.</w:t>
      </w:r>
    </w:p>
    <w:p>
      <w:pPr>
        <w:ind w:left="520" w:hanging="168"/>
        <w:spacing w:after="0" w:line="204" w:lineRule="auto"/>
        <w:tabs>
          <w:tab w:leader="none" w:pos="52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 collaboration with Bayer outside the United States</w:t>
      </w:r>
    </w:p>
    <w:p>
      <w:pPr>
        <w:spacing w:after="0" w:line="23" w:lineRule="exact"/>
        <w:rPr>
          <w:rFonts w:ascii="Times New Roman" w:cs="Times New Roman" w:eastAsia="Times New Roman" w:hAnsi="Times New Roman"/>
          <w:sz w:val="22"/>
          <w:szCs w:val="22"/>
          <w:color w:val="auto"/>
          <w:vertAlign w:val="superscript"/>
        </w:rPr>
      </w:pPr>
    </w:p>
    <w:p>
      <w:pPr>
        <w:ind w:left="520" w:hanging="168"/>
        <w:spacing w:after="0" w:line="189" w:lineRule="auto"/>
        <w:tabs>
          <w:tab w:leader="none" w:pos="52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Sanofi</w:t>
      </w:r>
    </w:p>
    <w:p>
      <w:pPr>
        <w:spacing w:after="0" w:line="23" w:lineRule="exact"/>
        <w:rPr>
          <w:rFonts w:ascii="Times New Roman" w:cs="Times New Roman" w:eastAsia="Times New Roman" w:hAnsi="Times New Roman"/>
          <w:sz w:val="21"/>
          <w:szCs w:val="21"/>
          <w:color w:val="auto"/>
          <w:vertAlign w:val="superscript"/>
        </w:rPr>
      </w:pPr>
    </w:p>
    <w:p>
      <w:pPr>
        <w:ind w:left="360" w:right="60" w:hanging="8"/>
        <w:spacing w:after="0" w:line="188" w:lineRule="auto"/>
        <w:tabs>
          <w:tab w:leader="none" w:pos="52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collaboration with Sanofi prior to July 2022. Effective July 2022, the Company is solely responsible for the development, commercialization, and manufacturing of Libtayo. Refer to "Collaboration, License, and Other Agreements" section below for further details.</w:t>
      </w:r>
    </w:p>
    <w:p>
      <w:pPr>
        <w:spacing w:after="0" w:line="5" w:lineRule="exact"/>
        <w:rPr>
          <w:rFonts w:ascii="Times New Roman" w:cs="Times New Roman" w:eastAsia="Times New Roman" w:hAnsi="Times New Roman"/>
          <w:sz w:val="23"/>
          <w:szCs w:val="23"/>
          <w:color w:val="auto"/>
          <w:vertAlign w:val="superscript"/>
        </w:rPr>
      </w:pPr>
    </w:p>
    <w:p>
      <w:pPr>
        <w:ind w:left="360" w:right="840" w:hanging="8"/>
        <w:spacing w:after="0" w:line="197" w:lineRule="auto"/>
        <w:tabs>
          <w:tab w:leader="none" w:pos="535"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 is solely responsible for the development and commercialization of Praluent in the United States, and Sanofi is solely responsible for the development and commercialization of Praluent outside of the United States.</w:t>
      </w:r>
    </w:p>
    <w:p>
      <w:pPr>
        <w:spacing w:after="0" w:line="6" w:lineRule="exact"/>
        <w:rPr>
          <w:rFonts w:ascii="Times New Roman" w:cs="Times New Roman" w:eastAsia="Times New Roman" w:hAnsi="Times New Roman"/>
          <w:sz w:val="23"/>
          <w:szCs w:val="23"/>
          <w:color w:val="auto"/>
          <w:vertAlign w:val="superscript"/>
        </w:rPr>
      </w:pPr>
    </w:p>
    <w:p>
      <w:pPr>
        <w:ind w:left="360" w:right="40" w:hanging="8"/>
        <w:spacing w:after="0" w:line="197" w:lineRule="auto"/>
        <w:tabs>
          <w:tab w:leader="none" w:pos="52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Rest of world ("ROW"). A checkmark in this column indicates that the product has received marketing approval in at least one country outside of the United States, European Union ("EU"), or Japan.</w:t>
      </w:r>
    </w:p>
    <w:p>
      <w:pPr>
        <w:spacing w:after="0" w:line="200" w:lineRule="exact"/>
        <w:rPr>
          <w:sz w:val="20"/>
          <w:szCs w:val="20"/>
          <w:color w:val="auto"/>
        </w:rPr>
      </w:pPr>
    </w:p>
    <w:p>
      <w:pPr>
        <w:spacing w:after="0" w:line="2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80"/>
          </w:cols>
          <w:pgMar w:left="320" w:top="366"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60" w:right="260" w:hanging="8"/>
        <w:spacing w:after="0" w:line="197" w:lineRule="auto"/>
        <w:tabs>
          <w:tab w:leader="none" w:pos="516"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Known as REGEN-COV in the United States and Ronapreve in other countries. Refer to "Additional Information - Clinical Development Programs" section below for further details regarding the status of the Emergency Use Authorization ("EUA") for REGEN-COV in the United States.</w:t>
      </w:r>
    </w:p>
    <w:p>
      <w:pPr>
        <w:spacing w:after="0" w:line="6" w:lineRule="exact"/>
        <w:rPr>
          <w:rFonts w:ascii="Times New Roman" w:cs="Times New Roman" w:eastAsia="Times New Roman" w:hAnsi="Times New Roman"/>
          <w:sz w:val="23"/>
          <w:szCs w:val="23"/>
          <w:color w:val="auto"/>
          <w:vertAlign w:val="superscript"/>
        </w:rPr>
      </w:pPr>
    </w:p>
    <w:p>
      <w:pPr>
        <w:ind w:left="360" w:right="540" w:hanging="8"/>
        <w:spacing w:after="0" w:line="197" w:lineRule="auto"/>
        <w:tabs>
          <w:tab w:leader="none" w:pos="535"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January 2022, the Company entered into a license and collaboration agreement for Ultragenyx to develop and commercialize Evkeeza outside of the United States.</w:t>
      </w:r>
    </w:p>
    <w:p>
      <w:pPr>
        <w:spacing w:after="0" w:line="1" w:lineRule="exact"/>
        <w:rPr>
          <w:rFonts w:ascii="Times New Roman" w:cs="Times New Roman" w:eastAsia="Times New Roman" w:hAnsi="Times New Roman"/>
          <w:sz w:val="23"/>
          <w:szCs w:val="23"/>
          <w:color w:val="auto"/>
          <w:vertAlign w:val="superscript"/>
        </w:rPr>
      </w:pPr>
    </w:p>
    <w:p>
      <w:pPr>
        <w:ind w:left="540" w:hanging="188"/>
        <w:spacing w:after="0" w:line="206" w:lineRule="auto"/>
        <w:tabs>
          <w:tab w:leader="none" w:pos="54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Kiniksa is solely responsible for the development and commercialization of ARCALYST.</w:t>
      </w:r>
    </w:p>
    <w:p>
      <w:pPr>
        <w:spacing w:after="0" w:line="23" w:lineRule="exact"/>
        <w:rPr>
          <w:rFonts w:ascii="Times New Roman" w:cs="Times New Roman" w:eastAsia="Times New Roman" w:hAnsi="Times New Roman"/>
          <w:sz w:val="23"/>
          <w:szCs w:val="23"/>
          <w:color w:val="auto"/>
          <w:vertAlign w:val="superscript"/>
        </w:rPr>
      </w:pPr>
    </w:p>
    <w:p>
      <w:pPr>
        <w:ind w:left="500" w:hanging="148"/>
        <w:spacing w:after="0" w:line="181" w:lineRule="auto"/>
        <w:tabs>
          <w:tab w:leader="none" w:pos="5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Sanofi is solely responsible for the development and commercialization of ZALTRAP.</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Net Product Sales of Regeneron-Discovered Products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8"/>
        </w:trPr>
        <w:tc>
          <w:tcPr>
            <w:tcW w:w="2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6"/>
        </w:trPr>
        <w:tc>
          <w:tcPr>
            <w:tcW w:w="2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21"/>
        </w:trPr>
        <w:tc>
          <w:tcPr>
            <w:tcW w:w="2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Change</w:t>
            </w:r>
          </w:p>
        </w:tc>
      </w:tr>
      <w:tr>
        <w:trPr>
          <w:trHeight w:val="22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280" w:type="dxa"/>
            <w:vAlign w:val="bottom"/>
          </w:tcPr>
          <w:p>
            <w:pPr>
              <w:spacing w:after="0"/>
              <w:rPr>
                <w:sz w:val="19"/>
                <w:szCs w:val="19"/>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220" w:type="dxa"/>
            <w:vAlign w:val="bottom"/>
          </w:tcPr>
          <w:p>
            <w:pPr>
              <w:spacing w:after="0"/>
              <w:rPr>
                <w:sz w:val="19"/>
                <w:szCs w:val="19"/>
                <w:color w:val="auto"/>
              </w:rPr>
            </w:pP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9"/>
                <w:szCs w:val="19"/>
                <w:color w:val="auto"/>
              </w:rPr>
            </w:pPr>
          </w:p>
        </w:tc>
        <w:tc>
          <w:tcPr>
            <w:tcW w:w="82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ROW</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Sales)</w:t>
            </w:r>
          </w:p>
        </w:tc>
      </w:tr>
      <w:tr>
        <w:trPr>
          <w:trHeight w:val="221"/>
        </w:trPr>
        <w:tc>
          <w:tcPr>
            <w:tcW w:w="2460" w:type="dxa"/>
            <w:vAlign w:val="bottom"/>
            <w:tcBorders>
              <w:top w:val="single" w:sz="8" w:color="CCEEFF"/>
            </w:tcBorders>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7"/>
        </w:trPr>
        <w:tc>
          <w:tcPr>
            <w:tcW w:w="246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1,824.0</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2,330.1</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1,256.7</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7"/>
        </w:trPr>
        <w:tc>
          <w:tcPr>
            <w:tcW w:w="24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7"/>
        </w:trPr>
        <w:tc>
          <w:tcPr>
            <w:tcW w:w="246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7"/>
        </w:trPr>
        <w:tc>
          <w:tcPr>
            <w:tcW w:w="24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(e)</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27"/>
        </w:trPr>
        <w:tc>
          <w:tcPr>
            <w:tcW w:w="246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7"/>
        </w:trPr>
        <w:tc>
          <w:tcPr>
            <w:tcW w:w="24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(f)</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72"/>
        </w:trPr>
        <w:tc>
          <w:tcPr>
            <w:tcW w:w="2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6"/>
        </w:trPr>
        <w:tc>
          <w:tcPr>
            <w:tcW w:w="2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21"/>
        </w:trPr>
        <w:tc>
          <w:tcPr>
            <w:tcW w:w="2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Change</w:t>
            </w:r>
          </w:p>
        </w:tc>
      </w:tr>
      <w:tr>
        <w:trPr>
          <w:trHeight w:val="22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280" w:type="dxa"/>
            <w:vAlign w:val="bottom"/>
          </w:tcPr>
          <w:p>
            <w:pPr>
              <w:spacing w:after="0"/>
              <w:rPr>
                <w:sz w:val="19"/>
                <w:szCs w:val="19"/>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220" w:type="dxa"/>
            <w:vAlign w:val="bottom"/>
          </w:tcPr>
          <w:p>
            <w:pPr>
              <w:spacing w:after="0"/>
              <w:rPr>
                <w:sz w:val="19"/>
                <w:szCs w:val="19"/>
                <w:color w:val="auto"/>
              </w:rPr>
            </w:pP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9"/>
                <w:szCs w:val="19"/>
                <w:color w:val="auto"/>
              </w:rPr>
            </w:pPr>
          </w:p>
        </w:tc>
        <w:tc>
          <w:tcPr>
            <w:tcW w:w="82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ROW</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Sales)</w:t>
            </w:r>
          </w:p>
        </w:tc>
      </w:tr>
      <w:tr>
        <w:trPr>
          <w:trHeight w:val="221"/>
        </w:trPr>
        <w:tc>
          <w:tcPr>
            <w:tcW w:w="2460" w:type="dxa"/>
            <w:vAlign w:val="bottom"/>
            <w:tcBorders>
              <w:top w:val="single" w:sz="8" w:color="CCEEFF"/>
            </w:tcBorders>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2,567.7</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6,812.8</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7"/>
        </w:trPr>
        <w:tc>
          <w:tcPr>
            <w:tcW w:w="246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4,731.7</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6,232.3</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3,364.8</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7"/>
        </w:trPr>
        <w:tc>
          <w:tcPr>
            <w:tcW w:w="24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7"/>
        </w:trPr>
        <w:tc>
          <w:tcPr>
            <w:tcW w:w="246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7"/>
        </w:trPr>
        <w:tc>
          <w:tcPr>
            <w:tcW w:w="24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(e)</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27"/>
        </w:trPr>
        <w:tc>
          <w:tcPr>
            <w:tcW w:w="246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7"/>
        </w:trPr>
        <w:tc>
          <w:tcPr>
            <w:tcW w:w="24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(f)</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93" w:lineRule="exact"/>
        <w:rPr>
          <w:sz w:val="20"/>
          <w:szCs w:val="20"/>
          <w:color w:val="auto"/>
        </w:rPr>
      </w:pPr>
    </w:p>
    <w:p>
      <w:pPr>
        <w:ind w:left="180" w:right="120" w:firstLine="5"/>
        <w:spacing w:after="0" w:line="201" w:lineRule="auto"/>
        <w:tabs>
          <w:tab w:leader="none" w:pos="27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Effective January 1, 2022, the Company and Bayer commenced sharing equally in profits and losses based on sales from Bayer to its distributor in Japan. Previously, the Company received from Bayer a tiered percentage of sales based on sales by Bayer's distributor in Japan. Consequently, the prior year net product sales amount has been revised for comparability purposes.</w:t>
      </w:r>
    </w:p>
    <w:p>
      <w:pPr>
        <w:spacing w:after="0" w:line="5" w:lineRule="exact"/>
        <w:rPr>
          <w:sz w:val="20"/>
          <w:szCs w:val="20"/>
          <w:color w:val="auto"/>
        </w:rPr>
      </w:pPr>
    </w:p>
    <w:p>
      <w:pPr>
        <w:ind w:left="180" w:right="340" w:firstLine="5"/>
        <w:spacing w:after="0" w:line="208" w:lineRule="auto"/>
        <w:tabs>
          <w:tab w:leader="none" w:pos="348"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5" w:lineRule="exact"/>
        <w:rPr>
          <w:rFonts w:ascii="Times New Roman" w:cs="Times New Roman" w:eastAsia="Times New Roman" w:hAnsi="Times New Roman"/>
          <w:sz w:val="22"/>
          <w:szCs w:val="22"/>
          <w:color w:val="auto"/>
          <w:vertAlign w:val="superscript"/>
        </w:rPr>
      </w:pPr>
    </w:p>
    <w:p>
      <w:pPr>
        <w:ind w:left="180" w:right="480" w:firstLine="5"/>
        <w:spacing w:after="0"/>
        <w:tabs>
          <w:tab w:leader="none" w:pos="35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Sanofi records global net product sales of Dupixent and Kevzara. The Company records its share of profits/losses in connection with global sales of Dupixent and Kevzara.</w:t>
      </w:r>
    </w:p>
    <w:p>
      <w:pPr>
        <w:spacing w:after="0" w:line="132" w:lineRule="exact"/>
        <w:rPr>
          <w:rFonts w:ascii="Times New Roman" w:cs="Times New Roman" w:eastAsia="Times New Roman" w:hAnsi="Times New Roman"/>
          <w:sz w:val="21"/>
          <w:szCs w:val="21"/>
          <w:color w:val="auto"/>
          <w:vertAlign w:val="superscript"/>
        </w:rPr>
      </w:pPr>
    </w:p>
    <w:p>
      <w:pPr>
        <w:ind w:left="180" w:right="180" w:firstLine="5"/>
        <w:spacing w:after="0"/>
        <w:tabs>
          <w:tab w:leader="none" w:pos="348"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Prior to July 1, 2022, Regeneron recorded net product sales of Libtayo in the United States and Sanofi recorded net product sales of Libtayo outside the United States. The parties equally shared profits/losses in connection with global sales of Libtayo. Effective July 1, 2022, the Company began recording net product sales of Libtayo outside the United States and pays Sanofi a royalty on global sales. Refer to "Products" section above and "Collaboration, License, and Other Agreements" section below for further details. Included in this line item is approximately $17 million of net product sales recorded by Sanofi in the third quarter of 2022 in connection with sales in certain markets (Sanofi will record net product sales in such markets during a transition period until inventory on hand as of July 1, 2022 is sold through to the end customers).</w:t>
      </w:r>
    </w:p>
    <w:p>
      <w:pPr>
        <w:spacing w:after="0" w:line="86" w:lineRule="exact"/>
        <w:rPr>
          <w:rFonts w:ascii="Times New Roman" w:cs="Times New Roman" w:eastAsia="Times New Roman" w:hAnsi="Times New Roman"/>
          <w:sz w:val="22"/>
          <w:szCs w:val="22"/>
          <w:color w:val="auto"/>
          <w:vertAlign w:val="superscript"/>
        </w:rPr>
      </w:pPr>
    </w:p>
    <w:p>
      <w:pPr>
        <w:ind w:left="180" w:right="360" w:firstLine="5"/>
        <w:spacing w:after="0" w:line="215" w:lineRule="auto"/>
        <w:tabs>
          <w:tab w:leader="none" w:pos="359"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Regeneron records net product sales of Praluent in the United States. Sanofi records net product sales of Praluent outside the United States and pays the Company a royalty on such sales.</w:t>
      </w:r>
    </w:p>
    <w:p>
      <w:pPr>
        <w:spacing w:after="0" w:line="1" w:lineRule="exact"/>
        <w:rPr>
          <w:rFonts w:ascii="Times New Roman" w:cs="Times New Roman" w:eastAsia="Times New Roman" w:hAnsi="Times New Roman"/>
          <w:sz w:val="22"/>
          <w:szCs w:val="22"/>
          <w:color w:val="auto"/>
          <w:vertAlign w:val="superscript"/>
        </w:rPr>
      </w:pPr>
    </w:p>
    <w:p>
      <w:pPr>
        <w:ind w:left="180" w:right="280" w:firstLine="5"/>
        <w:spacing w:after="0" w:line="203" w:lineRule="auto"/>
        <w:tabs>
          <w:tab w:leader="none" w:pos="348"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Regeneron records net product sales of REGEN-COV in the United States. Roche records net product sales of the antibody cocktail outside the United States and the parties share gross profits from global sales based on a pre-specified formula.</w:t>
      </w:r>
    </w:p>
    <w:p>
      <w:pPr>
        <w:spacing w:after="0" w:line="4" w:lineRule="exact"/>
        <w:rPr>
          <w:rFonts w:ascii="Times New Roman" w:cs="Times New Roman" w:eastAsia="Times New Roman" w:hAnsi="Times New Roman"/>
          <w:sz w:val="22"/>
          <w:szCs w:val="22"/>
          <w:color w:val="auto"/>
          <w:vertAlign w:val="superscript"/>
        </w:rPr>
      </w:pPr>
    </w:p>
    <w:p>
      <w:pPr>
        <w:ind w:left="180" w:right="220" w:firstLine="5"/>
        <w:spacing w:after="0" w:line="231" w:lineRule="auto"/>
        <w:tabs>
          <w:tab w:leader="none" w:pos="324"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 xml:space="preserve">Included in this line item are products which are sold by the Company and others. Refer to "Results of Operations - </w:t>
      </w:r>
      <w:r>
        <w:rPr>
          <w:rFonts w:ascii="Times New Roman" w:cs="Times New Roman" w:eastAsia="Times New Roman" w:hAnsi="Times New Roman"/>
          <w:sz w:val="14"/>
          <w:szCs w:val="14"/>
          <w:i w:val="1"/>
          <w:iCs w:val="1"/>
          <w:color w:val="auto"/>
        </w:rPr>
        <w:t>Revenues</w:t>
      </w:r>
      <w:r>
        <w:rPr>
          <w:rFonts w:ascii="Times New Roman" w:cs="Times New Roman" w:eastAsia="Times New Roman" w:hAnsi="Times New Roman"/>
          <w:sz w:val="14"/>
          <w:szCs w:val="14"/>
          <w:color w:val="auto"/>
        </w:rPr>
        <w:t>" below for a complete listing of net product sales recorded by the Company. In addition, not included in this line item are net product sales of ARCALYST subsequent to the first quarter of 2021, which are recorded by Kiniksa; net product sales of ARCALYST were $27 million for the second quarter of 2022.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Programs in Clinical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in clinical development, which are being developed by us and/or our collaborators, are summarized in the table below.</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1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Refer to Part II, Item 1A. "Risk Factors" for a description of risks and uncertainties that may affect our clinical programs. Any of such risks and uncertainties may, among other matters, negatively impact the development timelines set forth in the table below.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Clinical Program</w:t>
            </w:r>
          </w:p>
        </w:tc>
        <w:tc>
          <w:tcPr>
            <w:tcW w:w="12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1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2022 Events to Date</w:t>
            </w:r>
          </w:p>
        </w:tc>
        <w:tc>
          <w:tcPr>
            <w:tcW w:w="18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38"/>
        </w:trPr>
        <w:tc>
          <w:tcPr>
            <w:tcW w:w="1860" w:type="dxa"/>
            <w:vAlign w:val="bottom"/>
            <w:gridSpan w:val="2"/>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580" w:type="dxa"/>
            <w:vAlign w:val="bottom"/>
            <w:gridSpan w:val="3"/>
            <w:vMerge w:val="continue"/>
          </w:tcPr>
          <w:p>
            <w:pPr>
              <w:spacing w:after="0"/>
              <w:rPr>
                <w:sz w:val="20"/>
                <w:szCs w:val="20"/>
                <w:color w:val="auto"/>
              </w:rPr>
            </w:pPr>
          </w:p>
        </w:tc>
        <w:tc>
          <w:tcPr>
            <w:tcW w:w="1280" w:type="dxa"/>
            <w:vAlign w:val="bottom"/>
            <w:gridSpan w:val="2"/>
          </w:tcPr>
          <w:p>
            <w:pPr>
              <w:ind w:left="240"/>
              <w:spacing w:after="0" w:line="237" w:lineRule="exact"/>
              <w:rPr>
                <w:sz w:val="20"/>
                <w:szCs w:val="20"/>
                <w:color w:val="auto"/>
              </w:rPr>
            </w:pP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23"/>
                <w:szCs w:val="23"/>
                <w:b w:val="1"/>
                <w:bCs w:val="1"/>
                <w:color w:val="auto"/>
                <w:vertAlign w:val="superscript"/>
              </w:rPr>
              <w:t>(h)</w:t>
            </w:r>
          </w:p>
        </w:tc>
        <w:tc>
          <w:tcPr>
            <w:tcW w:w="1920" w:type="dxa"/>
            <w:vAlign w:val="bottom"/>
            <w:gridSpan w:val="2"/>
            <w:vMerge w:val="continue"/>
          </w:tcPr>
          <w:p>
            <w:pPr>
              <w:spacing w:after="0"/>
              <w:rPr>
                <w:sz w:val="20"/>
                <w:szCs w:val="20"/>
                <w:color w:val="auto"/>
              </w:rPr>
            </w:pP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74"/>
        </w:trPr>
        <w:tc>
          <w:tcPr>
            <w:tcW w:w="17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7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2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580" w:type="dxa"/>
            <w:vAlign w:val="bottom"/>
            <w:gridSpan w:val="3"/>
            <w:shd w:val="clear" w:color="auto" w:fill="ACACAC"/>
          </w:tcPr>
          <w:p>
            <w:pPr>
              <w:ind w:left="380"/>
              <w:spacing w:after="0"/>
              <w:rPr>
                <w:sz w:val="20"/>
                <w:szCs w:val="20"/>
                <w:color w:val="auto"/>
              </w:rPr>
            </w:pPr>
            <w:r>
              <w:rPr>
                <w:rFonts w:ascii="Times New Roman" w:cs="Times New Roman" w:eastAsia="Times New Roman" w:hAnsi="Times New Roman"/>
                <w:sz w:val="18"/>
                <w:szCs w:val="18"/>
                <w:b w:val="1"/>
                <w:bCs w:val="1"/>
                <w:color w:val="auto"/>
                <w:w w:val="98"/>
              </w:rPr>
              <w:t>Ophthalmology</w:t>
            </w:r>
          </w:p>
        </w:tc>
        <w:tc>
          <w:tcPr>
            <w:tcW w:w="12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860" w:type="dxa"/>
            <w:vAlign w:val="bottom"/>
            <w:gridSpan w:val="2"/>
            <w:shd w:val="clear" w:color="auto" w:fill="CCEEFF"/>
          </w:tcPr>
          <w:p>
            <w:pPr>
              <w:jc w:val="center"/>
              <w:ind w:right="80"/>
              <w:spacing w:after="0" w:line="183" w:lineRule="exact"/>
              <w:rPr>
                <w:sz w:val="20"/>
                <w:szCs w:val="20"/>
                <w:color w:val="auto"/>
              </w:rPr>
            </w:pPr>
            <w:r>
              <w:rPr>
                <w:rFonts w:ascii="Times New Roman" w:cs="Times New Roman" w:eastAsia="Times New Roman" w:hAnsi="Times New Roman"/>
                <w:sz w:val="16"/>
                <w:szCs w:val="16"/>
                <w:b w:val="1"/>
                <w:bCs w:val="1"/>
                <w:color w:val="auto"/>
              </w:rPr>
              <w:t>EYLEA (aflibercept)</w:t>
            </w:r>
            <w:r>
              <w:rPr>
                <w:rFonts w:ascii="Times New Roman" w:cs="Times New Roman" w:eastAsia="Times New Roman" w:hAnsi="Times New Roman"/>
                <w:sz w:val="21"/>
                <w:szCs w:val="21"/>
                <w:b w:val="1"/>
                <w:bCs w:val="1"/>
                <w:color w:val="auto"/>
                <w:vertAlign w:val="superscript"/>
              </w:rPr>
              <w:t>(a)</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–ROP</w:t>
            </w:r>
            <w:r>
              <w:rPr>
                <w:rFonts w:ascii="Times New Roman" w:cs="Times New Roman" w:eastAsia="Times New Roman" w:hAnsi="Times New Roman"/>
                <w:sz w:val="21"/>
                <w:szCs w:val="21"/>
                <w:color w:val="auto"/>
                <w:vertAlign w:val="superscript"/>
              </w:rPr>
              <w:t>(c)</w:t>
            </w:r>
          </w:p>
        </w:tc>
        <w:tc>
          <w:tcPr>
            <w:tcW w:w="12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–ROP (U.S.,</w:t>
            </w:r>
          </w:p>
        </w:tc>
        <w:tc>
          <w:tcPr>
            <w:tcW w:w="19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–Granted pediatric</w:t>
            </w:r>
          </w:p>
        </w:tc>
        <w:tc>
          <w:tcPr>
            <w:tcW w:w="18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–FDA decision on</w:t>
            </w:r>
          </w:p>
        </w:tc>
        <w:tc>
          <w:tcPr>
            <w:tcW w:w="0" w:type="dxa"/>
            <w:vAlign w:val="bottom"/>
          </w:tcPr>
          <w:p>
            <w:pPr>
              <w:spacing w:after="0"/>
              <w:rPr>
                <w:sz w:val="1"/>
                <w:szCs w:val="1"/>
                <w:color w:val="auto"/>
              </w:rPr>
            </w:pPr>
          </w:p>
        </w:tc>
      </w:tr>
      <w:tr>
        <w:trPr>
          <w:trHeight w:val="179"/>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EU)</w:t>
            </w:r>
          </w:p>
        </w:tc>
        <w:tc>
          <w:tcPr>
            <w:tcW w:w="192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exclusivity by U.S. Food</w:t>
            </w:r>
          </w:p>
        </w:tc>
        <w:tc>
          <w:tcPr>
            <w:tcW w:w="18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supplemental Biologics</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–Every-16-</w:t>
            </w:r>
          </w:p>
        </w:tc>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and Drug Administration</w:t>
            </w: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License Application</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("FDA") in connection</w:t>
            </w: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("sBLA") for ROP</w:t>
            </w:r>
          </w:p>
        </w:tc>
        <w:tc>
          <w:tcPr>
            <w:tcW w:w="0" w:type="dxa"/>
            <w:vAlign w:val="bottom"/>
          </w:tcPr>
          <w:p>
            <w:pPr>
              <w:spacing w:after="0"/>
              <w:rPr>
                <w:sz w:val="1"/>
                <w:szCs w:val="1"/>
                <w:color w:val="auto"/>
              </w:rPr>
            </w:pPr>
          </w:p>
        </w:tc>
      </w:tr>
      <w:tr>
        <w:trPr>
          <w:trHeight w:val="187"/>
        </w:trPr>
        <w:tc>
          <w:tcPr>
            <w:tcW w:w="1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weeks dosing</w:t>
            </w:r>
          </w:p>
        </w:tc>
        <w:tc>
          <w:tcPr>
            <w:tcW w:w="192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with ROP study,</w:t>
            </w:r>
          </w:p>
        </w:tc>
        <w:tc>
          <w:tcPr>
            <w:tcW w:w="18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(target action date of</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regimen in</w:t>
            </w:r>
          </w:p>
        </w:tc>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extending period of</w:t>
            </w: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February 11, 2023)</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patients with</w:t>
            </w:r>
          </w:p>
        </w:tc>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EYLEA U.S. market</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(U.S.)</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exclusivity by six</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–FDA decision on sBLA</w:t>
            </w:r>
          </w:p>
        </w:tc>
        <w:tc>
          <w:tcPr>
            <w:tcW w:w="0" w:type="dxa"/>
            <w:vAlign w:val="bottom"/>
          </w:tcPr>
          <w:p>
            <w:pPr>
              <w:spacing w:after="0"/>
              <w:rPr>
                <w:sz w:val="1"/>
                <w:szCs w:val="1"/>
                <w:color w:val="auto"/>
              </w:rPr>
            </w:pPr>
          </w:p>
        </w:tc>
      </w:tr>
      <w:tr>
        <w:trPr>
          <w:trHeight w:val="187"/>
        </w:trPr>
        <w:tc>
          <w:tcPr>
            <w:tcW w:w="1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months through May 17,</w:t>
            </w:r>
          </w:p>
        </w:tc>
        <w:tc>
          <w:tcPr>
            <w:tcW w:w="18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for every-16-weeks</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dosing regimen in</w:t>
            </w: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patients with DR (target</w:t>
            </w:r>
          </w:p>
        </w:tc>
        <w:tc>
          <w:tcPr>
            <w:tcW w:w="0" w:type="dxa"/>
            <w:vAlign w:val="bottom"/>
          </w:tcPr>
          <w:p>
            <w:pPr>
              <w:spacing w:after="0"/>
              <w:rPr>
                <w:sz w:val="1"/>
                <w:szCs w:val="1"/>
                <w:color w:val="auto"/>
              </w:rPr>
            </w:pPr>
          </w:p>
        </w:tc>
      </w:tr>
      <w:tr>
        <w:trPr>
          <w:trHeight w:val="179"/>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–Approved by Ministry</w:t>
            </w:r>
          </w:p>
        </w:tc>
        <w:tc>
          <w:tcPr>
            <w:tcW w:w="18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action date of February</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of Health, Labour and</w:t>
            </w: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28, 2023)</w:t>
            </w: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Welfare ("MHLW") for</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ROP in Japan</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6"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b w:val="1"/>
          <w:bCs w:val="1"/>
          <w:color w:val="auto"/>
        </w:rPr>
        <w:t>Aflibercept 8 mg</w:t>
      </w:r>
      <w:r>
        <w:rPr>
          <w:rFonts w:ascii="Times New Roman" w:cs="Times New Roman" w:eastAsia="Times New Roman" w:hAnsi="Times New Roman"/>
          <w:sz w:val="22"/>
          <w:szCs w:val="22"/>
          <w:b w:val="1"/>
          <w:bCs w:val="1"/>
          <w:color w:val="auto"/>
          <w:vertAlign w:val="superscript"/>
        </w:rPr>
        <w:t>(a)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640" w:type="dxa"/>
            <w:vAlign w:val="bottom"/>
          </w:tcPr>
          <w:p>
            <w:pPr>
              <w:ind w:left="160"/>
              <w:spacing w:after="0" w:line="182" w:lineRule="exact"/>
              <w:rPr>
                <w:sz w:val="20"/>
                <w:szCs w:val="20"/>
                <w:color w:val="auto"/>
              </w:rPr>
            </w:pPr>
            <w:r>
              <w:rPr>
                <w:rFonts w:ascii="Times New Roman" w:cs="Times New Roman" w:eastAsia="Times New Roman" w:hAnsi="Times New Roman"/>
                <w:sz w:val="18"/>
                <w:szCs w:val="18"/>
                <w:color w:val="auto"/>
              </w:rPr>
              <w:t>–Wet AMD</w:t>
            </w:r>
          </w:p>
        </w:tc>
        <w:tc>
          <w:tcPr>
            <w:tcW w:w="218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rPr>
              <w:t>–Reported that Phase 3</w:t>
            </w:r>
          </w:p>
        </w:tc>
        <w:tc>
          <w:tcPr>
            <w:tcW w:w="182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–Submit BLA for wet</w:t>
            </w:r>
          </w:p>
        </w:tc>
        <w:tc>
          <w:tcPr>
            <w:tcW w:w="0" w:type="dxa"/>
            <w:vAlign w:val="bottom"/>
          </w:tcPr>
          <w:p>
            <w:pPr>
              <w:spacing w:after="0"/>
              <w:rPr>
                <w:sz w:val="1"/>
                <w:szCs w:val="1"/>
                <w:color w:val="auto"/>
              </w:rPr>
            </w:pPr>
          </w:p>
        </w:tc>
      </w:tr>
      <w:tr>
        <w:trPr>
          <w:trHeight w:val="179"/>
        </w:trPr>
        <w:tc>
          <w:tcPr>
            <w:tcW w:w="2640" w:type="dxa"/>
            <w:vAlign w:val="bottom"/>
          </w:tcPr>
          <w:p>
            <w:pPr>
              <w:spacing w:after="0"/>
              <w:rPr>
                <w:sz w:val="15"/>
                <w:szCs w:val="15"/>
                <w:color w:val="auto"/>
              </w:rPr>
            </w:pPr>
          </w:p>
        </w:tc>
        <w:tc>
          <w:tcPr>
            <w:tcW w:w="2180" w:type="dxa"/>
            <w:vAlign w:val="bottom"/>
          </w:tcPr>
          <w:p>
            <w:pPr>
              <w:ind w:left="380"/>
              <w:spacing w:after="0" w:line="179" w:lineRule="exact"/>
              <w:rPr>
                <w:sz w:val="20"/>
                <w:szCs w:val="20"/>
                <w:color w:val="auto"/>
              </w:rPr>
            </w:pPr>
            <w:r>
              <w:rPr>
                <w:rFonts w:ascii="Times New Roman" w:cs="Times New Roman" w:eastAsia="Times New Roman" w:hAnsi="Times New Roman"/>
                <w:sz w:val="18"/>
                <w:szCs w:val="18"/>
                <w:color w:val="auto"/>
              </w:rPr>
              <w:t>trials in wet AMD and</w:t>
            </w:r>
          </w:p>
        </w:tc>
        <w:tc>
          <w:tcPr>
            <w:tcW w:w="1820" w:type="dxa"/>
            <w:vAlign w:val="bottom"/>
          </w:tcPr>
          <w:p>
            <w:pPr>
              <w:ind w:left="120"/>
              <w:spacing w:after="0" w:line="179" w:lineRule="exact"/>
              <w:rPr>
                <w:sz w:val="20"/>
                <w:szCs w:val="20"/>
                <w:color w:val="auto"/>
              </w:rPr>
            </w:pPr>
            <w:r>
              <w:rPr>
                <w:rFonts w:ascii="Times New Roman" w:cs="Times New Roman" w:eastAsia="Times New Roman" w:hAnsi="Times New Roman"/>
                <w:sz w:val="18"/>
                <w:szCs w:val="18"/>
                <w:color w:val="auto"/>
                <w:w w:val="97"/>
              </w:rPr>
              <w:t>AMD and DME (fourth</w:t>
            </w:r>
          </w:p>
        </w:tc>
        <w:tc>
          <w:tcPr>
            <w:tcW w:w="0" w:type="dxa"/>
            <w:vAlign w:val="bottom"/>
          </w:tcPr>
          <w:p>
            <w:pPr>
              <w:spacing w:after="0"/>
              <w:rPr>
                <w:sz w:val="1"/>
                <w:szCs w:val="1"/>
                <w:color w:val="auto"/>
              </w:rPr>
            </w:pPr>
          </w:p>
        </w:tc>
      </w:tr>
      <w:tr>
        <w:trPr>
          <w:trHeight w:val="174"/>
        </w:trPr>
        <w:tc>
          <w:tcPr>
            <w:tcW w:w="2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–DME</w:t>
            </w:r>
          </w:p>
        </w:tc>
        <w:tc>
          <w:tcPr>
            <w:tcW w:w="2180" w:type="dxa"/>
            <w:vAlign w:val="bottom"/>
          </w:tcPr>
          <w:p>
            <w:pPr>
              <w:ind w:left="380"/>
              <w:spacing w:after="0" w:line="174" w:lineRule="exact"/>
              <w:rPr>
                <w:sz w:val="20"/>
                <w:szCs w:val="20"/>
                <w:color w:val="auto"/>
              </w:rPr>
            </w:pPr>
            <w:r>
              <w:rPr>
                <w:rFonts w:ascii="Times New Roman" w:cs="Times New Roman" w:eastAsia="Times New Roman" w:hAnsi="Times New Roman"/>
                <w:sz w:val="18"/>
                <w:szCs w:val="18"/>
                <w:color w:val="auto"/>
              </w:rPr>
              <w:t>DME met their primary</w:t>
            </w:r>
          </w:p>
        </w:tc>
        <w:tc>
          <w:tcPr>
            <w:tcW w:w="1820" w:type="dxa"/>
            <w:vAlign w:val="bottom"/>
          </w:tcPr>
          <w:p>
            <w:pPr>
              <w:ind w:left="120"/>
              <w:spacing w:after="0" w:line="174" w:lineRule="exact"/>
              <w:rPr>
                <w:sz w:val="20"/>
                <w:szCs w:val="20"/>
                <w:color w:val="auto"/>
              </w:rPr>
            </w:pPr>
            <w:r>
              <w:rPr>
                <w:rFonts w:ascii="Times New Roman" w:cs="Times New Roman" w:eastAsia="Times New Roman" w:hAnsi="Times New Roman"/>
                <w:sz w:val="18"/>
                <w:szCs w:val="18"/>
                <w:color w:val="auto"/>
              </w:rPr>
              <w:t>quarter 2022)</w:t>
            </w:r>
          </w:p>
        </w:tc>
        <w:tc>
          <w:tcPr>
            <w:tcW w:w="0" w:type="dxa"/>
            <w:vAlign w:val="bottom"/>
          </w:tcPr>
          <w:p>
            <w:pPr>
              <w:spacing w:after="0"/>
              <w:rPr>
                <w:sz w:val="1"/>
                <w:szCs w:val="1"/>
                <w:color w:val="auto"/>
              </w:rPr>
            </w:pPr>
          </w:p>
        </w:tc>
      </w:tr>
      <w:tr>
        <w:trPr>
          <w:trHeight w:val="121"/>
        </w:trPr>
        <w:tc>
          <w:tcPr>
            <w:tcW w:w="2640" w:type="dxa"/>
            <w:vAlign w:val="bottom"/>
            <w:vMerge w:val="continue"/>
          </w:tcPr>
          <w:p>
            <w:pPr>
              <w:spacing w:after="0"/>
              <w:rPr>
                <w:sz w:val="10"/>
                <w:szCs w:val="10"/>
                <w:color w:val="auto"/>
              </w:rPr>
            </w:pPr>
          </w:p>
        </w:tc>
        <w:tc>
          <w:tcPr>
            <w:tcW w:w="21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endpoints</w:t>
            </w: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640" w:type="dxa"/>
            <w:vAlign w:val="bottom"/>
          </w:tcPr>
          <w:p>
            <w:pPr>
              <w:spacing w:after="0"/>
              <w:rPr>
                <w:sz w:val="9"/>
                <w:szCs w:val="9"/>
                <w:color w:val="auto"/>
              </w:rPr>
            </w:pPr>
          </w:p>
        </w:tc>
        <w:tc>
          <w:tcPr>
            <w:tcW w:w="218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Immunology &amp; Inflammation</w:t>
            </w:r>
          </w:p>
        </w:tc>
        <w:tc>
          <w:tcPr>
            <w:tcW w:w="21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-144145</wp:posOffset>
            </wp:positionV>
            <wp:extent cx="7133590" cy="144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780" w:space="720"/>
            <w:col w:w="6740"/>
          </w:cols>
          <w:pgMar w:left="320" w:top="366" w:right="339" w:bottom="1440" w:gutter="0" w:footer="0" w:header="0"/>
          <w:type w:val="continuous"/>
        </w:sectPr>
      </w:pPr>
    </w:p>
    <w:p>
      <w:pPr>
        <w:ind w:left="20"/>
        <w:spacing w:after="0" w:line="220" w:lineRule="auto"/>
        <w:rPr>
          <w:sz w:val="20"/>
          <w:szCs w:val="20"/>
          <w:color w:val="auto"/>
        </w:rPr>
      </w:pPr>
      <w:r>
        <w:rPr>
          <w:rFonts w:ascii="Times New Roman" w:cs="Times New Roman" w:eastAsia="Times New Roman" w:hAnsi="Times New Roman"/>
          <w:sz w:val="18"/>
          <w:szCs w:val="18"/>
          <w:b w:val="1"/>
          <w:bCs w:val="1"/>
          <w:color w:val="auto"/>
        </w:rPr>
        <w:t>Dupixent (dupilumab)</w:t>
      </w:r>
    </w:p>
    <w:p>
      <w:pPr>
        <w:ind w:left="20"/>
        <w:spacing w:after="0"/>
        <w:rPr>
          <w:sz w:val="20"/>
          <w:szCs w:val="20"/>
          <w:color w:val="auto"/>
        </w:rPr>
      </w:pPr>
      <w:r>
        <w:rPr>
          <w:rFonts w:ascii="Times New Roman" w:cs="Times New Roman" w:eastAsia="Times New Roman" w:hAnsi="Times New Roman"/>
          <w:sz w:val="12"/>
          <w:szCs w:val="12"/>
          <w:b w:val="1"/>
          <w:bCs w:val="1"/>
          <w:color w:val="auto"/>
        </w:rPr>
        <w:t>(b)</w:t>
      </w:r>
    </w:p>
    <w:p>
      <w:pPr>
        <w:spacing w:after="0" w:line="13" w:lineRule="exact"/>
        <w:rPr>
          <w:sz w:val="20"/>
          <w:szCs w:val="20"/>
          <w:color w:val="auto"/>
        </w:rPr>
      </w:pPr>
    </w:p>
    <w:p>
      <w:pPr>
        <w:ind w:left="20" w:right="680"/>
        <w:spacing w:after="0" w:line="249" w:lineRule="auto"/>
        <w:rPr>
          <w:sz w:val="20"/>
          <w:szCs w:val="20"/>
          <w:color w:val="auto"/>
        </w:rPr>
      </w:pPr>
      <w:r>
        <w:rPr>
          <w:rFonts w:ascii="Times New Roman" w:cs="Times New Roman" w:eastAsia="Times New Roman" w:hAnsi="Times New Roman"/>
          <w:sz w:val="18"/>
          <w:szCs w:val="18"/>
          <w:i w:val="1"/>
          <w:iCs w:val="1"/>
          <w:color w:val="auto"/>
        </w:rPr>
        <w:t>Antibody to IL-4R alpha subunit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–Grass allergy</w:t>
      </w:r>
      <w:r>
        <w:rPr>
          <w:sz w:val="20"/>
          <w:szCs w:val="20"/>
          <w:color w:val="auto"/>
        </w:rPr>
        <w:tab/>
      </w:r>
      <w:r>
        <w:rPr>
          <w:rFonts w:ascii="Times New Roman" w:cs="Times New Roman" w:eastAsia="Times New Roman" w:hAnsi="Times New Roman"/>
          <w:sz w:val="17"/>
          <w:szCs w:val="17"/>
          <w:color w:val="auto"/>
        </w:rPr>
        <w:t>–EoE in pediatrics</w:t>
      </w:r>
      <w:r>
        <w:rPr>
          <w:rFonts w:ascii="Times New Roman" w:cs="Times New Roman" w:eastAsia="Times New Roman" w:hAnsi="Times New Roman"/>
          <w:sz w:val="22"/>
          <w:szCs w:val="22"/>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-2001520</wp:posOffset>
            </wp:positionH>
            <wp:positionV relativeFrom="paragraph">
              <wp:posOffset>-156845</wp:posOffset>
            </wp:positionV>
            <wp:extent cx="7133590" cy="3099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3590" cy="3099435"/>
                    </a:xfrm>
                    <a:prstGeom prst="rect">
                      <a:avLst/>
                    </a:prstGeom>
                    <a:noFill/>
                  </pic:spPr>
                </pic:pic>
              </a:graphicData>
            </a:graphic>
          </wp:anchor>
        </w:drawing>
      </w:r>
    </w:p>
    <w:p>
      <w:pPr>
        <w:spacing w:after="0" w:line="14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–Chronic</w:t>
      </w:r>
    </w:p>
    <w:p>
      <w:pPr>
        <w:ind w:left="1500"/>
        <w:spacing w:after="0" w:line="201" w:lineRule="auto"/>
        <w:rPr>
          <w:sz w:val="20"/>
          <w:szCs w:val="20"/>
          <w:color w:val="auto"/>
        </w:rPr>
      </w:pPr>
      <w:r>
        <w:rPr>
          <w:rFonts w:ascii="Times New Roman" w:cs="Times New Roman" w:eastAsia="Times New Roman" w:hAnsi="Times New Roman"/>
          <w:sz w:val="18"/>
          <w:szCs w:val="18"/>
          <w:color w:val="auto"/>
        </w:rPr>
        <w:t>obstructive</w:t>
      </w:r>
    </w:p>
    <w:p>
      <w:pPr>
        <w:ind w:left="1500"/>
        <w:spacing w:after="0" w:line="217" w:lineRule="auto"/>
        <w:rPr>
          <w:sz w:val="20"/>
          <w:szCs w:val="20"/>
          <w:color w:val="auto"/>
        </w:rPr>
      </w:pPr>
      <w:r>
        <w:rPr>
          <w:rFonts w:ascii="Times New Roman" w:cs="Times New Roman" w:eastAsia="Times New Roman" w:hAnsi="Times New Roman"/>
          <w:sz w:val="18"/>
          <w:szCs w:val="18"/>
          <w:color w:val="auto"/>
        </w:rPr>
        <w:t>pulmonary disease</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("COPD")</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–Bullous</w:t>
      </w:r>
    </w:p>
    <w:p>
      <w:pPr>
        <w:ind w:left="1500"/>
        <w:spacing w:after="0" w:line="204" w:lineRule="auto"/>
        <w:rPr>
          <w:sz w:val="20"/>
          <w:szCs w:val="20"/>
          <w:color w:val="auto"/>
        </w:rPr>
      </w:pPr>
      <w:r>
        <w:rPr>
          <w:rFonts w:ascii="Times New Roman" w:cs="Times New Roman" w:eastAsia="Times New Roman" w:hAnsi="Times New Roman"/>
          <w:sz w:val="18"/>
          <w:szCs w:val="18"/>
          <w:color w:val="auto"/>
        </w:rPr>
        <w:t>pemphigoid (Phase</w:t>
      </w:r>
    </w:p>
    <w:p>
      <w:pPr>
        <w:ind w:left="1500"/>
        <w:spacing w:after="0"/>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23"/>
          <w:szCs w:val="23"/>
          <w:color w:val="auto"/>
          <w:vertAlign w:val="superscript"/>
        </w:rPr>
        <w:t>(c)</w:t>
      </w:r>
    </w:p>
    <w:p>
      <w:pPr>
        <w:spacing w:after="0" w:line="1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–Chronic</w:t>
      </w:r>
    </w:p>
    <w:p>
      <w:pPr>
        <w:ind w:left="1500"/>
        <w:spacing w:after="0" w:line="217" w:lineRule="auto"/>
        <w:rPr>
          <w:sz w:val="20"/>
          <w:szCs w:val="20"/>
          <w:color w:val="auto"/>
        </w:rPr>
      </w:pPr>
      <w:r>
        <w:rPr>
          <w:rFonts w:ascii="Times New Roman" w:cs="Times New Roman" w:eastAsia="Times New Roman" w:hAnsi="Times New Roman"/>
          <w:sz w:val="18"/>
          <w:szCs w:val="18"/>
          <w:color w:val="auto"/>
        </w:rPr>
        <w:t>spontaneous</w:t>
      </w:r>
    </w:p>
    <w:p>
      <w:pPr>
        <w:ind w:left="1500"/>
        <w:spacing w:after="0"/>
        <w:rPr>
          <w:sz w:val="20"/>
          <w:szCs w:val="20"/>
          <w:color w:val="auto"/>
        </w:rPr>
      </w:pPr>
      <w:r>
        <w:rPr>
          <w:rFonts w:ascii="Times New Roman" w:cs="Times New Roman" w:eastAsia="Times New Roman" w:hAnsi="Times New Roman"/>
          <w:sz w:val="18"/>
          <w:szCs w:val="18"/>
          <w:color w:val="auto"/>
        </w:rPr>
        <w:t>urticaria ("CSU")</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–Atopic</w:t>
            </w:r>
          </w:p>
        </w:tc>
        <w:tc>
          <w:tcPr>
            <w:tcW w:w="1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–Approved by FDA for</w:t>
            </w: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–EC decision on</w:t>
            </w:r>
          </w:p>
        </w:tc>
        <w:tc>
          <w:tcPr>
            <w:tcW w:w="0" w:type="dxa"/>
            <w:vAlign w:val="bottom"/>
          </w:tcPr>
          <w:p>
            <w:pPr>
              <w:spacing w:after="0"/>
              <w:rPr>
                <w:sz w:val="1"/>
                <w:szCs w:val="1"/>
                <w:color w:val="auto"/>
              </w:rPr>
            </w:pPr>
          </w:p>
        </w:tc>
      </w:tr>
      <w:tr>
        <w:trPr>
          <w:trHeight w:val="179"/>
        </w:trPr>
        <w:tc>
          <w:tcPr>
            <w:tcW w:w="124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dermatitis in</w:t>
            </w:r>
          </w:p>
        </w:tc>
        <w:tc>
          <w:tcPr>
            <w:tcW w:w="1900" w:type="dxa"/>
            <w:vAlign w:val="bottom"/>
          </w:tcPr>
          <w:p>
            <w:pPr>
              <w:ind w:left="60"/>
              <w:spacing w:after="0" w:line="179" w:lineRule="exact"/>
              <w:rPr>
                <w:sz w:val="20"/>
                <w:szCs w:val="20"/>
                <w:color w:val="auto"/>
              </w:rPr>
            </w:pPr>
            <w:r>
              <w:rPr>
                <w:rFonts w:ascii="Times New Roman" w:cs="Times New Roman" w:eastAsia="Times New Roman" w:hAnsi="Times New Roman"/>
                <w:sz w:val="18"/>
                <w:szCs w:val="18"/>
                <w:color w:val="auto"/>
              </w:rPr>
              <w:t>atopic dermatitis in</w:t>
            </w:r>
          </w:p>
        </w:tc>
        <w:tc>
          <w:tcPr>
            <w:tcW w:w="1860" w:type="dxa"/>
            <w:vAlign w:val="bottom"/>
          </w:tcPr>
          <w:p>
            <w:pPr>
              <w:ind w:left="80"/>
              <w:spacing w:after="0" w:line="179" w:lineRule="exact"/>
              <w:rPr>
                <w:sz w:val="20"/>
                <w:szCs w:val="20"/>
                <w:color w:val="auto"/>
              </w:rPr>
            </w:pPr>
            <w:r>
              <w:rPr>
                <w:rFonts w:ascii="Times New Roman" w:cs="Times New Roman" w:eastAsia="Times New Roman" w:hAnsi="Times New Roman"/>
                <w:sz w:val="18"/>
                <w:szCs w:val="18"/>
                <w:color w:val="auto"/>
              </w:rPr>
              <w:t>regulatory submission</w:t>
            </w:r>
          </w:p>
        </w:tc>
        <w:tc>
          <w:tcPr>
            <w:tcW w:w="0" w:type="dxa"/>
            <w:vAlign w:val="bottom"/>
          </w:tcPr>
          <w:p>
            <w:pPr>
              <w:spacing w:after="0"/>
              <w:rPr>
                <w:sz w:val="1"/>
                <w:szCs w:val="1"/>
                <w:color w:val="auto"/>
              </w:rPr>
            </w:pPr>
          </w:p>
        </w:tc>
      </w:tr>
      <w:tr>
        <w:trPr>
          <w:trHeight w:val="174"/>
        </w:trPr>
        <w:tc>
          <w:tcPr>
            <w:tcW w:w="12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pediatrics (6</w:t>
            </w:r>
          </w:p>
        </w:tc>
        <w:tc>
          <w:tcPr>
            <w:tcW w:w="1900" w:type="dxa"/>
            <w:vAlign w:val="bottom"/>
          </w:tcPr>
          <w:p>
            <w:pPr>
              <w:ind w:left="60"/>
              <w:spacing w:after="0" w:line="174" w:lineRule="exact"/>
              <w:rPr>
                <w:sz w:val="20"/>
                <w:szCs w:val="20"/>
                <w:color w:val="auto"/>
              </w:rPr>
            </w:pPr>
            <w:r>
              <w:rPr>
                <w:rFonts w:ascii="Times New Roman" w:cs="Times New Roman" w:eastAsia="Times New Roman" w:hAnsi="Times New Roman"/>
                <w:sz w:val="18"/>
                <w:szCs w:val="18"/>
                <w:color w:val="auto"/>
              </w:rPr>
              <w:t>pediatrics (6 months–5</w:t>
            </w:r>
          </w:p>
        </w:tc>
        <w:tc>
          <w:tcPr>
            <w:tcW w:w="1860" w:type="dxa"/>
            <w:vAlign w:val="bottom"/>
          </w:tcPr>
          <w:p>
            <w:pPr>
              <w:ind w:left="80"/>
              <w:spacing w:after="0" w:line="174" w:lineRule="exact"/>
              <w:rPr>
                <w:sz w:val="20"/>
                <w:szCs w:val="20"/>
                <w:color w:val="auto"/>
              </w:rPr>
            </w:pPr>
            <w:r>
              <w:rPr>
                <w:rFonts w:ascii="Times New Roman" w:cs="Times New Roman" w:eastAsia="Times New Roman" w:hAnsi="Times New Roman"/>
                <w:sz w:val="18"/>
                <w:szCs w:val="18"/>
                <w:color w:val="auto"/>
              </w:rPr>
              <w:t>for atopic dermatitis in</w:t>
            </w:r>
          </w:p>
        </w:tc>
        <w:tc>
          <w:tcPr>
            <w:tcW w:w="0" w:type="dxa"/>
            <w:vAlign w:val="bottom"/>
          </w:tcPr>
          <w:p>
            <w:pPr>
              <w:spacing w:after="0"/>
              <w:rPr>
                <w:sz w:val="1"/>
                <w:szCs w:val="1"/>
                <w:color w:val="auto"/>
              </w:rPr>
            </w:pPr>
          </w:p>
        </w:tc>
      </w:tr>
      <w:tr>
        <w:trPr>
          <w:trHeight w:val="182"/>
        </w:trPr>
        <w:tc>
          <w:tcPr>
            <w:tcW w:w="12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months–5 years</w:t>
            </w:r>
          </w:p>
        </w:tc>
        <w:tc>
          <w:tcPr>
            <w:tcW w:w="190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years of age)</w:t>
            </w:r>
          </w:p>
        </w:tc>
        <w:tc>
          <w:tcPr>
            <w:tcW w:w="186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pediatrics (6 months–5</w:t>
            </w:r>
          </w:p>
        </w:tc>
        <w:tc>
          <w:tcPr>
            <w:tcW w:w="0" w:type="dxa"/>
            <w:vAlign w:val="bottom"/>
          </w:tcPr>
          <w:p>
            <w:pPr>
              <w:spacing w:after="0"/>
              <w:rPr>
                <w:sz w:val="1"/>
                <w:szCs w:val="1"/>
                <w:color w:val="auto"/>
              </w:rPr>
            </w:pPr>
          </w:p>
        </w:tc>
      </w:tr>
      <w:tr>
        <w:trPr>
          <w:trHeight w:val="179"/>
        </w:trPr>
        <w:tc>
          <w:tcPr>
            <w:tcW w:w="124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of age) (EU)</w:t>
            </w:r>
          </w:p>
        </w:tc>
        <w:tc>
          <w:tcPr>
            <w:tcW w:w="1900" w:type="dxa"/>
            <w:vAlign w:val="bottom"/>
          </w:tcPr>
          <w:p>
            <w:pPr>
              <w:spacing w:after="0"/>
              <w:rPr>
                <w:sz w:val="15"/>
                <w:szCs w:val="15"/>
                <w:color w:val="auto"/>
              </w:rPr>
            </w:pPr>
          </w:p>
        </w:tc>
        <w:tc>
          <w:tcPr>
            <w:tcW w:w="1860" w:type="dxa"/>
            <w:vAlign w:val="bottom"/>
          </w:tcPr>
          <w:p>
            <w:pPr>
              <w:ind w:left="80"/>
              <w:spacing w:after="0" w:line="179" w:lineRule="exact"/>
              <w:rPr>
                <w:sz w:val="20"/>
                <w:szCs w:val="20"/>
                <w:color w:val="auto"/>
              </w:rPr>
            </w:pPr>
            <w:r>
              <w:rPr>
                <w:rFonts w:ascii="Times New Roman" w:cs="Times New Roman" w:eastAsia="Times New Roman" w:hAnsi="Times New Roman"/>
                <w:sz w:val="18"/>
                <w:szCs w:val="18"/>
                <w:color w:val="auto"/>
              </w:rPr>
              <w:t>years of age) (first half</w:t>
            </w:r>
          </w:p>
        </w:tc>
        <w:tc>
          <w:tcPr>
            <w:tcW w:w="0" w:type="dxa"/>
            <w:vAlign w:val="bottom"/>
          </w:tcPr>
          <w:p>
            <w:pPr>
              <w:spacing w:after="0"/>
              <w:rPr>
                <w:sz w:val="1"/>
                <w:szCs w:val="1"/>
                <w:color w:val="auto"/>
              </w:rPr>
            </w:pPr>
          </w:p>
        </w:tc>
      </w:tr>
      <w:tr>
        <w:trPr>
          <w:trHeight w:val="24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and in pediatrics</w:t>
            </w:r>
          </w:p>
        </w:tc>
        <w:tc>
          <w:tcPr>
            <w:tcW w:w="1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–Approved by European</w:t>
            </w: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74"/>
        </w:trPr>
        <w:tc>
          <w:tcPr>
            <w:tcW w:w="12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and adolescents</w:t>
            </w:r>
          </w:p>
        </w:tc>
        <w:tc>
          <w:tcPr>
            <w:tcW w:w="1900" w:type="dxa"/>
            <w:vAlign w:val="bottom"/>
          </w:tcPr>
          <w:p>
            <w:pPr>
              <w:ind w:left="60"/>
              <w:spacing w:after="0" w:line="174" w:lineRule="exact"/>
              <w:rPr>
                <w:sz w:val="20"/>
                <w:szCs w:val="20"/>
                <w:color w:val="auto"/>
              </w:rPr>
            </w:pPr>
            <w:r>
              <w:rPr>
                <w:rFonts w:ascii="Times New Roman" w:cs="Times New Roman" w:eastAsia="Times New Roman" w:hAnsi="Times New Roman"/>
                <w:sz w:val="18"/>
                <w:szCs w:val="18"/>
                <w:color w:val="auto"/>
              </w:rPr>
              <w:t>Commission ("EC") for</w:t>
            </w:r>
          </w:p>
        </w:tc>
        <w:tc>
          <w:tcPr>
            <w:tcW w:w="18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–MHLW decision on</w:t>
            </w:r>
          </w:p>
        </w:tc>
        <w:tc>
          <w:tcPr>
            <w:tcW w:w="0" w:type="dxa"/>
            <w:vAlign w:val="bottom"/>
          </w:tcPr>
          <w:p>
            <w:pPr>
              <w:spacing w:after="0"/>
              <w:rPr>
                <w:sz w:val="1"/>
                <w:szCs w:val="1"/>
                <w:color w:val="auto"/>
              </w:rPr>
            </w:pPr>
          </w:p>
        </w:tc>
      </w:tr>
      <w:tr>
        <w:trPr>
          <w:trHeight w:val="174"/>
        </w:trPr>
        <w:tc>
          <w:tcPr>
            <w:tcW w:w="12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(6 months–14</w:t>
            </w:r>
          </w:p>
        </w:tc>
        <w:tc>
          <w:tcPr>
            <w:tcW w:w="1900" w:type="dxa"/>
            <w:vAlign w:val="bottom"/>
          </w:tcPr>
          <w:p>
            <w:pPr>
              <w:ind w:left="60"/>
              <w:spacing w:after="0" w:line="174" w:lineRule="exact"/>
              <w:rPr>
                <w:sz w:val="20"/>
                <w:szCs w:val="20"/>
                <w:color w:val="auto"/>
              </w:rPr>
            </w:pPr>
            <w:r>
              <w:rPr>
                <w:rFonts w:ascii="Times New Roman" w:cs="Times New Roman" w:eastAsia="Times New Roman" w:hAnsi="Times New Roman"/>
                <w:sz w:val="18"/>
                <w:szCs w:val="18"/>
                <w:color w:val="auto"/>
              </w:rPr>
              <w:t>severe asthma in</w:t>
            </w:r>
          </w:p>
        </w:tc>
        <w:tc>
          <w:tcPr>
            <w:tcW w:w="1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2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years of age</w:t>
            </w:r>
          </w:p>
        </w:tc>
        <w:tc>
          <w:tcPr>
            <w:tcW w:w="1900" w:type="dxa"/>
            <w:vAlign w:val="bottom"/>
            <w:vMerge w:val="restart"/>
          </w:tcPr>
          <w:p>
            <w:pPr>
              <w:ind w:left="60"/>
              <w:spacing w:after="0" w:line="188" w:lineRule="exact"/>
              <w:rPr>
                <w:sz w:val="20"/>
                <w:szCs w:val="20"/>
                <w:color w:val="auto"/>
              </w:rPr>
            </w:pPr>
            <w:r>
              <w:rPr>
                <w:rFonts w:ascii="Times New Roman" w:cs="Times New Roman" w:eastAsia="Times New Roman" w:hAnsi="Times New Roman"/>
                <w:sz w:val="18"/>
                <w:szCs w:val="18"/>
                <w:color w:val="auto"/>
              </w:rPr>
              <w:t>pediatrics (6–11 years of</w:t>
            </w:r>
          </w:p>
        </w:tc>
        <w:tc>
          <w:tcPr>
            <w:tcW w:w="1860" w:type="dxa"/>
            <w:vAlign w:val="bottom"/>
            <w:vMerge w:val="restart"/>
          </w:tcPr>
          <w:p>
            <w:pPr>
              <w:ind w:left="80"/>
              <w:spacing w:after="0" w:line="188" w:lineRule="exact"/>
              <w:rPr>
                <w:sz w:val="20"/>
                <w:szCs w:val="20"/>
                <w:color w:val="auto"/>
              </w:rPr>
            </w:pPr>
            <w:r>
              <w:rPr>
                <w:rFonts w:ascii="Times New Roman" w:cs="Times New Roman" w:eastAsia="Times New Roman" w:hAnsi="Times New Roman"/>
                <w:sz w:val="18"/>
                <w:szCs w:val="18"/>
                <w:color w:val="auto"/>
              </w:rPr>
              <w:t>regulatory submission</w:t>
            </w:r>
          </w:p>
        </w:tc>
        <w:tc>
          <w:tcPr>
            <w:tcW w:w="0" w:type="dxa"/>
            <w:vAlign w:val="bottom"/>
          </w:tcPr>
          <w:p>
            <w:pPr>
              <w:spacing w:after="0"/>
              <w:rPr>
                <w:sz w:val="1"/>
                <w:szCs w:val="1"/>
                <w:color w:val="auto"/>
              </w:rPr>
            </w:pPr>
          </w:p>
        </w:tc>
      </w:tr>
      <w:tr>
        <w:trPr>
          <w:trHeight w:val="67"/>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(Japan)</w:t>
            </w:r>
          </w:p>
        </w:tc>
        <w:tc>
          <w:tcPr>
            <w:tcW w:w="1900" w:type="dxa"/>
            <w:vAlign w:val="bottom"/>
            <w:vMerge w:val="continue"/>
          </w:tcPr>
          <w:p>
            <w:pPr>
              <w:spacing w:after="0"/>
              <w:rPr>
                <w:sz w:val="5"/>
                <w:szCs w:val="5"/>
                <w:color w:val="auto"/>
              </w:rPr>
            </w:pP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240" w:type="dxa"/>
            <w:vAlign w:val="bottom"/>
            <w:vMerge w:val="continue"/>
          </w:tcPr>
          <w:p>
            <w:pPr>
              <w:spacing w:after="0"/>
              <w:rPr>
                <w:sz w:val="15"/>
                <w:szCs w:val="15"/>
                <w:color w:val="auto"/>
              </w:rPr>
            </w:pPr>
          </w:p>
        </w:tc>
        <w:tc>
          <w:tcPr>
            <w:tcW w:w="1900" w:type="dxa"/>
            <w:vAlign w:val="bottom"/>
          </w:tcPr>
          <w:p>
            <w:pPr>
              <w:ind w:left="60"/>
              <w:spacing w:after="0" w:line="174" w:lineRule="exact"/>
              <w:rPr>
                <w:sz w:val="20"/>
                <w:szCs w:val="20"/>
                <w:color w:val="auto"/>
              </w:rPr>
            </w:pPr>
            <w:r>
              <w:rPr>
                <w:rFonts w:ascii="Times New Roman" w:cs="Times New Roman" w:eastAsia="Times New Roman" w:hAnsi="Times New Roman"/>
                <w:sz w:val="18"/>
                <w:szCs w:val="18"/>
                <w:color w:val="auto"/>
              </w:rPr>
              <w:t>age)</w:t>
            </w:r>
          </w:p>
        </w:tc>
        <w:tc>
          <w:tcPr>
            <w:tcW w:w="1860" w:type="dxa"/>
            <w:vAlign w:val="bottom"/>
          </w:tcPr>
          <w:p>
            <w:pPr>
              <w:ind w:left="80"/>
              <w:spacing w:after="0" w:line="174" w:lineRule="exact"/>
              <w:rPr>
                <w:sz w:val="20"/>
                <w:szCs w:val="20"/>
                <w:color w:val="auto"/>
              </w:rPr>
            </w:pPr>
            <w:r>
              <w:rPr>
                <w:rFonts w:ascii="Times New Roman" w:cs="Times New Roman" w:eastAsia="Times New Roman" w:hAnsi="Times New Roman"/>
                <w:sz w:val="18"/>
                <w:szCs w:val="18"/>
                <w:color w:val="auto"/>
              </w:rPr>
              <w:t>for atopic dermatitis in</w:t>
            </w: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6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pediatrics and</w:t>
            </w:r>
          </w:p>
        </w:tc>
        <w:tc>
          <w:tcPr>
            <w:tcW w:w="0" w:type="dxa"/>
            <w:vAlign w:val="bottom"/>
          </w:tcPr>
          <w:p>
            <w:pPr>
              <w:spacing w:after="0"/>
              <w:rPr>
                <w:sz w:val="1"/>
                <w:szCs w:val="1"/>
                <w:color w:val="auto"/>
              </w:rPr>
            </w:pPr>
          </w:p>
        </w:tc>
      </w:tr>
      <w:tr>
        <w:trPr>
          <w:trHeight w:val="2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–EoE in adults</w:t>
            </w:r>
          </w:p>
        </w:tc>
        <w:tc>
          <w:tcPr>
            <w:tcW w:w="1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–Approved by FDA for</w:t>
            </w: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adolescents (6 months–</w:t>
            </w:r>
          </w:p>
        </w:tc>
        <w:tc>
          <w:tcPr>
            <w:tcW w:w="0" w:type="dxa"/>
            <w:vAlign w:val="bottom"/>
          </w:tcPr>
          <w:p>
            <w:pPr>
              <w:spacing w:after="0"/>
              <w:rPr>
                <w:sz w:val="1"/>
                <w:szCs w:val="1"/>
                <w:color w:val="auto"/>
              </w:rPr>
            </w:pPr>
          </w:p>
        </w:tc>
      </w:tr>
      <w:tr>
        <w:trPr>
          <w:trHeight w:val="187"/>
        </w:trPr>
        <w:tc>
          <w:tcPr>
            <w:tcW w:w="12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and adolescents</w:t>
            </w:r>
          </w:p>
        </w:tc>
        <w:tc>
          <w:tcPr>
            <w:tcW w:w="190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EoE in adults and</w:t>
            </w:r>
          </w:p>
        </w:tc>
        <w:tc>
          <w:tcPr>
            <w:tcW w:w="1860" w:type="dxa"/>
            <w:vAlign w:val="bottom"/>
          </w:tcPr>
          <w:p>
            <w:pPr>
              <w:ind w:left="80"/>
              <w:spacing w:after="0" w:line="188" w:lineRule="exact"/>
              <w:rPr>
                <w:sz w:val="20"/>
                <w:szCs w:val="20"/>
                <w:color w:val="auto"/>
              </w:rPr>
            </w:pPr>
            <w:r>
              <w:rPr>
                <w:rFonts w:ascii="Times New Roman" w:cs="Times New Roman" w:eastAsia="Times New Roman" w:hAnsi="Times New Roman"/>
                <w:sz w:val="18"/>
                <w:szCs w:val="18"/>
                <w:color w:val="auto"/>
                <w:w w:val="98"/>
              </w:rPr>
              <w:t>14 years of age) in Japan</w:t>
            </w:r>
          </w:p>
        </w:tc>
        <w:tc>
          <w:tcPr>
            <w:tcW w:w="0" w:type="dxa"/>
            <w:vAlign w:val="bottom"/>
          </w:tcPr>
          <w:p>
            <w:pPr>
              <w:spacing w:after="0"/>
              <w:rPr>
                <w:sz w:val="1"/>
                <w:szCs w:val="1"/>
                <w:color w:val="auto"/>
              </w:rPr>
            </w:pPr>
          </w:p>
        </w:tc>
      </w:tr>
      <w:tr>
        <w:trPr>
          <w:trHeight w:val="174"/>
        </w:trPr>
        <w:tc>
          <w:tcPr>
            <w:tcW w:w="12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(EU)</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adolescents</w:t>
            </w:r>
          </w:p>
        </w:tc>
        <w:tc>
          <w:tcPr>
            <w:tcW w:w="1860" w:type="dxa"/>
            <w:vAlign w:val="bottom"/>
          </w:tcPr>
          <w:p>
            <w:pPr>
              <w:ind w:left="80"/>
              <w:spacing w:after="0" w:line="174" w:lineRule="exact"/>
              <w:rPr>
                <w:sz w:val="20"/>
                <w:szCs w:val="20"/>
                <w:color w:val="auto"/>
              </w:rPr>
            </w:pPr>
            <w:r>
              <w:rPr>
                <w:rFonts w:ascii="Times New Roman" w:cs="Times New Roman" w:eastAsia="Times New Roman" w:hAnsi="Times New Roman"/>
                <w:sz w:val="18"/>
                <w:szCs w:val="18"/>
                <w:color w:val="auto"/>
              </w:rPr>
              <w:t>(second half 2023)</w:t>
            </w:r>
          </w:p>
        </w:tc>
        <w:tc>
          <w:tcPr>
            <w:tcW w:w="0" w:type="dxa"/>
            <w:vAlign w:val="bottom"/>
          </w:tcPr>
          <w:p>
            <w:pPr>
              <w:spacing w:after="0"/>
              <w:rPr>
                <w:sz w:val="1"/>
                <w:szCs w:val="1"/>
                <w:color w:val="auto"/>
              </w:rPr>
            </w:pPr>
          </w:p>
        </w:tc>
      </w:tr>
      <w:tr>
        <w:trPr>
          <w:trHeight w:val="59"/>
        </w:trPr>
        <w:tc>
          <w:tcPr>
            <w:tcW w:w="124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ectPr>
          <w:pgSz w:w="11900" w:h="16838" w:orient="portrait"/>
          <w:cols w:equalWidth="0" w:num="3">
            <w:col w:w="2440" w:space="720"/>
            <w:col w:w="2920" w:space="140"/>
            <w:col w:w="5020"/>
          </w:cols>
          <w:pgMar w:left="320" w:top="366" w:right="339" w:bottom="1440" w:gutter="0" w:footer="0" w:header="0"/>
          <w:type w:val="continuous"/>
        </w:sectPr>
      </w:pPr>
    </w:p>
    <w:tbl>
      <w:tblPr>
        <w:tblLayout w:type="fixed"/>
        <w:tblInd w:w="4660" w:type="dxa"/>
        <w:tblCellMar>
          <w:top w:w="0" w:type="dxa"/>
          <w:left w:w="0" w:type="dxa"/>
          <w:bottom w:w="0" w:type="dxa"/>
          <w:right w:w="0" w:type="dxa"/>
        </w:tblCellMar>
      </w:tblPr>
      <w:tr>
        <w:trPr>
          <w:trHeight w:val="207"/>
        </w:trPr>
        <w:tc>
          <w:tcPr>
            <w:tcW w:w="1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–Chronic inducible</w:t>
            </w: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–Prurigo</w:t>
            </w:r>
          </w:p>
        </w:tc>
        <w:tc>
          <w:tcPr>
            <w:tcW w:w="0" w:type="dxa"/>
            <w:vAlign w:val="bottom"/>
          </w:tcPr>
          <w:p>
            <w:pPr>
              <w:spacing w:after="0"/>
              <w:rPr>
                <w:sz w:val="1"/>
                <w:szCs w:val="1"/>
                <w:color w:val="auto"/>
              </w:rPr>
            </w:pPr>
          </w:p>
        </w:tc>
      </w:tr>
      <w:tr>
        <w:trPr>
          <w:trHeight w:val="174"/>
        </w:trPr>
        <w:tc>
          <w:tcPr>
            <w:tcW w:w="1460" w:type="dxa"/>
            <w:vAlign w:val="bottom"/>
            <w:vMerge w:val="continue"/>
          </w:tcPr>
          <w:p>
            <w:pPr>
              <w:spacing w:after="0"/>
              <w:rPr>
                <w:sz w:val="15"/>
                <w:szCs w:val="15"/>
                <w:color w:val="auto"/>
              </w:rPr>
            </w:pPr>
          </w:p>
        </w:tc>
        <w:tc>
          <w:tcPr>
            <w:tcW w:w="1100" w:type="dxa"/>
            <w:vAlign w:val="bottom"/>
          </w:tcPr>
          <w:p>
            <w:pPr>
              <w:ind w:left="100"/>
              <w:spacing w:after="0" w:line="174" w:lineRule="exact"/>
              <w:rPr>
                <w:sz w:val="20"/>
                <w:szCs w:val="20"/>
                <w:color w:val="auto"/>
              </w:rPr>
            </w:pPr>
            <w:r>
              <w:rPr>
                <w:rFonts w:ascii="Times New Roman" w:cs="Times New Roman" w:eastAsia="Times New Roman" w:hAnsi="Times New Roman"/>
                <w:sz w:val="18"/>
                <w:szCs w:val="18"/>
                <w:color w:val="auto"/>
                <w:w w:val="96"/>
              </w:rPr>
              <w:t>nodularis (EU</w:t>
            </w:r>
          </w:p>
        </w:tc>
        <w:tc>
          <w:tcPr>
            <w:tcW w:w="0" w:type="dxa"/>
            <w:vAlign w:val="bottom"/>
          </w:tcPr>
          <w:p>
            <w:pPr>
              <w:spacing w:after="0"/>
              <w:rPr>
                <w:sz w:val="1"/>
                <w:szCs w:val="1"/>
                <w:color w:val="auto"/>
              </w:rPr>
            </w:pPr>
          </w:p>
        </w:tc>
      </w:tr>
      <w:tr>
        <w:trPr>
          <w:trHeight w:val="23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urticaria - cold</w:t>
            </w: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Japan)</w:t>
            </w:r>
          </w:p>
        </w:tc>
        <w:tc>
          <w:tcPr>
            <w:tcW w:w="0" w:type="dxa"/>
            <w:vAlign w:val="bottom"/>
          </w:tcPr>
          <w:p>
            <w:pPr>
              <w:spacing w:after="0"/>
              <w:rPr>
                <w:sz w:val="1"/>
                <w:szCs w:val="1"/>
                <w:color w:val="auto"/>
              </w:rPr>
            </w:pPr>
          </w:p>
        </w:tc>
      </w:tr>
      <w:tr>
        <w:trPr>
          <w:trHeight w:val="315"/>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–Chronic</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46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rhinosinusitis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without nasal</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polyposis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–Allergic fungal</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rhinosinusitis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–Reported that Phase 3</w:t>
            </w:r>
          </w:p>
        </w:tc>
        <w:tc>
          <w:tcPr>
            <w:tcW w:w="1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–EC decision on</w:t>
            </w:r>
          </w:p>
        </w:tc>
        <w:tc>
          <w:tcPr>
            <w:tcW w:w="0" w:type="dxa"/>
            <w:vAlign w:val="bottom"/>
          </w:tcPr>
          <w:p>
            <w:pPr>
              <w:spacing w:after="0"/>
              <w:rPr>
                <w:sz w:val="1"/>
                <w:szCs w:val="1"/>
                <w:color w:val="auto"/>
              </w:rPr>
            </w:pPr>
          </w:p>
        </w:tc>
      </w:tr>
      <w:tr>
        <w:trPr>
          <w:trHeight w:val="120"/>
        </w:trPr>
        <w:tc>
          <w:tcPr>
            <w:tcW w:w="182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color w:val="auto"/>
              </w:rPr>
              <w:t>trial in EoE in pediatrics</w:t>
            </w:r>
          </w:p>
        </w:tc>
        <w:tc>
          <w:tcPr>
            <w:tcW w:w="1840" w:type="dxa"/>
            <w:vAlign w:val="bottom"/>
          </w:tcPr>
          <w:p>
            <w:pPr>
              <w:ind w:left="100"/>
              <w:spacing w:after="0" w:line="121" w:lineRule="exact"/>
              <w:rPr>
                <w:sz w:val="20"/>
                <w:szCs w:val="20"/>
                <w:color w:val="auto"/>
              </w:rPr>
            </w:pPr>
            <w:r>
              <w:rPr>
                <w:rFonts w:ascii="Times New Roman" w:cs="Times New Roman" w:eastAsia="Times New Roman" w:hAnsi="Times New Roman"/>
                <w:sz w:val="13"/>
                <w:szCs w:val="13"/>
                <w:color w:val="auto"/>
              </w:rPr>
              <w:t>regulatory submission</w:t>
            </w:r>
          </w:p>
        </w:tc>
        <w:tc>
          <w:tcPr>
            <w:tcW w:w="0" w:type="dxa"/>
            <w:vAlign w:val="bottom"/>
          </w:tcPr>
          <w:p>
            <w:pPr>
              <w:spacing w:after="0"/>
              <w:rPr>
                <w:sz w:val="1"/>
                <w:szCs w:val="1"/>
                <w:color w:val="auto"/>
              </w:rPr>
            </w:pPr>
          </w:p>
        </w:tc>
      </w:tr>
      <w:tr>
        <w:trPr>
          <w:trHeight w:val="67"/>
        </w:trPr>
        <w:tc>
          <w:tcPr>
            <w:tcW w:w="1820" w:type="dxa"/>
            <w:vAlign w:val="bottom"/>
            <w:vMerge w:val="continue"/>
          </w:tcPr>
          <w:p>
            <w:pPr>
              <w:spacing w:after="0"/>
              <w:rPr>
                <w:sz w:val="5"/>
                <w:szCs w:val="5"/>
                <w:color w:val="auto"/>
              </w:rPr>
            </w:pPr>
          </w:p>
        </w:tc>
        <w:tc>
          <w:tcPr>
            <w:tcW w:w="1840" w:type="dxa"/>
            <w:vAlign w:val="bottom"/>
            <w:vMerge w:val="restart"/>
          </w:tcPr>
          <w:p>
            <w:pPr>
              <w:ind w:left="100"/>
              <w:spacing w:after="0" w:line="182" w:lineRule="exact"/>
              <w:rPr>
                <w:sz w:val="20"/>
                <w:szCs w:val="20"/>
                <w:color w:val="auto"/>
              </w:rPr>
            </w:pPr>
            <w:r>
              <w:rPr>
                <w:rFonts w:ascii="Times New Roman" w:cs="Times New Roman" w:eastAsia="Times New Roman" w:hAnsi="Times New Roman"/>
                <w:sz w:val="18"/>
                <w:szCs w:val="18"/>
                <w:color w:val="auto"/>
              </w:rPr>
              <w:t>for EoE in adults and</w:t>
            </w:r>
          </w:p>
        </w:tc>
        <w:tc>
          <w:tcPr>
            <w:tcW w:w="0" w:type="dxa"/>
            <w:vAlign w:val="bottom"/>
          </w:tcPr>
          <w:p>
            <w:pPr>
              <w:spacing w:after="0"/>
              <w:rPr>
                <w:sz w:val="1"/>
                <w:szCs w:val="1"/>
                <w:color w:val="auto"/>
              </w:rPr>
            </w:pPr>
          </w:p>
        </w:tc>
      </w:tr>
      <w:tr>
        <w:trPr>
          <w:trHeight w:val="115"/>
        </w:trPr>
        <w:tc>
          <w:tcPr>
            <w:tcW w:w="1820" w:type="dxa"/>
            <w:vAlign w:val="bottom"/>
            <w:vMerge w:val="restart"/>
          </w:tcPr>
          <w:p>
            <w:pPr>
              <w:spacing w:after="0" w:line="174" w:lineRule="exact"/>
              <w:rPr>
                <w:sz w:val="20"/>
                <w:szCs w:val="20"/>
                <w:color w:val="auto"/>
              </w:rPr>
            </w:pPr>
            <w:r>
              <w:rPr>
                <w:rFonts w:ascii="Times New Roman" w:cs="Times New Roman" w:eastAsia="Times New Roman" w:hAnsi="Times New Roman"/>
                <w:sz w:val="18"/>
                <w:szCs w:val="18"/>
                <w:color w:val="auto"/>
              </w:rPr>
              <w:t>(1–11 years of age) met</w:t>
            </w: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1820" w:type="dxa"/>
            <w:vAlign w:val="bottom"/>
            <w:vMerge w:val="continue"/>
          </w:tcPr>
          <w:p>
            <w:pPr>
              <w:spacing w:after="0"/>
              <w:rPr>
                <w:sz w:val="5"/>
                <w:szCs w:val="5"/>
                <w:color w:val="auto"/>
              </w:rPr>
            </w:pPr>
          </w:p>
        </w:tc>
        <w:tc>
          <w:tcPr>
            <w:tcW w:w="18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adolescents (first half</w:t>
            </w:r>
          </w:p>
        </w:tc>
        <w:tc>
          <w:tcPr>
            <w:tcW w:w="0" w:type="dxa"/>
            <w:vAlign w:val="bottom"/>
          </w:tcPr>
          <w:p>
            <w:pPr>
              <w:spacing w:after="0"/>
              <w:rPr>
                <w:sz w:val="1"/>
                <w:szCs w:val="1"/>
                <w:color w:val="auto"/>
              </w:rPr>
            </w:pPr>
          </w:p>
        </w:tc>
      </w:tr>
      <w:tr>
        <w:trPr>
          <w:trHeight w:val="174"/>
        </w:trPr>
        <w:tc>
          <w:tcPr>
            <w:tcW w:w="18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its primary endpoint</w:t>
            </w: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820" w:type="dxa"/>
            <w:vAlign w:val="bottom"/>
          </w:tcPr>
          <w:p>
            <w:pPr>
              <w:spacing w:after="0"/>
              <w:rPr>
                <w:sz w:val="20"/>
                <w:szCs w:val="20"/>
                <w:color w:val="auto"/>
              </w:rPr>
            </w:pPr>
          </w:p>
        </w:tc>
        <w:tc>
          <w:tcPr>
            <w:tcW w:w="1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95"/>
        </w:trPr>
        <w:tc>
          <w:tcPr>
            <w:tcW w:w="18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–Approved by FDA for</w:t>
            </w:r>
          </w:p>
        </w:tc>
        <w:tc>
          <w:tcPr>
            <w:tcW w:w="18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–Submit sBLA for EoE</w:t>
            </w:r>
          </w:p>
        </w:tc>
        <w:tc>
          <w:tcPr>
            <w:tcW w:w="0" w:type="dxa"/>
            <w:vAlign w:val="bottom"/>
          </w:tcPr>
          <w:p>
            <w:pPr>
              <w:spacing w:after="0"/>
              <w:rPr>
                <w:sz w:val="1"/>
                <w:szCs w:val="1"/>
                <w:color w:val="auto"/>
              </w:rPr>
            </w:pPr>
          </w:p>
        </w:tc>
      </w:tr>
      <w:tr>
        <w:trPr>
          <w:trHeight w:val="115"/>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prurigo nodularis</w:t>
            </w: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20" w:type="dxa"/>
            <w:vAlign w:val="bottom"/>
            <w:vMerge w:val="continue"/>
          </w:tcPr>
          <w:p>
            <w:pPr>
              <w:spacing w:after="0"/>
              <w:rPr>
                <w:sz w:val="10"/>
                <w:szCs w:val="10"/>
                <w:color w:val="auto"/>
              </w:rPr>
            </w:pPr>
          </w:p>
        </w:tc>
        <w:tc>
          <w:tcPr>
            <w:tcW w:w="18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8"/>
              </w:rPr>
              <w:t>in pediatrics (mid-2023)</w:t>
            </w:r>
          </w:p>
        </w:tc>
        <w:tc>
          <w:tcPr>
            <w:tcW w:w="0" w:type="dxa"/>
            <w:vAlign w:val="bottom"/>
          </w:tcPr>
          <w:p>
            <w:pPr>
              <w:spacing w:after="0"/>
              <w:rPr>
                <w:sz w:val="1"/>
                <w:szCs w:val="1"/>
                <w:color w:val="auto"/>
              </w:rPr>
            </w:pPr>
          </w:p>
        </w:tc>
      </w:tr>
      <w:tr>
        <w:trPr>
          <w:trHeight w:val="115"/>
        </w:trPr>
        <w:tc>
          <w:tcPr>
            <w:tcW w:w="182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739" w:lineRule="exact"/>
        <w:rPr>
          <w:sz w:val="20"/>
          <w:szCs w:val="20"/>
          <w:color w:val="auto"/>
        </w:rPr>
      </w:pPr>
    </w:p>
    <w:p>
      <w:pPr>
        <w:sectPr>
          <w:pgSz w:w="11900" w:h="16838" w:orient="portrait"/>
          <w:cols w:equalWidth="0" w:num="2">
            <w:col w:w="7220" w:space="300"/>
            <w:col w:w="3720"/>
          </w:cols>
          <w:pgMar w:left="320" w:top="366" w:right="3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2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1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2022 Events to Date</w:t>
            </w:r>
          </w:p>
        </w:tc>
        <w:tc>
          <w:tcPr>
            <w:tcW w:w="18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38"/>
        </w:trPr>
        <w:tc>
          <w:tcPr>
            <w:tcW w:w="1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28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280" w:type="dxa"/>
            <w:vAlign w:val="bottom"/>
            <w:gridSpan w:val="2"/>
          </w:tcPr>
          <w:p>
            <w:pPr>
              <w:ind w:left="260"/>
              <w:spacing w:after="0" w:line="237" w:lineRule="exact"/>
              <w:rPr>
                <w:sz w:val="20"/>
                <w:szCs w:val="20"/>
                <w:color w:val="auto"/>
              </w:rPr>
            </w:pP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23"/>
                <w:szCs w:val="23"/>
                <w:b w:val="1"/>
                <w:bCs w:val="1"/>
                <w:color w:val="auto"/>
                <w:vertAlign w:val="superscript"/>
              </w:rPr>
              <w:t>(h)</w:t>
            </w:r>
          </w:p>
        </w:tc>
        <w:tc>
          <w:tcPr>
            <w:tcW w:w="1920" w:type="dxa"/>
            <w:vAlign w:val="bottom"/>
            <w:gridSpan w:val="2"/>
            <w:vMerge w:val="continue"/>
          </w:tcPr>
          <w:p>
            <w:pPr>
              <w:spacing w:after="0"/>
              <w:rPr>
                <w:sz w:val="20"/>
                <w:szCs w:val="20"/>
                <w:color w:val="auto"/>
              </w:rPr>
            </w:pP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67"/>
        </w:trPr>
        <w:tc>
          <w:tcPr>
            <w:tcW w:w="178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b w:val="1"/>
                <w:bCs w:val="1"/>
                <w:color w:val="auto"/>
              </w:rPr>
              <w:t>Dupixent (dupilumab)</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–Chronic pruritus</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–Stopped one of the</w:t>
            </w:r>
          </w:p>
        </w:tc>
        <w:tc>
          <w:tcPr>
            <w:tcW w:w="8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–Report initial results</w:t>
            </w:r>
          </w:p>
        </w:tc>
        <w:tc>
          <w:tcPr>
            <w:tcW w:w="0" w:type="dxa"/>
            <w:vAlign w:val="bottom"/>
          </w:tcPr>
          <w:p>
            <w:pPr>
              <w:spacing w:after="0"/>
              <w:rPr>
                <w:sz w:val="1"/>
                <w:szCs w:val="1"/>
                <w:color w:val="auto"/>
              </w:rPr>
            </w:pPr>
          </w:p>
        </w:tc>
      </w:tr>
      <w:tr>
        <w:trPr>
          <w:trHeight w:val="113"/>
        </w:trPr>
        <w:tc>
          <w:tcPr>
            <w:tcW w:w="1860" w:type="dxa"/>
            <w:vAlign w:val="bottom"/>
            <w:gridSpan w:val="2"/>
            <w:shd w:val="clear" w:color="auto" w:fill="CCEEFF"/>
          </w:tcPr>
          <w:p>
            <w:pPr>
              <w:ind w:left="20"/>
              <w:spacing w:after="0" w:line="114" w:lineRule="exact"/>
              <w:rPr>
                <w:sz w:val="20"/>
                <w:szCs w:val="20"/>
                <w:color w:val="auto"/>
              </w:rPr>
            </w:pPr>
            <w:r>
              <w:rPr>
                <w:rFonts w:ascii="Times New Roman" w:cs="Times New Roman" w:eastAsia="Times New Roman" w:hAnsi="Times New Roman"/>
                <w:sz w:val="12"/>
                <w:szCs w:val="12"/>
                <w:b w:val="1"/>
                <w:bCs w:val="1"/>
                <w:color w:val="auto"/>
              </w:rPr>
              <w:t>(b)</w:t>
            </w: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80" w:type="dxa"/>
            <w:vAlign w:val="bottom"/>
            <w:gridSpan w:val="2"/>
            <w:vMerge w:val="restart"/>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of unknown origin</w:t>
            </w: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920" w:type="dxa"/>
            <w:vAlign w:val="bottom"/>
            <w:gridSpan w:val="2"/>
            <w:vMerge w:val="restart"/>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Phase 3 trials in CSU (in</w:t>
            </w:r>
          </w:p>
        </w:tc>
        <w:tc>
          <w:tcPr>
            <w:tcW w:w="1820" w:type="dxa"/>
            <w:vAlign w:val="bottom"/>
            <w:vMerge w:val="restart"/>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from Phase 3 study in</w:t>
            </w:r>
          </w:p>
        </w:tc>
        <w:tc>
          <w:tcPr>
            <w:tcW w:w="0" w:type="dxa"/>
            <w:vAlign w:val="bottom"/>
          </w:tcPr>
          <w:p>
            <w:pPr>
              <w:spacing w:after="0"/>
              <w:rPr>
                <w:sz w:val="1"/>
                <w:szCs w:val="1"/>
                <w:color w:val="auto"/>
              </w:rPr>
            </w:pPr>
          </w:p>
        </w:tc>
      </w:tr>
      <w:tr>
        <w:trPr>
          <w:trHeight w:val="74"/>
        </w:trPr>
        <w:tc>
          <w:tcPr>
            <w:tcW w:w="1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580" w:type="dxa"/>
            <w:vAlign w:val="bottom"/>
            <w:gridSpan w:val="2"/>
            <w:vMerge w:val="continue"/>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920" w:type="dxa"/>
            <w:vAlign w:val="bottom"/>
            <w:gridSpan w:val="2"/>
            <w:vMerge w:val="continue"/>
            <w:shd w:val="clear" w:color="auto" w:fill="CCEEFF"/>
          </w:tcPr>
          <w:p>
            <w:pPr>
              <w:spacing w:after="0"/>
              <w:rPr>
                <w:sz w:val="6"/>
                <w:szCs w:val="6"/>
                <w:color w:val="auto"/>
              </w:rPr>
            </w:pPr>
          </w:p>
        </w:tc>
        <w:tc>
          <w:tcPr>
            <w:tcW w:w="1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1860" w:type="dxa"/>
            <w:vAlign w:val="bottom"/>
            <w:gridSpan w:val="2"/>
            <w:vMerge w:val="continue"/>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patients refractory to</w:t>
            </w: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COPD (first half 2023)</w:t>
            </w: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omalizumab) due to</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futility, based on pre-</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 decision on</w:t>
            </w:r>
          </w:p>
        </w:tc>
        <w:tc>
          <w:tcPr>
            <w:tcW w:w="0" w:type="dxa"/>
            <w:vAlign w:val="bottom"/>
          </w:tcPr>
          <w:p>
            <w:pPr>
              <w:spacing w:after="0"/>
              <w:rPr>
                <w:sz w:val="1"/>
                <w:szCs w:val="1"/>
                <w:color w:val="auto"/>
              </w:rPr>
            </w:pPr>
          </w:p>
        </w:tc>
      </w:tr>
      <w:tr>
        <w:trPr>
          <w:trHeight w:val="120"/>
        </w:trPr>
        <w:tc>
          <w:tcPr>
            <w:tcW w:w="1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920" w:type="dxa"/>
            <w:vAlign w:val="bottom"/>
            <w:gridSpan w:val="2"/>
            <w:shd w:val="clear" w:color="auto" w:fill="CCEEFF"/>
          </w:tcPr>
          <w:p>
            <w:pPr>
              <w:ind w:left="20"/>
              <w:spacing w:after="0" w:line="121" w:lineRule="exact"/>
              <w:rPr>
                <w:sz w:val="20"/>
                <w:szCs w:val="20"/>
                <w:color w:val="auto"/>
              </w:rPr>
            </w:pPr>
            <w:r>
              <w:rPr>
                <w:rFonts w:ascii="Times New Roman" w:cs="Times New Roman" w:eastAsia="Times New Roman" w:hAnsi="Times New Roman"/>
                <w:sz w:val="13"/>
                <w:szCs w:val="13"/>
                <w:color w:val="auto"/>
              </w:rPr>
              <w:t>specified interim</w:t>
            </w:r>
          </w:p>
        </w:tc>
        <w:tc>
          <w:tcPr>
            <w:tcW w:w="1820" w:type="dxa"/>
            <w:vAlign w:val="bottom"/>
            <w:vMerge w:val="restart"/>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regulatory submission</w:t>
            </w:r>
          </w:p>
        </w:tc>
        <w:tc>
          <w:tcPr>
            <w:tcW w:w="0" w:type="dxa"/>
            <w:vAlign w:val="bottom"/>
          </w:tcPr>
          <w:p>
            <w:pPr>
              <w:spacing w:after="0"/>
              <w:rPr>
                <w:sz w:val="1"/>
                <w:szCs w:val="1"/>
                <w:color w:val="auto"/>
              </w:rPr>
            </w:pPr>
          </w:p>
        </w:tc>
      </w:tr>
      <w:tr>
        <w:trPr>
          <w:trHeight w:val="67"/>
        </w:trPr>
        <w:tc>
          <w:tcPr>
            <w:tcW w:w="1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analysis</w:t>
            </w:r>
          </w:p>
        </w:tc>
        <w:tc>
          <w:tcPr>
            <w:tcW w:w="1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vMerge w:val="continue"/>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for prurigo nodularis</w:t>
            </w:r>
          </w:p>
        </w:tc>
        <w:tc>
          <w:tcPr>
            <w:tcW w:w="0" w:type="dxa"/>
            <w:vAlign w:val="bottom"/>
          </w:tcPr>
          <w:p>
            <w:pPr>
              <w:spacing w:after="0"/>
              <w:rPr>
                <w:sz w:val="1"/>
                <w:szCs w:val="1"/>
                <w:color w:val="auto"/>
              </w:rPr>
            </w:pPr>
          </w:p>
        </w:tc>
      </w:tr>
      <w:tr>
        <w:trPr>
          <w:trHeight w:val="233"/>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–Initiated additional</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half 2023)</w:t>
            </w:r>
          </w:p>
        </w:tc>
        <w:tc>
          <w:tcPr>
            <w:tcW w:w="0" w:type="dxa"/>
            <w:vAlign w:val="bottom"/>
          </w:tcPr>
          <w:p>
            <w:pPr>
              <w:spacing w:after="0"/>
              <w:rPr>
                <w:sz w:val="1"/>
                <w:szCs w:val="1"/>
                <w:color w:val="auto"/>
              </w:rPr>
            </w:pPr>
          </w:p>
        </w:tc>
      </w:tr>
      <w:tr>
        <w:trPr>
          <w:trHeight w:val="128"/>
        </w:trPr>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920" w:type="dxa"/>
            <w:vAlign w:val="bottom"/>
            <w:gridSpan w:val="2"/>
            <w:vMerge w:val="continue"/>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Phase 3 trial in CSU (in</w:t>
            </w:r>
          </w:p>
        </w:tc>
        <w:tc>
          <w:tcPr>
            <w:tcW w:w="1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results from</w:t>
            </w:r>
          </w:p>
        </w:tc>
        <w:tc>
          <w:tcPr>
            <w:tcW w:w="0" w:type="dxa"/>
            <w:vAlign w:val="bottom"/>
          </w:tcPr>
          <w:p>
            <w:pPr>
              <w:spacing w:after="0"/>
              <w:rPr>
                <w:sz w:val="1"/>
                <w:szCs w:val="1"/>
                <w:color w:val="auto"/>
              </w:rPr>
            </w:pPr>
          </w:p>
        </w:tc>
      </w:tr>
      <w:tr>
        <w:trPr>
          <w:trHeight w:val="67"/>
        </w:trPr>
        <w:tc>
          <w:tcPr>
            <w:tcW w:w="1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biologic-naïve patients)</w:t>
            </w:r>
          </w:p>
        </w:tc>
        <w:tc>
          <w:tcPr>
            <w:tcW w:w="1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vMerge w:val="continue"/>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Phase 3 study in chronic</w:t>
            </w: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inducible urticaria - cold</w:t>
            </w:r>
          </w:p>
        </w:tc>
        <w:tc>
          <w:tcPr>
            <w:tcW w:w="0" w:type="dxa"/>
            <w:vAlign w:val="bottom"/>
          </w:tcPr>
          <w:p>
            <w:pPr>
              <w:spacing w:after="0"/>
              <w:rPr>
                <w:sz w:val="1"/>
                <w:szCs w:val="1"/>
                <w:color w:val="auto"/>
              </w:rPr>
            </w:pPr>
          </w:p>
        </w:tc>
      </w:tr>
      <w:tr>
        <w:trPr>
          <w:trHeight w:val="179"/>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–Discontinued further</w:t>
            </w:r>
          </w:p>
        </w:tc>
        <w:tc>
          <w:tcPr>
            <w:tcW w:w="18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(first half 2023)</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clinical development in</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peanut allergy</w:t>
            </w: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Kevzara (sarilumab)</w:t>
            </w:r>
            <w:r>
              <w:rPr>
                <w:rFonts w:ascii="Times New Roman" w:cs="Times New Roman" w:eastAsia="Times New Roman" w:hAnsi="Times New Roman"/>
                <w:sz w:val="20"/>
                <w:szCs w:val="20"/>
                <w:b w:val="1"/>
                <w:bCs w:val="1"/>
                <w:color w:val="auto"/>
                <w:vertAlign w:val="superscript"/>
              </w:rPr>
              <w:t>(b)</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–Polyarticular-</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Antibody to IL-6R</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course juvenile</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idiopathic arthritis</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("pcJIA")</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–Systemic juvenile</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idiopathic arthritis</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("sJIA")</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Itepekimab</w:t>
            </w:r>
            <w:r>
              <w:rPr>
                <w:rFonts w:ascii="Times New Roman" w:cs="Times New Roman" w:eastAsia="Times New Roman" w:hAnsi="Times New Roman"/>
                <w:sz w:val="20"/>
                <w:szCs w:val="20"/>
                <w:b w:val="1"/>
                <w:bCs w:val="1"/>
                <w:color w:val="auto"/>
                <w:vertAlign w:val="superscript"/>
              </w:rPr>
              <w:t>(b)</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–COPD</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6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(REGN3500)</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IL-33</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REGN5713-5714-5715</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–Birch allergy</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Multi-antibody therapy</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to Bet v 1</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7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2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860" w:type="dxa"/>
            <w:vAlign w:val="bottom"/>
            <w:gridSpan w:val="4"/>
            <w:shd w:val="clear" w:color="auto" w:fill="ACACAC"/>
          </w:tcPr>
          <w:p>
            <w:pPr>
              <w:ind w:left="140"/>
              <w:spacing w:after="0"/>
              <w:rPr>
                <w:sz w:val="20"/>
                <w:szCs w:val="20"/>
                <w:color w:val="auto"/>
              </w:rPr>
            </w:pPr>
            <w:r>
              <w:rPr>
                <w:rFonts w:ascii="Times New Roman" w:cs="Times New Roman" w:eastAsia="Times New Roman" w:hAnsi="Times New Roman"/>
                <w:sz w:val="18"/>
                <w:szCs w:val="18"/>
                <w:b w:val="1"/>
                <w:bCs w:val="1"/>
                <w:color w:val="auto"/>
              </w:rPr>
              <w:t>Solid Organ Oncology</w:t>
            </w:r>
          </w:p>
        </w:tc>
        <w:tc>
          <w:tcPr>
            <w:tcW w:w="18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Libtayo (cemiplimab)</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–Metastatic or</w:t>
            </w:r>
          </w:p>
        </w:tc>
        <w:tc>
          <w:tcPr>
            <w:tcW w:w="15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–First-line NSCLC,</w:t>
            </w:r>
          </w:p>
        </w:tc>
        <w:tc>
          <w:tcPr>
            <w:tcW w:w="12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–Second-line</w:t>
            </w:r>
          </w:p>
        </w:tc>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–European Medicines</w:t>
            </w: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w w:val="99"/>
              </w:rPr>
              <w:t>–FDA decision on sBLA</w:t>
            </w:r>
          </w:p>
        </w:tc>
        <w:tc>
          <w:tcPr>
            <w:tcW w:w="0" w:type="dxa"/>
            <w:vAlign w:val="bottom"/>
          </w:tcPr>
          <w:p>
            <w:pPr>
              <w:spacing w:after="0"/>
              <w:rPr>
                <w:sz w:val="1"/>
                <w:szCs w:val="1"/>
                <w:color w:val="auto"/>
              </w:rPr>
            </w:pPr>
          </w:p>
        </w:tc>
      </w:tr>
      <w:tr>
        <w:trPr>
          <w:trHeight w:val="113"/>
        </w:trPr>
        <w:tc>
          <w:tcPr>
            <w:tcW w:w="1860" w:type="dxa"/>
            <w:vAlign w:val="bottom"/>
            <w:gridSpan w:val="2"/>
            <w:shd w:val="clear" w:color="auto" w:fill="CCEEFF"/>
          </w:tcPr>
          <w:p>
            <w:pPr>
              <w:ind w:left="20"/>
              <w:spacing w:after="0" w:line="114" w:lineRule="exact"/>
              <w:rPr>
                <w:sz w:val="20"/>
                <w:szCs w:val="20"/>
                <w:color w:val="auto"/>
              </w:rPr>
            </w:pPr>
            <w:r>
              <w:rPr>
                <w:rFonts w:ascii="Times New Roman" w:cs="Times New Roman" w:eastAsia="Times New Roman" w:hAnsi="Times New Roman"/>
                <w:sz w:val="12"/>
                <w:szCs w:val="12"/>
                <w:b w:val="1"/>
                <w:bCs w:val="1"/>
                <w:color w:val="auto"/>
              </w:rPr>
              <w:t>(n)(g)</w:t>
            </w: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gridSpan w:val="2"/>
            <w:vMerge w:val="restart"/>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locally advanced</w:t>
            </w:r>
          </w:p>
        </w:tc>
        <w:tc>
          <w:tcPr>
            <w:tcW w:w="1580" w:type="dxa"/>
            <w:vAlign w:val="bottom"/>
            <w:gridSpan w:val="2"/>
            <w:vMerge w:val="restart"/>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chemotherapy</w:t>
            </w:r>
          </w:p>
        </w:tc>
        <w:tc>
          <w:tcPr>
            <w:tcW w:w="1280" w:type="dxa"/>
            <w:vAlign w:val="bottom"/>
            <w:gridSpan w:val="2"/>
            <w:vMerge w:val="restart"/>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cervical cancer</w:t>
            </w:r>
          </w:p>
        </w:tc>
        <w:tc>
          <w:tcPr>
            <w:tcW w:w="1920" w:type="dxa"/>
            <w:vAlign w:val="bottom"/>
            <w:gridSpan w:val="2"/>
            <w:vMerge w:val="restart"/>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Agency's Committee for</w:t>
            </w:r>
          </w:p>
        </w:tc>
        <w:tc>
          <w:tcPr>
            <w:tcW w:w="1820" w:type="dxa"/>
            <w:vAlign w:val="bottom"/>
            <w:vMerge w:val="restart"/>
            <w:shd w:val="clear" w:color="auto" w:fill="CCEEFF"/>
          </w:tcPr>
          <w:p>
            <w:pPr>
              <w:ind w:left="20"/>
              <w:spacing w:after="0" w:line="188" w:lineRule="exact"/>
              <w:rPr>
                <w:sz w:val="20"/>
                <w:szCs w:val="20"/>
                <w:color w:val="auto"/>
              </w:rPr>
            </w:pPr>
            <w:r>
              <w:rPr>
                <w:rFonts w:ascii="Times New Roman" w:cs="Times New Roman" w:eastAsia="Times New Roman" w:hAnsi="Times New Roman"/>
                <w:sz w:val="16"/>
                <w:szCs w:val="16"/>
                <w:color w:val="auto"/>
              </w:rPr>
              <w:t>(fourth quarter 2022)</w:t>
            </w:r>
            <w:r>
              <w:rPr>
                <w:rFonts w:ascii="Times New Roman" w:cs="Times New Roman" w:eastAsia="Times New Roman" w:hAnsi="Times New Roman"/>
                <w:sz w:val="21"/>
                <w:szCs w:val="21"/>
                <w:color w:val="auto"/>
                <w:vertAlign w:val="superscript"/>
              </w:rPr>
              <w:t>(o)</w:t>
            </w:r>
          </w:p>
        </w:tc>
        <w:tc>
          <w:tcPr>
            <w:tcW w:w="0" w:type="dxa"/>
            <w:vAlign w:val="bottom"/>
          </w:tcPr>
          <w:p>
            <w:pPr>
              <w:spacing w:after="0"/>
              <w:rPr>
                <w:sz w:val="1"/>
                <w:szCs w:val="1"/>
                <w:color w:val="auto"/>
              </w:rPr>
            </w:pPr>
          </w:p>
        </w:tc>
      </w:tr>
      <w:tr>
        <w:trPr>
          <w:trHeight w:val="74"/>
        </w:trPr>
        <w:tc>
          <w:tcPr>
            <w:tcW w:w="1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PD-1</w:t>
            </w:r>
          </w:p>
        </w:tc>
        <w:tc>
          <w:tcPr>
            <w:tcW w:w="1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1580" w:type="dxa"/>
            <w:vAlign w:val="bottom"/>
            <w:gridSpan w:val="2"/>
            <w:vMerge w:val="continue"/>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920" w:type="dxa"/>
            <w:vAlign w:val="bottom"/>
            <w:gridSpan w:val="2"/>
            <w:vMerge w:val="continue"/>
            <w:shd w:val="clear" w:color="auto" w:fill="CCEEFF"/>
          </w:tcPr>
          <w:p>
            <w:pPr>
              <w:spacing w:after="0"/>
              <w:rPr>
                <w:sz w:val="6"/>
                <w:szCs w:val="6"/>
                <w:color w:val="auto"/>
              </w:rPr>
            </w:pPr>
          </w:p>
        </w:tc>
        <w:tc>
          <w:tcPr>
            <w:tcW w:w="1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1860" w:type="dxa"/>
            <w:vAlign w:val="bottom"/>
            <w:gridSpan w:val="2"/>
            <w:vMerge w:val="continue"/>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CSCC</w:t>
            </w:r>
            <w:r>
              <w:rPr>
                <w:rFonts w:ascii="Times New Roman" w:cs="Times New Roman" w:eastAsia="Times New Roman" w:hAnsi="Times New Roman"/>
                <w:sz w:val="20"/>
                <w:szCs w:val="20"/>
                <w:color w:val="auto"/>
                <w:vertAlign w:val="superscript"/>
              </w:rPr>
              <w:t>(d)</w:t>
            </w:r>
          </w:p>
        </w:tc>
        <w:tc>
          <w:tcPr>
            <w:tcW w:w="15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combination</w:t>
            </w:r>
          </w:p>
        </w:tc>
        <w:tc>
          <w:tcPr>
            <w:tcW w:w="12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(EU and Japan)</w:t>
            </w:r>
          </w:p>
        </w:tc>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Medicinal Products for</w:t>
            </w: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and EC decision on</w:t>
            </w: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Human Use ("CHMP")</w:t>
            </w:r>
          </w:p>
        </w:tc>
        <w:tc>
          <w:tcPr>
            <w:tcW w:w="18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regulatory submission</w:t>
            </w:r>
          </w:p>
        </w:tc>
        <w:tc>
          <w:tcPr>
            <w:tcW w:w="0" w:type="dxa"/>
            <w:vAlign w:val="bottom"/>
          </w:tcPr>
          <w:p>
            <w:pPr>
              <w:spacing w:after="0"/>
              <w:rPr>
                <w:sz w:val="1"/>
                <w:szCs w:val="1"/>
                <w:color w:val="auto"/>
              </w:rPr>
            </w:pPr>
          </w:p>
        </w:tc>
      </w:tr>
      <w:tr>
        <w:trPr>
          <w:trHeight w:val="232"/>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–Neoadjuvant</w:t>
            </w: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–Second-line</w:t>
            </w: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–First-line</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adopted positive opinion</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half 2023) for</w:t>
            </w:r>
          </w:p>
        </w:tc>
        <w:tc>
          <w:tcPr>
            <w:tcW w:w="0" w:type="dxa"/>
            <w:vAlign w:val="bottom"/>
          </w:tcPr>
          <w:p>
            <w:pPr>
              <w:spacing w:after="0"/>
              <w:rPr>
                <w:sz w:val="1"/>
                <w:szCs w:val="1"/>
                <w:color w:val="auto"/>
              </w:rPr>
            </w:pPr>
          </w:p>
        </w:tc>
      </w:tr>
      <w:tr>
        <w:trPr>
          <w:trHeight w:val="187"/>
        </w:trPr>
        <w:tc>
          <w:tcPr>
            <w:tcW w:w="1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CSCC</w:t>
            </w:r>
          </w:p>
        </w:tc>
        <w:tc>
          <w:tcPr>
            <w:tcW w:w="15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6"/>
                <w:szCs w:val="16"/>
                <w:color w:val="auto"/>
              </w:rPr>
              <w:t>cervical cancer</w:t>
            </w:r>
            <w:r>
              <w:rPr>
                <w:rFonts w:ascii="Times New Roman" w:cs="Times New Roman" w:eastAsia="Times New Roman" w:hAnsi="Times New Roman"/>
                <w:sz w:val="21"/>
                <w:szCs w:val="21"/>
                <w:color w:val="auto"/>
                <w:vertAlign w:val="superscript"/>
              </w:rPr>
              <w:t>(e)</w:t>
            </w:r>
          </w:p>
        </w:tc>
        <w:tc>
          <w:tcPr>
            <w:tcW w:w="12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NSCLC,</w:t>
            </w:r>
          </w:p>
        </w:tc>
        <w:tc>
          <w:tcPr>
            <w:tcW w:w="192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for cervical cancer</w:t>
            </w:r>
          </w:p>
        </w:tc>
        <w:tc>
          <w:tcPr>
            <w:tcW w:w="18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NSCLC, chemotherapy</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chemotherapy</w:t>
            </w:r>
          </w:p>
        </w:tc>
        <w:tc>
          <w:tcPr>
            <w:tcW w:w="1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–Voluntarily withdrew</w:t>
            </w: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combination</w:t>
            </w:r>
          </w:p>
        </w:tc>
        <w:tc>
          <w:tcPr>
            <w:tcW w:w="0" w:type="dxa"/>
            <w:vAlign w:val="bottom"/>
          </w:tcPr>
          <w:p>
            <w:pPr>
              <w:spacing w:after="0"/>
              <w:rPr>
                <w:sz w:val="1"/>
                <w:szCs w:val="1"/>
                <w:color w:val="auto"/>
              </w:rPr>
            </w:pPr>
          </w:p>
        </w:tc>
      </w:tr>
      <w:tr>
        <w:trPr>
          <w:trHeight w:val="115"/>
        </w:trPr>
        <w:tc>
          <w:tcPr>
            <w:tcW w:w="1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–Second-line</w:t>
            </w:r>
          </w:p>
        </w:tc>
        <w:tc>
          <w:tcPr>
            <w:tcW w:w="15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–Adjuvant CSCC</w:t>
            </w:r>
          </w:p>
        </w:tc>
        <w:tc>
          <w:tcPr>
            <w:tcW w:w="1280" w:type="dxa"/>
            <w:vAlign w:val="bottom"/>
            <w:gridSpan w:val="2"/>
            <w:vMerge w:val="restart"/>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combination</w:t>
            </w:r>
          </w:p>
        </w:tc>
        <w:tc>
          <w:tcPr>
            <w:tcW w:w="1920" w:type="dxa"/>
            <w:vAlign w:val="bottom"/>
            <w:gridSpan w:val="2"/>
            <w:vMerge w:val="continue"/>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00" w:type="dxa"/>
            <w:vAlign w:val="bottom"/>
            <w:gridSpan w:val="2"/>
            <w:vMerge w:val="continue"/>
            <w:shd w:val="clear" w:color="auto" w:fill="CCEEFF"/>
          </w:tcPr>
          <w:p>
            <w:pPr>
              <w:spacing w:after="0"/>
              <w:rPr>
                <w:sz w:val="5"/>
                <w:szCs w:val="5"/>
                <w:color w:val="auto"/>
              </w:rPr>
            </w:pPr>
          </w:p>
        </w:tc>
        <w:tc>
          <w:tcPr>
            <w:tcW w:w="1580" w:type="dxa"/>
            <w:vAlign w:val="bottom"/>
            <w:gridSpan w:val="2"/>
            <w:vMerge w:val="continue"/>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1920" w:type="dxa"/>
            <w:vAlign w:val="bottom"/>
            <w:gridSpan w:val="2"/>
            <w:vMerge w:val="restart"/>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sBLA for cervical cancer</w:t>
            </w:r>
          </w:p>
        </w:tc>
        <w:tc>
          <w:tcPr>
            <w:tcW w:w="1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80" w:type="dxa"/>
            <w:vAlign w:val="bottom"/>
            <w:gridSpan w:val="2"/>
            <w:vMerge w:val="continue"/>
            <w:shd w:val="clear" w:color="auto" w:fill="CCEEFF"/>
          </w:tcPr>
          <w:p>
            <w:pPr>
              <w:spacing w:after="0"/>
              <w:rPr>
                <w:sz w:val="9"/>
                <w:szCs w:val="9"/>
                <w:color w:val="auto"/>
              </w:rPr>
            </w:pPr>
          </w:p>
        </w:tc>
        <w:tc>
          <w:tcPr>
            <w:tcW w:w="12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and EU)</w:t>
            </w:r>
          </w:p>
        </w:tc>
        <w:tc>
          <w:tcPr>
            <w:tcW w:w="1920" w:type="dxa"/>
            <w:vAlign w:val="bottom"/>
            <w:gridSpan w:val="2"/>
            <w:vMerge w:val="continue"/>
            <w:shd w:val="clear" w:color="auto" w:fill="CCEEFF"/>
          </w:tcPr>
          <w:p>
            <w:pPr>
              <w:spacing w:after="0"/>
              <w:rPr>
                <w:sz w:val="9"/>
                <w:szCs w:val="9"/>
                <w:color w:val="auto"/>
              </w:rPr>
            </w:pPr>
          </w:p>
        </w:tc>
        <w:tc>
          <w:tcPr>
            <w:tcW w:w="1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 decision on</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cervical cancer,</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due to inability to align</w:t>
            </w:r>
          </w:p>
        </w:tc>
        <w:tc>
          <w:tcPr>
            <w:tcW w:w="1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1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00" w:type="dxa"/>
            <w:vAlign w:val="bottom"/>
            <w:gridSpan w:val="2"/>
            <w:vMerge w:val="restart"/>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ISA101b</w:t>
            </w:r>
          </w:p>
        </w:tc>
        <w:tc>
          <w:tcPr>
            <w:tcW w:w="15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920" w:type="dxa"/>
            <w:vAlign w:val="bottom"/>
            <w:gridSpan w:val="2"/>
            <w:vMerge w:val="restart"/>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with FDA on certain</w:t>
            </w:r>
          </w:p>
        </w:tc>
        <w:tc>
          <w:tcPr>
            <w:tcW w:w="1820" w:type="dxa"/>
            <w:vAlign w:val="bottom"/>
            <w:shd w:val="clear" w:color="auto" w:fill="CCEEFF"/>
          </w:tcPr>
          <w:p>
            <w:pPr>
              <w:ind w:left="20"/>
              <w:spacing w:after="0" w:line="67" w:lineRule="exact"/>
              <w:rPr>
                <w:sz w:val="20"/>
                <w:szCs w:val="20"/>
                <w:color w:val="auto"/>
              </w:rPr>
            </w:pPr>
            <w:r>
              <w:rPr>
                <w:rFonts w:ascii="Times New Roman" w:cs="Times New Roman" w:eastAsia="Times New Roman" w:hAnsi="Times New Roman"/>
                <w:sz w:val="7"/>
                <w:szCs w:val="7"/>
                <w:color w:val="auto"/>
              </w:rPr>
              <w:t>regulatory submission</w:t>
            </w:r>
          </w:p>
        </w:tc>
        <w:tc>
          <w:tcPr>
            <w:tcW w:w="0" w:type="dxa"/>
            <w:vAlign w:val="bottom"/>
          </w:tcPr>
          <w:p>
            <w:pPr>
              <w:spacing w:after="0"/>
              <w:rPr>
                <w:sz w:val="1"/>
                <w:szCs w:val="1"/>
                <w:color w:val="auto"/>
              </w:rPr>
            </w:pPr>
          </w:p>
        </w:tc>
      </w:tr>
      <w:tr>
        <w:trPr>
          <w:trHeight w:val="107"/>
        </w:trPr>
        <w:tc>
          <w:tcPr>
            <w:tcW w:w="1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920" w:type="dxa"/>
            <w:vAlign w:val="bottom"/>
            <w:gridSpan w:val="2"/>
            <w:vMerge w:val="continue"/>
            <w:shd w:val="clear" w:color="auto" w:fill="CCEEFF"/>
          </w:tcPr>
          <w:p>
            <w:pPr>
              <w:spacing w:after="0"/>
              <w:rPr>
                <w:sz w:val="9"/>
                <w:szCs w:val="9"/>
                <w:color w:val="auto"/>
              </w:rPr>
            </w:pPr>
          </w:p>
        </w:tc>
        <w:tc>
          <w:tcPr>
            <w:tcW w:w="1820" w:type="dxa"/>
            <w:vAlign w:val="bottom"/>
            <w:vMerge w:val="restart"/>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for cervical cancer (first</w:t>
            </w:r>
          </w:p>
        </w:tc>
        <w:tc>
          <w:tcPr>
            <w:tcW w:w="0" w:type="dxa"/>
            <w:vAlign w:val="bottom"/>
          </w:tcPr>
          <w:p>
            <w:pPr>
              <w:spacing w:after="0"/>
              <w:rPr>
                <w:sz w:val="1"/>
                <w:szCs w:val="1"/>
                <w:color w:val="auto"/>
              </w:rPr>
            </w:pPr>
          </w:p>
        </w:tc>
      </w:tr>
      <w:tr>
        <w:trPr>
          <w:trHeight w:val="75"/>
        </w:trPr>
        <w:tc>
          <w:tcPr>
            <w:tcW w:w="1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combination</w:t>
            </w:r>
          </w:p>
        </w:tc>
        <w:tc>
          <w:tcPr>
            <w:tcW w:w="15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post-marketing studies</w:t>
            </w:r>
          </w:p>
        </w:tc>
        <w:tc>
          <w:tcPr>
            <w:tcW w:w="1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gridSpan w:val="2"/>
            <w:vMerge w:val="continue"/>
            <w:shd w:val="clear" w:color="auto" w:fill="CCEEFF"/>
          </w:tcPr>
          <w:p>
            <w:pPr>
              <w:spacing w:after="0"/>
              <w:rPr>
                <w:sz w:val="14"/>
                <w:szCs w:val="14"/>
                <w:color w:val="auto"/>
              </w:rPr>
            </w:pPr>
          </w:p>
        </w:tc>
        <w:tc>
          <w:tcPr>
            <w:tcW w:w="1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 2023)</w:t>
            </w:r>
          </w:p>
        </w:tc>
        <w:tc>
          <w:tcPr>
            <w:tcW w:w="0" w:type="dxa"/>
            <w:vAlign w:val="bottom"/>
          </w:tcPr>
          <w:p>
            <w:pPr>
              <w:spacing w:after="0"/>
              <w:rPr>
                <w:sz w:val="1"/>
                <w:szCs w:val="1"/>
                <w:color w:val="auto"/>
              </w:rPr>
            </w:pPr>
          </w:p>
        </w:tc>
      </w:tr>
      <w:tr>
        <w:trPr>
          <w:trHeight w:val="66"/>
        </w:trPr>
        <w:tc>
          <w:tcPr>
            <w:tcW w:w="1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Regulatory</w:t>
            </w:r>
          </w:p>
        </w:tc>
        <w:tc>
          <w:tcPr>
            <w:tcW w:w="1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2022 Events to Date</w:t>
            </w:r>
          </w:p>
        </w:tc>
        <w:tc>
          <w:tcPr>
            <w:tcW w:w="18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38"/>
        </w:trPr>
        <w:tc>
          <w:tcPr>
            <w:tcW w:w="1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30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280" w:type="dxa"/>
            <w:vAlign w:val="bottom"/>
            <w:gridSpan w:val="2"/>
          </w:tcPr>
          <w:p>
            <w:pPr>
              <w:jc w:val="center"/>
              <w:ind w:right="80"/>
              <w:spacing w:after="0" w:line="237" w:lineRule="exact"/>
              <w:rPr>
                <w:sz w:val="20"/>
                <w:szCs w:val="20"/>
                <w:color w:val="auto"/>
              </w:rPr>
            </w:pPr>
            <w:r>
              <w:rPr>
                <w:rFonts w:ascii="Times New Roman" w:cs="Times New Roman" w:eastAsia="Times New Roman" w:hAnsi="Times New Roman"/>
                <w:sz w:val="18"/>
                <w:szCs w:val="18"/>
                <w:b w:val="1"/>
                <w:bCs w:val="1"/>
                <w:color w:val="auto"/>
                <w:w w:val="90"/>
              </w:rPr>
              <w:t>Review</w:t>
            </w:r>
            <w:r>
              <w:rPr>
                <w:rFonts w:ascii="Times New Roman" w:cs="Times New Roman" w:eastAsia="Times New Roman" w:hAnsi="Times New Roman"/>
                <w:sz w:val="23"/>
                <w:szCs w:val="23"/>
                <w:b w:val="1"/>
                <w:bCs w:val="1"/>
                <w:color w:val="auto"/>
                <w:w w:val="90"/>
                <w:vertAlign w:val="superscript"/>
              </w:rPr>
              <w:t>(h)</w:t>
            </w:r>
          </w:p>
        </w:tc>
        <w:tc>
          <w:tcPr>
            <w:tcW w:w="1920" w:type="dxa"/>
            <w:vAlign w:val="bottom"/>
            <w:gridSpan w:val="2"/>
            <w:vMerge w:val="continue"/>
          </w:tcPr>
          <w:p>
            <w:pPr>
              <w:spacing w:after="0"/>
              <w:rPr>
                <w:sz w:val="20"/>
                <w:szCs w:val="20"/>
                <w:color w:val="auto"/>
              </w:rPr>
            </w:pP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67"/>
        </w:trPr>
        <w:tc>
          <w:tcPr>
            <w:tcW w:w="178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b w:val="1"/>
                <w:bCs w:val="1"/>
                <w:color w:val="auto"/>
              </w:rPr>
              <w:t>Libtayo (cemiplimab)</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–Positive data from</w:t>
            </w:r>
          </w:p>
        </w:tc>
        <w:tc>
          <w:tcPr>
            <w:tcW w:w="8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860" w:type="dxa"/>
            <w:vAlign w:val="bottom"/>
            <w:gridSpan w:val="2"/>
            <w:shd w:val="clear" w:color="auto" w:fill="CCEEFF"/>
          </w:tcPr>
          <w:p>
            <w:pPr>
              <w:ind w:left="20"/>
              <w:spacing w:after="0" w:line="114" w:lineRule="exact"/>
              <w:rPr>
                <w:sz w:val="20"/>
                <w:szCs w:val="20"/>
                <w:color w:val="auto"/>
              </w:rPr>
            </w:pPr>
            <w:r>
              <w:rPr>
                <w:rFonts w:ascii="Times New Roman" w:cs="Times New Roman" w:eastAsia="Times New Roman" w:hAnsi="Times New Roman"/>
                <w:sz w:val="12"/>
                <w:szCs w:val="12"/>
                <w:b w:val="1"/>
                <w:bCs w:val="1"/>
                <w:color w:val="auto"/>
              </w:rPr>
              <w:t>(n)(g)</w:t>
            </w:r>
          </w:p>
        </w:tc>
        <w:tc>
          <w:tcPr>
            <w:tcW w:w="1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920" w:type="dxa"/>
            <w:vAlign w:val="bottom"/>
            <w:gridSpan w:val="2"/>
            <w:vMerge w:val="restart"/>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Phase 2 trial in</w:t>
            </w:r>
          </w:p>
        </w:tc>
        <w:tc>
          <w:tcPr>
            <w:tcW w:w="1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920" w:type="dxa"/>
            <w:vAlign w:val="bottom"/>
            <w:gridSpan w:val="2"/>
            <w:vMerge w:val="continue"/>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1860" w:type="dxa"/>
            <w:vAlign w:val="bottom"/>
            <w:gridSpan w:val="2"/>
            <w:vMerge w:val="continue"/>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neoadjuvant CSCC</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presented at European</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Society for Medical</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Oncology ("ESMO")</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Congress 2022 and</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 xml:space="preserve">published in </w:t>
            </w:r>
            <w:r>
              <w:rPr>
                <w:rFonts w:ascii="Times New Roman" w:cs="Times New Roman" w:eastAsia="Times New Roman" w:hAnsi="Times New Roman"/>
                <w:sz w:val="18"/>
                <w:szCs w:val="18"/>
                <w:i w:val="1"/>
                <w:iCs w:val="1"/>
                <w:color w:val="auto"/>
              </w:rPr>
              <w:t>New</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England Journal of</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Medicine</w:t>
            </w: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6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Fianlimab</w:t>
            </w:r>
            <w:r>
              <w:rPr>
                <w:rFonts w:ascii="Times New Roman" w:cs="Times New Roman" w:eastAsia="Times New Roman" w:hAnsi="Times New Roman"/>
                <w:sz w:val="20"/>
                <w:szCs w:val="20"/>
                <w:b w:val="1"/>
                <w:bCs w:val="1"/>
                <w:color w:val="auto"/>
                <w:vertAlign w:val="superscript"/>
              </w:rPr>
              <w:t>(f)</w:t>
            </w:r>
          </w:p>
        </w:tc>
        <w:tc>
          <w:tcPr>
            <w:tcW w:w="13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–Solid tumors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–First-line</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–Presented positive data</w:t>
            </w:r>
          </w:p>
        </w:tc>
        <w:tc>
          <w:tcPr>
            <w:tcW w:w="182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–Initiate Phase 3 study</w:t>
            </w:r>
          </w:p>
        </w:tc>
        <w:tc>
          <w:tcPr>
            <w:tcW w:w="0" w:type="dxa"/>
            <w:vAlign w:val="bottom"/>
          </w:tcPr>
          <w:p>
            <w:pPr>
              <w:spacing w:after="0"/>
              <w:rPr>
                <w:sz w:val="1"/>
                <w:szCs w:val="1"/>
                <w:color w:val="auto"/>
              </w:rPr>
            </w:pPr>
          </w:p>
        </w:tc>
      </w:tr>
      <w:tr>
        <w:trPr>
          <w:trHeight w:val="183"/>
        </w:trPr>
        <w:tc>
          <w:tcPr>
            <w:tcW w:w="186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(REGN3767)</w:t>
            </w:r>
          </w:p>
        </w:tc>
        <w:tc>
          <w:tcPr>
            <w:tcW w:w="130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and advanced</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metastatic</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from Phase 1 trial (in</w:t>
            </w:r>
          </w:p>
        </w:tc>
        <w:tc>
          <w:tcPr>
            <w:tcW w:w="18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in first-line adjuvant</w:t>
            </w:r>
          </w:p>
        </w:tc>
        <w:tc>
          <w:tcPr>
            <w:tcW w:w="0" w:type="dxa"/>
            <w:vAlign w:val="bottom"/>
          </w:tcPr>
          <w:p>
            <w:pPr>
              <w:spacing w:after="0"/>
              <w:rPr>
                <w:sz w:val="1"/>
                <w:szCs w:val="1"/>
                <w:color w:val="auto"/>
              </w:rPr>
            </w:pPr>
          </w:p>
        </w:tc>
      </w:tr>
      <w:tr>
        <w:trPr>
          <w:trHeight w:val="174"/>
        </w:trPr>
        <w:tc>
          <w:tcPr>
            <w:tcW w:w="18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Antibody to LAG-3</w:t>
            </w:r>
          </w:p>
        </w:tc>
        <w:tc>
          <w:tcPr>
            <w:tcW w:w="13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hematologic</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melanoma</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combination with</w:t>
            </w:r>
          </w:p>
        </w:tc>
        <w:tc>
          <w:tcPr>
            <w:tcW w:w="18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melanoma (fourth</w:t>
            </w: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malignancies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Libtayo) in advanced</w:t>
            </w:r>
          </w:p>
        </w:tc>
        <w:tc>
          <w:tcPr>
            <w:tcW w:w="18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quarter 2022)</w:t>
            </w:r>
          </w:p>
        </w:tc>
        <w:tc>
          <w:tcPr>
            <w:tcW w:w="0" w:type="dxa"/>
            <w:vAlign w:val="bottom"/>
          </w:tcPr>
          <w:p>
            <w:pPr>
              <w:spacing w:after="0"/>
              <w:rPr>
                <w:sz w:val="1"/>
                <w:szCs w:val="1"/>
                <w:color w:val="auto"/>
              </w:rPr>
            </w:pPr>
          </w:p>
        </w:tc>
      </w:tr>
      <w:tr>
        <w:trPr>
          <w:trHeight w:val="179"/>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melanoma at ESMO</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Congress 2022</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Vidutolimod</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–CSCC and</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–Initiate Phase 2 study</w:t>
            </w:r>
          </w:p>
        </w:tc>
        <w:tc>
          <w:tcPr>
            <w:tcW w:w="0" w:type="dxa"/>
            <w:vAlign w:val="bottom"/>
          </w:tcPr>
          <w:p>
            <w:pPr>
              <w:spacing w:after="0"/>
              <w:rPr>
                <w:sz w:val="1"/>
                <w:szCs w:val="1"/>
                <w:color w:val="auto"/>
              </w:rPr>
            </w:pPr>
          </w:p>
        </w:tc>
      </w:tr>
      <w:tr>
        <w:trPr>
          <w:trHeight w:val="181"/>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Immune activator</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Merkel cell</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 melanoma and other</w:t>
            </w:r>
          </w:p>
        </w:tc>
        <w:tc>
          <w:tcPr>
            <w:tcW w:w="0" w:type="dxa"/>
            <w:vAlign w:val="bottom"/>
          </w:tcPr>
          <w:p>
            <w:pPr>
              <w:spacing w:after="0"/>
              <w:rPr>
                <w:sz w:val="1"/>
                <w:szCs w:val="1"/>
                <w:color w:val="auto"/>
              </w:rPr>
            </w:pPr>
          </w:p>
        </w:tc>
      </w:tr>
      <w:tr>
        <w:trPr>
          <w:trHeight w:val="227"/>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TLR9</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carcinoma</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solid tumors</w:t>
            </w:r>
          </w:p>
        </w:tc>
        <w:tc>
          <w:tcPr>
            <w:tcW w:w="0" w:type="dxa"/>
            <w:vAlign w:val="bottom"/>
          </w:tcPr>
          <w:p>
            <w:pPr>
              <w:spacing w:after="0"/>
              <w:rPr>
                <w:sz w:val="1"/>
                <w:szCs w:val="1"/>
                <w:color w:val="auto"/>
              </w:rPr>
            </w:pPr>
          </w:p>
        </w:tc>
      </w:tr>
      <w:tr>
        <w:trPr>
          <w:trHeight w:val="178"/>
        </w:trPr>
        <w:tc>
          <w:tcPr>
            <w:tcW w:w="186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Ubamatamab</w:t>
            </w:r>
            <w:r>
              <w:rPr>
                <w:rFonts w:ascii="Times New Roman" w:cs="Times New Roman" w:eastAsia="Times New Roman" w:hAnsi="Times New Roman"/>
                <w:sz w:val="20"/>
                <w:szCs w:val="20"/>
                <w:b w:val="1"/>
                <w:bCs w:val="1"/>
                <w:color w:val="auto"/>
                <w:vertAlign w:val="superscript"/>
              </w:rPr>
              <w:t>(f)</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–Platinum-</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–Presented positive</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(REGN4018)</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resistant ovarian</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initial data from</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86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cancer</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monotherapy dose</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86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6"/>
                <w:szCs w:val="16"/>
                <w:i w:val="1"/>
                <w:iCs w:val="1"/>
                <w:color w:val="auto"/>
              </w:rPr>
              <w:t>targeting MUC16 and</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escalation portion of</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CD3</w:t>
            </w: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860" w:type="dxa"/>
            <w:vAlign w:val="bottom"/>
            <w:gridSpan w:val="2"/>
            <w:vMerge w:val="continue"/>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2"/>
            <w:vMerge w:val="restart"/>
          </w:tcPr>
          <w:p>
            <w:pPr>
              <w:ind w:left="20"/>
              <w:spacing w:after="0" w:line="201" w:lineRule="exact"/>
              <w:rPr>
                <w:sz w:val="20"/>
                <w:szCs w:val="20"/>
                <w:color w:val="auto"/>
              </w:rPr>
            </w:pPr>
            <w:r>
              <w:rPr>
                <w:rFonts w:ascii="Times New Roman" w:cs="Times New Roman" w:eastAsia="Times New Roman" w:hAnsi="Times New Roman"/>
                <w:sz w:val="18"/>
                <w:szCs w:val="18"/>
                <w:color w:val="auto"/>
              </w:rPr>
              <w:t>Phase 1/2 study in</w:t>
            </w: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920" w:type="dxa"/>
            <w:vAlign w:val="bottom"/>
            <w:gridSpan w:val="2"/>
            <w:vMerge w:val="continue"/>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platinum-resistant</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ovarian cancer at ESMO</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Congress 2022</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860" w:type="dxa"/>
            <w:vAlign w:val="bottom"/>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6"/>
                <w:szCs w:val="16"/>
                <w:b w:val="1"/>
                <w:bCs w:val="1"/>
                <w:color w:val="auto"/>
              </w:rPr>
              <w:t>REGN5668</w:t>
            </w:r>
            <w:r>
              <w:rPr>
                <w:rFonts w:ascii="Times New Roman" w:cs="Times New Roman" w:eastAsia="Times New Roman" w:hAnsi="Times New Roman"/>
                <w:sz w:val="21"/>
                <w:szCs w:val="21"/>
                <w:b w:val="1"/>
                <w:bCs w:val="1"/>
                <w:color w:val="auto"/>
                <w:vertAlign w:val="superscript"/>
              </w:rPr>
              <w:t>(p)</w:t>
            </w:r>
          </w:p>
        </w:tc>
        <w:tc>
          <w:tcPr>
            <w:tcW w:w="1300" w:type="dxa"/>
            <w:vAlign w:val="bottom"/>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–Platinum-</w:t>
            </w: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resistant ovarian</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MUC16 and</w:t>
            </w:r>
          </w:p>
        </w:tc>
        <w:tc>
          <w:tcPr>
            <w:tcW w:w="13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cancer</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CD28</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REGN5678</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–Prostate cancer</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–Reported preliminary</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data from dose</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PSMA and</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escalation portion of</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CD28</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Phase 1/2 study in</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prostate cancer</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REGN4336</w:t>
            </w:r>
          </w:p>
        </w:tc>
        <w:tc>
          <w:tcPr>
            <w:tcW w:w="1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–Prostate cancer</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PSMA and</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CD3</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REGN5093</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–MET-altered</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–Presented positive</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advanced</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initial data from dose</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two distinct</w:t>
            </w:r>
          </w:p>
        </w:tc>
        <w:tc>
          <w:tcPr>
            <w:tcW w:w="13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NSCLC</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escalation portion of</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MET epitopes</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Phase 1/2 study in MET-</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altered advanced</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NSCLC at ESMO</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Congress 2022</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Regulatory</w:t>
            </w:r>
          </w:p>
        </w:tc>
        <w:tc>
          <w:tcPr>
            <w:tcW w:w="1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2022 Events to Date</w:t>
            </w:r>
          </w:p>
        </w:tc>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38"/>
        </w:trPr>
        <w:tc>
          <w:tcPr>
            <w:tcW w:w="1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300" w:type="dxa"/>
            <w:vAlign w:val="bottom"/>
            <w:gridSpan w:val="2"/>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280" w:type="dxa"/>
            <w:vAlign w:val="bottom"/>
            <w:gridSpan w:val="2"/>
          </w:tcPr>
          <w:p>
            <w:pPr>
              <w:jc w:val="center"/>
              <w:ind w:right="80"/>
              <w:spacing w:after="0" w:line="237" w:lineRule="exact"/>
              <w:rPr>
                <w:sz w:val="20"/>
                <w:szCs w:val="20"/>
                <w:color w:val="auto"/>
              </w:rPr>
            </w:pPr>
            <w:r>
              <w:rPr>
                <w:rFonts w:ascii="Times New Roman" w:cs="Times New Roman" w:eastAsia="Times New Roman" w:hAnsi="Times New Roman"/>
                <w:sz w:val="18"/>
                <w:szCs w:val="18"/>
                <w:b w:val="1"/>
                <w:bCs w:val="1"/>
                <w:color w:val="auto"/>
                <w:w w:val="90"/>
              </w:rPr>
              <w:t>Review</w:t>
            </w:r>
            <w:r>
              <w:rPr>
                <w:rFonts w:ascii="Times New Roman" w:cs="Times New Roman" w:eastAsia="Times New Roman" w:hAnsi="Times New Roman"/>
                <w:sz w:val="23"/>
                <w:szCs w:val="23"/>
                <w:b w:val="1"/>
                <w:bCs w:val="1"/>
                <w:color w:val="auto"/>
                <w:w w:val="90"/>
                <w:vertAlign w:val="superscript"/>
              </w:rPr>
              <w:t>(h)</w:t>
            </w:r>
          </w:p>
        </w:tc>
        <w:tc>
          <w:tcPr>
            <w:tcW w:w="1920" w:type="dxa"/>
            <w:vAlign w:val="bottom"/>
            <w:gridSpan w:val="2"/>
            <w:vMerge w:val="continue"/>
          </w:tcPr>
          <w:p>
            <w:pPr>
              <w:spacing w:after="0"/>
              <w:rPr>
                <w:sz w:val="20"/>
                <w:szCs w:val="20"/>
                <w:color w:val="auto"/>
              </w:rPr>
            </w:pPr>
          </w:p>
        </w:tc>
        <w:tc>
          <w:tcPr>
            <w:tcW w:w="18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74"/>
        </w:trPr>
        <w:tc>
          <w:tcPr>
            <w:tcW w:w="178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REGN5093-M114</w:t>
            </w: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–MET</w:t>
            </w:r>
          </w:p>
        </w:tc>
        <w:tc>
          <w:tcPr>
            <w:tcW w:w="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overexpressing</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drug conjugate</w:t>
            </w:r>
          </w:p>
        </w:tc>
        <w:tc>
          <w:tcPr>
            <w:tcW w:w="13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advanced</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targeting two distinct</w:t>
            </w:r>
          </w:p>
        </w:tc>
        <w:tc>
          <w:tcPr>
            <w:tcW w:w="1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cancer</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MET epitopes</w:t>
            </w: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REGN6569</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–Solid tumors</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GITR</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REGN7075</w:t>
            </w:r>
          </w:p>
        </w:tc>
        <w:tc>
          <w:tcPr>
            <w:tcW w:w="1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–Solid tumors</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EGFR and</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CD28</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7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2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560" w:type="dxa"/>
            <w:vAlign w:val="bottom"/>
            <w:gridSpan w:val="2"/>
            <w:shd w:val="clear" w:color="auto" w:fill="ACACAC"/>
          </w:tcPr>
          <w:p>
            <w:pPr>
              <w:ind w:left="480"/>
              <w:spacing w:after="0"/>
              <w:rPr>
                <w:sz w:val="20"/>
                <w:szCs w:val="20"/>
                <w:color w:val="auto"/>
              </w:rPr>
            </w:pPr>
            <w:r>
              <w:rPr>
                <w:rFonts w:ascii="Times New Roman" w:cs="Times New Roman" w:eastAsia="Times New Roman" w:hAnsi="Times New Roman"/>
                <w:sz w:val="18"/>
                <w:szCs w:val="18"/>
                <w:b w:val="1"/>
                <w:bCs w:val="1"/>
                <w:color w:val="auto"/>
              </w:rPr>
              <w:t>Hematology</w:t>
            </w:r>
          </w:p>
        </w:tc>
        <w:tc>
          <w:tcPr>
            <w:tcW w:w="12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0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Odronextamab</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–Certain B-cell</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–B-cell non-</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additional</w:t>
            </w:r>
          </w:p>
        </w:tc>
        <w:tc>
          <w:tcPr>
            <w:tcW w:w="0" w:type="dxa"/>
            <w:vAlign w:val="bottom"/>
          </w:tcPr>
          <w:p>
            <w:pPr>
              <w:spacing w:after="0"/>
              <w:rPr>
                <w:sz w:val="1"/>
                <w:szCs w:val="1"/>
                <w:color w:val="auto"/>
              </w:rPr>
            </w:pPr>
          </w:p>
        </w:tc>
      </w:tr>
      <w:tr>
        <w:trPr>
          <w:trHeight w:val="183"/>
        </w:trPr>
        <w:tc>
          <w:tcPr>
            <w:tcW w:w="186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(REGN1979)</w:t>
            </w:r>
          </w:p>
        </w:tc>
        <w:tc>
          <w:tcPr>
            <w:tcW w:w="130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color w:val="auto"/>
              </w:rPr>
              <w:t>malignancies</w:t>
            </w:r>
            <w:r>
              <w:rPr>
                <w:rFonts w:ascii="Times New Roman" w:cs="Times New Roman" w:eastAsia="Times New Roman" w:hAnsi="Times New Roman"/>
                <w:sz w:val="21"/>
                <w:szCs w:val="21"/>
                <w:color w:val="auto"/>
                <w:vertAlign w:val="superscript"/>
              </w:rPr>
              <w:t>(c)</w:t>
            </w:r>
          </w:p>
        </w:tc>
        <w:tc>
          <w:tcPr>
            <w:tcW w:w="152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Hodgkin</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results from potentially</w:t>
            </w:r>
          </w:p>
        </w:tc>
        <w:tc>
          <w:tcPr>
            <w:tcW w:w="0" w:type="dxa"/>
            <w:vAlign w:val="bottom"/>
          </w:tcPr>
          <w:p>
            <w:pPr>
              <w:spacing w:after="0"/>
              <w:rPr>
                <w:sz w:val="1"/>
                <w:szCs w:val="1"/>
                <w:color w:val="auto"/>
              </w:rPr>
            </w:pPr>
          </w:p>
        </w:tc>
      </w:tr>
      <w:tr>
        <w:trPr>
          <w:trHeight w:val="149"/>
        </w:trPr>
        <w:tc>
          <w:tcPr>
            <w:tcW w:w="1860" w:type="dxa"/>
            <w:vAlign w:val="bottom"/>
            <w:gridSpan w:val="2"/>
            <w:vMerge w:val="restart"/>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w:t>
            </w:r>
          </w:p>
        </w:tc>
        <w:tc>
          <w:tcPr>
            <w:tcW w:w="1520" w:type="dxa"/>
            <w:vAlign w:val="bottom"/>
            <w:gridSpan w:val="2"/>
            <w:vMerge w:val="restart"/>
          </w:tcPr>
          <w:p>
            <w:pPr>
              <w:ind w:left="20"/>
              <w:spacing w:after="0" w:line="174" w:lineRule="exact"/>
              <w:rPr>
                <w:sz w:val="20"/>
                <w:szCs w:val="20"/>
                <w:color w:val="auto"/>
              </w:rPr>
            </w:pPr>
            <w:r>
              <w:rPr>
                <w:rFonts w:ascii="Times New Roman" w:cs="Times New Roman" w:eastAsia="Times New Roman" w:hAnsi="Times New Roman"/>
                <w:sz w:val="18"/>
                <w:szCs w:val="18"/>
                <w:color w:val="auto"/>
              </w:rPr>
              <w:t>lymphoma</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vMerge w:val="restart"/>
          </w:tcPr>
          <w:p>
            <w:pPr>
              <w:ind w:left="20"/>
              <w:spacing w:after="0" w:line="174" w:lineRule="exact"/>
              <w:rPr>
                <w:sz w:val="20"/>
                <w:szCs w:val="20"/>
                <w:color w:val="auto"/>
              </w:rPr>
            </w:pPr>
            <w:r>
              <w:rPr>
                <w:rFonts w:ascii="Times New Roman" w:cs="Times New Roman" w:eastAsia="Times New Roman" w:hAnsi="Times New Roman"/>
                <w:sz w:val="18"/>
                <w:szCs w:val="18"/>
                <w:color w:val="auto"/>
              </w:rPr>
              <w:t>pivotal Phase 2 study in</w:t>
            </w:r>
          </w:p>
        </w:tc>
        <w:tc>
          <w:tcPr>
            <w:tcW w:w="0" w:type="dxa"/>
            <w:vAlign w:val="bottom"/>
          </w:tcPr>
          <w:p>
            <w:pPr>
              <w:spacing w:after="0"/>
              <w:rPr>
                <w:sz w:val="1"/>
                <w:szCs w:val="1"/>
                <w:color w:val="auto"/>
              </w:rPr>
            </w:pPr>
          </w:p>
        </w:tc>
      </w:tr>
      <w:tr>
        <w:trPr>
          <w:trHeight w:val="25"/>
        </w:trPr>
        <w:tc>
          <w:tcPr>
            <w:tcW w:w="1860" w:type="dxa"/>
            <w:vAlign w:val="bottom"/>
            <w:gridSpan w:val="2"/>
            <w:vMerge w:val="continue"/>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targeting CD20 and</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6"/>
                <w:szCs w:val="16"/>
                <w:color w:val="auto"/>
              </w:rPr>
              <w:t>("B-NHL")</w:t>
            </w:r>
            <w:r>
              <w:rPr>
                <w:rFonts w:ascii="Times New Roman" w:cs="Times New Roman" w:eastAsia="Times New Roman" w:hAnsi="Times New Roman"/>
                <w:sz w:val="20"/>
                <w:szCs w:val="20"/>
                <w:color w:val="auto"/>
                <w:vertAlign w:val="superscript"/>
              </w:rPr>
              <w:t>(m)</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B-NHL (second half</w:t>
            </w: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CD3</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(potentially pivotal</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3"/>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study)</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–Submit BLA for B-</w:t>
            </w:r>
          </w:p>
        </w:tc>
        <w:tc>
          <w:tcPr>
            <w:tcW w:w="0" w:type="dxa"/>
            <w:vAlign w:val="bottom"/>
          </w:tcPr>
          <w:p>
            <w:pPr>
              <w:spacing w:after="0"/>
              <w:rPr>
                <w:sz w:val="1"/>
                <w:szCs w:val="1"/>
                <w:color w:val="auto"/>
              </w:rPr>
            </w:pPr>
          </w:p>
        </w:tc>
      </w:tr>
      <w:tr>
        <w:trPr>
          <w:trHeight w:val="115"/>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NHL (second half 2023)</w:t>
            </w:r>
          </w:p>
        </w:tc>
        <w:tc>
          <w:tcPr>
            <w:tcW w:w="0" w:type="dxa"/>
            <w:vAlign w:val="bottom"/>
          </w:tcPr>
          <w:p>
            <w:pPr>
              <w:spacing w:after="0"/>
              <w:rPr>
                <w:sz w:val="1"/>
                <w:szCs w:val="1"/>
                <w:color w:val="auto"/>
              </w:rPr>
            </w:pPr>
          </w:p>
        </w:tc>
      </w:tr>
      <w:tr>
        <w:trPr>
          <w:trHeight w:val="302"/>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–Initiate Phase 3</w:t>
            </w:r>
          </w:p>
        </w:tc>
        <w:tc>
          <w:tcPr>
            <w:tcW w:w="0" w:type="dxa"/>
            <w:vAlign w:val="bottom"/>
          </w:tcPr>
          <w:p>
            <w:pPr>
              <w:spacing w:after="0"/>
              <w:rPr>
                <w:sz w:val="1"/>
                <w:szCs w:val="1"/>
                <w:color w:val="auto"/>
              </w:rPr>
            </w:pPr>
          </w:p>
        </w:tc>
      </w:tr>
      <w:tr>
        <w:trPr>
          <w:trHeight w:val="174"/>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program (first half</w:t>
            </w:r>
          </w:p>
        </w:tc>
        <w:tc>
          <w:tcPr>
            <w:tcW w:w="0" w:type="dxa"/>
            <w:vAlign w:val="bottom"/>
          </w:tcPr>
          <w:p>
            <w:pPr>
              <w:spacing w:after="0"/>
              <w:rPr>
                <w:sz w:val="1"/>
                <w:szCs w:val="1"/>
                <w:color w:val="auto"/>
              </w:rPr>
            </w:pPr>
          </w:p>
        </w:tc>
      </w:tr>
      <w:tr>
        <w:trPr>
          <w:trHeight w:val="227"/>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78"/>
        </w:trPr>
        <w:tc>
          <w:tcPr>
            <w:tcW w:w="18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Linvoseltamab</w:t>
            </w:r>
            <w:r>
              <w:rPr>
                <w:rFonts w:ascii="Times New Roman" w:cs="Times New Roman" w:eastAsia="Times New Roman" w:hAnsi="Times New Roman"/>
                <w:sz w:val="20"/>
                <w:szCs w:val="20"/>
                <w:b w:val="1"/>
                <w:bCs w:val="1"/>
                <w:color w:val="auto"/>
                <w:vertAlign w:val="superscript"/>
              </w:rPr>
              <w:t>(f)</w:t>
            </w:r>
          </w:p>
        </w:tc>
        <w:tc>
          <w:tcPr>
            <w:tcW w:w="130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–Multiple</w:t>
            </w:r>
          </w:p>
        </w:tc>
        <w:tc>
          <w:tcPr>
            <w:tcW w:w="152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–Multiple</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–Completed enrollment</w:t>
            </w:r>
          </w:p>
        </w:tc>
        <w:tc>
          <w:tcPr>
            <w:tcW w:w="18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–Report results from</w:t>
            </w:r>
          </w:p>
        </w:tc>
        <w:tc>
          <w:tcPr>
            <w:tcW w:w="0" w:type="dxa"/>
            <w:vAlign w:val="bottom"/>
          </w:tcPr>
          <w:p>
            <w:pPr>
              <w:spacing w:after="0"/>
              <w:rPr>
                <w:sz w:val="1"/>
                <w:szCs w:val="1"/>
                <w:color w:val="auto"/>
              </w:rPr>
            </w:pPr>
          </w:p>
        </w:tc>
      </w:tr>
      <w:tr>
        <w:trPr>
          <w:trHeight w:val="183"/>
        </w:trPr>
        <w:tc>
          <w:tcPr>
            <w:tcW w:w="186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(REGN5458)</w:t>
            </w:r>
          </w:p>
        </w:tc>
        <w:tc>
          <w:tcPr>
            <w:tcW w:w="130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myeloma</w:t>
            </w:r>
            <w:r>
              <w:rPr>
                <w:rFonts w:ascii="Times New Roman" w:cs="Times New Roman" w:eastAsia="Times New Roman" w:hAnsi="Times New Roman"/>
                <w:sz w:val="21"/>
                <w:szCs w:val="21"/>
                <w:color w:val="auto"/>
                <w:vertAlign w:val="superscript"/>
              </w:rPr>
              <w:t>(c)</w:t>
            </w:r>
          </w:p>
        </w:tc>
        <w:tc>
          <w:tcPr>
            <w:tcW w:w="152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myeloma</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in potentially pivotal</w:t>
            </w:r>
          </w:p>
        </w:tc>
        <w:tc>
          <w:tcPr>
            <w:tcW w:w="180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w w:val="98"/>
              </w:rPr>
              <w:t>potentially pivotal Phase</w:t>
            </w: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(potentially pivotal</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Phase 2 study in</w:t>
            </w:r>
          </w:p>
        </w:tc>
        <w:tc>
          <w:tcPr>
            <w:tcW w:w="18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2 study in multiple</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targeting BCMA and</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study)</w:t>
            </w:r>
            <w:r>
              <w:rPr>
                <w:rFonts w:ascii="Times New Roman" w:cs="Times New Roman" w:eastAsia="Times New Roman" w:hAnsi="Times New Roman"/>
                <w:sz w:val="20"/>
                <w:szCs w:val="20"/>
                <w:color w:val="auto"/>
                <w:vertAlign w:val="superscript"/>
              </w:rPr>
              <w:t>(c)</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multiple myeloma</w:t>
            </w:r>
          </w:p>
        </w:tc>
        <w:tc>
          <w:tcPr>
            <w:tcW w:w="18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myeloma (fourth quarter</w:t>
            </w:r>
          </w:p>
        </w:tc>
        <w:tc>
          <w:tcPr>
            <w:tcW w:w="0" w:type="dxa"/>
            <w:vAlign w:val="bottom"/>
          </w:tcPr>
          <w:p>
            <w:pPr>
              <w:spacing w:after="0"/>
              <w:rPr>
                <w:sz w:val="1"/>
                <w:szCs w:val="1"/>
                <w:color w:val="auto"/>
              </w:rPr>
            </w:pPr>
          </w:p>
        </w:tc>
      </w:tr>
      <w:tr>
        <w:trPr>
          <w:trHeight w:val="234"/>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CD3</w:t>
            </w: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REGN5459</w:t>
            </w:r>
            <w:r>
              <w:rPr>
                <w:rFonts w:ascii="Times New Roman" w:cs="Times New Roman" w:eastAsia="Times New Roman" w:hAnsi="Times New Roman"/>
                <w:sz w:val="20"/>
                <w:szCs w:val="20"/>
                <w:b w:val="1"/>
                <w:bCs w:val="1"/>
                <w:color w:val="auto"/>
                <w:vertAlign w:val="superscript"/>
              </w:rPr>
              <w:t>(f)</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–Transplant</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desensitization</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BCMA and</w:t>
            </w:r>
          </w:p>
        </w:tc>
        <w:tc>
          <w:tcPr>
            <w:tcW w:w="13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in patients with</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CD3</w:t>
            </w:r>
          </w:p>
        </w:tc>
        <w:tc>
          <w:tcPr>
            <w:tcW w:w="13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chronic kidney</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disease</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8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Pozelimab</w:t>
            </w:r>
            <w:r>
              <w:rPr>
                <w:rFonts w:ascii="Times New Roman" w:cs="Times New Roman" w:eastAsia="Times New Roman" w:hAnsi="Times New Roman"/>
                <w:sz w:val="20"/>
                <w:szCs w:val="20"/>
                <w:b w:val="1"/>
                <w:bCs w:val="1"/>
                <w:color w:val="auto"/>
                <w:vertAlign w:val="superscript"/>
              </w:rPr>
              <w:t>(f)</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–CD55-deficient</w:t>
            </w:r>
          </w:p>
        </w:tc>
        <w:tc>
          <w:tcPr>
            <w:tcW w:w="15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–Myasthenia gravis,</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–Submit BLA for</w:t>
            </w:r>
          </w:p>
        </w:tc>
        <w:tc>
          <w:tcPr>
            <w:tcW w:w="0" w:type="dxa"/>
            <w:vAlign w:val="bottom"/>
          </w:tcPr>
          <w:p>
            <w:pPr>
              <w:spacing w:after="0"/>
              <w:rPr>
                <w:sz w:val="1"/>
                <w:szCs w:val="1"/>
                <w:color w:val="auto"/>
              </w:rPr>
            </w:pPr>
          </w:p>
        </w:tc>
      </w:tr>
      <w:tr>
        <w:trPr>
          <w:trHeight w:val="183"/>
        </w:trPr>
        <w:tc>
          <w:tcPr>
            <w:tcW w:w="186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(REGN3918)</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protein-losing</w:t>
            </w:r>
          </w:p>
        </w:tc>
        <w:tc>
          <w:tcPr>
            <w:tcW w:w="156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cemdisiran</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CD55-deficient protein-</w:t>
            </w: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Antibody to C5; studied</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enteropathy,</w:t>
            </w:r>
          </w:p>
        </w:tc>
        <w:tc>
          <w:tcPr>
            <w:tcW w:w="15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combination</w:t>
            </w:r>
            <w:r>
              <w:rPr>
                <w:rFonts w:ascii="Times New Roman" w:cs="Times New Roman" w:eastAsia="Times New Roman" w:hAnsi="Times New Roman"/>
                <w:sz w:val="20"/>
                <w:szCs w:val="20"/>
                <w:color w:val="auto"/>
                <w:vertAlign w:val="superscript"/>
              </w:rPr>
              <w:t>(k)</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losing enteropathy,</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as monotherapy and in</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monotherapy</w:t>
            </w:r>
            <w:r>
              <w:rPr>
                <w:rFonts w:ascii="Times New Roman" w:cs="Times New Roman" w:eastAsia="Times New Roman" w:hAnsi="Times New Roman"/>
                <w:sz w:val="20"/>
                <w:szCs w:val="20"/>
                <w:color w:val="auto"/>
                <w:vertAlign w:val="superscript"/>
              </w:rPr>
              <w:t>(c)(e)</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monotherapy (fourth</w:t>
            </w:r>
          </w:p>
        </w:tc>
        <w:tc>
          <w:tcPr>
            <w:tcW w:w="0" w:type="dxa"/>
            <w:vAlign w:val="bottom"/>
          </w:tcPr>
          <w:p>
            <w:pPr>
              <w:spacing w:after="0"/>
              <w:rPr>
                <w:sz w:val="1"/>
                <w:szCs w:val="1"/>
                <w:color w:val="auto"/>
              </w:rPr>
            </w:pPr>
          </w:p>
        </w:tc>
      </w:tr>
      <w:tr>
        <w:trPr>
          <w:trHeight w:val="234"/>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combination with</w:t>
            </w: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(potentially pivotal</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–Paroxysmal</w:t>
            </w: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 2022)</w:t>
            </w:r>
          </w:p>
        </w:tc>
        <w:tc>
          <w:tcPr>
            <w:tcW w:w="0" w:type="dxa"/>
            <w:vAlign w:val="bottom"/>
          </w:tcPr>
          <w:p>
            <w:pPr>
              <w:spacing w:after="0"/>
              <w:rPr>
                <w:sz w:val="1"/>
                <w:szCs w:val="1"/>
                <w:color w:val="auto"/>
              </w:rPr>
            </w:pPr>
          </w:p>
        </w:tc>
      </w:tr>
      <w:tr>
        <w:trPr>
          <w:trHeight w:val="187"/>
        </w:trPr>
        <w:tc>
          <w:tcPr>
            <w:tcW w:w="18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i w:val="1"/>
                <w:iCs w:val="1"/>
                <w:color w:val="auto"/>
              </w:rPr>
              <w:t>cemdisiran</w:t>
            </w: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study)</w:t>
            </w:r>
          </w:p>
        </w:tc>
        <w:tc>
          <w:tcPr>
            <w:tcW w:w="15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nocturnal</w:t>
            </w: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hemoglobinuria</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("PNH"),</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cemdisiran</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3"/>
                <w:szCs w:val="23"/>
                <w:color w:val="auto"/>
                <w:vertAlign w:val="superscript"/>
              </w:rPr>
              <w:t>(c)(k)</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Cemdisiran</w:t>
            </w:r>
            <w:r>
              <w:rPr>
                <w:rFonts w:ascii="Times New Roman" w:cs="Times New Roman" w:eastAsia="Times New Roman" w:hAnsi="Times New Roman"/>
                <w:sz w:val="20"/>
                <w:szCs w:val="20"/>
                <w:b w:val="1"/>
                <w:bCs w:val="1"/>
                <w:color w:val="auto"/>
                <w:vertAlign w:val="superscript"/>
              </w:rPr>
              <w:t>(k)</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–Immunoglobulin</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–Reported positive</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siRNA therapeutic</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 nephropathy</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topline results from</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C5</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Phase 2 trial in</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immunoglobulin A</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nephropathy</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9"/>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1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2022 Events to Date</w:t>
            </w:r>
          </w:p>
        </w:tc>
        <w:tc>
          <w:tcPr>
            <w:tcW w:w="18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38"/>
        </w:trPr>
        <w:tc>
          <w:tcPr>
            <w:tcW w:w="1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300" w:type="dxa"/>
            <w:vAlign w:val="bottom"/>
            <w:gridSpan w:val="2"/>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280" w:type="dxa"/>
            <w:vAlign w:val="bottom"/>
            <w:gridSpan w:val="2"/>
          </w:tcPr>
          <w:p>
            <w:pPr>
              <w:ind w:left="260"/>
              <w:spacing w:after="0" w:line="237" w:lineRule="exact"/>
              <w:rPr>
                <w:sz w:val="20"/>
                <w:szCs w:val="20"/>
                <w:color w:val="auto"/>
              </w:rPr>
            </w:pP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23"/>
                <w:szCs w:val="23"/>
                <w:b w:val="1"/>
                <w:bCs w:val="1"/>
                <w:color w:val="auto"/>
                <w:vertAlign w:val="superscript"/>
              </w:rPr>
              <w:t>(h)</w:t>
            </w:r>
          </w:p>
        </w:tc>
        <w:tc>
          <w:tcPr>
            <w:tcW w:w="1900" w:type="dxa"/>
            <w:vAlign w:val="bottom"/>
            <w:gridSpan w:val="2"/>
            <w:vMerge w:val="continue"/>
          </w:tcPr>
          <w:p>
            <w:pPr>
              <w:spacing w:after="0"/>
              <w:rPr>
                <w:sz w:val="20"/>
                <w:szCs w:val="20"/>
                <w:color w:val="auto"/>
              </w:rPr>
            </w:pP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74"/>
        </w:trPr>
        <w:tc>
          <w:tcPr>
            <w:tcW w:w="178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REGN7257</w:t>
            </w: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–Aplastic</w:t>
            </w:r>
          </w:p>
        </w:tc>
        <w:tc>
          <w:tcPr>
            <w:tcW w:w="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IL2Rg</w:t>
            </w:r>
          </w:p>
        </w:tc>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anemia</w:t>
            </w: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NTLA-2001</w:t>
            </w:r>
            <w:r>
              <w:rPr>
                <w:rFonts w:ascii="Times New Roman" w:cs="Times New Roman" w:eastAsia="Times New Roman" w:hAnsi="Times New Roman"/>
                <w:sz w:val="20"/>
                <w:szCs w:val="20"/>
                <w:b w:val="1"/>
                <w:bCs w:val="1"/>
                <w:color w:val="auto"/>
                <w:vertAlign w:val="superscript"/>
              </w:rPr>
              <w:t>(j)</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–Transthyretin</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–Reported positive</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TTR gene knockout</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("ATTR")</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interim data from Phase</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using CRISPR/Cas9</w:t>
            </w:r>
          </w:p>
        </w:tc>
        <w:tc>
          <w:tcPr>
            <w:tcW w:w="13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18"/>
                <w:szCs w:val="18"/>
                <w:color w:val="auto"/>
              </w:rPr>
              <w:t>amyloidosis</w:t>
            </w:r>
            <w:r>
              <w:rPr>
                <w:rFonts w:ascii="Times New Roman" w:cs="Times New Roman" w:eastAsia="Times New Roman" w:hAnsi="Times New Roman"/>
                <w:sz w:val="23"/>
                <w:szCs w:val="23"/>
                <w:color w:val="auto"/>
                <w:vertAlign w:val="superscript"/>
              </w:rPr>
              <w:t>(c)</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trial in ATTR</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REGN9933</w:t>
            </w:r>
          </w:p>
        </w:tc>
        <w:tc>
          <w:tcPr>
            <w:tcW w:w="1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–Thrombosis</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Factor XI</w:t>
            </w: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REGN7999</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–Transfusion</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Antibody to TMPRSS6</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dependent iron</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overload</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7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2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840" w:type="dxa"/>
            <w:vAlign w:val="bottom"/>
            <w:gridSpan w:val="4"/>
            <w:shd w:val="clear" w:color="auto" w:fill="ACACAC"/>
          </w:tcPr>
          <w:p>
            <w:pPr>
              <w:ind w:left="260"/>
              <w:spacing w:after="0"/>
              <w:rPr>
                <w:sz w:val="20"/>
                <w:szCs w:val="20"/>
                <w:color w:val="auto"/>
              </w:rPr>
            </w:pPr>
            <w:r>
              <w:rPr>
                <w:rFonts w:ascii="Times New Roman" w:cs="Times New Roman" w:eastAsia="Times New Roman" w:hAnsi="Times New Roman"/>
                <w:sz w:val="18"/>
                <w:szCs w:val="18"/>
                <w:b w:val="1"/>
                <w:bCs w:val="1"/>
                <w:color w:val="auto"/>
              </w:rPr>
              <w:t>General Medicine</w:t>
            </w:r>
          </w:p>
        </w:tc>
        <w:tc>
          <w:tcPr>
            <w:tcW w:w="18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8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REGEN-COV</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–COVID-19</w:t>
            </w:r>
          </w:p>
        </w:tc>
        <w:tc>
          <w:tcPr>
            <w:tcW w:w="190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–Submitted additional</w:t>
            </w:r>
          </w:p>
        </w:tc>
        <w:tc>
          <w:tcPr>
            <w:tcW w:w="18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–FDA decision on BLA</w:t>
            </w:r>
          </w:p>
        </w:tc>
        <w:tc>
          <w:tcPr>
            <w:tcW w:w="0" w:type="dxa"/>
            <w:vAlign w:val="bottom"/>
          </w:tcPr>
          <w:p>
            <w:pPr>
              <w:spacing w:after="0"/>
              <w:rPr>
                <w:sz w:val="1"/>
                <w:szCs w:val="1"/>
                <w:color w:val="auto"/>
              </w:rPr>
            </w:pPr>
          </w:p>
        </w:tc>
      </w:tr>
      <w:tr>
        <w:trPr>
          <w:trHeight w:val="183"/>
        </w:trPr>
        <w:tc>
          <w:tcPr>
            <w:tcW w:w="186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(casirivimab and</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treatment of</w:t>
            </w:r>
          </w:p>
        </w:tc>
        <w:tc>
          <w:tcPr>
            <w:tcW w:w="190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data to the FDA from</w:t>
            </w:r>
          </w:p>
        </w:tc>
        <w:tc>
          <w:tcPr>
            <w:tcW w:w="18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w w:val="99"/>
              </w:rPr>
              <w:t>for COVID-19 treatment</w:t>
            </w: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imdevimab)</w:t>
            </w:r>
            <w:r>
              <w:rPr>
                <w:rFonts w:ascii="Times New Roman" w:cs="Times New Roman" w:eastAsia="Times New Roman" w:hAnsi="Times New Roman"/>
                <w:sz w:val="20"/>
                <w:szCs w:val="20"/>
                <w:b w:val="1"/>
                <w:bCs w:val="1"/>
                <w:color w:val="auto"/>
                <w:vertAlign w:val="superscript"/>
              </w:rPr>
              <w:t>(e)(i)</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non-</w:t>
            </w:r>
          </w:p>
        </w:tc>
        <w:tc>
          <w:tcPr>
            <w:tcW w:w="19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prophylaxis trial in</w:t>
            </w: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of non-hospitalized</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Multi-antibody therapy</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hospitalized</w:t>
            </w:r>
          </w:p>
        </w:tc>
        <w:tc>
          <w:tcPr>
            <w:tcW w:w="19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connection with BLA</w:t>
            </w: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patients and prevention</w:t>
            </w:r>
          </w:p>
        </w:tc>
        <w:tc>
          <w:tcPr>
            <w:tcW w:w="0" w:type="dxa"/>
            <w:vAlign w:val="bottom"/>
          </w:tcPr>
          <w:p>
            <w:pPr>
              <w:spacing w:after="0"/>
              <w:rPr>
                <w:sz w:val="1"/>
                <w:szCs w:val="1"/>
                <w:color w:val="auto"/>
              </w:rPr>
            </w:pPr>
          </w:p>
        </w:tc>
      </w:tr>
      <w:tr>
        <w:trPr>
          <w:trHeight w:val="181"/>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to SARS-CoV-2 virus</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patients and</w:t>
            </w:r>
          </w:p>
        </w:tc>
        <w:tc>
          <w:tcPr>
            <w:tcW w:w="19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–FDA revised EUA to</w:t>
            </w:r>
          </w:p>
        </w:tc>
        <w:tc>
          <w:tcPr>
            <w:tcW w:w="1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 decision on</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pre-and post-</w:t>
            </w:r>
          </w:p>
        </w:tc>
        <w:tc>
          <w:tcPr>
            <w:tcW w:w="1900" w:type="dxa"/>
            <w:vAlign w:val="bottom"/>
            <w:gridSpan w:val="2"/>
            <w:vMerge w:val="continue"/>
            <w:shd w:val="clear" w:color="auto" w:fill="CCEEFF"/>
          </w:tcPr>
          <w:p>
            <w:pPr>
              <w:spacing w:after="0"/>
              <w:rPr>
                <w:sz w:val="15"/>
                <w:szCs w:val="15"/>
                <w:color w:val="auto"/>
              </w:rPr>
            </w:pPr>
          </w:p>
        </w:tc>
        <w:tc>
          <w:tcPr>
            <w:tcW w:w="1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exposure</w:t>
            </w:r>
          </w:p>
        </w:tc>
        <w:tc>
          <w:tcPr>
            <w:tcW w:w="19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exclude use in</w:t>
            </w: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regulatory submission</w:t>
            </w:r>
          </w:p>
        </w:tc>
        <w:tc>
          <w:tcPr>
            <w:tcW w:w="0" w:type="dxa"/>
            <w:vAlign w:val="bottom"/>
          </w:tcPr>
          <w:p>
            <w:pPr>
              <w:spacing w:after="0"/>
              <w:rPr>
                <w:sz w:val="1"/>
                <w:szCs w:val="1"/>
                <w:color w:val="auto"/>
              </w:rPr>
            </w:pPr>
          </w:p>
        </w:tc>
      </w:tr>
      <w:tr>
        <w:trPr>
          <w:trHeight w:val="187"/>
        </w:trPr>
        <w:tc>
          <w:tcPr>
            <w:tcW w:w="1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prophylaxis</w:t>
            </w:r>
          </w:p>
        </w:tc>
        <w:tc>
          <w:tcPr>
            <w:tcW w:w="190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geographic regions</w:t>
            </w:r>
          </w:p>
        </w:tc>
        <w:tc>
          <w:tcPr>
            <w:tcW w:w="18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w w:val="99"/>
              </w:rPr>
              <w:t>for COVID-19 treatment</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(U.S.)</w:t>
            </w:r>
          </w:p>
        </w:tc>
        <w:tc>
          <w:tcPr>
            <w:tcW w:w="19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where infection or</w:t>
            </w: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of hospitalized patients</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w:t>
            </w:r>
          </w:p>
        </w:tc>
        <w:tc>
          <w:tcPr>
            <w:tcW w:w="19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exposure is likely due to</w:t>
            </w: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(fourth quarter 2022)</w:t>
            </w: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9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 variant that is not</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treatment of</w:t>
            </w:r>
          </w:p>
        </w:tc>
        <w:tc>
          <w:tcPr>
            <w:tcW w:w="190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susceptible to the</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hospitalized</w:t>
            </w:r>
          </w:p>
        </w:tc>
        <w:tc>
          <w:tcPr>
            <w:tcW w:w="19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treatment</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patients (EU)</w:t>
            </w: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6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"Next Generation"</w:t>
            </w:r>
          </w:p>
        </w:tc>
        <w:tc>
          <w:tcPr>
            <w:tcW w:w="13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–Healthy</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6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Covid Antibodies</w:t>
            </w:r>
          </w:p>
        </w:tc>
        <w:tc>
          <w:tcPr>
            <w:tcW w:w="130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volunteers</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Antibodies to SARS-</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CoV-2 variants</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3590" cy="263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3590" cy="26352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tbl>
      <w:tblPr>
        <w:tblLayout w:type="fixed"/>
        <w:tblInd w:w="20" w:type="dxa"/>
        <w:tblCellMar>
          <w:top w:w="0" w:type="dxa"/>
          <w:left w:w="0" w:type="dxa"/>
          <w:bottom w:w="0" w:type="dxa"/>
          <w:right w:w="0" w:type="dxa"/>
        </w:tblCellMar>
      </w:tblPr>
      <w:tr>
        <w:trPr>
          <w:trHeight w:val="173"/>
        </w:trPr>
        <w:tc>
          <w:tcPr>
            <w:tcW w:w="2440" w:type="dxa"/>
            <w:vAlign w:val="bottom"/>
          </w:tcPr>
          <w:p>
            <w:pPr>
              <w:spacing w:after="0" w:line="173" w:lineRule="exact"/>
              <w:rPr>
                <w:sz w:val="20"/>
                <w:szCs w:val="20"/>
                <w:color w:val="auto"/>
              </w:rPr>
            </w:pPr>
            <w:r>
              <w:rPr>
                <w:rFonts w:ascii="Times New Roman" w:cs="Times New Roman" w:eastAsia="Times New Roman" w:hAnsi="Times New Roman"/>
                <w:sz w:val="18"/>
                <w:szCs w:val="18"/>
                <w:b w:val="1"/>
                <w:bCs w:val="1"/>
                <w:color w:val="auto"/>
              </w:rPr>
              <w:t>Praluent (alirocumab)</w:t>
            </w:r>
          </w:p>
        </w:tc>
        <w:tc>
          <w:tcPr>
            <w:tcW w:w="3680" w:type="dxa"/>
            <w:vAlign w:val="bottom"/>
          </w:tcPr>
          <w:p>
            <w:pPr>
              <w:ind w:left="2240"/>
              <w:spacing w:after="0" w:line="173" w:lineRule="exact"/>
              <w:rPr>
                <w:sz w:val="20"/>
                <w:szCs w:val="20"/>
                <w:color w:val="auto"/>
              </w:rPr>
            </w:pPr>
            <w:r>
              <w:rPr>
                <w:rFonts w:ascii="Times New Roman" w:cs="Times New Roman" w:eastAsia="Times New Roman" w:hAnsi="Times New Roman"/>
                <w:sz w:val="18"/>
                <w:szCs w:val="18"/>
                <w:color w:val="auto"/>
                <w:w w:val="97"/>
              </w:rPr>
              <w:t>–HeFH in pediatrics</w:t>
            </w:r>
          </w:p>
        </w:tc>
        <w:tc>
          <w:tcPr>
            <w:tcW w:w="0" w:type="dxa"/>
            <w:vAlign w:val="bottom"/>
          </w:tcPr>
          <w:p>
            <w:pPr>
              <w:spacing w:after="0"/>
              <w:rPr>
                <w:sz w:val="1"/>
                <w:szCs w:val="1"/>
                <w:color w:val="auto"/>
              </w:rPr>
            </w:pPr>
          </w:p>
        </w:tc>
      </w:tr>
      <w:tr>
        <w:trPr>
          <w:trHeight w:val="225"/>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Antibody to PCSK9</w:t>
            </w:r>
          </w:p>
        </w:tc>
        <w:tc>
          <w:tcPr>
            <w:tcW w:w="3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440" w:type="dxa"/>
            <w:vAlign w:val="bottom"/>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Evkeeza (evinacumab)</w:t>
            </w: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440" w:type="dxa"/>
            <w:vAlign w:val="bottom"/>
          </w:tcPr>
          <w:p>
            <w:pPr>
              <w:spacing w:after="0" w:line="114" w:lineRule="exact"/>
              <w:rPr>
                <w:sz w:val="20"/>
                <w:szCs w:val="20"/>
                <w:color w:val="auto"/>
              </w:rPr>
            </w:pPr>
            <w:r>
              <w:rPr>
                <w:rFonts w:ascii="Times New Roman" w:cs="Times New Roman" w:eastAsia="Times New Roman" w:hAnsi="Times New Roman"/>
                <w:sz w:val="12"/>
                <w:szCs w:val="12"/>
                <w:b w:val="1"/>
                <w:bCs w:val="1"/>
                <w:color w:val="auto"/>
              </w:rPr>
              <w:t>(f)(l)</w:t>
            </w:r>
          </w:p>
        </w:tc>
        <w:tc>
          <w:tcPr>
            <w:tcW w:w="3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Antibody to ANGPTL3</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Garetosmab</w:t>
            </w:r>
            <w:r>
              <w:rPr>
                <w:rFonts w:ascii="Times New Roman" w:cs="Times New Roman" w:eastAsia="Times New Roman" w:hAnsi="Times New Roman"/>
                <w:sz w:val="23"/>
                <w:szCs w:val="23"/>
                <w:b w:val="1"/>
                <w:bCs w:val="1"/>
                <w:color w:val="auto"/>
                <w:vertAlign w:val="superscript"/>
              </w:rPr>
              <w:t>(f)</w:t>
            </w:r>
          </w:p>
        </w:tc>
        <w:tc>
          <w:tcPr>
            <w:tcW w:w="36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–Fibrodysplasia</w:t>
            </w:r>
          </w:p>
        </w:tc>
        <w:tc>
          <w:tcPr>
            <w:tcW w:w="0" w:type="dxa"/>
            <w:vAlign w:val="bottom"/>
          </w:tcPr>
          <w:p>
            <w:pPr>
              <w:spacing w:after="0"/>
              <w:rPr>
                <w:sz w:val="1"/>
                <w:szCs w:val="1"/>
                <w:color w:val="auto"/>
              </w:rPr>
            </w:pPr>
          </w:p>
        </w:tc>
      </w:tr>
      <w:tr>
        <w:trPr>
          <w:trHeight w:val="183"/>
        </w:trPr>
        <w:tc>
          <w:tcPr>
            <w:tcW w:w="2440" w:type="dxa"/>
            <w:vAlign w:val="bottom"/>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(REGN2477)</w:t>
            </w:r>
          </w:p>
        </w:tc>
        <w:tc>
          <w:tcPr>
            <w:tcW w:w="3680" w:type="dxa"/>
            <w:vAlign w:val="bottom"/>
          </w:tcPr>
          <w:p>
            <w:pPr>
              <w:ind w:left="2240"/>
              <w:spacing w:after="0" w:line="183" w:lineRule="exact"/>
              <w:rPr>
                <w:sz w:val="20"/>
                <w:szCs w:val="20"/>
                <w:color w:val="auto"/>
              </w:rPr>
            </w:pPr>
            <w:r>
              <w:rPr>
                <w:rFonts w:ascii="Times New Roman" w:cs="Times New Roman" w:eastAsia="Times New Roman" w:hAnsi="Times New Roman"/>
                <w:sz w:val="18"/>
                <w:szCs w:val="18"/>
                <w:color w:val="auto"/>
              </w:rPr>
              <w:t>ossificans</w:t>
            </w:r>
          </w:p>
        </w:tc>
        <w:tc>
          <w:tcPr>
            <w:tcW w:w="0" w:type="dxa"/>
            <w:vAlign w:val="bottom"/>
          </w:tcPr>
          <w:p>
            <w:pPr>
              <w:spacing w:after="0"/>
              <w:rPr>
                <w:sz w:val="1"/>
                <w:szCs w:val="1"/>
                <w:color w:val="auto"/>
              </w:rPr>
            </w:pPr>
          </w:p>
        </w:tc>
      </w:tr>
      <w:tr>
        <w:trPr>
          <w:trHeight w:val="174"/>
        </w:trPr>
        <w:tc>
          <w:tcPr>
            <w:tcW w:w="2440" w:type="dxa"/>
            <w:vAlign w:val="bottom"/>
          </w:tcPr>
          <w:p>
            <w:pPr>
              <w:spacing w:after="0" w:line="174" w:lineRule="exact"/>
              <w:rPr>
                <w:sz w:val="20"/>
                <w:szCs w:val="20"/>
                <w:color w:val="auto"/>
              </w:rPr>
            </w:pPr>
            <w:r>
              <w:rPr>
                <w:rFonts w:ascii="Times New Roman" w:cs="Times New Roman" w:eastAsia="Times New Roman" w:hAnsi="Times New Roman"/>
                <w:sz w:val="18"/>
                <w:szCs w:val="18"/>
                <w:i w:val="1"/>
                <w:iCs w:val="1"/>
                <w:color w:val="auto"/>
              </w:rPr>
              <w:t>Antibody to Activin A</w:t>
            </w:r>
          </w:p>
        </w:tc>
        <w:tc>
          <w:tcPr>
            <w:tcW w:w="3680" w:type="dxa"/>
            <w:vAlign w:val="bottom"/>
          </w:tcPr>
          <w:p>
            <w:pPr>
              <w:ind w:left="2240"/>
              <w:spacing w:after="0" w:line="174" w:lineRule="exact"/>
              <w:rPr>
                <w:sz w:val="20"/>
                <w:szCs w:val="20"/>
                <w:color w:val="auto"/>
              </w:rPr>
            </w:pPr>
            <w:r>
              <w:rPr>
                <w:rFonts w:ascii="Times New Roman" w:cs="Times New Roman" w:eastAsia="Times New Roman" w:hAnsi="Times New Roman"/>
                <w:sz w:val="18"/>
                <w:szCs w:val="18"/>
                <w:color w:val="auto"/>
              </w:rPr>
              <w:t>progressiva</w:t>
            </w:r>
          </w:p>
        </w:tc>
        <w:tc>
          <w:tcPr>
            <w:tcW w:w="0" w:type="dxa"/>
            <w:vAlign w:val="bottom"/>
          </w:tcPr>
          <w:p>
            <w:pPr>
              <w:spacing w:after="0"/>
              <w:rPr>
                <w:sz w:val="1"/>
                <w:szCs w:val="1"/>
                <w:color w:val="auto"/>
              </w:rPr>
            </w:pPr>
          </w:p>
        </w:tc>
      </w:tr>
      <w:tr>
        <w:trPr>
          <w:trHeight w:val="222"/>
        </w:trPr>
        <w:tc>
          <w:tcPr>
            <w:tcW w:w="2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Mibavademab</w:t>
            </w:r>
            <w:r>
              <w:rPr>
                <w:rFonts w:ascii="Times New Roman" w:cs="Times New Roman" w:eastAsia="Times New Roman" w:hAnsi="Times New Roman"/>
                <w:sz w:val="23"/>
                <w:szCs w:val="23"/>
                <w:b w:val="1"/>
                <w:bCs w:val="1"/>
                <w:color w:val="auto"/>
                <w:vertAlign w:val="superscript"/>
              </w:rPr>
              <w:t>(f)</w:t>
            </w:r>
          </w:p>
        </w:tc>
        <w:tc>
          <w:tcPr>
            <w:tcW w:w="3680" w:type="dxa"/>
            <w:vAlign w:val="bottom"/>
          </w:tcPr>
          <w:p>
            <w:pPr>
              <w:ind w:left="2240"/>
              <w:spacing w:after="0" w:line="222" w:lineRule="exact"/>
              <w:rPr>
                <w:sz w:val="20"/>
                <w:szCs w:val="20"/>
                <w:color w:val="auto"/>
              </w:rPr>
            </w:pPr>
            <w:r>
              <w:rPr>
                <w:rFonts w:ascii="Times New Roman" w:cs="Times New Roman" w:eastAsia="Times New Roman" w:hAnsi="Times New Roman"/>
                <w:sz w:val="25"/>
                <w:szCs w:val="25"/>
                <w:color w:val="auto"/>
                <w:vertAlign w:val="subscript"/>
              </w:rPr>
              <w:t>("FOP")</w:t>
            </w:r>
            <w:r>
              <w:rPr>
                <w:rFonts w:ascii="Times New Roman" w:cs="Times New Roman" w:eastAsia="Times New Roman" w:hAnsi="Times New Roman"/>
                <w:sz w:val="10"/>
                <w:szCs w:val="10"/>
                <w:color w:val="auto"/>
              </w:rPr>
              <w:t>(c)(d)(e)</w:t>
            </w:r>
          </w:p>
        </w:tc>
        <w:tc>
          <w:tcPr>
            <w:tcW w:w="0" w:type="dxa"/>
            <w:vAlign w:val="bottom"/>
          </w:tcPr>
          <w:p>
            <w:pPr>
              <w:spacing w:after="0"/>
              <w:rPr>
                <w:sz w:val="1"/>
                <w:szCs w:val="1"/>
                <w:color w:val="auto"/>
              </w:rPr>
            </w:pPr>
          </w:p>
        </w:tc>
      </w:tr>
      <w:tr>
        <w:trPr>
          <w:trHeight w:val="183"/>
        </w:trPr>
        <w:tc>
          <w:tcPr>
            <w:tcW w:w="2440" w:type="dxa"/>
            <w:vAlign w:val="bottom"/>
            <w:vMerge w:val="continue"/>
          </w:tcPr>
          <w:p>
            <w:pPr>
              <w:spacing w:after="0"/>
              <w:rPr>
                <w:sz w:val="15"/>
                <w:szCs w:val="15"/>
                <w:color w:val="auto"/>
              </w:rPr>
            </w:pPr>
          </w:p>
        </w:tc>
        <w:tc>
          <w:tcPr>
            <w:tcW w:w="3680" w:type="dxa"/>
            <w:vAlign w:val="bottom"/>
          </w:tcPr>
          <w:p>
            <w:pPr>
              <w:ind w:left="720"/>
              <w:spacing w:after="0" w:line="183" w:lineRule="exact"/>
              <w:rPr>
                <w:sz w:val="20"/>
                <w:szCs w:val="20"/>
                <w:color w:val="auto"/>
              </w:rPr>
            </w:pPr>
            <w:r>
              <w:rPr>
                <w:rFonts w:ascii="Times New Roman" w:cs="Times New Roman" w:eastAsia="Times New Roman" w:hAnsi="Times New Roman"/>
                <w:sz w:val="18"/>
                <w:szCs w:val="18"/>
                <w:color w:val="auto"/>
              </w:rPr>
              <w:t>–Generalized</w:t>
            </w:r>
          </w:p>
        </w:tc>
        <w:tc>
          <w:tcPr>
            <w:tcW w:w="0" w:type="dxa"/>
            <w:vAlign w:val="bottom"/>
          </w:tcPr>
          <w:p>
            <w:pPr>
              <w:spacing w:after="0"/>
              <w:rPr>
                <w:sz w:val="1"/>
                <w:szCs w:val="1"/>
                <w:color w:val="auto"/>
              </w:rPr>
            </w:pPr>
          </w:p>
        </w:tc>
      </w:tr>
      <w:tr>
        <w:trPr>
          <w:trHeight w:val="183"/>
        </w:trPr>
        <w:tc>
          <w:tcPr>
            <w:tcW w:w="2440" w:type="dxa"/>
            <w:vAlign w:val="bottom"/>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(REGN4461)</w:t>
            </w:r>
          </w:p>
        </w:tc>
        <w:tc>
          <w:tcPr>
            <w:tcW w:w="3680" w:type="dxa"/>
            <w:vAlign w:val="bottom"/>
          </w:tcPr>
          <w:p>
            <w:pPr>
              <w:ind w:left="720"/>
              <w:spacing w:after="0" w:line="183" w:lineRule="exact"/>
              <w:rPr>
                <w:sz w:val="20"/>
                <w:szCs w:val="20"/>
                <w:color w:val="auto"/>
              </w:rPr>
            </w:pPr>
            <w:r>
              <w:rPr>
                <w:rFonts w:ascii="Times New Roman" w:cs="Times New Roman" w:eastAsia="Times New Roman" w:hAnsi="Times New Roman"/>
                <w:sz w:val="16"/>
                <w:szCs w:val="16"/>
                <w:color w:val="auto"/>
              </w:rPr>
              <w:t>lipodystrophy</w:t>
            </w:r>
            <w:r>
              <w:rPr>
                <w:rFonts w:ascii="Times New Roman" w:cs="Times New Roman" w:eastAsia="Times New Roman" w:hAnsi="Times New Roman"/>
                <w:sz w:val="21"/>
                <w:szCs w:val="21"/>
                <w:color w:val="auto"/>
                <w:vertAlign w:val="superscript"/>
              </w:rPr>
              <w:t>(e)</w:t>
            </w:r>
          </w:p>
        </w:tc>
        <w:tc>
          <w:tcPr>
            <w:tcW w:w="0" w:type="dxa"/>
            <w:vAlign w:val="bottom"/>
          </w:tcPr>
          <w:p>
            <w:pPr>
              <w:spacing w:after="0"/>
              <w:rPr>
                <w:sz w:val="1"/>
                <w:szCs w:val="1"/>
                <w:color w:val="auto"/>
              </w:rPr>
            </w:pPr>
          </w:p>
        </w:tc>
      </w:tr>
      <w:tr>
        <w:trPr>
          <w:trHeight w:val="174"/>
        </w:trPr>
        <w:tc>
          <w:tcPr>
            <w:tcW w:w="2440" w:type="dxa"/>
            <w:vAlign w:val="bottom"/>
          </w:tcPr>
          <w:p>
            <w:pPr>
              <w:spacing w:after="0" w:line="174" w:lineRule="exact"/>
              <w:rPr>
                <w:sz w:val="20"/>
                <w:szCs w:val="20"/>
                <w:color w:val="auto"/>
              </w:rPr>
            </w:pPr>
            <w:r>
              <w:rPr>
                <w:rFonts w:ascii="Times New Roman" w:cs="Times New Roman" w:eastAsia="Times New Roman" w:hAnsi="Times New Roman"/>
                <w:sz w:val="18"/>
                <w:szCs w:val="18"/>
                <w:i w:val="1"/>
                <w:iCs w:val="1"/>
                <w:color w:val="auto"/>
              </w:rPr>
              <w:t>Agonist antibody to</w:t>
            </w: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40" w:type="dxa"/>
            <w:vAlign w:val="bottom"/>
          </w:tcPr>
          <w:p>
            <w:pPr>
              <w:spacing w:after="0" w:line="181" w:lineRule="exact"/>
              <w:rPr>
                <w:sz w:val="20"/>
                <w:szCs w:val="20"/>
                <w:color w:val="auto"/>
              </w:rPr>
            </w:pPr>
            <w:r>
              <w:rPr>
                <w:rFonts w:ascii="Times New Roman" w:cs="Times New Roman" w:eastAsia="Times New Roman" w:hAnsi="Times New Roman"/>
                <w:sz w:val="18"/>
                <w:szCs w:val="18"/>
                <w:i w:val="1"/>
                <w:iCs w:val="1"/>
                <w:color w:val="auto"/>
              </w:rPr>
              <w:t>leptin receptor</w:t>
            </w:r>
          </w:p>
        </w:tc>
        <w:tc>
          <w:tcPr>
            <w:tcW w:w="368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–Partial</w:t>
            </w:r>
          </w:p>
        </w:tc>
        <w:tc>
          <w:tcPr>
            <w:tcW w:w="0" w:type="dxa"/>
            <w:vAlign w:val="bottom"/>
          </w:tcPr>
          <w:p>
            <w:pPr>
              <w:spacing w:after="0"/>
              <w:rPr>
                <w:sz w:val="1"/>
                <w:szCs w:val="1"/>
                <w:color w:val="auto"/>
              </w:rPr>
            </w:pPr>
          </w:p>
        </w:tc>
      </w:tr>
      <w:tr>
        <w:trPr>
          <w:trHeight w:val="60"/>
        </w:trPr>
        <w:tc>
          <w:tcPr>
            <w:tcW w:w="24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("LEPR")</w:t>
            </w:r>
          </w:p>
        </w:tc>
        <w:tc>
          <w:tcPr>
            <w:tcW w:w="3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440" w:type="dxa"/>
            <w:vAlign w:val="bottom"/>
            <w:vMerge w:val="continue"/>
          </w:tcPr>
          <w:p>
            <w:pPr>
              <w:spacing w:after="0"/>
              <w:rPr>
                <w:sz w:val="20"/>
                <w:szCs w:val="20"/>
                <w:color w:val="auto"/>
              </w:rPr>
            </w:pPr>
          </w:p>
        </w:tc>
        <w:tc>
          <w:tcPr>
            <w:tcW w:w="3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lipodystrophy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-1123950</wp:posOffset>
            </wp:positionV>
            <wp:extent cx="7133590" cy="483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3590" cy="483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8"/>
          <w:szCs w:val="18"/>
          <w:color w:val="auto"/>
        </w:rPr>
        <w:t>–Reported that Phase 3</w:t>
      </w:r>
      <w:r>
        <w:rPr>
          <w:sz w:val="20"/>
          <w:szCs w:val="20"/>
          <w:color w:val="auto"/>
        </w:rPr>
        <w:tab/>
      </w:r>
      <w:r>
        <w:rPr>
          <w:rFonts w:ascii="Times New Roman" w:cs="Times New Roman" w:eastAsia="Times New Roman" w:hAnsi="Times New Roman"/>
          <w:sz w:val="17"/>
          <w:szCs w:val="17"/>
          <w:color w:val="auto"/>
        </w:rPr>
        <w:t>–Submit sBLA for</w:t>
      </w:r>
    </w:p>
    <w:p>
      <w:pPr>
        <w:spacing w:after="0" w:line="213" w:lineRule="auto"/>
        <w:tabs>
          <w:tab w:leader="none" w:pos="1880" w:val="left"/>
        </w:tabs>
        <w:rPr>
          <w:sz w:val="20"/>
          <w:szCs w:val="20"/>
          <w:color w:val="auto"/>
        </w:rPr>
      </w:pPr>
      <w:r>
        <w:rPr>
          <w:rFonts w:ascii="Times New Roman" w:cs="Times New Roman" w:eastAsia="Times New Roman" w:hAnsi="Times New Roman"/>
          <w:sz w:val="18"/>
          <w:szCs w:val="18"/>
          <w:color w:val="auto"/>
        </w:rPr>
        <w:t>trial for HoFH in</w:t>
      </w:r>
      <w:r>
        <w:rPr>
          <w:sz w:val="20"/>
          <w:szCs w:val="20"/>
          <w:color w:val="auto"/>
        </w:rPr>
        <w:tab/>
      </w:r>
      <w:r>
        <w:rPr>
          <w:rFonts w:ascii="Times New Roman" w:cs="Times New Roman" w:eastAsia="Times New Roman" w:hAnsi="Times New Roman"/>
          <w:sz w:val="17"/>
          <w:szCs w:val="17"/>
          <w:color w:val="auto"/>
        </w:rPr>
        <w:t>HoFH in pediatrics (5–</w:t>
      </w:r>
    </w:p>
    <w:p>
      <w:pPr>
        <w:spacing w:after="0" w:line="202" w:lineRule="auto"/>
        <w:rPr>
          <w:sz w:val="20"/>
          <w:szCs w:val="20"/>
          <w:color w:val="auto"/>
        </w:rPr>
      </w:pPr>
      <w:r>
        <w:rPr>
          <w:rFonts w:ascii="Times New Roman" w:cs="Times New Roman" w:eastAsia="Times New Roman" w:hAnsi="Times New Roman"/>
          <w:sz w:val="18"/>
          <w:szCs w:val="18"/>
          <w:color w:val="auto"/>
        </w:rPr>
        <w:t>pediatrics (5–11 years of  11 years of age)</w:t>
      </w:r>
    </w:p>
    <w:p>
      <w:pPr>
        <w:spacing w:after="0" w:line="217" w:lineRule="auto"/>
        <w:rPr>
          <w:sz w:val="20"/>
          <w:szCs w:val="20"/>
          <w:color w:val="auto"/>
        </w:rPr>
      </w:pPr>
      <w:r>
        <w:rPr>
          <w:rFonts w:ascii="Times New Roman" w:cs="Times New Roman" w:eastAsia="Times New Roman" w:hAnsi="Times New Roman"/>
          <w:sz w:val="18"/>
          <w:szCs w:val="18"/>
          <w:color w:val="auto"/>
        </w:rPr>
        <w:t>age) met its primary</w:t>
      </w:r>
    </w:p>
    <w:p>
      <w:pPr>
        <w:spacing w:after="0"/>
        <w:rPr>
          <w:sz w:val="20"/>
          <w:szCs w:val="20"/>
          <w:color w:val="auto"/>
        </w:rPr>
      </w:pPr>
      <w:r>
        <w:rPr>
          <w:rFonts w:ascii="Times New Roman" w:cs="Times New Roman" w:eastAsia="Times New Roman" w:hAnsi="Times New Roman"/>
          <w:sz w:val="18"/>
          <w:szCs w:val="18"/>
          <w:color w:val="auto"/>
        </w:rPr>
        <w:t>endpoint</w:t>
      </w:r>
    </w:p>
    <w:p>
      <w:pPr>
        <w:spacing w:after="0" w:line="1976" w:lineRule="exact"/>
        <w:rPr>
          <w:sz w:val="20"/>
          <w:szCs w:val="20"/>
          <w:color w:val="auto"/>
        </w:rPr>
      </w:pPr>
    </w:p>
    <w:p>
      <w:pPr>
        <w:sectPr>
          <w:pgSz w:w="11900" w:h="16838" w:orient="portrait"/>
          <w:cols w:equalWidth="0" w:num="2">
            <w:col w:w="6820" w:space="720"/>
            <w:col w:w="3700"/>
          </w:cols>
          <w:pgMar w:left="320" w:top="366" w:right="339" w:bottom="1440" w:gutter="0" w:footer="0" w:header="0"/>
          <w:type w:val="continuous"/>
        </w:sect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2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Regulatory</w:t>
            </w:r>
          </w:p>
        </w:tc>
        <w:tc>
          <w:tcPr>
            <w:tcW w:w="1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2022 Events to Date</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Select Upcoming</w:t>
            </w:r>
          </w:p>
        </w:tc>
        <w:tc>
          <w:tcPr>
            <w:tcW w:w="0" w:type="dxa"/>
            <w:vAlign w:val="bottom"/>
          </w:tcPr>
          <w:p>
            <w:pPr>
              <w:spacing w:after="0"/>
              <w:rPr>
                <w:sz w:val="1"/>
                <w:szCs w:val="1"/>
                <w:color w:val="auto"/>
              </w:rPr>
            </w:pPr>
          </w:p>
        </w:tc>
      </w:tr>
      <w:tr>
        <w:trPr>
          <w:trHeight w:val="238"/>
        </w:trPr>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26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280" w:type="dxa"/>
            <w:vAlign w:val="bottom"/>
            <w:gridSpan w:val="2"/>
          </w:tcPr>
          <w:p>
            <w:pPr>
              <w:jc w:val="center"/>
              <w:ind w:right="80"/>
              <w:spacing w:after="0" w:line="237" w:lineRule="exact"/>
              <w:rPr>
                <w:sz w:val="20"/>
                <w:szCs w:val="20"/>
                <w:color w:val="auto"/>
              </w:rPr>
            </w:pPr>
            <w:r>
              <w:rPr>
                <w:rFonts w:ascii="Times New Roman" w:cs="Times New Roman" w:eastAsia="Times New Roman" w:hAnsi="Times New Roman"/>
                <w:sz w:val="18"/>
                <w:szCs w:val="18"/>
                <w:b w:val="1"/>
                <w:bCs w:val="1"/>
                <w:color w:val="auto"/>
                <w:w w:val="90"/>
              </w:rPr>
              <w:t>Review</w:t>
            </w:r>
            <w:r>
              <w:rPr>
                <w:rFonts w:ascii="Times New Roman" w:cs="Times New Roman" w:eastAsia="Times New Roman" w:hAnsi="Times New Roman"/>
                <w:sz w:val="23"/>
                <w:szCs w:val="23"/>
                <w:b w:val="1"/>
                <w:bCs w:val="1"/>
                <w:color w:val="auto"/>
                <w:w w:val="90"/>
                <w:vertAlign w:val="superscript"/>
              </w:rPr>
              <w:t>(h)</w:t>
            </w:r>
          </w:p>
        </w:tc>
        <w:tc>
          <w:tcPr>
            <w:tcW w:w="1920" w:type="dxa"/>
            <w:vAlign w:val="bottom"/>
            <w:gridSpan w:val="2"/>
            <w:vMerge w:val="continue"/>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Milestones</w:t>
            </w:r>
          </w:p>
        </w:tc>
        <w:tc>
          <w:tcPr>
            <w:tcW w:w="0" w:type="dxa"/>
            <w:vAlign w:val="bottom"/>
          </w:tcPr>
          <w:p>
            <w:pPr>
              <w:spacing w:after="0"/>
              <w:rPr>
                <w:sz w:val="1"/>
                <w:szCs w:val="1"/>
                <w:color w:val="auto"/>
              </w:rPr>
            </w:pPr>
          </w:p>
        </w:tc>
      </w:tr>
      <w:tr>
        <w:trPr>
          <w:trHeight w:val="174"/>
        </w:trPr>
        <w:tc>
          <w:tcPr>
            <w:tcW w:w="184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REGN5381/REGN9035</w:t>
            </w:r>
          </w:p>
        </w:tc>
        <w:tc>
          <w:tcPr>
            <w:tcW w:w="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w w:val="98"/>
              </w:rPr>
              <w:t>–Reversal agent</w:t>
            </w:r>
          </w:p>
        </w:tc>
        <w:tc>
          <w:tcPr>
            <w:tcW w:w="8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–Heart failure</w:t>
            </w:r>
          </w:p>
        </w:tc>
        <w:tc>
          <w:tcPr>
            <w:tcW w:w="8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Agonist antibody to</w:t>
            </w:r>
          </w:p>
        </w:tc>
        <w:tc>
          <w:tcPr>
            <w:tcW w:w="12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 healthy</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NPR1/reversal agent to</w:t>
            </w:r>
          </w:p>
        </w:tc>
        <w:tc>
          <w:tcPr>
            <w:tcW w:w="12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volunteers</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REGN5381</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ALN-HSD</w:t>
            </w:r>
            <w:r>
              <w:rPr>
                <w:rFonts w:ascii="Times New Roman" w:cs="Times New Roman" w:eastAsia="Times New Roman" w:hAnsi="Times New Roman"/>
                <w:sz w:val="20"/>
                <w:szCs w:val="20"/>
                <w:b w:val="1"/>
                <w:bCs w:val="1"/>
                <w:color w:val="auto"/>
                <w:vertAlign w:val="superscript"/>
              </w:rPr>
              <w:t>(k)</w:t>
            </w:r>
          </w:p>
        </w:tc>
        <w:tc>
          <w:tcPr>
            <w:tcW w:w="12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–Nonalcoholic</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–Reported preliminary</w:t>
            </w:r>
          </w:p>
        </w:tc>
        <w:tc>
          <w:tcPr>
            <w:tcW w:w="1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–Initiate Phase 2 study</w:t>
            </w:r>
          </w:p>
        </w:tc>
        <w:tc>
          <w:tcPr>
            <w:tcW w:w="0" w:type="dxa"/>
            <w:vAlign w:val="bottom"/>
          </w:tcPr>
          <w:p>
            <w:pPr>
              <w:spacing w:after="0"/>
              <w:rPr>
                <w:sz w:val="1"/>
                <w:szCs w:val="1"/>
                <w:color w:val="auto"/>
              </w:rPr>
            </w:pPr>
          </w:p>
        </w:tc>
      </w:tr>
      <w:tr>
        <w:trPr>
          <w:trHeight w:val="181"/>
        </w:trPr>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RNAi therapeutic</w:t>
            </w:r>
          </w:p>
        </w:tc>
        <w:tc>
          <w:tcPr>
            <w:tcW w:w="12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steatohepatitis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data from Phase 1 study</w:t>
            </w:r>
          </w:p>
        </w:tc>
        <w:tc>
          <w:tcPr>
            <w:tcW w:w="1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 NASH (fourth quarter</w:t>
            </w:r>
          </w:p>
        </w:tc>
        <w:tc>
          <w:tcPr>
            <w:tcW w:w="0" w:type="dxa"/>
            <w:vAlign w:val="bottom"/>
          </w:tcPr>
          <w:p>
            <w:pPr>
              <w:spacing w:after="0"/>
              <w:rPr>
                <w:sz w:val="1"/>
                <w:szCs w:val="1"/>
                <w:color w:val="auto"/>
              </w:rPr>
            </w:pPr>
          </w:p>
        </w:tc>
      </w:tr>
      <w:tr>
        <w:trPr>
          <w:trHeight w:val="22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HSD17B13</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("NASH")</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NASH</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ALN-APP</w:t>
            </w:r>
            <w:r>
              <w:rPr>
                <w:rFonts w:ascii="Times New Roman" w:cs="Times New Roman" w:eastAsia="Times New Roman" w:hAnsi="Times New Roman"/>
                <w:sz w:val="20"/>
                <w:szCs w:val="20"/>
                <w:b w:val="1"/>
                <w:bCs w:val="1"/>
                <w:color w:val="auto"/>
                <w:vertAlign w:val="superscript"/>
              </w:rPr>
              <w:t>(k)</w:t>
            </w:r>
          </w:p>
        </w:tc>
        <w:tc>
          <w:tcPr>
            <w:tcW w:w="12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–Early-onset</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RNAi therapeutic</w:t>
            </w:r>
          </w:p>
        </w:tc>
        <w:tc>
          <w:tcPr>
            <w:tcW w:w="12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Alzheimer’s</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APP</w:t>
            </w: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disease</w:t>
            </w: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240" w:right="520"/>
        <w:spacing w:after="0" w:line="241" w:lineRule="auto"/>
        <w:rPr>
          <w:sz w:val="20"/>
          <w:szCs w:val="20"/>
          <w:color w:val="auto"/>
        </w:rPr>
      </w:pPr>
      <w:r>
        <w:rPr>
          <w:rFonts w:ascii="Times New Roman" w:cs="Times New Roman" w:eastAsia="Times New Roman" w:hAnsi="Times New Roman"/>
          <w:sz w:val="16"/>
          <w:szCs w:val="16"/>
          <w:color w:val="auto"/>
        </w:rPr>
        <w:t>Note 1: For purposes of the table above, a program is classified in Phase 1, 2, or 3 clinical development after recruitment for the corresponding study or studies has commenced.</w:t>
      </w:r>
    </w:p>
    <w:p>
      <w:pPr>
        <w:spacing w:after="0" w:line="5" w:lineRule="exact"/>
        <w:rPr>
          <w:sz w:val="20"/>
          <w:szCs w:val="20"/>
          <w:color w:val="auto"/>
        </w:rPr>
      </w:pPr>
    </w:p>
    <w:p>
      <w:pPr>
        <w:jc w:val="both"/>
        <w:ind w:left="240" w:right="260"/>
        <w:spacing w:after="0" w:line="230" w:lineRule="auto"/>
        <w:rPr>
          <w:sz w:val="20"/>
          <w:szCs w:val="20"/>
          <w:color w:val="auto"/>
        </w:rPr>
      </w:pPr>
      <w:r>
        <w:rPr>
          <w:rFonts w:ascii="Times New Roman" w:cs="Times New Roman" w:eastAsia="Times New Roman" w:hAnsi="Times New Roman"/>
          <w:sz w:val="16"/>
          <w:szCs w:val="16"/>
          <w:color w:val="auto"/>
        </w:rPr>
        <w:t>Note 2: We have discontinued further clinical development of fasinumab (REGN475), an antibody to NGF, which was previously being studied in osteoarthritis pain of the knee or hip in collaboration with Teva and Mitsubishi Tanabe Pharma Corporation ("MTPC"); and REGN6490, an antibody to IL-36R, which was previously being studied in palmo-plantar pustulosis.</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Note 3: We have discontinued the Phase 3 study of REGN1908-1909, a multi-antibody therapy to Fel d 1, in cat allergy, due to futility.</w:t>
      </w:r>
    </w:p>
    <w:p>
      <w:pPr>
        <w:spacing w:after="0" w:line="21" w:lineRule="exact"/>
        <w:rPr>
          <w:sz w:val="20"/>
          <w:szCs w:val="20"/>
          <w:color w:val="auto"/>
        </w:rPr>
      </w:pPr>
    </w:p>
    <w:p>
      <w:pPr>
        <w:ind w:left="380" w:hanging="148"/>
        <w:spacing w:after="0"/>
        <w:tabs>
          <w:tab w:leader="none" w:pos="38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 collaboration with Bayer outside the United States</w:t>
      </w:r>
    </w:p>
    <w:p>
      <w:pPr>
        <w:spacing w:after="0" w:line="22" w:lineRule="exact"/>
        <w:rPr>
          <w:rFonts w:ascii="Times New Roman" w:cs="Times New Roman" w:eastAsia="Times New Roman" w:hAnsi="Times New Roman"/>
          <w:sz w:val="19"/>
          <w:szCs w:val="19"/>
          <w:color w:val="auto"/>
          <w:vertAlign w:val="superscript"/>
        </w:rPr>
      </w:pPr>
    </w:p>
    <w:p>
      <w:pPr>
        <w:ind w:left="400" w:hanging="168"/>
        <w:spacing w:after="0" w:line="189" w:lineRule="auto"/>
        <w:tabs>
          <w:tab w:leader="none" w:pos="40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Sanofi</w:t>
      </w:r>
    </w:p>
    <w:p>
      <w:pPr>
        <w:spacing w:after="0" w:line="23" w:lineRule="exact"/>
        <w:rPr>
          <w:rFonts w:ascii="Times New Roman" w:cs="Times New Roman" w:eastAsia="Times New Roman" w:hAnsi="Times New Roman"/>
          <w:sz w:val="21"/>
          <w:szCs w:val="21"/>
          <w:color w:val="auto"/>
          <w:vertAlign w:val="superscript"/>
        </w:rPr>
      </w:pPr>
    </w:p>
    <w:p>
      <w:pPr>
        <w:ind w:left="400" w:hanging="168"/>
        <w:spacing w:after="0" w:line="181" w:lineRule="auto"/>
        <w:tabs>
          <w:tab w:leader="none" w:pos="40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FDA granted orphan drug designation</w:t>
      </w:r>
    </w:p>
    <w:p>
      <w:pPr>
        <w:spacing w:after="0" w:line="23" w:lineRule="exact"/>
        <w:rPr>
          <w:rFonts w:ascii="Times New Roman" w:cs="Times New Roman" w:eastAsia="Times New Roman" w:hAnsi="Times New Roman"/>
          <w:sz w:val="22"/>
          <w:szCs w:val="22"/>
          <w:color w:val="auto"/>
          <w:vertAlign w:val="superscript"/>
        </w:rPr>
      </w:pPr>
    </w:p>
    <w:p>
      <w:pPr>
        <w:ind w:left="400" w:hanging="168"/>
        <w:spacing w:after="0" w:line="189" w:lineRule="auto"/>
        <w:tabs>
          <w:tab w:leader="none" w:pos="40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Breakthrough Therapy designation</w:t>
      </w:r>
    </w:p>
    <w:p>
      <w:pPr>
        <w:spacing w:after="0" w:line="23" w:lineRule="exact"/>
        <w:rPr>
          <w:rFonts w:ascii="Times New Roman" w:cs="Times New Roman" w:eastAsia="Times New Roman" w:hAnsi="Times New Roman"/>
          <w:sz w:val="21"/>
          <w:szCs w:val="21"/>
          <w:color w:val="auto"/>
          <w:vertAlign w:val="superscript"/>
        </w:rPr>
      </w:pPr>
    </w:p>
    <w:p>
      <w:pPr>
        <w:ind w:left="400" w:hanging="168"/>
        <w:spacing w:after="0" w:line="181" w:lineRule="auto"/>
        <w:tabs>
          <w:tab w:leader="none" w:pos="40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FDA granted Fast Track designation</w:t>
      </w:r>
    </w:p>
    <w:p>
      <w:pPr>
        <w:spacing w:after="0" w:line="23" w:lineRule="exact"/>
        <w:rPr>
          <w:rFonts w:ascii="Times New Roman" w:cs="Times New Roman" w:eastAsia="Times New Roman" w:hAnsi="Times New Roman"/>
          <w:sz w:val="22"/>
          <w:szCs w:val="22"/>
          <w:color w:val="auto"/>
          <w:vertAlign w:val="superscript"/>
        </w:rPr>
      </w:pPr>
    </w:p>
    <w:p>
      <w:pPr>
        <w:ind w:left="240" w:right="120" w:hanging="8"/>
        <w:spacing w:after="0" w:line="188" w:lineRule="auto"/>
        <w:tabs>
          <w:tab w:leader="none" w:pos="396"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Sanofi did not opt-in to or elected not to continue to co-develop the product candidate. Under the terms of our agreement, Sanofi is entitled to receive royalties on sales of the product, if any.</w:t>
      </w:r>
    </w:p>
    <w:p>
      <w:pPr>
        <w:ind w:left="420" w:hanging="188"/>
        <w:spacing w:after="0" w:line="206" w:lineRule="auto"/>
        <w:tabs>
          <w:tab w:leader="none" w:pos="4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Studied as monotherapy and in combination with other antibodies and treatments</w:t>
      </w:r>
    </w:p>
    <w:p>
      <w:pPr>
        <w:spacing w:after="0" w:line="23" w:lineRule="exact"/>
        <w:rPr>
          <w:rFonts w:ascii="Times New Roman" w:cs="Times New Roman" w:eastAsia="Times New Roman" w:hAnsi="Times New Roman"/>
          <w:sz w:val="23"/>
          <w:szCs w:val="23"/>
          <w:color w:val="auto"/>
          <w:vertAlign w:val="superscript"/>
        </w:rPr>
      </w:pPr>
    </w:p>
    <w:p>
      <w:pPr>
        <w:ind w:left="400" w:hanging="168"/>
        <w:spacing w:after="0" w:line="189" w:lineRule="auto"/>
        <w:tabs>
          <w:tab w:leader="none" w:pos="40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Information in this column relates to U.S., EU, and Japan regulatory submissions only</w:t>
      </w:r>
    </w:p>
    <w:p>
      <w:pPr>
        <w:spacing w:after="0" w:line="23" w:lineRule="exact"/>
        <w:rPr>
          <w:rFonts w:ascii="Times New Roman" w:cs="Times New Roman" w:eastAsia="Times New Roman" w:hAnsi="Times New Roman"/>
          <w:sz w:val="21"/>
          <w:szCs w:val="21"/>
          <w:color w:val="auto"/>
          <w:vertAlign w:val="superscript"/>
        </w:rPr>
      </w:pPr>
    </w:p>
    <w:p>
      <w:pPr>
        <w:ind w:left="380" w:hanging="148"/>
        <w:spacing w:after="0" w:line="181" w:lineRule="auto"/>
        <w:tabs>
          <w:tab w:leader="none" w:pos="3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 collaboration with Roche outside the United States</w:t>
      </w:r>
    </w:p>
    <w:p>
      <w:pPr>
        <w:spacing w:after="0" w:line="23" w:lineRule="exact"/>
        <w:rPr>
          <w:rFonts w:ascii="Times New Roman" w:cs="Times New Roman" w:eastAsia="Times New Roman" w:hAnsi="Times New Roman"/>
          <w:sz w:val="22"/>
          <w:szCs w:val="22"/>
          <w:color w:val="auto"/>
          <w:vertAlign w:val="superscript"/>
        </w:rPr>
      </w:pPr>
    </w:p>
    <w:p>
      <w:pPr>
        <w:ind w:left="380" w:hanging="148"/>
        <w:spacing w:after="0" w:line="181" w:lineRule="auto"/>
        <w:tabs>
          <w:tab w:leader="none" w:pos="3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 collaboration with Intellia</w:t>
      </w:r>
    </w:p>
    <w:p>
      <w:pPr>
        <w:spacing w:after="0" w:line="23" w:lineRule="exact"/>
        <w:rPr>
          <w:rFonts w:ascii="Times New Roman" w:cs="Times New Roman" w:eastAsia="Times New Roman" w:hAnsi="Times New Roman"/>
          <w:sz w:val="22"/>
          <w:szCs w:val="22"/>
          <w:color w:val="auto"/>
          <w:vertAlign w:val="superscript"/>
        </w:rPr>
      </w:pPr>
    </w:p>
    <w:p>
      <w:pPr>
        <w:ind w:left="400" w:hanging="168"/>
        <w:spacing w:after="0" w:line="189" w:lineRule="auto"/>
        <w:tabs>
          <w:tab w:leader="none" w:pos="40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Alnylam</w:t>
      </w:r>
    </w:p>
    <w:p>
      <w:pPr>
        <w:spacing w:after="0" w:line="23" w:lineRule="exact"/>
        <w:rPr>
          <w:rFonts w:ascii="Times New Roman" w:cs="Times New Roman" w:eastAsia="Times New Roman" w:hAnsi="Times New Roman"/>
          <w:sz w:val="21"/>
          <w:szCs w:val="21"/>
          <w:color w:val="auto"/>
          <w:vertAlign w:val="superscript"/>
        </w:rPr>
      </w:pPr>
    </w:p>
    <w:p>
      <w:pPr>
        <w:ind w:left="380" w:hanging="148"/>
        <w:spacing w:after="0" w:line="181" w:lineRule="auto"/>
        <w:tabs>
          <w:tab w:leader="none" w:pos="3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 collaboration with Ultragenyx outside the United States</w:t>
      </w:r>
    </w:p>
    <w:p>
      <w:pPr>
        <w:spacing w:after="0" w:line="23" w:lineRule="exact"/>
        <w:rPr>
          <w:rFonts w:ascii="Times New Roman" w:cs="Times New Roman" w:eastAsia="Times New Roman" w:hAnsi="Times New Roman"/>
          <w:sz w:val="22"/>
          <w:szCs w:val="22"/>
          <w:color w:val="auto"/>
          <w:vertAlign w:val="superscript"/>
        </w:rPr>
      </w:pPr>
    </w:p>
    <w:p>
      <w:pPr>
        <w:ind w:left="440" w:hanging="208"/>
        <w:spacing w:after="0" w:line="189" w:lineRule="auto"/>
        <w:tabs>
          <w:tab w:leader="none" w:pos="4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Fast Track designation for follicular lymphoma and diffuse large B-cell lymphoma</w:t>
      </w:r>
    </w:p>
    <w:p>
      <w:pPr>
        <w:spacing w:after="0" w:line="23" w:lineRule="exact"/>
        <w:rPr>
          <w:rFonts w:ascii="Times New Roman" w:cs="Times New Roman" w:eastAsia="Times New Roman" w:hAnsi="Times New Roman"/>
          <w:sz w:val="21"/>
          <w:szCs w:val="21"/>
          <w:color w:val="auto"/>
          <w:vertAlign w:val="superscript"/>
        </w:rPr>
      </w:pPr>
    </w:p>
    <w:p>
      <w:pPr>
        <w:ind w:left="240" w:right="580" w:hanging="8"/>
        <w:spacing w:after="0" w:line="203" w:lineRule="auto"/>
        <w:tabs>
          <w:tab w:leader="none" w:pos="401"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Sanofi prior to July 2022. Effective July 2022, the Company is solely responsible for the research, development, and commercialization of Libtayo. Refer to "Collaboration, License, and Other Agreements" section below for further details.</w:t>
      </w:r>
    </w:p>
    <w:p>
      <w:pPr>
        <w:spacing w:after="0" w:line="6" w:lineRule="exact"/>
        <w:rPr>
          <w:rFonts w:ascii="Times New Roman" w:cs="Times New Roman" w:eastAsia="Times New Roman" w:hAnsi="Times New Roman"/>
          <w:sz w:val="21"/>
          <w:szCs w:val="21"/>
          <w:color w:val="auto"/>
          <w:vertAlign w:val="superscript"/>
        </w:rPr>
      </w:pPr>
    </w:p>
    <w:p>
      <w:pPr>
        <w:ind w:left="240" w:right="80" w:hanging="8"/>
        <w:spacing w:after="0" w:line="197" w:lineRule="auto"/>
        <w:tabs>
          <w:tab w:leader="none" w:pos="415"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An FDA travel complication related to scheduling a routine clinical trial site inspection in eastern Europe has delayed the FDA's decision on the NSCLC chemotherapy combination sBLA until after the September 19, 2022 target action date.</w:t>
      </w:r>
    </w:p>
    <w:p>
      <w:pPr>
        <w:spacing w:after="0" w:line="1" w:lineRule="exact"/>
        <w:rPr>
          <w:rFonts w:ascii="Times New Roman" w:cs="Times New Roman" w:eastAsia="Times New Roman" w:hAnsi="Times New Roman"/>
          <w:sz w:val="23"/>
          <w:szCs w:val="23"/>
          <w:color w:val="auto"/>
          <w:vertAlign w:val="superscript"/>
        </w:rPr>
      </w:pPr>
    </w:p>
    <w:p>
      <w:pPr>
        <w:ind w:left="420" w:hanging="188"/>
        <w:spacing w:after="0" w:line="206" w:lineRule="auto"/>
        <w:tabs>
          <w:tab w:leader="none" w:pos="4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Studied in combination with ubamatamab</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 Clinical Development Programs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Aflibercept 8 mg</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2022, the Company announced that the primary endpoints were met in two pivotal trials investigating aflibercept 8 mg with 12- and 16-week dosing regimens in patients with DME and wet AMD. The PHOTON trial in DME and the PULSAR trial in wet AMD both demonstrated that aflibercept 8 mg 12- and 16-week dosing regimens achieved non-inferiority in vision gains compared to the EYLEA 8-week dosing regimen. Furthermore, of the patients randomized to 12- and 16-week dosing intervals, 91% and 89% of DME patients, respectively, and 79% and 77% of wet AMD patients, respectively, maintained those intervals through 48 weeks. The safety of aflibercept 8 mg was similar to EYLEA in both trials, and consistent with the known safety profile of EYLEA from previous clinical trials. The Company intends to use a priority review voucher in connection with the submission of the BLA for DME and wet AMD, which is currently planned for late 2022.</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REGEN-COV (casirivimab and imdevimab)</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REGEN-COV previously received an EUA for use in certain post-exposure prophylaxis settings and as a treatment for people with mild to moderate COVID-19 who are at high risk of serious consequences from COVID-19. Based on laboratory data, in January 2022, the FDA revised the EUA for REGEN-COV to exclude its use in geographic regions where, based on available information including variant susceptibility and regional variant frequency, infection or exposure is likely due to a variant such as an Omicron-lineage variant that is not susceptible to the treatment. With this EUA revision, REGEN-COV is not currently authorized for use in any U.S. states, territories, or jurisdictions, since Omicron-lineage variants are currently dominant across the United States. If, in the future, patients in certain geographic regions are likely to be infected or exposed to a variant that is susceptible to REGEN-COV, then the limitation on use may be revised in these areas. The FDA has notified the Company that its review of the BLA for REGEN-COV to treat COVID-19 in non-hospitalized patients and as prophylaxis in certain individuals is ongoing.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Related to COVID-19</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2020, the Company entered into an agreement with entities acting at the direction of BARDA and the U.S. Department of Defense to manufacture and deliver filled and finished drug product of REGEN-COV to the U.S. government. The agreement, as subsequently amended, provided for payments to the Company of up to $465.9 million in the aggregate for bulk manufacturing of the drug substance, as well as fill/finish, storage, and other activities.</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January 2021, the Company announced an agreement with an entity acting on behalf of the U.S. Department of Defense and HHS to manufacture and deliver additional filled and finished drug product of REGEN-COV to the U.S. government. Pursuant to the agreement, the U.S. government was obligated to purchase 1.25 million doses of drug product, resulting in payments to the Company of $2.625 billion.</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2021, the Company announced an amendment to its January 2021 agreement to supply the U.S. government with an additional 1.4 million doses of REGEN-COV. Pursuant to the agreement, the U.S. government was obligated to purchase all filled and finished doses of such additional drug product delivered by January 31, 2022, resulting in payments to the Company of $2.940 billion in the aggregate. Additionally, Roche supplied a portion of the doses to Regeneron to fulfill our agreement with the U.S. government (see "Roche" section below for further details regarding our collaboration agreement with Roche).</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 of December 31, 2021, the Company had completed its final deliveries of drug product under the agreements described above. See "Results of Operations - Revenues" below for REGEN-COV net product sales recognized during the three and nine months ended September 30, 2021.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2020, we entered into a collaboration agreement with Roche to develop, manufacture, and distribute the casirivimab and imdevimab antibody cocktail (known as REGEN-COV in the United States and Ronapreve in other countries). Under the terms of the agreement, the parties jointly fund certain studies and each party is obligated to dedicate a certain amount of manufacturing capacity to casirivimab and imdevimab each year. We distribute the product in the United States and Roche distributes the product outside of the United States. The parties share gross profits from worldwide sales based on a pre-specified formula, depending on the amount of manufactured product supplied by each party to the market.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License, and Other Agreements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Antibody</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collaborating with Sanofi on the global development and commercialization of Dupixent, Kevzara, and itepekimab (the "Antibody Collaboration"). Under the terms of the Antibody License and Collaboration Agreement, Sanofi is generally responsible for funding 80% to 100% of agreed-upon development costs. We are obligated to reimburse Sanofi for 30% to 50% of worldwide development expenses that were funded by Sanofi based on our share of collaboration profits from commercialization of collaboration products. As of June 30, 2022, the total amount of our contingent reimbursement obligation to Sanofi in connection with such development expenses was approximately $3.1 billion. Under the terms of the Antibody License and Collaboration Agreement, we were required to apply 10% of our share of the profits from the Antibody Collaboration in any calendar quarter to reimburse Sanofi for these development costs. On July 1, 2022, an amendment to the Antibody License and Collaboration Agreement became effective, pursuant to which the percentage of Regeneron’s share of profits used to reimburse Sanofi for such development costs increased from 10% to 20%.</w:t>
      </w:r>
    </w:p>
    <w:p>
      <w:pPr>
        <w:spacing w:after="0" w:line="1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our collaboration agreement, Sanofi records product sales for commercialized products, and Regeneron has the right to co-commercialize such products on a country-by-country basis. We co-commercialize Dupixent in the United States and in certain countries outside the United States. We supply certain commercial bulk product to Sanofi. We and Sanofi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and loss sharing, we are entitled to receive sales milestone payments from Sanofi. In each of the years ended 2020 and 2021, the Company earned a $50.0 million sales-based milestone from Sanofi, upon aggregate annual sales of antibodies outside the United States (including Praluent) exceeding $1.0 billion and $1.5 billion, respectively, on a rolling twelve-month basis, and, in first quarter of 2022, the Company earned a $50.0 million sales-based milestone upon aggregate sales of antibodies outside the United States exceeding $2.0 billion. We are entitled to receive up to an aggregate of $100.0 million in additional sales milestone payments from Sanofi, which includes the next sales milestone payment of $50.0 million that would be earned when such sales outside the United States exceed $2.5 billion on a rolling twelve-month basis.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previously collaborated with Sanofi for antibody-based cancer treatments in the field of immuno-oncology (the "IO Collaboration"). Under the terms of the Immuno-oncology License and Collaboration Agreement, the parties were co-developing and co-commercializing Libtayo. The parties shared equally, on an ongoing basis, development and commercialization expenses for Libtayo. We had principal control over the development of Libtayo and led commercialization activities in the United States, while Sanofi led commercialization activities outside of the United States. The parties shared equally in profits and losses in connection with the commercialization of Libtayo.</w:t>
      </w:r>
    </w:p>
    <w:p>
      <w:pPr>
        <w:spacing w:after="0" w:line="1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July 1, 2022, the Company obtained the exclusive right to develop, commercialize, and manufacture Libtayo worldwide under an Amended and Restated Immuno-oncology License and Collaboration Agreement with Sanofi (the "A&amp;R IO LCA"). Consequently, in July 2022, we made a $900.0 million up-front payment to Sanofi, and Sanofi is eligible to receive a $100.0 million regulatory milestone and up to an aggregate of $100.0 million in sales-based milestones upon achieving certain amounts of worldwide net product sales of Libtayo through 2023. We will also pay Sanofi an 11% royalty on net product sales of Libtayo through March 31, 2034. The parties have also entered into a transition services agreement, a transitional distribution agreement, and a manufacturing services agreement, pursuant to which, during certain transitional periods, Sanofi will perform for Regeneron certain transition, distribution, and manufacturing services, respectively.</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were obligated to reimburse Sanofi for half of the development costs it funded that were attributable to clinical development of antibody product candidates under the Amended and Restated Immuno-oncology Discovery and Development Agreement from our share of profits from commercialized IO Collaboration products. Under the A&amp;R IO LCA, the amount of development costs incurred under the IO Collaboration for which we are obligated to reimburse Sanofi was $35.0 million as of the effective date of the A&amp;R IO LCA, and we pay Sanofi a 0.5% royalty on net product sales of Libtayo until all such development costs have been reimbursed by us.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Bayer</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Bayer are parties to a license and collaboration agreement for the global development and commercialization of EYLEA and aflibercept 8 mg outside the United States. Agreed-upon development expenses incurred by the Company and Bayer are generally shared equally. Bayer markets EYLEA outside the United States, and the companies share equally in profits and losses from such sales. In Japan, we were entitled to receive a tiered percentage of between 33.5% and 40.0% of EYLEA net sales through 2021, and, effective January 1, 2022, the companies share equally in profits and losses from sales.</w:t>
      </w:r>
    </w:p>
    <w:p>
      <w:pPr>
        <w:spacing w:after="0" w:line="1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are obligated to reimburse Bayer for 50% of the development costs that it has incurred under the agreement from our share of the collaboration profits. The reimbursement payment in any quarter will equal 5% of the then outstanding repayment obligation, but never more than our share of the collaboration profits in the quarter unless we elect to reimburse Bayer at a faster rate.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United States, we retain exclusive commercialization rights and are entitled to all profits from such sales.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Teva</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Teva are parties to a collaboration agreement to develop and commercialize fasinumab globally, excluding certain Asian countries that are subject to our collaboration agreement with MTPC. In connection with the agreement, Teva made a $250.0 million non-refundable up-front payment. We led global development activities, including the manufacturing of fasinumab, and the parties shared development costs equally. As of September 30, 2022, we had received an aggregate $120.0 million of development milestones from Teva.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third quarter of 2022, we discontinued further clinical development of fasinumab.</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Alnylam</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2018, we and Alnylam Pharmaceuticals, Inc. entered into a collaboration to discover RNA interference ("RNAi") therapeutics for NASH and potentially other related diseases, as well as to research, co-develop and commercialize any therapeutic product candidates that emerge from these discovery efforts (including ALN-HSD, which is currently in clinical development). ALN-HSD is being co-developed with Alnylam with terms generally consistent with the form of a Co-Commercialization Collaboration Agreement in connection with the 2019 collaboration agreement as described below. Alnylam is conducting the Phase 1 clinical trial for ALN-HSD and Regeneron will be the lead party for all future development.</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2019, we and Alnylam entered into a global, strategic collaboration to discover, develop, and commercialize RNAi therapeutics for a broad range of diseases by addressing therapeutic disease targets expressed in the eye and central nervous system ("CNS"), in addition to a select number of targets expressed in the liver. Under the terms of the agreement, we made an up-front payment of $400.0 million to Alnylam. For each program, we will provide Alnylam with a specified amount of funding at program initiation and at lead candidate designation, and Alnylam is eligible to receive up to an aggregate of $200.0 million in clinical proof-of-principle milestones for eye and CNS programs. Following designation of a lead candidate, the parties may further advance such lead candidate under either a co-commercialization collaboration agreement structure (under which the parties are advancing ALN-APP, which is currently in clinical development) or a license agreement.</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during 2019, the parties entered into a Co-Commercialization Collaboration Agreement for a silencing RNA ("siRNA") therapeutic targeting the C5 component of the human complement pathway being developed by Alnylam, with Alnylam as the lead party, and a License Agreement for a combination product consisting of cemdisiran and pozelimab, with us as the licensee. Under the C5 siRNA Co-Commercialization Collaboration agreement, the parties share costs equally and will split profits (if commercialized); and under the License Agreement, the licensee is responsible for its own costs and expenses. The C5 siRNA License Agreement contains a flat low double-digit royalty payable to Alnylam on potential future net sales of the combination product only subject to customary reductions, as well as up to $325.0 million in sales milestones.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Intellia</w:t>
      </w:r>
    </w:p>
    <w:p>
      <w:pPr>
        <w:spacing w:after="0" w:line="1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In 2016, we entered into a license and collaboration agreement with Intellia Therapeutics, Inc. to advance CRISPR/Cas9 gene-editing technology for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therapeutic development. NTLA-2001, which is in clinical development, is subject to a co-development and co-commercialization arrangement pursuant to which Intellia will lead development and commercialization activities and the parties share an agreed-upon percentage of development expenses and profits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commercialized)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2020, we expanded our existing collaboration with Intellia to provide us with rights to develop products for additional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CRISPR/Cas9-based therapeutic targets and for the companies to jointly develop potential products for the treatment of hemophilia A and B, with Regeneron leading development and commercialization activities. In addition, we also received non-exclusive rights to independently develop and commercialize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edited products. In connection with the 2020 agreement, we made a $70.0 million up-front payment to Intellia.</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BARDA</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and BARDA are parties to agreements pursuant to which HHS provided certain funding to develop, test, and manufacture a treatment for Ebola virus infection. In 2020, HHS exercised its option under an existing agreement to provide up to $344.6 million of additional funding for the manufacture and supply of Inmazeb. We expect to deliver a pre-specified number of Inmazeb treatment doses over the course of approximately six years.</w:t>
      </w:r>
    </w:p>
    <w:p>
      <w:pPr>
        <w:spacing w:after="0" w:line="107" w:lineRule="exact"/>
        <w:rPr>
          <w:sz w:val="20"/>
          <w:szCs w:val="20"/>
          <w:color w:val="auto"/>
        </w:rPr>
      </w:pPr>
    </w:p>
    <w:p>
      <w:pPr>
        <w:ind w:right="2020"/>
        <w:spacing w:after="0" w:line="412" w:lineRule="auto"/>
        <w:rPr>
          <w:sz w:val="20"/>
          <w:szCs w:val="20"/>
          <w:color w:val="auto"/>
        </w:rPr>
      </w:pPr>
      <w:r>
        <w:rPr>
          <w:rFonts w:ascii="Times New Roman" w:cs="Times New Roman" w:eastAsia="Times New Roman" w:hAnsi="Times New Roman"/>
          <w:sz w:val="18"/>
          <w:szCs w:val="18"/>
          <w:color w:val="auto"/>
        </w:rPr>
        <w:t xml:space="preserve">See "Agreements Related to COVID-19 - </w:t>
      </w:r>
      <w:r>
        <w:rPr>
          <w:rFonts w:ascii="Times New Roman" w:cs="Times New Roman" w:eastAsia="Times New Roman" w:hAnsi="Times New Roman"/>
          <w:sz w:val="18"/>
          <w:szCs w:val="18"/>
          <w:i w:val="1"/>
          <w:iCs w:val="1"/>
          <w:color w:val="auto"/>
        </w:rPr>
        <w:t>U.S. Government</w:t>
      </w:r>
      <w:r>
        <w:rPr>
          <w:rFonts w:ascii="Times New Roman" w:cs="Times New Roman" w:eastAsia="Times New Roman" w:hAnsi="Times New Roman"/>
          <w:sz w:val="18"/>
          <w:szCs w:val="18"/>
          <w:color w:val="auto"/>
        </w:rPr>
        <w:t xml:space="preserve">" section above for information related to our COVID-19 agreements. </w:t>
      </w:r>
      <w:r>
        <w:rPr>
          <w:rFonts w:ascii="Times New Roman" w:cs="Times New Roman" w:eastAsia="Times New Roman" w:hAnsi="Times New Roman"/>
          <w:sz w:val="18"/>
          <w:szCs w:val="18"/>
          <w:b w:val="1"/>
          <w:bCs w:val="1"/>
          <w:i w:val="1"/>
          <w:iCs w:val="1"/>
          <w:color w:val="auto"/>
        </w:rPr>
        <w:t>Kiniksa</w:t>
      </w:r>
    </w:p>
    <w:p>
      <w:pPr>
        <w:jc w:val="both"/>
        <w:spacing w:after="0" w:line="263" w:lineRule="auto"/>
        <w:rPr>
          <w:sz w:val="20"/>
          <w:szCs w:val="20"/>
          <w:color w:val="auto"/>
        </w:rPr>
      </w:pPr>
      <w:r>
        <w:rPr>
          <w:rFonts w:ascii="Times New Roman" w:cs="Times New Roman" w:eastAsia="Times New Roman" w:hAnsi="Times New Roman"/>
          <w:sz w:val="18"/>
          <w:szCs w:val="18"/>
          <w:color w:val="auto"/>
        </w:rPr>
        <w:t>Pursuant to a 2017 license agreement, we granted Kiniksa Pharmaceuticals, Ltd. the right to develop and commercialize certain new indications for ARCALYST. During the first quarter of 2021, Kiniksa received marketing approval in the United States for a new indication of ARCALYST, recurrent pericarditis. The quarterly period ended March 31, 2021 was the last quarter for which the Company recorded net product sales of ARCALYST.</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Following this approval, Kiniksa is solely responsible for the U.S. development and commercialization of ARCALYST in all approved indications, and Regeneron will continue to supply clinical and commercial product to Kiniksa. Kiniksa will pay Regeneron 50% of its profits from sales of ARCALYST and the parties will not share in any losses incurred by Kiniksa in connection with commercialization of ARCALYST.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Ultragenyx</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2022, we entered into a license and collaboration agreement for Ultragenyx Pharmaceutical Inc. to develop and commercialize Evkeeza in countries outside of the United States. In connection with the agreement, Ultragenyx made a $30.0 million non-refundable up-front payment to the Company. Ultragenyx will share in certain costs for global trials led by the Company and also have the right to continue to clinically develop Evkeeza in countries outside of the U.S. We will supply commercial product to Ultragenyx at a tiered purchase price, which is calculated as a percentage of net sales of the product (subject to adjustment in certain circumstances), and are eligible to receive additional regulatory and sales milestone payments.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Checkmate</w:t>
      </w:r>
    </w:p>
    <w:p>
      <w:pPr>
        <w:spacing w:after="0" w:line="14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May 2022, the Company completed its acquisition of Checkmate Pharmaceuticals, Inc. for a total equity value of approximately $250 million. In connection with the acquisition, the Company obtained the rights to vidutolimod, which is in clinical development for oncology.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ability to generate profits and to generate positive cash flow from operations over the next several years depends significantly on the continued success in commercializing EYLEA and Dupixent. We expect to continue to incur substantial expenses related to our research and development activities, a portion of which we expect to be reimbursed by our collaborators. In addition, our research and development activities and related costs which are not reimbursed, are expected to expand and require additional resources. We also expect to incur substantial costs related to the commercialization of our marketed products. Our financial results may fluctuate from quarter to quarter and will depend on, among other factors, the net sales of our products; the scope and progress of our research and development efforts; the timing of certain expenses; the continuation of our collaborations, in particular with Sanofi and Bayer, including our share of collaboration profits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or through our Internet website (</w:t>
      </w:r>
      <w:r>
        <w:rPr>
          <w:rFonts w:ascii="Times New Roman" w:cs="Times New Roman" w:eastAsia="Times New Roman" w:hAnsi="Times New Roman"/>
          <w:sz w:val="18"/>
          <w:szCs w:val="18"/>
          <w:i w:val="1"/>
          <w:iCs w:val="1"/>
          <w:color w:val="auto"/>
        </w:rPr>
        <w:t>http://www.regeneron.com</w:t>
      </w:r>
      <w:r>
        <w:rPr>
          <w:rFonts w:ascii="Times New Roman" w:cs="Times New Roman" w:eastAsia="Times New Roman" w:hAnsi="Times New Roman"/>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Investors and other interested parties should note that we use our media and investor relations website (</w:t>
      </w:r>
      <w:r>
        <w:rPr>
          <w:rFonts w:ascii="Times New Roman" w:cs="Times New Roman" w:eastAsia="Times New Roman" w:hAnsi="Times New Roman"/>
          <w:sz w:val="18"/>
          <w:szCs w:val="18"/>
          <w:i w:val="1"/>
          <w:iCs w:val="1"/>
          <w:color w:val="auto"/>
        </w:rPr>
        <w:t>http://newsroom.regeneron.com</w:t>
      </w:r>
      <w:r>
        <w:rPr>
          <w:rFonts w:ascii="Times New Roman" w:cs="Times New Roman" w:eastAsia="Times New Roman" w:hAnsi="Times New Roman"/>
          <w:sz w:val="18"/>
          <w:szCs w:val="18"/>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on our websites and social media channels is not included as a part of, or incorporated by reference into, this report.</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and Nine Months Ended September 30, 2022 and 2021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gridSpan w:val="9"/>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8"/>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6"/>
        </w:trPr>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5"/>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221"/>
        </w:trPr>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w w:val="98"/>
              </w:rPr>
              <w:t>(In millions, except per share data)</w:t>
            </w: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Pr>
          <w:p>
            <w:pPr>
              <w:spacing w:after="0"/>
              <w:rPr>
                <w:sz w:val="19"/>
                <w:szCs w:val="19"/>
                <w:color w:val="auto"/>
              </w:rPr>
            </w:pPr>
          </w:p>
        </w:tc>
      </w:tr>
      <w:tr>
        <w:trPr>
          <w:trHeight w:val="221"/>
        </w:trPr>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3,452.8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11,120.0</w:t>
            </w:r>
          </w:p>
        </w:tc>
        <w:tc>
          <w:tcPr>
            <w:tcW w:w="300" w:type="dxa"/>
            <w:vAlign w:val="bottom"/>
          </w:tcPr>
          <w:p>
            <w:pPr>
              <w:spacing w:after="0"/>
              <w:rPr>
                <w:sz w:val="19"/>
                <w:szCs w:val="19"/>
                <w:color w:val="auto"/>
              </w:rPr>
            </w:pPr>
          </w:p>
        </w:tc>
      </w:tr>
      <w:tr>
        <w:trPr>
          <w:trHeight w:val="227"/>
        </w:trPr>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1,712.5</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1,605.6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5,166.4</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4,812.9</w:t>
            </w:r>
          </w:p>
        </w:tc>
        <w:tc>
          <w:tcPr>
            <w:tcW w:w="300" w:type="dxa"/>
            <w:vAlign w:val="bottom"/>
          </w:tcPr>
          <w:p>
            <w:pPr>
              <w:spacing w:after="0"/>
              <w:rPr>
                <w:sz w:val="19"/>
                <w:szCs w:val="19"/>
                <w:color w:val="auto"/>
              </w:rPr>
            </w:pPr>
          </w:p>
        </w:tc>
      </w:tr>
      <w:tr>
        <w:trPr>
          <w:trHeight w:val="221"/>
        </w:trPr>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1,847.2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6,307.1</w:t>
            </w:r>
          </w:p>
        </w:tc>
        <w:tc>
          <w:tcPr>
            <w:tcW w:w="300" w:type="dxa"/>
            <w:vAlign w:val="bottom"/>
          </w:tcPr>
          <w:p>
            <w:pPr>
              <w:spacing w:after="0"/>
              <w:rPr>
                <w:sz w:val="19"/>
                <w:szCs w:val="19"/>
                <w:color w:val="auto"/>
              </w:rPr>
            </w:pPr>
          </w:p>
        </w:tc>
      </w:tr>
      <w:tr>
        <w:trPr>
          <w:trHeight w:val="227"/>
        </w:trPr>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300" w:type="dxa"/>
            <w:vAlign w:val="bottom"/>
          </w:tcPr>
          <w:p>
            <w:pPr>
              <w:spacing w:after="0"/>
              <w:rPr>
                <w:sz w:val="19"/>
                <w:szCs w:val="19"/>
                <w:color w:val="auto"/>
              </w:rPr>
            </w:pPr>
          </w:p>
        </w:tc>
      </w:tr>
      <w:tr>
        <w:trPr>
          <w:trHeight w:val="221"/>
        </w:trPr>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1,816.6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6,822.4</w:t>
            </w:r>
          </w:p>
        </w:tc>
        <w:tc>
          <w:tcPr>
            <w:tcW w:w="300" w:type="dxa"/>
            <w:vAlign w:val="bottom"/>
          </w:tcPr>
          <w:p>
            <w:pPr>
              <w:spacing w:after="0"/>
              <w:rPr>
                <w:sz w:val="19"/>
                <w:szCs w:val="19"/>
                <w:color w:val="auto"/>
              </w:rPr>
            </w:pPr>
          </w:p>
        </w:tc>
      </w:tr>
      <w:tr>
        <w:trPr>
          <w:trHeight w:val="227"/>
        </w:trPr>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300" w:type="dxa"/>
            <w:vAlign w:val="bottom"/>
          </w:tcPr>
          <w:p>
            <w:pPr>
              <w:spacing w:after="0"/>
              <w:rPr>
                <w:sz w:val="19"/>
                <w:szCs w:val="19"/>
                <w:color w:val="auto"/>
              </w:rPr>
            </w:pPr>
          </w:p>
        </w:tc>
      </w:tr>
      <w:tr>
        <w:trPr>
          <w:trHeight w:val="246"/>
        </w:trPr>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1,632.2</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3,141.3</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5,846.3</w:t>
            </w:r>
          </w:p>
        </w:tc>
        <w:tc>
          <w:tcPr>
            <w:tcW w:w="300" w:type="dxa"/>
            <w:vAlign w:val="bottom"/>
          </w:tcPr>
          <w:p>
            <w:pPr>
              <w:spacing w:after="0"/>
              <w:rPr>
                <w:sz w:val="20"/>
                <w:szCs w:val="20"/>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4"/>
        </w:trPr>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7"/>
        </w:trPr>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480" w:type="dxa"/>
            <w:vAlign w:val="bottom"/>
            <w:gridSpan w:val="3"/>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40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36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300" w:type="dxa"/>
            <w:vAlign w:val="bottom"/>
          </w:tcPr>
          <w:p>
            <w:pPr>
              <w:spacing w:after="0"/>
              <w:rPr>
                <w:sz w:val="19"/>
                <w:szCs w:val="19"/>
                <w:color w:val="auto"/>
              </w:rPr>
            </w:pPr>
          </w:p>
        </w:tc>
      </w:tr>
      <w:tr>
        <w:trPr>
          <w:trHeight w:val="455"/>
        </w:trPr>
        <w:tc>
          <w:tcPr>
            <w:tcW w:w="3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8"/>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6"/>
        </w:trPr>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6"/>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21"/>
        </w:trPr>
        <w:tc>
          <w:tcPr>
            <w:tcW w:w="560" w:type="dxa"/>
            <w:vAlign w:val="bottom"/>
          </w:tcPr>
          <w:p>
            <w:pPr>
              <w:spacing w:after="0"/>
              <w:rPr>
                <w:sz w:val="19"/>
                <w:szCs w:val="19"/>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4"/>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7"/>
        </w:trPr>
        <w:tc>
          <w:tcPr>
            <w:tcW w:w="560" w:type="dxa"/>
            <w:vAlign w:val="bottom"/>
          </w:tcPr>
          <w:p>
            <w:pPr>
              <w:spacing w:after="0"/>
              <w:rPr>
                <w:sz w:val="18"/>
                <w:szCs w:val="18"/>
                <w:color w:val="auto"/>
              </w:rPr>
            </w:pPr>
          </w:p>
        </w:tc>
        <w:tc>
          <w:tcPr>
            <w:tcW w:w="2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r>
      <w:tr>
        <w:trPr>
          <w:trHeight w:val="227"/>
        </w:trPr>
        <w:tc>
          <w:tcPr>
            <w:tcW w:w="560" w:type="dxa"/>
            <w:vAlign w:val="bottom"/>
          </w:tcPr>
          <w:p>
            <w:pPr>
              <w:spacing w:after="0"/>
              <w:rPr>
                <w:sz w:val="19"/>
                <w:szCs w:val="19"/>
                <w:color w:val="auto"/>
              </w:rPr>
            </w:pPr>
          </w:p>
        </w:tc>
        <w:tc>
          <w:tcPr>
            <w:tcW w:w="28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EYLEA - U.S.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1,629.4</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1,473.4</w:t>
            </w:r>
          </w:p>
        </w:tc>
        <w:tc>
          <w:tcPr>
            <w:tcW w:w="44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156.0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4,768.2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4,245.1</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523.1</w:t>
            </w:r>
          </w:p>
        </w:tc>
      </w:tr>
      <w:tr>
        <w:trPr>
          <w:trHeight w:val="227"/>
        </w:trPr>
        <w:tc>
          <w:tcPr>
            <w:tcW w:w="560" w:type="dxa"/>
            <w:vAlign w:val="bottom"/>
          </w:tcPr>
          <w:p>
            <w:pPr>
              <w:spacing w:after="0"/>
              <w:rPr>
                <w:sz w:val="19"/>
                <w:szCs w:val="19"/>
                <w:color w:val="auto"/>
              </w:rPr>
            </w:pPr>
          </w:p>
        </w:tc>
        <w:tc>
          <w:tcPr>
            <w:tcW w:w="2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Libtayo - U.S.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39.0</w:t>
            </w:r>
          </w:p>
        </w:tc>
      </w:tr>
      <w:tr>
        <w:trPr>
          <w:trHeight w:val="227"/>
        </w:trPr>
        <w:tc>
          <w:tcPr>
            <w:tcW w:w="560" w:type="dxa"/>
            <w:vAlign w:val="bottom"/>
          </w:tcPr>
          <w:p>
            <w:pPr>
              <w:spacing w:after="0"/>
              <w:rPr>
                <w:sz w:val="19"/>
                <w:szCs w:val="19"/>
                <w:color w:val="auto"/>
              </w:rPr>
            </w:pPr>
          </w:p>
        </w:tc>
        <w:tc>
          <w:tcPr>
            <w:tcW w:w="2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Libtayo - ROW</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60" w:type="dxa"/>
            <w:vAlign w:val="bottom"/>
          </w:tcPr>
          <w:p>
            <w:pPr>
              <w:spacing w:after="0"/>
              <w:rPr>
                <w:sz w:val="19"/>
                <w:szCs w:val="19"/>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Praluent - U.S.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94.5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r>
      <w:tr>
        <w:trPr>
          <w:trHeight w:val="227"/>
        </w:trPr>
        <w:tc>
          <w:tcPr>
            <w:tcW w:w="560" w:type="dxa"/>
            <w:vAlign w:val="bottom"/>
          </w:tcPr>
          <w:p>
            <w:pPr>
              <w:spacing w:after="0"/>
              <w:rPr>
                <w:sz w:val="19"/>
                <w:szCs w:val="19"/>
                <w:color w:val="auto"/>
              </w:rPr>
            </w:pPr>
          </w:p>
        </w:tc>
        <w:tc>
          <w:tcPr>
            <w:tcW w:w="28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REGEN-COV - U.S.</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(3,530.1)</w:t>
            </w:r>
          </w:p>
        </w:tc>
      </w:tr>
      <w:tr>
        <w:trPr>
          <w:trHeight w:val="227"/>
        </w:trPr>
        <w:tc>
          <w:tcPr>
            <w:tcW w:w="560" w:type="dxa"/>
            <w:vAlign w:val="bottom"/>
          </w:tcPr>
          <w:p>
            <w:pPr>
              <w:spacing w:after="0"/>
              <w:rPr>
                <w:sz w:val="19"/>
                <w:szCs w:val="19"/>
                <w:color w:val="auto"/>
              </w:rPr>
            </w:pPr>
          </w:p>
        </w:tc>
        <w:tc>
          <w:tcPr>
            <w:tcW w:w="28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Evkeeza - U.S.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33.2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w:t>
            </w:r>
          </w:p>
        </w:tc>
      </w:tr>
      <w:tr>
        <w:trPr>
          <w:trHeight w:val="227"/>
        </w:trPr>
        <w:tc>
          <w:tcPr>
            <w:tcW w:w="560" w:type="dxa"/>
            <w:vAlign w:val="bottom"/>
          </w:tcPr>
          <w:p>
            <w:pPr>
              <w:spacing w:after="0"/>
              <w:rPr>
                <w:sz w:val="19"/>
                <w:szCs w:val="19"/>
                <w:color w:val="auto"/>
              </w:rPr>
            </w:pPr>
          </w:p>
        </w:tc>
        <w:tc>
          <w:tcPr>
            <w:tcW w:w="28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Inmazeb - U.S.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r>
      <w:tr>
        <w:trPr>
          <w:trHeight w:val="227"/>
        </w:trPr>
        <w:tc>
          <w:tcPr>
            <w:tcW w:w="560" w:type="dxa"/>
            <w:vAlign w:val="bottom"/>
          </w:tcPr>
          <w:p>
            <w:pPr>
              <w:spacing w:after="0"/>
              <w:rPr>
                <w:sz w:val="19"/>
                <w:szCs w:val="19"/>
                <w:color w:val="auto"/>
              </w:rPr>
            </w:pPr>
          </w:p>
        </w:tc>
        <w:tc>
          <w:tcPr>
            <w:tcW w:w="2840" w:type="dxa"/>
            <w:vAlign w:val="bottom"/>
            <w:gridSpan w:val="3"/>
          </w:tcPr>
          <w:p>
            <w:pPr>
              <w:ind w:left="220"/>
              <w:spacing w:after="0" w:line="228" w:lineRule="exact"/>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U.S.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gridSpan w:val="3"/>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60" w:type="dxa"/>
            <w:vAlign w:val="bottom"/>
          </w:tcPr>
          <w:p>
            <w:pPr>
              <w:spacing w:after="0"/>
              <w:rPr>
                <w:sz w:val="19"/>
                <w:szCs w:val="19"/>
                <w:color w:val="auto"/>
              </w:rPr>
            </w:pPr>
          </w:p>
        </w:tc>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27"/>
        </w:trPr>
        <w:tc>
          <w:tcPr>
            <w:tcW w:w="560" w:type="dxa"/>
            <w:vAlign w:val="bottom"/>
          </w:tcPr>
          <w:p>
            <w:pPr>
              <w:spacing w:after="0"/>
              <w:rPr>
                <w:sz w:val="19"/>
                <w:szCs w:val="19"/>
                <w:color w:val="auto"/>
              </w:rPr>
            </w:pPr>
          </w:p>
        </w:tc>
        <w:tc>
          <w:tcPr>
            <w:tcW w:w="28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Sanofi</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129.6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635.5</w:t>
            </w:r>
          </w:p>
        </w:tc>
      </w:tr>
      <w:tr>
        <w:trPr>
          <w:trHeight w:val="227"/>
        </w:trPr>
        <w:tc>
          <w:tcPr>
            <w:tcW w:w="560" w:type="dxa"/>
            <w:vAlign w:val="bottom"/>
          </w:tcPr>
          <w:p>
            <w:pPr>
              <w:spacing w:after="0"/>
              <w:rPr>
                <w:sz w:val="19"/>
                <w:szCs w:val="19"/>
                <w:color w:val="auto"/>
              </w:rPr>
            </w:pPr>
          </w:p>
        </w:tc>
        <w:tc>
          <w:tcPr>
            <w:tcW w:w="28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Bayer</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38.7</w:t>
            </w:r>
          </w:p>
        </w:tc>
      </w:tr>
      <w:tr>
        <w:trPr>
          <w:trHeight w:val="227"/>
        </w:trPr>
        <w:tc>
          <w:tcPr>
            <w:tcW w:w="560" w:type="dxa"/>
            <w:vAlign w:val="bottom"/>
          </w:tcPr>
          <w:p>
            <w:pPr>
              <w:spacing w:after="0"/>
              <w:rPr>
                <w:sz w:val="19"/>
                <w:szCs w:val="19"/>
                <w:color w:val="auto"/>
              </w:rPr>
            </w:pPr>
          </w:p>
        </w:tc>
        <w:tc>
          <w:tcPr>
            <w:tcW w:w="28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Roche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(130.9)</w:t>
            </w:r>
          </w:p>
        </w:tc>
      </w:tr>
      <w:tr>
        <w:trPr>
          <w:trHeight w:val="227"/>
        </w:trPr>
        <w:tc>
          <w:tcPr>
            <w:tcW w:w="560" w:type="dxa"/>
            <w:vAlign w:val="bottom"/>
          </w:tcPr>
          <w:p>
            <w:pPr>
              <w:spacing w:after="0"/>
              <w:rPr>
                <w:sz w:val="19"/>
                <w:szCs w:val="19"/>
                <w:color w:val="auto"/>
              </w:rPr>
            </w:pPr>
          </w:p>
        </w:tc>
        <w:tc>
          <w:tcPr>
            <w:tcW w:w="28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collaboration revenue</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r>
      <w:tr>
        <w:trPr>
          <w:trHeight w:val="227"/>
        </w:trPr>
        <w:tc>
          <w:tcPr>
            <w:tcW w:w="560" w:type="dxa"/>
            <w:vAlign w:val="bottom"/>
          </w:tcPr>
          <w:p>
            <w:pPr>
              <w:spacing w:after="0"/>
              <w:rPr>
                <w:sz w:val="19"/>
                <w:szCs w:val="19"/>
                <w:color w:val="auto"/>
              </w:rPr>
            </w:pPr>
          </w:p>
        </w:tc>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w:t>
            </w:r>
          </w:p>
        </w:tc>
      </w:tr>
      <w:tr>
        <w:trPr>
          <w:trHeight w:val="241"/>
        </w:trPr>
        <w:tc>
          <w:tcPr>
            <w:tcW w:w="560" w:type="dxa"/>
            <w:vAlign w:val="bottom"/>
          </w:tcPr>
          <w:p>
            <w:pPr>
              <w:spacing w:after="0"/>
              <w:rPr>
                <w:sz w:val="20"/>
                <w:szCs w:val="20"/>
                <w:color w:val="auto"/>
              </w:rPr>
            </w:pPr>
          </w:p>
        </w:tc>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(2,361.5)</w:t>
            </w:r>
          </w:p>
        </w:tc>
      </w:tr>
      <w:tr>
        <w:trPr>
          <w:trHeight w:val="20"/>
        </w:trPr>
        <w:tc>
          <w:tcPr>
            <w:tcW w:w="560" w:type="dxa"/>
            <w:vAlign w:val="bottom"/>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11" w:lineRule="exact"/>
        <w:rPr>
          <w:sz w:val="20"/>
          <w:szCs w:val="20"/>
          <w:color w:val="auto"/>
        </w:rPr>
      </w:pPr>
    </w:p>
    <w:p>
      <w:pPr>
        <w:ind w:left="840" w:hanging="93"/>
        <w:spacing w:after="0"/>
        <w:tabs>
          <w:tab w:leader="none" w:pos="8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Percentage not meaningful</w:t>
      </w:r>
    </w:p>
    <w:p>
      <w:pPr>
        <w:spacing w:after="0" w:line="9" w:lineRule="exact"/>
        <w:rPr>
          <w:sz w:val="20"/>
          <w:szCs w:val="20"/>
          <w:color w:val="auto"/>
        </w:rPr>
      </w:pPr>
    </w:p>
    <w:p>
      <w:pPr>
        <w:ind w:left="740" w:right="700" w:firstLine="7"/>
        <w:spacing w:after="0" w:line="205" w:lineRule="auto"/>
        <w:tabs>
          <w:tab w:leader="none" w:pos="896"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Effective April 1, 2021, Kiniksa records net product sales of ARCALYST in the United States. Previously, the Company recorded net product sales of ARCALYST in the United States.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1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Net product sales of EYLEA in the United States increased for the three and nine months ended September 30, 2022, compared to the same periods in 2021, due to higher sales volume partly offset by an increase in sales-related deductions.</w:t>
      </w:r>
    </w:p>
    <w:p>
      <w:pPr>
        <w:spacing w:after="0" w:line="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As described under "Collaboration, License, and Other Agreements - Sanofi - </w:t>
      </w:r>
      <w:r>
        <w:rPr>
          <w:rFonts w:ascii="Times New Roman" w:cs="Times New Roman" w:eastAsia="Times New Roman" w:hAnsi="Times New Roman"/>
          <w:sz w:val="18"/>
          <w:szCs w:val="18"/>
          <w:i w:val="1"/>
          <w:iCs w:val="1"/>
          <w:color w:val="auto"/>
        </w:rPr>
        <w:t>Immuno-oncology</w:t>
      </w:r>
      <w:r>
        <w:rPr>
          <w:rFonts w:ascii="Times New Roman" w:cs="Times New Roman" w:eastAsia="Times New Roman" w:hAnsi="Times New Roman"/>
          <w:sz w:val="18"/>
          <w:szCs w:val="18"/>
          <w:color w:val="auto"/>
        </w:rPr>
        <w:t>" above, effective July 1, 2022, the Company became solely responsible for the research, development, and commercialization of Libtayo worldwide and began recording net product sales of Libtayo outside the United States.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the three and nine months ended September 30, 2021, we recorded net product sales of REGEN-COV in connection with our agreements with the U.S. government. As of December 31, 2021, the Company had completed its final deliveries of drug product under its agreements with the U.S. government; as a result, there were no net product sales of REGEN-COV in the United States recorded during the three and nine months ended September 30, 2022. Refer to "Agreements Related to COVID-19 - </w:t>
      </w:r>
      <w:r>
        <w:rPr>
          <w:rFonts w:ascii="Times New Roman" w:cs="Times New Roman" w:eastAsia="Times New Roman" w:hAnsi="Times New Roman"/>
          <w:sz w:val="18"/>
          <w:szCs w:val="18"/>
          <w:i w:val="1"/>
          <w:iCs w:val="1"/>
          <w:color w:val="auto"/>
        </w:rPr>
        <w:t>U.S. Government</w:t>
      </w:r>
      <w:r>
        <w:rPr>
          <w:rFonts w:ascii="Times New Roman" w:cs="Times New Roman" w:eastAsia="Times New Roman" w:hAnsi="Times New Roman"/>
          <w:sz w:val="18"/>
          <w:szCs w:val="18"/>
          <w:color w:val="auto"/>
        </w:rPr>
        <w:t>" section above for further details.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8"/>
        </w:trPr>
        <w:tc>
          <w:tcPr>
            <w:tcW w:w="8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100" w:type="dxa"/>
            <w:vAlign w:val="bottom"/>
            <w:gridSpan w:val="4"/>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100" w:type="dxa"/>
            <w:vAlign w:val="bottom"/>
            <w:gridSpan w:val="4"/>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820" w:type="dxa"/>
            <w:vAlign w:val="bottom"/>
          </w:tcPr>
          <w:p>
            <w:pPr>
              <w:spacing w:after="0"/>
              <w:rPr>
                <w:sz w:val="19"/>
                <w:szCs w:val="19"/>
                <w:color w:val="auto"/>
              </w:rPr>
            </w:pPr>
          </w:p>
        </w:tc>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82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74"/>
        </w:trPr>
        <w:tc>
          <w:tcPr>
            <w:tcW w:w="820" w:type="dxa"/>
            <w:vAlign w:val="bottom"/>
          </w:tcPr>
          <w:p>
            <w:pPr>
              <w:spacing w:after="0"/>
              <w:rPr>
                <w:sz w:val="15"/>
                <w:szCs w:val="15"/>
                <w:color w:val="auto"/>
              </w:rPr>
            </w:pPr>
          </w:p>
        </w:tc>
        <w:tc>
          <w:tcPr>
            <w:tcW w:w="4800" w:type="dxa"/>
            <w:vAlign w:val="bottom"/>
            <w:gridSpan w:val="2"/>
          </w:tcPr>
          <w:p>
            <w:pPr>
              <w:ind w:left="220"/>
              <w:spacing w:after="0" w:line="174" w:lineRule="exact"/>
              <w:rPr>
                <w:sz w:val="20"/>
                <w:szCs w:val="20"/>
                <w:color w:val="auto"/>
              </w:rPr>
            </w:pPr>
            <w:r>
              <w:rPr>
                <w:rFonts w:ascii="Times New Roman" w:cs="Times New Roman" w:eastAsia="Times New Roman" w:hAnsi="Times New Roman"/>
                <w:sz w:val="18"/>
                <w:szCs w:val="18"/>
                <w:color w:val="auto"/>
              </w:rPr>
              <w:t>Regeneron's share of profits in connection with</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1"/>
        </w:trPr>
        <w:tc>
          <w:tcPr>
            <w:tcW w:w="820" w:type="dxa"/>
            <w:vAlign w:val="bottom"/>
          </w:tcPr>
          <w:p>
            <w:pPr>
              <w:spacing w:after="0"/>
              <w:rPr>
                <w:sz w:val="20"/>
                <w:szCs w:val="20"/>
                <w:color w:val="auto"/>
              </w:rPr>
            </w:pPr>
          </w:p>
        </w:tc>
        <w:tc>
          <w:tcPr>
            <w:tcW w:w="4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2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975.2</w:t>
            </w:r>
          </w:p>
        </w:tc>
      </w:tr>
      <w:tr>
        <w:trPr>
          <w:trHeight w:val="227"/>
        </w:trPr>
        <w:tc>
          <w:tcPr>
            <w:tcW w:w="820" w:type="dxa"/>
            <w:vAlign w:val="bottom"/>
          </w:tcPr>
          <w:p>
            <w:pPr>
              <w:spacing w:after="0"/>
              <w:rPr>
                <w:sz w:val="19"/>
                <w:szCs w:val="19"/>
                <w:color w:val="auto"/>
              </w:rPr>
            </w:pPr>
          </w:p>
        </w:tc>
        <w:tc>
          <w:tcPr>
            <w:tcW w:w="4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Sales-based milestone earned</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7"/>
        </w:trPr>
        <w:tc>
          <w:tcPr>
            <w:tcW w:w="820" w:type="dxa"/>
            <w:vAlign w:val="bottom"/>
          </w:tcPr>
          <w:p>
            <w:pPr>
              <w:spacing w:after="0"/>
              <w:rPr>
                <w:sz w:val="19"/>
                <w:szCs w:val="19"/>
                <w:color w:val="auto"/>
              </w:rPr>
            </w:pPr>
          </w:p>
        </w:tc>
        <w:tc>
          <w:tcPr>
            <w:tcW w:w="4800" w:type="dxa"/>
            <w:vAlign w:val="bottom"/>
            <w:gridSpan w:val="2"/>
          </w:tcPr>
          <w:p>
            <w:pPr>
              <w:ind w:left="220"/>
              <w:spacing w:after="0" w:line="228" w:lineRule="exact"/>
              <w:rPr>
                <w:sz w:val="20"/>
                <w:szCs w:val="20"/>
                <w:color w:val="auto"/>
              </w:rPr>
            </w:pPr>
            <w:r>
              <w:rPr>
                <w:rFonts w:ascii="Times New Roman" w:cs="Times New Roman" w:eastAsia="Times New Roman" w:hAnsi="Times New Roman"/>
                <w:sz w:val="18"/>
                <w:szCs w:val="18"/>
                <w:color w:val="auto"/>
              </w:rPr>
              <w:t>Reimbursement for manufacturing of commercial supplies</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w:t>
            </w:r>
          </w:p>
        </w:tc>
      </w:tr>
      <w:tr>
        <w:trPr>
          <w:trHeight w:val="227"/>
        </w:trPr>
        <w:tc>
          <w:tcPr>
            <w:tcW w:w="820" w:type="dxa"/>
            <w:vAlign w:val="bottom"/>
          </w:tcPr>
          <w:p>
            <w:pPr>
              <w:spacing w:after="0"/>
              <w:rPr>
                <w:sz w:val="19"/>
                <w:szCs w:val="19"/>
                <w:color w:val="auto"/>
              </w:rPr>
            </w:pPr>
          </w:p>
        </w:tc>
        <w:tc>
          <w:tcPr>
            <w:tcW w:w="4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820" w:type="dxa"/>
            <w:vAlign w:val="bottom"/>
          </w:tcPr>
          <w:p>
            <w:pPr>
              <w:spacing w:after="0"/>
              <w:rPr>
                <w:sz w:val="19"/>
                <w:szCs w:val="19"/>
                <w:color w:val="auto"/>
              </w:rPr>
            </w:pPr>
          </w:p>
        </w:tc>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Antibody</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1,386.4</w:t>
            </w:r>
          </w:p>
        </w:tc>
      </w:tr>
      <w:tr>
        <w:trPr>
          <w:trHeight w:val="207"/>
        </w:trPr>
        <w:tc>
          <w:tcPr>
            <w:tcW w:w="82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Immuno-oncology: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74"/>
        </w:trPr>
        <w:tc>
          <w:tcPr>
            <w:tcW w:w="820" w:type="dxa"/>
            <w:vAlign w:val="bottom"/>
          </w:tcPr>
          <w:p>
            <w:pPr>
              <w:spacing w:after="0"/>
              <w:rPr>
                <w:sz w:val="15"/>
                <w:szCs w:val="15"/>
                <w:color w:val="auto"/>
              </w:rPr>
            </w:pPr>
          </w:p>
        </w:tc>
        <w:tc>
          <w:tcPr>
            <w:tcW w:w="4800" w:type="dxa"/>
            <w:vAlign w:val="bottom"/>
            <w:gridSpan w:val="2"/>
          </w:tcPr>
          <w:p>
            <w:pPr>
              <w:ind w:left="220"/>
              <w:spacing w:after="0" w:line="174" w:lineRule="exact"/>
              <w:rPr>
                <w:sz w:val="20"/>
                <w:szCs w:val="20"/>
                <w:color w:val="auto"/>
              </w:rPr>
            </w:pPr>
            <w:r>
              <w:rPr>
                <w:rFonts w:ascii="Times New Roman" w:cs="Times New Roman" w:eastAsia="Times New Roman" w:hAnsi="Times New Roman"/>
                <w:sz w:val="18"/>
                <w:szCs w:val="18"/>
                <w:color w:val="auto"/>
              </w:rPr>
              <w:t>Regeneron's share of profits (losses) in connection with</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1"/>
        </w:trPr>
        <w:tc>
          <w:tcPr>
            <w:tcW w:w="820" w:type="dxa"/>
            <w:vAlign w:val="bottom"/>
          </w:tcPr>
          <w:p>
            <w:pPr>
              <w:spacing w:after="0"/>
              <w:rPr>
                <w:sz w:val="20"/>
                <w:szCs w:val="20"/>
                <w:color w:val="auto"/>
              </w:rPr>
            </w:pPr>
          </w:p>
        </w:tc>
        <w:tc>
          <w:tcPr>
            <w:tcW w:w="4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commercialization of Libtayo outside the United States</w:t>
            </w: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174"/>
        </w:trPr>
        <w:tc>
          <w:tcPr>
            <w:tcW w:w="820" w:type="dxa"/>
            <w:vAlign w:val="bottom"/>
          </w:tcPr>
          <w:p>
            <w:pPr>
              <w:spacing w:after="0"/>
              <w:rPr>
                <w:sz w:val="15"/>
                <w:szCs w:val="15"/>
                <w:color w:val="auto"/>
              </w:rPr>
            </w:pPr>
          </w:p>
        </w:tc>
        <w:tc>
          <w:tcPr>
            <w:tcW w:w="4800" w:type="dxa"/>
            <w:vAlign w:val="bottom"/>
            <w:gridSpan w:val="2"/>
            <w:shd w:val="clear" w:color="auto" w:fill="CCEEFF"/>
          </w:tcPr>
          <w:p>
            <w:pPr>
              <w:ind w:left="220"/>
              <w:spacing w:after="0" w:line="174" w:lineRule="exact"/>
              <w:rPr>
                <w:sz w:val="20"/>
                <w:szCs w:val="20"/>
                <w:color w:val="auto"/>
              </w:rPr>
            </w:pPr>
            <w:r>
              <w:rPr>
                <w:rFonts w:ascii="Times New Roman" w:cs="Times New Roman" w:eastAsia="Times New Roman" w:hAnsi="Times New Roman"/>
                <w:sz w:val="18"/>
                <w:szCs w:val="18"/>
                <w:color w:val="auto"/>
              </w:rPr>
              <w:t>Reimbursement for manufacturing of ex-U.S. commercial</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1"/>
        </w:trPr>
        <w:tc>
          <w:tcPr>
            <w:tcW w:w="820" w:type="dxa"/>
            <w:vAlign w:val="bottom"/>
          </w:tcPr>
          <w:p>
            <w:pPr>
              <w:spacing w:after="0"/>
              <w:rPr>
                <w:sz w:val="20"/>
                <w:szCs w:val="20"/>
                <w:color w:val="auto"/>
              </w:rPr>
            </w:pPr>
          </w:p>
        </w:tc>
        <w:tc>
          <w:tcPr>
            <w:tcW w:w="4800" w:type="dxa"/>
            <w:vAlign w:val="bottom"/>
            <w:gridSpan w:val="2"/>
            <w:shd w:val="clear" w:color="auto" w:fill="CCEEFF"/>
          </w:tcPr>
          <w:p>
            <w:pPr>
              <w:ind w:left="380"/>
              <w:spacing w:after="0" w:line="241" w:lineRule="exact"/>
              <w:rPr>
                <w:sz w:val="20"/>
                <w:szCs w:val="20"/>
                <w:color w:val="auto"/>
              </w:rPr>
            </w:pPr>
            <w:r>
              <w:rPr>
                <w:rFonts w:ascii="Times New Roman" w:cs="Times New Roman" w:eastAsia="Times New Roman" w:hAnsi="Times New Roman"/>
                <w:sz w:val="18"/>
                <w:szCs w:val="18"/>
                <w:color w:val="auto"/>
              </w:rPr>
              <w:t>supplies</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1"/>
        </w:trPr>
        <w:tc>
          <w:tcPr>
            <w:tcW w:w="820" w:type="dxa"/>
            <w:vAlign w:val="bottom"/>
          </w:tcPr>
          <w:p>
            <w:pPr>
              <w:spacing w:after="0"/>
              <w:rPr>
                <w:sz w:val="19"/>
                <w:szCs w:val="19"/>
                <w:color w:val="auto"/>
              </w:rPr>
            </w:pPr>
          </w:p>
        </w:tc>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Immuno-oncology</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6"/>
        </w:trPr>
        <w:tc>
          <w:tcPr>
            <w:tcW w:w="820" w:type="dxa"/>
            <w:vAlign w:val="bottom"/>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1,384.3</w:t>
            </w:r>
          </w:p>
        </w:tc>
      </w:tr>
      <w:tr>
        <w:trPr>
          <w:trHeight w:val="20"/>
        </w:trPr>
        <w:tc>
          <w:tcPr>
            <w:tcW w:w="820" w:type="dxa"/>
            <w:vAlign w:val="bottom"/>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ind w:left="1160" w:hanging="159"/>
        <w:spacing w:after="0"/>
        <w:tabs>
          <w:tab w:leader="none" w:pos="116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Corresponding costs incurred by us in connection with such production is recorded within Cost of collaboration and contract manufacturing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Antibody</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Global net product sales of Dupixent and Kevzara are recorded by Sanofi. Sanofi provides us with an estimate of our share of the profits or losses from commercialization of antibodies for the most recent fiscal quarter; these estimates are reconciled to actual results in the subsequent fiscal quarter, and our portion of the profits or losses is adjusted accordingly, as necessary. As described above under "Collaboration, License, and Other Agreements - Sanofi - </w:t>
      </w:r>
      <w:r>
        <w:rPr>
          <w:rFonts w:ascii="Times New Roman" w:cs="Times New Roman" w:eastAsia="Times New Roman" w:hAnsi="Times New Roman"/>
          <w:sz w:val="18"/>
          <w:szCs w:val="18"/>
          <w:i w:val="1"/>
          <w:iCs w:val="1"/>
          <w:color w:val="auto"/>
        </w:rPr>
        <w:t>Antibody</w:t>
      </w:r>
      <w:r>
        <w:rPr>
          <w:rFonts w:ascii="Times New Roman" w:cs="Times New Roman" w:eastAsia="Times New Roman" w:hAnsi="Times New Roman"/>
          <w:sz w:val="18"/>
          <w:szCs w:val="18"/>
          <w:color w:val="auto"/>
        </w:rPr>
        <w:t>", on July 1, 2022, an amendment to the Antibody License and Collaboration Agreement became effective, pursuant to which the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Regeneron's share of profits in any calendar quarter used to reimburse Sanofi for development costs which were funded by Sanofi increased from 10% to 20%. The increase in our share of profits in connection with commercialization of antibodies during the three and nine months ended September 30, 2022, compared to the same periods in 2021, was driven by higher Dupixent profits, partly offset by a one-time payment, recorded during the third quarter of 2022, in connection with this amendment.</w:t>
      </w:r>
    </w:p>
    <w:p>
      <w:pPr>
        <w:spacing w:after="0" w:line="1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given the recent U.S. dollar strengthening against several foreign currencies, including the Japanese yen and the euro, the amount of the share of profits we receive in connection with commercialization of antibodies outside the United States was impacted in the third quarter of 2022.</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the commercialization of Dupixent and Kevzara is summarized below:</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7"/>
                <w:szCs w:val="17"/>
                <w:color w:val="auto"/>
              </w:rPr>
            </w:pPr>
          </w:p>
        </w:tc>
        <w:tc>
          <w:tcPr>
            <w:tcW w:w="2120" w:type="dxa"/>
            <w:vAlign w:val="bottom"/>
            <w:gridSpan w:val="4"/>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120" w:type="dxa"/>
            <w:vAlign w:val="bottom"/>
            <w:gridSpan w:val="4"/>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46"/>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Dupixent and Kevzara net product sales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2,418.2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1,760.7</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6,509.1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4,658.4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Regeneron's share of collaboration profits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80" w:type="dxa"/>
            <w:vAlign w:val="bottom"/>
            <w:vMerge w:val="continue"/>
          </w:tcPr>
          <w:p>
            <w:pPr>
              <w:spacing w:after="0"/>
              <w:rPr>
                <w:sz w:val="17"/>
                <w:szCs w:val="17"/>
                <w:color w:val="auto"/>
              </w:rPr>
            </w:pPr>
          </w:p>
        </w:tc>
        <w:tc>
          <w:tcPr>
            <w:tcW w:w="220" w:type="dxa"/>
            <w:vAlign w:val="bottom"/>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rPr>
              <w:t>686.7</w:t>
            </w:r>
          </w:p>
        </w:tc>
        <w:tc>
          <w:tcPr>
            <w:tcW w:w="100" w:type="dxa"/>
            <w:vAlign w:val="bottom"/>
          </w:tcPr>
          <w:p>
            <w:pPr>
              <w:spacing w:after="0"/>
              <w:rPr>
                <w:sz w:val="17"/>
                <w:szCs w:val="17"/>
                <w:color w:val="auto"/>
              </w:rPr>
            </w:pPr>
          </w:p>
        </w:tc>
        <w:tc>
          <w:tcPr>
            <w:tcW w:w="240" w:type="dxa"/>
            <w:vAlign w:val="bottom"/>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rPr>
              <w:t>425.8</w:t>
            </w:r>
          </w:p>
        </w:tc>
        <w:tc>
          <w:tcPr>
            <w:tcW w:w="160" w:type="dxa"/>
            <w:vAlign w:val="bottom"/>
          </w:tcPr>
          <w:p>
            <w:pPr>
              <w:spacing w:after="0"/>
              <w:rPr>
                <w:sz w:val="17"/>
                <w:szCs w:val="17"/>
                <w:color w:val="auto"/>
              </w:rPr>
            </w:pPr>
          </w:p>
        </w:tc>
        <w:tc>
          <w:tcPr>
            <w:tcW w:w="240" w:type="dxa"/>
            <w:vAlign w:val="bottom"/>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rPr>
              <w:t>1,700.6</w:t>
            </w:r>
          </w:p>
        </w:tc>
        <w:tc>
          <w:tcPr>
            <w:tcW w:w="100" w:type="dxa"/>
            <w:vAlign w:val="bottom"/>
          </w:tcPr>
          <w:p>
            <w:pPr>
              <w:spacing w:after="0"/>
              <w:rPr>
                <w:sz w:val="17"/>
                <w:szCs w:val="17"/>
                <w:color w:val="auto"/>
              </w:rPr>
            </w:pPr>
          </w:p>
        </w:tc>
        <w:tc>
          <w:tcPr>
            <w:tcW w:w="240" w:type="dxa"/>
            <w:vAlign w:val="bottom"/>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rPr>
              <w:t>1,080.2</w:t>
            </w:r>
          </w:p>
        </w:tc>
        <w:tc>
          <w:tcPr>
            <w:tcW w:w="0" w:type="dxa"/>
            <w:vAlign w:val="bottom"/>
          </w:tcPr>
          <w:p>
            <w:pPr>
              <w:spacing w:after="0"/>
              <w:rPr>
                <w:sz w:val="1"/>
                <w:szCs w:val="1"/>
                <w:color w:val="auto"/>
              </w:rPr>
            </w:pPr>
          </w:p>
        </w:tc>
      </w:tr>
      <w:tr>
        <w:trPr>
          <w:trHeight w:val="174"/>
        </w:trPr>
        <w:tc>
          <w:tcPr>
            <w:tcW w:w="62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Reimbursement of development expenses incurred by Sanofi in accordance with</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Regeneron's payment obligation</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174"/>
        </w:trPr>
        <w:tc>
          <w:tcPr>
            <w:tcW w:w="62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One-time payment in connection with amendment to the Antibody License and</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Agreement</w:t>
            </w:r>
          </w:p>
        </w:tc>
        <w:tc>
          <w:tcPr>
            <w:tcW w:w="22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 in connection with commercialization of antibodies</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387.0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1,463.0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975.2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6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2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Regeneron's share of collaboration profits as a percentage of Dupixent and Kevzara</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product sales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earned a $50.0 million sales-based milestone from Sanofi, upon aggregate annual sales of antibodies outside the United States (including Praluent) exceeding $2.0 billion on a rolling twelve-month basis. During the three months ended September 30, 2021, the Company earned a $50.0 million sales-based milestone from Sanofi, upon aggregate annual sales of antibodies outside the United States (including Praluent) exceeding $1.5 billion on a rolling twelve-month basis.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68"/>
        </w:trPr>
        <w:tc>
          <w:tcPr>
            <w:tcW w:w="5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120" w:type="dxa"/>
            <w:vAlign w:val="bottom"/>
            <w:gridSpan w:val="4"/>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120" w:type="dxa"/>
            <w:vAlign w:val="bottom"/>
            <w:gridSpan w:val="4"/>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00" w:type="dxa"/>
            <w:vAlign w:val="bottom"/>
          </w:tcPr>
          <w:p>
            <w:pPr>
              <w:spacing w:after="0"/>
              <w:rPr>
                <w:sz w:val="19"/>
                <w:szCs w:val="19"/>
                <w:color w:val="auto"/>
              </w:rPr>
            </w:pPr>
          </w:p>
        </w:tc>
        <w:tc>
          <w:tcPr>
            <w:tcW w:w="5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54"/>
        </w:trPr>
        <w:tc>
          <w:tcPr>
            <w:tcW w:w="500" w:type="dxa"/>
            <w:vAlign w:val="bottom"/>
          </w:tcPr>
          <w:p>
            <w:pPr>
              <w:spacing w:after="0"/>
              <w:rPr>
                <w:sz w:val="13"/>
                <w:szCs w:val="13"/>
                <w:color w:val="auto"/>
              </w:rPr>
            </w:pPr>
          </w:p>
        </w:tc>
        <w:tc>
          <w:tcPr>
            <w:tcW w:w="5440" w:type="dxa"/>
            <w:vAlign w:val="bottom"/>
            <w:gridSpan w:val="2"/>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Regeneron's share of profits in connection with commercialization of</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41"/>
        </w:trPr>
        <w:tc>
          <w:tcPr>
            <w:tcW w:w="500" w:type="dxa"/>
            <w:vAlign w:val="bottom"/>
          </w:tcPr>
          <w:p>
            <w:pPr>
              <w:spacing w:after="0"/>
              <w:rPr>
                <w:sz w:val="20"/>
                <w:szCs w:val="20"/>
                <w:color w:val="auto"/>
              </w:rPr>
            </w:pPr>
          </w:p>
        </w:tc>
        <w:tc>
          <w:tcPr>
            <w:tcW w:w="5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EYLEA outside the United States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w:t>
            </w:r>
          </w:p>
        </w:tc>
      </w:tr>
      <w:tr>
        <w:trPr>
          <w:trHeight w:val="227"/>
        </w:trPr>
        <w:tc>
          <w:tcPr>
            <w:tcW w:w="500" w:type="dxa"/>
            <w:vAlign w:val="bottom"/>
          </w:tcPr>
          <w:p>
            <w:pPr>
              <w:spacing w:after="0"/>
              <w:rPr>
                <w:sz w:val="19"/>
                <w:szCs w:val="19"/>
                <w:color w:val="auto"/>
              </w:rPr>
            </w:pPr>
          </w:p>
        </w:tc>
        <w:tc>
          <w:tcPr>
            <w:tcW w:w="544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18"/>
                <w:szCs w:val="18"/>
                <w:color w:val="auto"/>
              </w:rPr>
              <w:t>Reimbursement for manufacturing of ex-U.S. commercial supplies</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27"/>
        </w:trPr>
        <w:tc>
          <w:tcPr>
            <w:tcW w:w="500" w:type="dxa"/>
            <w:vAlign w:val="bottom"/>
          </w:tcPr>
          <w:p>
            <w:pPr>
              <w:spacing w:after="0"/>
              <w:rPr>
                <w:sz w:val="19"/>
                <w:szCs w:val="19"/>
                <w:color w:val="auto"/>
              </w:rPr>
            </w:pPr>
          </w:p>
        </w:tc>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One-time payment in connection with change in Japan arrangement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500" w:type="dxa"/>
            <w:vAlign w:val="bottom"/>
          </w:tcPr>
          <w:p>
            <w:pPr>
              <w:spacing w:after="0"/>
              <w:rPr>
                <w:sz w:val="19"/>
                <w:szCs w:val="19"/>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1,036.9</w:t>
            </w:r>
          </w:p>
        </w:tc>
      </w:tr>
      <w:tr>
        <w:trPr>
          <w:trHeight w:val="20"/>
        </w:trPr>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840" w:hanging="167"/>
        <w:spacing w:after="0"/>
        <w:tabs>
          <w:tab w:leader="none" w:pos="84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Corresponding costs incurred by us in connection with such production is recorded within Cost of collaboration and contract manufacturing</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Bayer records net product sales of EYLEA outside the United States. Bayer provides us with an estimate of our share of the profits from commercialization of EYLEA outside the United States for the most recent fiscal quarter; these estimates are reconciled to actual results in the subsequent fiscal quarter, and our portion of the profit is adjusted accordingly, as necessary.</w:t>
      </w:r>
    </w:p>
    <w:p>
      <w:pPr>
        <w:spacing w:after="0" w:line="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given the recent U.S. dollar strengthening against several foreign currencies, including the Japanese yen and the euro, the amount of the share of profits we receive in connection with commercialization of EYLEA outside the United States was impacted in the third quarter of 2022.</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commercialization of EYLEA outside the United States is summarized below:</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7"/>
                <w:szCs w:val="17"/>
                <w:color w:val="auto"/>
              </w:rPr>
            </w:pPr>
          </w:p>
        </w:tc>
        <w:tc>
          <w:tcPr>
            <w:tcW w:w="2120" w:type="dxa"/>
            <w:vAlign w:val="bottom"/>
            <w:gridSpan w:val="4"/>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40" w:type="dxa"/>
            <w:vAlign w:val="bottom"/>
          </w:tcPr>
          <w:p>
            <w:pPr>
              <w:spacing w:after="0"/>
              <w:rPr>
                <w:sz w:val="20"/>
                <w:szCs w:val="20"/>
                <w:color w:val="auto"/>
              </w:rPr>
            </w:pPr>
          </w:p>
        </w:tc>
        <w:tc>
          <w:tcPr>
            <w:tcW w:w="2120" w:type="dxa"/>
            <w:vAlign w:val="bottom"/>
            <w:gridSpan w:val="4"/>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46"/>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 net product sales outside the United States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816.9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898.9*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2,544.2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2,567.7*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Regeneron's share of collaboration profit from sales outside the United States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40" w:type="dxa"/>
            <w:vAlign w:val="bottom"/>
            <w:vMerge w:val="continue"/>
          </w:tcPr>
          <w:p>
            <w:pPr>
              <w:spacing w:after="0"/>
              <w:rPr>
                <w:sz w:val="17"/>
                <w:szCs w:val="17"/>
                <w:color w:val="auto"/>
              </w:rPr>
            </w:pPr>
          </w:p>
        </w:tc>
        <w:tc>
          <w:tcPr>
            <w:tcW w:w="220" w:type="dxa"/>
            <w:vAlign w:val="bottom"/>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rPr>
              <w:t>329.9</w:t>
            </w:r>
          </w:p>
        </w:tc>
        <w:tc>
          <w:tcPr>
            <w:tcW w:w="120" w:type="dxa"/>
            <w:vAlign w:val="bottom"/>
          </w:tcPr>
          <w:p>
            <w:pPr>
              <w:spacing w:after="0"/>
              <w:rPr>
                <w:sz w:val="17"/>
                <w:szCs w:val="17"/>
                <w:color w:val="auto"/>
              </w:rPr>
            </w:pPr>
          </w:p>
        </w:tc>
        <w:tc>
          <w:tcPr>
            <w:tcW w:w="240" w:type="dxa"/>
            <w:vAlign w:val="bottom"/>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51"/>
              <w:spacing w:after="0" w:line="201" w:lineRule="exact"/>
              <w:rPr>
                <w:sz w:val="20"/>
                <w:szCs w:val="20"/>
                <w:color w:val="auto"/>
              </w:rPr>
            </w:pPr>
            <w:r>
              <w:rPr>
                <w:rFonts w:ascii="Times New Roman" w:cs="Times New Roman" w:eastAsia="Times New Roman" w:hAnsi="Times New Roman"/>
                <w:sz w:val="18"/>
                <w:szCs w:val="18"/>
                <w:color w:val="auto"/>
              </w:rPr>
              <w:t>365.8</w:t>
            </w:r>
          </w:p>
        </w:tc>
        <w:tc>
          <w:tcPr>
            <w:tcW w:w="100" w:type="dxa"/>
            <w:vAlign w:val="bottom"/>
          </w:tcPr>
          <w:p>
            <w:pPr>
              <w:spacing w:after="0"/>
              <w:rPr>
                <w:sz w:val="17"/>
                <w:szCs w:val="17"/>
                <w:color w:val="auto"/>
              </w:rPr>
            </w:pPr>
          </w:p>
        </w:tc>
        <w:tc>
          <w:tcPr>
            <w:tcW w:w="240" w:type="dxa"/>
            <w:vAlign w:val="bottom"/>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rPr>
              <w:t>1,037.8</w:t>
            </w:r>
          </w:p>
        </w:tc>
        <w:tc>
          <w:tcPr>
            <w:tcW w:w="120" w:type="dxa"/>
            <w:vAlign w:val="bottom"/>
          </w:tcPr>
          <w:p>
            <w:pPr>
              <w:spacing w:after="0"/>
              <w:rPr>
                <w:sz w:val="17"/>
                <w:szCs w:val="17"/>
                <w:color w:val="auto"/>
              </w:rPr>
            </w:pPr>
          </w:p>
        </w:tc>
        <w:tc>
          <w:tcPr>
            <w:tcW w:w="220" w:type="dxa"/>
            <w:vAlign w:val="bottom"/>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51"/>
              <w:spacing w:after="0" w:line="201" w:lineRule="exact"/>
              <w:rPr>
                <w:sz w:val="20"/>
                <w:szCs w:val="20"/>
                <w:color w:val="auto"/>
              </w:rPr>
            </w:pPr>
            <w:r>
              <w:rPr>
                <w:rFonts w:ascii="Times New Roman" w:cs="Times New Roman" w:eastAsia="Times New Roman" w:hAnsi="Times New Roman"/>
                <w:sz w:val="18"/>
                <w:szCs w:val="18"/>
                <w:color w:val="auto"/>
              </w:rPr>
              <w:t>1,039.9</w:t>
            </w:r>
          </w:p>
        </w:tc>
        <w:tc>
          <w:tcPr>
            <w:tcW w:w="0" w:type="dxa"/>
            <w:vAlign w:val="bottom"/>
          </w:tcPr>
          <w:p>
            <w:pPr>
              <w:spacing w:after="0"/>
              <w:rPr>
                <w:sz w:val="1"/>
                <w:szCs w:val="1"/>
                <w:color w:val="auto"/>
              </w:rPr>
            </w:pPr>
          </w:p>
        </w:tc>
      </w:tr>
      <w:tr>
        <w:trPr>
          <w:trHeight w:val="174"/>
        </w:trPr>
        <w:tc>
          <w:tcPr>
            <w:tcW w:w="58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Reimbursement of development expenses incurred by Bayer in accordance with</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Regeneron's payment obligation</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154"/>
        </w:trPr>
        <w:tc>
          <w:tcPr>
            <w:tcW w:w="584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Regeneron's share of profits in connection with commercialization of EYLEA</w:t>
            </w:r>
          </w:p>
        </w:tc>
        <w:tc>
          <w:tcPr>
            <w:tcW w:w="2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315.3</w:t>
            </w:r>
          </w:p>
        </w:tc>
        <w:tc>
          <w:tcPr>
            <w:tcW w:w="120" w:type="dxa"/>
            <w:vAlign w:val="bottom"/>
          </w:tcPr>
          <w:p>
            <w:pPr>
              <w:spacing w:after="0"/>
              <w:rPr>
                <w:sz w:val="13"/>
                <w:szCs w:val="13"/>
                <w:color w:val="auto"/>
              </w:rPr>
            </w:pPr>
          </w:p>
        </w:tc>
        <w:tc>
          <w:tcPr>
            <w:tcW w:w="24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Pr>
          <w:p>
            <w:pPr>
              <w:spacing w:after="0"/>
              <w:rPr>
                <w:sz w:val="13"/>
                <w:szCs w:val="13"/>
                <w:color w:val="auto"/>
              </w:rPr>
            </w:pPr>
          </w:p>
        </w:tc>
        <w:tc>
          <w:tcPr>
            <w:tcW w:w="24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993.4</w:t>
            </w:r>
          </w:p>
        </w:tc>
        <w:tc>
          <w:tcPr>
            <w:tcW w:w="120" w:type="dxa"/>
            <w:vAlign w:val="bottom"/>
          </w:tcPr>
          <w:p>
            <w:pPr>
              <w:spacing w:after="0"/>
              <w:rPr>
                <w:sz w:val="13"/>
                <w:szCs w:val="13"/>
                <w:color w:val="auto"/>
              </w:rPr>
            </w:pPr>
          </w:p>
        </w:tc>
        <w:tc>
          <w:tcPr>
            <w:tcW w:w="2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995.3</w:t>
            </w:r>
          </w:p>
        </w:tc>
        <w:tc>
          <w:tcPr>
            <w:tcW w:w="0" w:type="dxa"/>
            <w:vAlign w:val="bottom"/>
          </w:tcPr>
          <w:p>
            <w:pPr>
              <w:spacing w:after="0"/>
              <w:rPr>
                <w:sz w:val="1"/>
                <w:szCs w:val="1"/>
                <w:color w:val="auto"/>
              </w:rPr>
            </w:pPr>
          </w:p>
        </w:tc>
      </w:tr>
      <w:tr>
        <w:trPr>
          <w:trHeight w:val="219"/>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2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
        </w:trPr>
        <w:tc>
          <w:tcPr>
            <w:tcW w:w="5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58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Regeneron's share of profits as a percentage of EYLEA net product sales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80" w:right="400" w:hanging="7"/>
        <w:spacing w:after="0" w:line="201" w:lineRule="auto"/>
        <w:tabs>
          <w:tab w:leader="none" w:pos="57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Effective January 1, 2022, the Company and Bayer commenced sharing equally in profits and losses based on sales from Bayer to its distributor in Japan. Previously, the Company received from Bayer a tiered percentage of sales based on sales by Bayer's distributor in Japan. Consequently, the prior year net product sales amount has been revised for comparability purposes.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Roche Collaboration Revenue</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described above under "Agreements Related to COVID-19 - </w:t>
      </w:r>
      <w:r>
        <w:rPr>
          <w:rFonts w:ascii="Times New Roman" w:cs="Times New Roman" w:eastAsia="Times New Roman" w:hAnsi="Times New Roman"/>
          <w:sz w:val="18"/>
          <w:szCs w:val="18"/>
          <w:i w:val="1"/>
          <w:iCs w:val="1"/>
          <w:color w:val="auto"/>
        </w:rPr>
        <w:t>Roche</w:t>
      </w:r>
      <w:r>
        <w:rPr>
          <w:rFonts w:ascii="Times New Roman" w:cs="Times New Roman" w:eastAsia="Times New Roman" w:hAnsi="Times New Roman"/>
          <w:sz w:val="18"/>
          <w:szCs w:val="18"/>
          <w:color w:val="auto"/>
        </w:rPr>
        <w:t>", Roche distributes and records net product sales of Ronapreve outside the United States, and the parties share gross profits from worldwide sales, depending on the amount of manufactured product supplied by each party to the market. Each quarter, a single payment is due from one party to the other to true-up the global gross profits between the parties. If Regeneron is to receive a true-up payment from Roche, such amount will be recorded to Collaboration revenue. If Regeneron is to make a true-up payment to Roche, such amount will be recorded to Cost of goods sold.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Collaboration revenue in connection with the Roche collaboration agreement are as follows:</w:t>
      </w:r>
    </w:p>
    <w:p>
      <w:pPr>
        <w:spacing w:after="0" w:line="246"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1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9"/>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12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gross profit payment from Roche in connection with sales of Ronapreve</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r>
    </w:tbl>
    <w:p>
      <w:pPr>
        <w:spacing w:after="0" w:line="20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Roche provides us with an estimate of its gross profits for the most recent fiscal quarter; these estimates are reconciled to actual results in the subsequent fiscal quarter, and the true-up of global gross profits is adjusted accordingly, as necessary.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6"/>
        </w:trPr>
        <w:tc>
          <w:tcPr>
            <w:tcW w:w="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1"/>
        </w:trPr>
        <w:tc>
          <w:tcPr>
            <w:tcW w:w="4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headcount data)</w:t>
            </w: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1"/>
        </w:trPr>
        <w:tc>
          <w:tcPr>
            <w:tcW w:w="40" w:type="dxa"/>
            <w:vAlign w:val="bottom"/>
          </w:tcPr>
          <w:p>
            <w:pPr>
              <w:spacing w:after="0"/>
              <w:rPr>
                <w:sz w:val="19"/>
                <w:szCs w:val="19"/>
                <w:color w:val="auto"/>
              </w:rPr>
            </w:pPr>
          </w:p>
        </w:tc>
        <w:tc>
          <w:tcPr>
            <w:tcW w:w="4360" w:type="dxa"/>
            <w:vAlign w:val="bottom"/>
            <w:tcBorders>
              <w:top w:val="single" w:sz="8" w:color="CCEEFF"/>
            </w:tcBorders>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r>
      <w:tr>
        <w:trPr>
          <w:trHeight w:val="227"/>
        </w:trPr>
        <w:tc>
          <w:tcPr>
            <w:tcW w:w="4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227"/>
        </w:trPr>
        <w:tc>
          <w:tcPr>
            <w:tcW w:w="40" w:type="dxa"/>
            <w:vAlign w:val="bottom"/>
          </w:tcPr>
          <w:p>
            <w:pPr>
              <w:spacing w:after="0"/>
              <w:rPr>
                <w:sz w:val="19"/>
                <w:szCs w:val="19"/>
                <w:color w:val="auto"/>
              </w:rPr>
            </w:pPr>
          </w:p>
        </w:tc>
        <w:tc>
          <w:tcPr>
            <w:tcW w:w="43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27"/>
        </w:trPr>
        <w:tc>
          <w:tcPr>
            <w:tcW w:w="4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w:t>
            </w:r>
          </w:p>
        </w:tc>
      </w:tr>
      <w:tr>
        <w:trPr>
          <w:trHeight w:val="227"/>
        </w:trPr>
        <w:tc>
          <w:tcPr>
            <w:tcW w:w="40" w:type="dxa"/>
            <w:vAlign w:val="bottom"/>
          </w:tcPr>
          <w:p>
            <w:pPr>
              <w:spacing w:after="0"/>
              <w:rPr>
                <w:sz w:val="19"/>
                <w:szCs w:val="19"/>
                <w:color w:val="auto"/>
              </w:rPr>
            </w:pPr>
          </w:p>
        </w:tc>
        <w:tc>
          <w:tcPr>
            <w:tcW w:w="43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Cost of collaboration and contract manufacturing</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7"/>
        </w:trPr>
        <w:tc>
          <w:tcPr>
            <w:tcW w:w="40" w:type="dxa"/>
            <w:vAlign w:val="bottom"/>
          </w:tcPr>
          <w:p>
            <w:pPr>
              <w:spacing w:after="0"/>
              <w:rPr>
                <w:sz w:val="19"/>
                <w:szCs w:val="19"/>
                <w:color w:val="auto"/>
              </w:rPr>
            </w:pPr>
          </w:p>
        </w:tc>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46"/>
        </w:trPr>
        <w:tc>
          <w:tcPr>
            <w:tcW w:w="4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r>
      <w:tr>
        <w:trPr>
          <w:trHeight w:val="20"/>
        </w:trPr>
        <w:tc>
          <w:tcPr>
            <w:tcW w:w="4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7"/>
        </w:trPr>
        <w:tc>
          <w:tcPr>
            <w:tcW w:w="4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27"/>
        </w:trPr>
        <w:tc>
          <w:tcPr>
            <w:tcW w:w="4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headcount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r>
    </w:tbl>
    <w:p>
      <w:pPr>
        <w:spacing w:after="0" w:line="61" w:lineRule="exact"/>
        <w:rPr>
          <w:sz w:val="20"/>
          <w:szCs w:val="20"/>
          <w:color w:val="auto"/>
        </w:rPr>
      </w:pPr>
    </w:p>
    <w:p>
      <w:pPr>
        <w:ind w:left="380" w:hanging="161"/>
        <w:spacing w:after="0"/>
        <w:tabs>
          <w:tab w:leader="none" w:pos="38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costs incurred as well as cost reimbursements from collaborators who are not deemed to be our customers</w:t>
      </w:r>
    </w:p>
    <w:p>
      <w:pPr>
        <w:spacing w:after="0" w:line="22" w:lineRule="exact"/>
        <w:rPr>
          <w:rFonts w:ascii="Times New Roman" w:cs="Times New Roman" w:eastAsia="Times New Roman" w:hAnsi="Times New Roman"/>
          <w:sz w:val="21"/>
          <w:szCs w:val="21"/>
          <w:color w:val="auto"/>
          <w:vertAlign w:val="superscript"/>
        </w:rPr>
      </w:pPr>
    </w:p>
    <w:p>
      <w:pPr>
        <w:ind w:left="400" w:hanging="181"/>
        <w:spacing w:after="0" w:line="181" w:lineRule="auto"/>
        <w:tabs>
          <w:tab w:leader="none" w:pos="4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Cost of collaboration and contract manufacturing includes costs we incur in connection with producing commercial drug supplies for collaborators and others.</w:t>
      </w:r>
    </w:p>
    <w:p>
      <w:pPr>
        <w:spacing w:after="0" w:line="13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Operating expenses included a total of $166.3 million and $136.9 million for the three months ended September 30, 2022 and 2021, respectively, and $493.0 million and $413.3 million for the nine months ended September 30, 2022 and 2021, respectively, of stock-based compensation expense related to equity awards granted under our long-term incentive plans.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external drug filling, packaging, and labeling costs. Clinical manufacturing costs also includes pre-launch commercial supplies which did not meet the criteria to be capitalized as inventory.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7"/>
        </w:trPr>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5"/>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71"/>
              <w:spacing w:after="0" w:line="224" w:lineRule="exact"/>
              <w:rPr>
                <w:sz w:val="20"/>
                <w:szCs w:val="20"/>
                <w:color w:val="auto"/>
              </w:rPr>
            </w:pPr>
            <w:r>
              <w:rPr>
                <w:rFonts w:ascii="Times New Roman" w:cs="Times New Roman" w:eastAsia="Times New Roman" w:hAnsi="Times New Roman"/>
                <w:sz w:val="18"/>
                <w:szCs w:val="18"/>
                <w:b w:val="1"/>
                <w:bCs w:val="1"/>
                <w:color w:val="auto"/>
              </w:rPr>
              <w:t>2021</w:t>
            </w:r>
            <w:r>
              <w:rPr>
                <w:rFonts w:ascii="Times New Roman" w:cs="Times New Roman" w:eastAsia="Times New Roman" w:hAnsi="Times New Roman"/>
                <w:sz w:val="23"/>
                <w:szCs w:val="23"/>
                <w:b w:val="1"/>
                <w:bCs w:val="1"/>
                <w:color w:val="auto"/>
                <w:vertAlign w:val="superscript"/>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51"/>
              <w:spacing w:after="0" w:line="224" w:lineRule="exact"/>
              <w:rPr>
                <w:sz w:val="20"/>
                <w:szCs w:val="20"/>
                <w:color w:val="auto"/>
              </w:rPr>
            </w:pPr>
            <w:r>
              <w:rPr>
                <w:rFonts w:ascii="Times New Roman" w:cs="Times New Roman" w:eastAsia="Times New Roman" w:hAnsi="Times New Roman"/>
                <w:sz w:val="18"/>
                <w:szCs w:val="18"/>
                <w:b w:val="1"/>
                <w:bCs w:val="1"/>
                <w:color w:val="auto"/>
              </w:rPr>
              <w:t>2021</w:t>
            </w:r>
            <w:r>
              <w:rPr>
                <w:rFonts w:ascii="Times New Roman" w:cs="Times New Roman" w:eastAsia="Times New Roman" w:hAnsi="Times New Roman"/>
                <w:sz w:val="23"/>
                <w:szCs w:val="23"/>
                <w:b w:val="1"/>
                <w:bCs w:val="1"/>
                <w:color w:val="auto"/>
                <w:vertAlign w:val="superscript"/>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7"/>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7"/>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Dupixent (dupilumab)</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7"/>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Libtayo (cemiplimab)</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7"/>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Aflibercept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7"/>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REGEN-COV</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r>
      <w:tr>
        <w:trPr>
          <w:trHeight w:val="174"/>
        </w:trPr>
        <w:tc>
          <w:tcPr>
            <w:tcW w:w="4040" w:type="dxa"/>
            <w:vAlign w:val="bottom"/>
          </w:tcPr>
          <w:p>
            <w:pPr>
              <w:ind w:left="220"/>
              <w:spacing w:after="0" w:line="174" w:lineRule="exact"/>
              <w:rPr>
                <w:sz w:val="20"/>
                <w:szCs w:val="20"/>
                <w:color w:val="auto"/>
              </w:rPr>
            </w:pPr>
            <w:r>
              <w:rPr>
                <w:rFonts w:ascii="Times New Roman" w:cs="Times New Roman" w:eastAsia="Times New Roman" w:hAnsi="Times New Roman"/>
                <w:sz w:val="18"/>
                <w:szCs w:val="18"/>
                <w:color w:val="auto"/>
              </w:rPr>
              <w:t>Other product candidates in clinical development</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1"/>
        </w:trPr>
        <w:tc>
          <w:tcPr>
            <w:tcW w:w="40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and other research programs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21"/>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140"/>
        </w:trPr>
        <w:tc>
          <w:tcPr>
            <w:tcW w:w="4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2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7"/>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r>
      <w:tr>
        <w:trPr>
          <w:trHeight w:val="174"/>
        </w:trPr>
        <w:tc>
          <w:tcPr>
            <w:tcW w:w="4040" w:type="dxa"/>
            <w:vAlign w:val="bottom"/>
            <w:shd w:val="clear" w:color="auto" w:fill="CCEEFF"/>
          </w:tcPr>
          <w:p>
            <w:pPr>
              <w:ind w:left="220"/>
              <w:spacing w:after="0" w:line="174" w:lineRule="exact"/>
              <w:rPr>
                <w:sz w:val="20"/>
                <w:szCs w:val="20"/>
                <w:color w:val="auto"/>
              </w:rPr>
            </w:pPr>
            <w:r>
              <w:rPr>
                <w:rFonts w:ascii="Times New Roman" w:cs="Times New Roman" w:eastAsia="Times New Roman" w:hAnsi="Times New Roman"/>
                <w:sz w:val="18"/>
                <w:szCs w:val="18"/>
                <w:color w:val="auto"/>
              </w:rPr>
              <w:t>Lab supplies and other research and development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1"/>
        </w:trPr>
        <w:tc>
          <w:tcPr>
            <w:tcW w:w="4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7"/>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21"/>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r>
      <w:tr>
        <w:trPr>
          <w:trHeight w:val="221"/>
        </w:trPr>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r>
      <w:tr>
        <w:trPr>
          <w:trHeight w:val="160"/>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4"/>
        </w:trPr>
        <w:tc>
          <w:tcPr>
            <w:tcW w:w="40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Reimbursement of research and development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1"/>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 by collaborators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r>
      <w:tr>
        <w:trPr>
          <w:trHeight w:val="160"/>
        </w:trPr>
        <w:tc>
          <w:tcPr>
            <w:tcW w:w="40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246"/>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1" w:lineRule="exact"/>
        <w:rPr>
          <w:sz w:val="20"/>
          <w:szCs w:val="20"/>
          <w:color w:val="auto"/>
        </w:rPr>
      </w:pPr>
    </w:p>
    <w:p>
      <w:pPr>
        <w:ind w:left="280" w:hanging="95"/>
        <w:spacing w:after="0"/>
        <w:tabs>
          <w:tab w:leader="none" w:pos="28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Certain prior year amounts have been reclassified to conform to the current year's presentation</w:t>
      </w:r>
    </w:p>
    <w:p>
      <w:pPr>
        <w:spacing w:after="0" w:line="1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Total research and development expenses increased during the three months ended September 30, 2022 partially due to the impact of the amendments to the Sanofi collaboration agreements described under the "Collaboration, License, and Other Agreements" section above, including Sanofi no longer reimbursing us for 50% of Libtayo development costs incurred.</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Reimbursement of research and development expenses by collaborators included $10.5 million and $138.3 million of reimbursements from Roche related to REGEN-COV for the three and nine months ended September 30, 2021, respectively. For the three and nine months ended September 30, 2022, reimbursements from Roche related to REGEN-COV were not material.</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Research and development expenses included stock-based compensation expense of $93.7 million and $73.1 million for the three months ended September 30, 2022 and 2021, respectively, and $275.8 million and $213.7 million for the nine months ended September 30, 2022 and 2021, respectively.</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There is also variability in the duration and costs necessary to develop a pharmaceutical product,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("IPR&amp;D")</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Acquired IPR&amp;D for the nine months ended September 30, 2022 included a $195.0 million charge related to the Company's second quarter 2022 acquisition of Checkmate. Additionally, Acquired IPR&amp;D for the nine months ended September 30, 2022 included a $20.0 million opt-in payment in connection with a product candidate under our collaboration agreement with Adicet Bio, Inc.</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increased for the three and nine months ended September 30, 2022, compared to the same periods in 2021, primarily due to higher headcount and headcount-related costs and an increase in commercialization-related expenses for Libtayo. The increase in Selling, general, and administrative expenses for the nine months ended September 30, 2022 was also due to higher commercialization-related expenses for EYLEA, partly offset by costs in 2021 for educational campaigns related to COVID-19 that did not recur during 2022. Selling, general, and administrative expenses also included stock-based compensation expense of $59.8 million and $48.7 million for the three months ended September 30, 2022 and 2021, respectively, and $178.0 million and $149.1 million for the nine months ended September 30, 2022 and 2021,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goods sold decreased for the three and nine months ended September 30, 2022, compared to the same periods in 2021, primarily due to the Company not recognizing any REGEN-COV net product sales in the United States during 2022. In addition, Cost of goods sold also decreased for the three and nine months ended September 30, 2022 since effective July 1, 2022, as a result of the A&amp;R IO LCA described above, we are no longer obligated to pay Sanofi for their share of Libtayo U.S. gross profits. During the six months ended June 30, 2022, Cost of goods sold included $70.1 million related to Regeneron's obligation for Sanofi's share of Libtayo U.S. gross profits.</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Cost of goods sold for the nine months ended September 30, 2022 also decreased, compared to the same period in 2021, due to lower inventory write-offs and reserves ($101.3 million for the nine months ended September 30, 2022 compared to $188.0 million for the nine months ended September 30, 2021) primarily related to REGEN-COV.</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 Expense</w:t>
      </w:r>
    </w:p>
    <w:p>
      <w:pPr>
        <w:spacing w:after="0" w:line="1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Other operating (income) expense, net, includes recognition of a portion of amounts previously deferred in connection with up-front and development milestone payments, as applicable, received in connection with our Sanofi IO, Teva, and MTPC collaborative arrangements.</w:t>
      </w:r>
    </w:p>
    <w:p>
      <w:pPr>
        <w:spacing w:after="0" w:line="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During the three months ended September 30, 2022, the Company discontinued further clinical development of fasinumab and, as a result, recorded $44.4 million (as an increase to other operating income) related to our Teva and MTPC collaborative arrangements as we deemed our obligation to provide development services in connection with these collaborative arrangements to be complete.</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the A&amp;R IO LCA became effective July 1, 2022 (as further described under "Collaboration, License, and Other Agreements - Sanofi - </w:t>
      </w:r>
      <w:r>
        <w:rPr>
          <w:rFonts w:ascii="Times New Roman" w:cs="Times New Roman" w:eastAsia="Times New Roman" w:hAnsi="Times New Roman"/>
          <w:sz w:val="18"/>
          <w:szCs w:val="18"/>
          <w:i w:val="1"/>
          <w:iCs w:val="1"/>
          <w:color w:val="auto"/>
        </w:rPr>
        <w:t>Immuno-oncology</w:t>
      </w:r>
      <w:r>
        <w:rPr>
          <w:rFonts w:ascii="Times New Roman" w:cs="Times New Roman" w:eastAsia="Times New Roman" w:hAnsi="Times New Roman"/>
          <w:sz w:val="18"/>
          <w:szCs w:val="18"/>
          <w:color w:val="auto"/>
        </w:rPr>
        <w:t>" above), the three months ended June 30, 2022 was the last period in which such amounts were recognized in connection with our Sanofi immuno-oncology collaborative arrangement. During the three months ended September 30, 2021, we updated our estimate of the total research and development costs expected to be incurred (which resulted in a change to the estimate of the stage of completion) in connection with the Sanofi IO Collaboration, and, as a result, recorded a cumulative catch-up adjustment of $66.9 million as a reduction to other operating income.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(expense) for the three and nine months ended September 30, 2022, compared to the same periods in 2021, was primarily impacted by the recognition of net unrealized gains on equity securities of $254.3 million and net unrealized losses of $120.6 million for the three and nine months ended September 30, 2022, respectively, compared to $29.1 million of net unrealized losses and $523.8 million of net unrealized gains for the three and nine months ended September 30, 2021, respectively.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1"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260" w:type="dxa"/>
            <w:vAlign w:val="bottom"/>
            <w:gridSpan w:val="4"/>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r>
      <w:tr>
        <w:trPr>
          <w:trHeight w:val="236"/>
        </w:trPr>
        <w:tc>
          <w:tcPr>
            <w:tcW w:w="3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2260" w:type="dxa"/>
            <w:vAlign w:val="bottom"/>
            <w:gridSpan w:val="4"/>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21"/>
        </w:trPr>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effective tax rate)</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976.1</w:t>
            </w:r>
          </w:p>
        </w:tc>
      </w:tr>
      <w:tr>
        <w:trPr>
          <w:trHeight w:val="23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0"/>
                <w:szCs w:val="20"/>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14.3 %</w:t>
            </w:r>
          </w:p>
        </w:tc>
      </w:tr>
    </w:tbl>
    <w:p>
      <w:pPr>
        <w:spacing w:after="0" w:line="2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effective tax rate for the three months ended September 30, 2022, compared to the same period in 2021, included a lower benefit from stock-based compensation and a higher benefit from the proportion of income earned in foreign jurisdictions with tax rates lower than the U.S. federal statutory rate (mainly due to no sales of REGEN-COV in the United States during 2022).</w:t>
      </w:r>
    </w:p>
    <w:p>
      <w:pPr>
        <w:spacing w:after="0" w:line="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effective tax rate for the nine months ended September 30, 2022, compared to the same period in 2021, included a favorable benefit from the proportion of income earned in foreign jurisdictions with tax rates lower than the U.S. federal statutory rate (including the impact from REGEN-COV income in 2021 described above), and, to a lesser extent, stock-based compensation.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70" w:lineRule="exact"/>
        <w:rPr>
          <w:sz w:val="20"/>
          <w:szCs w:val="20"/>
          <w:color w:val="auto"/>
        </w:rPr>
      </w:pPr>
    </w:p>
    <w:tbl>
      <w:tblPr>
        <w:tblLayout w:type="fixed"/>
        <w:tblInd w:w="1420" w:type="dxa"/>
        <w:tblCellMar>
          <w:top w:w="0" w:type="dxa"/>
          <w:left w:w="0" w:type="dxa"/>
          <w:bottom w:w="0" w:type="dxa"/>
          <w:right w:w="0" w:type="dxa"/>
        </w:tblCellMar>
      </w:tblPr>
      <w:tr>
        <w:trPr>
          <w:trHeight w:val="227"/>
        </w:trPr>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6"/>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7"/>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480" w:type="dxa"/>
            <w:vAlign w:val="bottom"/>
            <w:gridSpan w:val="3"/>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w:t>
            </w:r>
          </w:p>
        </w:tc>
      </w:tr>
      <w:tr>
        <w:trPr>
          <w:trHeight w:val="227"/>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r>
      <w:tr>
        <w:trPr>
          <w:trHeight w:val="227"/>
        </w:trPr>
        <w:tc>
          <w:tcPr>
            <w:tcW w:w="3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6,838.0</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(869.4)</w:t>
            </w:r>
          </w:p>
        </w:tc>
      </w:tr>
      <w:tr>
        <w:trPr>
          <w:trHeight w:val="246"/>
        </w:trPr>
        <w:tc>
          <w:tcPr>
            <w:tcW w:w="37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12,532.7</w:t>
            </w:r>
          </w:p>
        </w:tc>
        <w:tc>
          <w:tcPr>
            <w:tcW w:w="1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07"/>
        </w:trPr>
        <w:tc>
          <w:tcPr>
            <w:tcW w:w="3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2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and finance lease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7"/>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480" w:type="dxa"/>
            <w:vAlign w:val="bottom"/>
            <w:gridSpan w:val="3"/>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7"/>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48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60"/>
        </w:trPr>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2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7"/>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14,014.9</w:t>
            </w:r>
          </w:p>
        </w:tc>
        <w:tc>
          <w:tcPr>
            <w:tcW w:w="480" w:type="dxa"/>
            <w:vAlign w:val="bottom"/>
            <w:gridSpan w:val="3"/>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1,413.7</w:t>
            </w:r>
          </w:p>
        </w:tc>
      </w:tr>
      <w:tr>
        <w:trPr>
          <w:trHeight w:val="227"/>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w:t>
            </w:r>
          </w:p>
        </w:tc>
      </w:tr>
      <w:tr>
        <w:trPr>
          <w:trHeight w:val="221"/>
        </w:trPr>
        <w:tc>
          <w:tcPr>
            <w:tcW w:w="37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12,549.4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10,082.4</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2,467.0</w:t>
            </w:r>
          </w:p>
        </w:tc>
      </w:tr>
      <w:tr>
        <w:trPr>
          <w:trHeight w:val="20"/>
        </w:trPr>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1600" w:right="1680" w:firstLine="3"/>
        <w:spacing w:after="0" w:line="197" w:lineRule="auto"/>
        <w:tabs>
          <w:tab w:leader="none" w:pos="169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$719.7 million related to finance lease liabilities was classified within current liabilities as of December 31, 2021. See "</w:t>
      </w:r>
      <w:r>
        <w:rPr>
          <w:rFonts w:ascii="Times New Roman" w:cs="Times New Roman" w:eastAsia="Times New Roman" w:hAnsi="Times New Roman"/>
          <w:sz w:val="16"/>
          <w:szCs w:val="16"/>
          <w:i w:val="1"/>
          <w:iCs w:val="1"/>
          <w:color w:val="auto"/>
        </w:rPr>
        <w:t>Tarrytown, New York Leases</w:t>
      </w:r>
      <w:r>
        <w:rPr>
          <w:rFonts w:ascii="Times New Roman" w:cs="Times New Roman" w:eastAsia="Times New Roman" w:hAnsi="Times New Roman"/>
          <w:sz w:val="16"/>
          <w:szCs w:val="16"/>
          <w:color w:val="auto"/>
        </w:rPr>
        <w:t>" section below for details.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we also had borrowing availability of $750.0 million under a revolving credit facility.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for the Nine Months Ended September 30, 2022 and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6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7"/>
        </w:trPr>
        <w:tc>
          <w:tcPr>
            <w:tcW w:w="8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5"/>
        </w:trPr>
        <w:tc>
          <w:tcPr>
            <w:tcW w:w="80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80" w:type="dxa"/>
            <w:vAlign w:val="bottom"/>
          </w:tcPr>
          <w:p>
            <w:pPr>
              <w:spacing w:after="0"/>
              <w:rPr>
                <w:sz w:val="19"/>
                <w:szCs w:val="19"/>
                <w:color w:val="auto"/>
              </w:rPr>
            </w:pPr>
          </w:p>
        </w:tc>
        <w:tc>
          <w:tcPr>
            <w:tcW w:w="1180" w:type="dxa"/>
            <w:vAlign w:val="bottom"/>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1"/>
        </w:trPr>
        <w:tc>
          <w:tcPr>
            <w:tcW w:w="800" w:type="dxa"/>
            <w:vAlign w:val="bottom"/>
          </w:tcPr>
          <w:p>
            <w:pPr>
              <w:spacing w:after="0"/>
              <w:rPr>
                <w:sz w:val="19"/>
                <w:szCs w:val="19"/>
                <w:color w:val="auto"/>
              </w:rPr>
            </w:pPr>
          </w:p>
        </w:tc>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3,295.0</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80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(1,926.9)</w:t>
            </w:r>
          </w:p>
        </w:tc>
        <w:tc>
          <w:tcPr>
            <w:tcW w:w="100" w:type="dxa"/>
            <w:vAlign w:val="bottom"/>
          </w:tcPr>
          <w:p>
            <w:pPr>
              <w:spacing w:after="0"/>
              <w:rPr>
                <w:sz w:val="19"/>
                <w:szCs w:val="19"/>
                <w:color w:val="auto"/>
              </w:rPr>
            </w:pPr>
          </w:p>
        </w:tc>
        <w:tc>
          <w:tcPr>
            <w:tcW w:w="5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(3,372.0)</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80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800" w:type="dxa"/>
            <w:vAlign w:val="bottom"/>
          </w:tcPr>
          <w:p>
            <w:pPr>
              <w:spacing w:after="0"/>
              <w:rPr>
                <w:sz w:val="19"/>
                <w:szCs w:val="19"/>
                <w:color w:val="auto"/>
              </w:rPr>
            </w:pPr>
          </w:p>
        </w:tc>
      </w:tr>
      <w:tr>
        <w:trPr>
          <w:trHeight w:val="696"/>
        </w:trPr>
        <w:tc>
          <w:tcPr>
            <w:tcW w:w="8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54"/>
        </w:trPr>
        <w:tc>
          <w:tcPr>
            <w:tcW w:w="8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2022, Accounts receivable had decreased by $488.2 million, compared to December 31, 2021, driven by the Company's collection of amounts due from the U.S. government in connection with REGEN-COV sales in the fourth quarter of 2021. As of September 30, 2022, deferred tax assets increased by $466.7 million, compared to December 31, 2021, primarily related to the impact of the Tax Cuts and Jobs Act of 2017, which requires, for tax purposes, the capitalization and amortization of research and development expenses effective for years beginning after December 31, 2021.</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Capital expenditures during the nine months ended September 30, 2022 included costs associated with the expansion of our manufacturing facilities in Rensselaer, New York (including the ongoing construction of a fill/finish facility and related equipment) and Limerick, Ireland, as well costs incurred in connection with our expansion of the Tarrytown, New York campus. We expect to incur capital expenditures of $580 million to $615 million for the full year of 2022 primarily in connection with the continued expansion of our manufacturing facilities (including the fill/finish facility) and the expansion of our research, preclinical manufacturing, and support facilities at our Tarrytown, New York campus.</w:t>
      </w:r>
    </w:p>
    <w:p>
      <w:pPr>
        <w:spacing w:after="0" w:line="1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Payments for Libtayo intangible asset of $926.8 million during the nine months ended September 30, 2022 were related to our acquisition of the exclusive right to develop, commercialize, and manufacture Libtayo worldwide (as described in "Collaboration, License, and Other Agreements - </w:t>
      </w:r>
      <w:r>
        <w:rPr>
          <w:rFonts w:ascii="Times New Roman" w:cs="Times New Roman" w:eastAsia="Times New Roman" w:hAnsi="Times New Roman"/>
          <w:sz w:val="18"/>
          <w:szCs w:val="18"/>
          <w:i w:val="1"/>
          <w:iCs w:val="1"/>
          <w:color w:val="auto"/>
        </w:rPr>
        <w:t>Sanofi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Immuno-oncology</w:t>
      </w:r>
      <w:r>
        <w:rPr>
          <w:rFonts w:ascii="Times New Roman" w:cs="Times New Roman" w:eastAsia="Times New Roman" w:hAnsi="Times New Roman"/>
          <w:sz w:val="18"/>
          <w:szCs w:val="18"/>
          <w:color w:val="auto"/>
        </w:rPr>
        <w:t>" above).</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Asset acquisition, net of cash acquired, of $230.3 million during the nine months ended September 30, 2022 was related to our second quarter 2022 acquisition of Checkmate.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Proceeds from issuances of Common Stock, in connection with exercises of employee stock options, were $1.147 billion during the nine months ended September 30, 2022, compared to $1.130 billion during the nine months ended September 30, 2021. For information related to repurchases of Common Stock, see the "</w:t>
      </w:r>
      <w:r>
        <w:rPr>
          <w:rFonts w:ascii="Times New Roman" w:cs="Times New Roman" w:eastAsia="Times New Roman" w:hAnsi="Times New Roman"/>
          <w:sz w:val="18"/>
          <w:szCs w:val="18"/>
          <w:i w:val="1"/>
          <w:iCs w:val="1"/>
          <w:color w:val="auto"/>
        </w:rPr>
        <w:t>Share Repurchase Program</w:t>
      </w:r>
      <w:r>
        <w:rPr>
          <w:rFonts w:ascii="Times New Roman" w:cs="Times New Roman" w:eastAsia="Times New Roman" w:hAnsi="Times New Roman"/>
          <w:sz w:val="18"/>
          <w:szCs w:val="18"/>
          <w:color w:val="auto"/>
        </w:rPr>
        <w:t>" section below.</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2021, our board of directors authorized a share repurchase program to repurchase up to $3.0 billion of our Common Stock. The share repurchase program permits the Company to make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During the nine months ended September 30, 2022, we repurchased 2,721,305 shares of our Common Stock under the program and recorded the cost of the shares, or $1.659 billion, as Treasury Stock. As of September 30, 2022, $1.186 billion remained available for share repurchases under the program.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Tarrytown, New York Leases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2022, we entered into a Second Amended and Restated Lease and Remedies Agreement (the "Restated Lease") with BA Leasing BSC, LLC, an affiliate of Banc of America Leasing &amp; Capital, LLC ("BAL"), as lessor (the "Lessor"), which amends, restates, and extends our lease of laboratory and office facilities in Tarrytown, New York (the "Facility"). In March 2022, we also entered into a Second Amended and Restated Participation Agreement (the "Restated Participation Agreement") with Bank of America, N.A., as administrative agent, the Lessor, and a syndicate of financial institutions as rent assignees (collectively with the Lessor, the "Participants"), which amends and restates the original Participation Agreement entered into in March 2017.</w:t>
      </w:r>
    </w:p>
    <w:p>
      <w:pPr>
        <w:spacing w:after="0" w:line="1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original Participation Agreement and certain related agreements were amended and restated in order to, among other things, (i) effect a five-year extension of the original March 2022 maturity date of the $720.0 million lease financing (which was previously advanced in March 2017 to finance the purchase price for the Facility) and the end of the term of our lease of the Facility from the Lessor to March 2027, at which time all amounts outstanding thereunder will become due and payable in full, and (ii) modify the rate of the interest or yield that is payable to the Participants. In accordance with the terms of the Restated Lease, we continue to pay all maintenance, insurance, taxes, and other costs arising out of the use of the Facility. We are also required to make monthly payments of basic rent during the term of the Restated Lease in an amount equal to a variable rate per annum, which was modified in connection with the Restated Lease, to be an adjusted one-month forward-looking term</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based on the Secured Overnight Financing Rate ("SOFR"), plus an applicable margin that varies with our debt rating and total leverage ratio.</w:t>
      </w:r>
    </w:p>
    <w:p>
      <w:pPr>
        <w:spacing w:after="0" w:line="14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Restated Participation Agreement and Restated Lease include an option for us to elect to further extend the maturity date of the Restated Participation Agreement and the term of the Restated Lease for an additional five-year period, subject to the consent of all the Participants and certain other conditions. We also have the option prior to the end of the term of the Restated Lease to (a) purchase the Facility by paying an amount equal to the outstanding principal amount of the Participants' advances under the Restated Participation Agreement, all accrued and unpaid yield thereon, and all other outstanding amounts under the Restated Participation Agreement, Restated Lease, and certain related documents or (b) sell the Facility to a third party on behalf of the Lessor.</w:t>
      </w:r>
    </w:p>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Restated Lease is classified as a finance lease as we have the option to purchase the Facility under terms that make it reasonably certain to be exercised. The agreements governing the Restated Lease financing contain financial and operating covenants. Such financial covenants and certain of the operating covenants are substantially similar to the covenants set forth in our credit facility. The Company was in compliance with all such covenants as of September 30,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 summary of critical accounting estimates is presented in Part II, Item 7. "Management's Discussion and Analysis of Financial Condition and Results of Operations" of our Annual Report on Form 10-K for the fiscal year ended December 31, 2021 (filed February 7, 2022). There have been no material changes to critical accounting estimates during the nine months ended September 30, 2022.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1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 of September 30, 2022, the future adoption of recently issued accounting standards is not expected to have a material impact on the Company's financial position or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market risks, and the way we manage them, are summarized in Part II, Item 7A, "Quantitative and Qualitative Disclosures About Market Risk" of our Annual Report on Form 10-K for the fiscal year ended December 31, 2021 (filed February 7, 2022). There have been no material changes to our market risks or to our management of such risks as of September 30, 2022.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and 15d-15(f) under the Exchange Act) during the quarter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14 to our Condensed Consolidated Financial Statements included in this report.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 In this section, we first provide a summary of the more significant risks and uncertainties we face and then provide a full set of risk factors and discuss them in greater detail.</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10-Q, including the full set of risks set forth in this "Risk Factors" section, and in our other filings with the SEC before making an investment decision regarding Regeneron.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158" w:lineRule="exact"/>
        <w:rPr>
          <w:sz w:val="20"/>
          <w:szCs w:val="20"/>
          <w:color w:val="auto"/>
        </w:rPr>
      </w:pPr>
    </w:p>
    <w:p>
      <w:pPr>
        <w:jc w:val="both"/>
        <w:ind w:left="640" w:right="20" w:hanging="312"/>
        <w:spacing w:after="0" w:line="25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further adversely affected by the effects of the COVID-19 pandemic, including those impacting our manufacturing and supply chain operations, research and development efforts, commercial operations and sales force, administrative personnel, third-party service providers, and business partners and customers, as well as the demand for our marketed products.</w:t>
      </w:r>
    </w:p>
    <w:p>
      <w:pPr>
        <w:spacing w:after="0" w:line="1" w:lineRule="exact"/>
        <w:rPr>
          <w:rFonts w:ascii="Times New Roman" w:cs="Times New Roman" w:eastAsia="Times New Roman" w:hAnsi="Times New Roman"/>
          <w:sz w:val="18"/>
          <w:szCs w:val="18"/>
          <w:color w:val="auto"/>
        </w:rPr>
      </w:pPr>
    </w:p>
    <w:p>
      <w:pPr>
        <w:ind w:left="640" w:hanging="312"/>
        <w:spacing w:after="0" w:line="256"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development, manufacturing, and potential future commercialization of REGEN-COV and "next generation" monoclonal antibodies targeting SARS-CoV-2.</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Risks</w:t>
      </w:r>
    </w:p>
    <w:p>
      <w:pPr>
        <w:spacing w:after="0" w:line="145" w:lineRule="exact"/>
        <w:rPr>
          <w:sz w:val="20"/>
          <w:szCs w:val="20"/>
          <w:color w:val="auto"/>
        </w:rPr>
      </w:pPr>
    </w:p>
    <w:p>
      <w:pPr>
        <w:ind w:left="640" w:hanging="31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EYLEA and Dupixent.</w:t>
      </w:r>
    </w:p>
    <w:p>
      <w:pPr>
        <w:spacing w:after="0" w:line="25"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products are dependent on the availability and extent of reimbursement from third-party payors, including private payors and government programs such as Medicare and Medicaid, which could change due to various factors such as drug price control measures that have been or may be enacted or introduced in the United States by various federal and state authorities.</w:t>
      </w:r>
    </w:p>
    <w:p>
      <w:pPr>
        <w:ind w:left="640" w:hanging="312"/>
        <w:spacing w:after="0" w:line="248"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 is subject to significant competition from products or product candidates that may be superior to, or more cost effective than, our products or product candidates.</w:t>
      </w:r>
    </w:p>
    <w:p>
      <w:pPr>
        <w:ind w:left="640" w:hanging="312"/>
        <w:spacing w:after="0" w:line="256"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collaborators on which we rely to commercialize some of our marketed products may be unable to continue to successfully commercialize or co-commercialize our products, both in the United States and abroad.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Development Risks</w:t>
      </w:r>
    </w:p>
    <w:p>
      <w:pPr>
        <w:spacing w:after="0" w:line="158" w:lineRule="exact"/>
        <w:rPr>
          <w:sz w:val="20"/>
          <w:szCs w:val="20"/>
          <w:color w:val="auto"/>
        </w:rPr>
      </w:pPr>
    </w:p>
    <w:p>
      <w:pPr>
        <w:ind w:left="640" w:hanging="31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obtaining and maintaining regulatory approval for drug products is costly, time-consuming, and highly uncertain.</w:t>
      </w:r>
    </w:p>
    <w:p>
      <w:pPr>
        <w:spacing w:after="0" w:line="25"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ind w:left="640" w:hanging="312"/>
        <w:spacing w:after="0" w:line="256"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3" w:lineRule="exact"/>
        <w:rPr>
          <w:sz w:val="20"/>
          <w:szCs w:val="20"/>
          <w:color w:val="auto"/>
        </w:rPr>
      </w:pPr>
    </w:p>
    <w:p>
      <w:pPr>
        <w:ind w:left="640" w:hanging="312"/>
        <w:spacing w:after="0" w:line="278"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are intended to be used in combination with drug-delivery devices, which may result in additional regulatory, commercialization, and other risks.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Market Exclusivity Risks</w:t>
      </w:r>
    </w:p>
    <w:p>
      <w:pPr>
        <w:spacing w:after="0" w:line="145" w:lineRule="exact"/>
        <w:rPr>
          <w:sz w:val="20"/>
          <w:szCs w:val="20"/>
          <w:color w:val="auto"/>
        </w:rPr>
      </w:pPr>
    </w:p>
    <w:p>
      <w:pPr>
        <w:ind w:left="640" w:hanging="312"/>
        <w:spacing w:after="0" w:line="259"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the confidentiality of our trade secrets, and our patents or other means of defending our intellectual property may be insufficient to protect our proprietary rights.</w:t>
      </w:r>
    </w:p>
    <w:p>
      <w:pPr>
        <w:ind w:left="640" w:hanging="312"/>
        <w:spacing w:after="0" w:line="248"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or proprietary rights of others may restrict our development, manufacturing, and/or commercialization efforts and subject us to patent litigation and other proceedings that could find us liable for damages.</w:t>
      </w:r>
    </w:p>
    <w:p>
      <w:pPr>
        <w:ind w:left="640" w:hanging="312"/>
        <w:spacing w:after="0" w:line="256"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limitation of patent rights, and regulatory pathways for biosimilar competition, could reduce the duration of market exclusivity for our products, including EYLEA.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Risks</w:t>
      </w:r>
    </w:p>
    <w:p>
      <w:pPr>
        <w:spacing w:after="0" w:line="158" w:lineRule="exact"/>
        <w:rPr>
          <w:sz w:val="20"/>
          <w:szCs w:val="20"/>
          <w:color w:val="auto"/>
        </w:rPr>
      </w:pPr>
    </w:p>
    <w:p>
      <w:pPr>
        <w:jc w:val="both"/>
        <w:ind w:left="640" w:hanging="312"/>
        <w:spacing w:after="0" w:line="253"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a potential regulatory approval, our current manufacturing capacity will likely not be sufficient, and our dependence on our collaborators and/or contract manufacturers may increase, to produce adequate quantities of drug material for both commercial and clinical purposes.</w:t>
      </w:r>
    </w:p>
    <w:p>
      <w:pPr>
        <w:spacing w:after="0" w:line="2"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manufacturing capacity and establishing fill/finish capabilities will be costly and we may be unsuccessful in doing so in a timely manner, which could delay or prevent the launch and successful commercialization of our products approved for marketing and could jeopardize our clinical development programs.</w:t>
      </w:r>
    </w:p>
    <w:p>
      <w:pPr>
        <w:ind w:left="640" w:hanging="312"/>
        <w:spacing w:after="0" w:line="248"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jc w:val="both"/>
        <w:ind w:left="640" w:hanging="312"/>
        <w:spacing w:after="0" w:line="248"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ind w:left="640" w:hanging="312"/>
        <w:spacing w:after="0" w:line="248"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service or supply failures, failures at our manufacturing facilities in Rensselaer, New York and Limerick, Ireland, or failures at the facilities of any other party participating in the supply chain would adversely affect our ability to supply our products.</w:t>
      </w:r>
    </w:p>
    <w:p>
      <w:pPr>
        <w:jc w:val="both"/>
        <w:ind w:left="640" w:hanging="312"/>
        <w:spacing w:after="0" w:line="252"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58" w:lineRule="exact"/>
        <w:rPr>
          <w:sz w:val="20"/>
          <w:szCs w:val="20"/>
          <w:color w:val="auto"/>
        </w:rPr>
      </w:pPr>
    </w:p>
    <w:p>
      <w:pPr>
        <w:ind w:left="640" w:hanging="312"/>
        <w:spacing w:after="0" w:line="25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testing or use of our products harms people, or is perceived to harm them even when such harm is unrelated to our products, we could be subject to costly and damaging product liability claims.</w:t>
      </w:r>
    </w:p>
    <w:p>
      <w:pPr>
        <w:ind w:left="640" w:hanging="312"/>
        <w:spacing w:after="0" w:line="248"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activities have been, and may in the future be, challenged under U.S. federal or state and foreign healthcare laws, which may subject us to civil or criminal proceedings, investigations, or penalties.</w:t>
      </w:r>
    </w:p>
    <w:p>
      <w:pPr>
        <w:ind w:left="640" w:hanging="312"/>
        <w:spacing w:after="0" w:line="248"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w:t>
      </w:r>
    </w:p>
    <w:p>
      <w:pPr>
        <w:ind w:left="640" w:hanging="312"/>
        <w:spacing w:after="0" w:line="248"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from the improper conduct of our employees, agents, contractors, or collaborators, including those relating to potential non-compliance with relevant laws and regulations such as the Foreign Corrupt Practices Act and the U.K. Bribery Act.</w:t>
      </w:r>
    </w:p>
    <w:p>
      <w:pPr>
        <w:ind w:left="640" w:hanging="31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environmental, health, and safety laws and regulations, including those governing the use of hazardous materials.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the healthcare industry could adversely affect our business.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and risks associated with our operations outside of the United States could adversely affect our business.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personal data we collect, process, and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45" w:lineRule="exact"/>
        <w:rPr>
          <w:sz w:val="20"/>
          <w:szCs w:val="20"/>
          <w:color w:val="auto"/>
        </w:rPr>
      </w:pPr>
    </w:p>
    <w:p>
      <w:pPr>
        <w:ind w:left="640" w:hanging="312"/>
        <w:spacing w:after="0" w:line="259"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collaborations with Sanofi or Bayer or other third parties are terminated or breached, our ability to develop, manufacture, and commercialize certain of our products and product candidates in the time expected, or at all, would be materially harmed.</w:t>
      </w:r>
    </w:p>
    <w:p>
      <w:pPr>
        <w:ind w:left="640" w:hanging="312"/>
        <w:spacing w:after="0" w:line="256"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and service providers may fail to perform adequately in their efforts to support the development, manufacture, and commercialization of our drug candidates and current and future products.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3" w:lineRule="exact"/>
        <w:rPr>
          <w:sz w:val="20"/>
          <w:szCs w:val="20"/>
          <w:color w:val="auto"/>
        </w:rPr>
      </w:pPr>
    </w:p>
    <w:p>
      <w:pPr>
        <w:ind w:left="640" w:hanging="312"/>
        <w:spacing w:after="0" w:line="278"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undertaken and may in the future undertake strategic acquisitions, and any difficulties from integrating such acquisitions could adversely affect our business, operating results, and financial condition.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Factors – Risks Related to Employees, Information Technology, Financial Results and Liquidity, and Our Common Stock</w:t>
      </w:r>
    </w:p>
    <w:p>
      <w:pPr>
        <w:spacing w:after="0" w:line="145" w:lineRule="exact"/>
        <w:rPr>
          <w:sz w:val="20"/>
          <w:szCs w:val="20"/>
          <w:color w:val="auto"/>
        </w:rPr>
      </w:pPr>
    </w:p>
    <w:p>
      <w:pPr>
        <w:ind w:left="640" w:hanging="312"/>
        <w:spacing w:after="0" w:line="259"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key personnel and will be harmed if we cannot recruit and retain leaders in our research, development, manufacturing, and commercial organizations.</w:t>
      </w:r>
    </w:p>
    <w:p>
      <w:pPr>
        <w:ind w:left="640" w:hanging="312"/>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breaches of data security could adversely affect our business.</w:t>
      </w:r>
    </w:p>
    <w:p>
      <w:pPr>
        <w:spacing w:after="0" w:line="6" w:lineRule="exact"/>
        <w:rPr>
          <w:rFonts w:ascii="Times New Roman" w:cs="Times New Roman" w:eastAsia="Times New Roman" w:hAnsi="Times New Roman"/>
          <w:sz w:val="18"/>
          <w:szCs w:val="18"/>
          <w:color w:val="auto"/>
        </w:rPr>
      </w:pPr>
    </w:p>
    <w:p>
      <w:pPr>
        <w:ind w:left="640" w:hanging="312"/>
        <w:spacing w:after="0" w:line="248"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funding in the future, which may not be available to us, and which may force us to delay, reduce, or eliminate our product development programs or commercialization efforts.</w:t>
      </w:r>
    </w:p>
    <w:p>
      <w:pPr>
        <w:ind w:left="640" w:hanging="312"/>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impact our business.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extremely volatile.</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may be able to exert significant influence over matters requiring shareholder approval and over our management.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further adversely affected by the effects of the COVID-19 pandemic.</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2019, a novel strain of coronavirus, SARS-CoV-2, causing a disease referred to as COVID-19, was reported to have surfaced in Wuhan, China. It has since spread around the world, evolved into multiple new variants, and caused a global pandemic. This pandemic has adversely affected and/or has the potential to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COVID-19 pandemic has resulted in the imposition of various restrictions and mandates around the world to reduce the spread of the disease, including governmental orders that direct individuals to shelter at their places of residence, direct businesses and governmental agencies to cease non-essential operations at physical locations, prohibit certain non-essential gatherings, maintain social distancing, order cessation of non-essential travel, and require proof of vaccination and/or negative COVID-19 test results. The COVID-19 pandemic has continued to ebb and flow, with different jurisdictions having higher levels of infections than others and new variants of the SARS-CoV-2 virus (such as the Omicron-lineage variants) emerging and spreading more easily and quickly than other variants. The trajectory and the ultimate impact of the pandemic are highly uncertain and subject to change and we do not yet know the full extent of potential delays or impacts on our business, our clinical trials, healthcare systems, or the global economy as a whole. These effects could have a material impact on our operations.</w:t>
      </w:r>
    </w:p>
    <w:p>
      <w:pPr>
        <w:spacing w:after="0" w:line="1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By way of example, continuation or re-imposition of various government-imposed or private-sector measures relating to the COVID-19 pandemic (including those we previously implemented, such as work-from-home policies for some employees) may further negatively impact productivity, disrupt our business, and delay our clinical programs and development timelines beyond the delays we have already experienced and disclosed. Such restrictions and limitations may also further negatively impact our access to regulatory authorities (which are affected, among other things, by applicable travel restrictions and may be delayed in responding to inquiries, reviewing filings, and conducting inspections); our ability to perform regularly scheduled quality checks and maintenance; and our ability to obtain services from third-party specialty vendors and other providers or to access their expertise as fully and timely as needed. The COVID-19 pandemic may also result in the loss of some of our key personnel, either temporarily or permanently. We and our employees may also be subject to government vaccine mandates, which may have a negative impact on our ability to retain employees or hire new employees and could adversely impact our business. In addition, our sales and marketing efforts were previously negatively impacted and may be further negatively impacted by postponement or cancellation of face-to-face meetings and restrictions on access by non-essential personnel to hospitals or clinics to the extent such measures slow down adoption or further commercialization of our marketed products. The demand for our marketed products may also be adversely impacted by the restrictions and limitations adopted in response to the COVID-19 pandemic, particularly to the extent they affect the patients' ability or willingness to start or continue treatment with our marketed products. Any of the foregoing factors may result in lower net product sales of our marketed products. For example, net product sales of EYLEA in the United States decreased for the three months ended June 30, 2020, compared to the same period in 2019, due in part to the impact of the COVID-19 pandemic. See Part I, Item 2. "Management's Discussion and Analysis of Financial Condition and Results of Operations - Results of Operations" for a discussion of our net product sales.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Demand for some or all of our marketed products may be further reduced if shelter-in-place, social distancing, or similar orders remain in effect or are re-implemented and, as a result, some of our inventory may become obsolete and may need to be written off, impacting our operating results. These and similar, and perhaps more severe, disruptions in our operations may materially adversely impact our business, prospects, operating results, and financial condition.</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Various government-imposed or private-sector measures relating to the COVID-19 pandemic (or the perception that such restrictions or limitations on the conduct of business operations could occur) previously impacted, and may impact in the future, personnel at our research and manufacturing facilities, our suppliers, and other third parties on which we rely, as well as the availability or cost of materials produced by or purchased from such parties, resulting in supply chain strains or disruptions that may become material. While some materials and services may be obtained from more than one supplier or provider, port closures and other restrictions, whether resulting from the COVID-19 pandemic or otherwise (including any government restrictions or limitations, such as those that may be imposed under the Defense Production Act), could materially disrupt our supply chain or limit our ability to obtain sufficient materials or services (including fill/finish services) required for the development and manufacturing of our products and product candidates as well as our research efforts. If microbial, viral (including COVID-19), or other contaminations are discovered in our products, product candidates, the materials used for their production, or in our facilities, or in the facilities of our collaborators, third-party contract manufacturers, or other providers or suppliers, the affected facilities may need to be closed or may otherwise be affected for an extended period of time, or the contamination may result in other delays or disruptions in our direct or indirect supply chain.</w:t>
      </w:r>
    </w:p>
    <w:p>
      <w:pPr>
        <w:spacing w:after="0" w:line="1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infections, hospitalizations, and deaths related to COVID-19 previously disrupted and may in the future disrupt the United States' healthcare and healthcare regulatory systems. These and other possible disruptions relating to the COVID-19 pandemic could divert healthcare resources away from, or materially delay, FDA review and potential approval of our product candidates and new indications for our marketed products. In addition, some of our clinical trials were previously and may in the future be affected by the COVID-19 pandemic. This impact could result in further delays in site initiation and patient enrollment due to prioritization of hospital resources toward the COVID-19 pandemic, patients' inability to comply with clinical trial protocols if quarantines impede patient movement or interrupt healthcare services, and restrictions on trial initiations imposed by hospitals and other trial sites as a result of the COVID-19 pandemic. Similarly, our ability to recruit and retain patients and principal investigators and site staff who, as healthcare providers, may have heightened exposure to COVID-19, was previously and may in the future be delayed or disrupted. We continue to evaluate the adverse impact of the COVID-19 pandemic on an individual trial basis. Any such disruptions may further negatively impact the progress of our clinical trials, including the readouts of trial results, the timing of regulatory review, and any anticipated program milestones.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the COVID-19 pandemic may be difficult to assess or predict, it previously caused significant disruption of global financial markets and could cause more economic disruption in the future, making it more difficult for us to access capital if needed. In addition, a recession or market correction resulting from the spread of COVID-19 could materially affect our business and the value of our Common Stock.</w:t>
      </w:r>
    </w:p>
    <w:p>
      <w:pPr>
        <w:spacing w:after="0" w:line="10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To the extent the COVID-19 pandemic adversely affects our business, prospects, operating results, or financial condition, it may also have the effect of heightening many of the other risks described in this "Risk Factors" section.</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the development, manufacturing, and potential future commercialization of REGEN-COV and "next generation" monoclonal antibodies targeting SARS-CoV-2.</w:t>
      </w:r>
    </w:p>
    <w:p>
      <w:pPr>
        <w:spacing w:after="0" w:line="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response to the COVID-19 pandemic, we developed REGEN-COV (known as Ronapreve in countries outside the United States), a novel investigational antibody cocktail treatment designed to prevent and treat infection from the SARS-CoV-2 virus. REGEN-COV received an EUA from the FDA in November 2020 for the treatment of mild to moderate COVID-19 in certain patients. However, based on laboratory data that showed markedly decreased binding to the Omicron spike protein, REGEN-COV is highly unlikely to be active against the Omicron-lineage variants. In January 2022, the FDA revised the EUA to exclude its use in geographic regions where, based on available information including variant susceptibility and regional variant frequency, infection or exposure is likely due to a variant such as an Omicron-lineage variant that is not susceptible to the treatment. With this EUA revision, REGEN-COV is not currently authorized for use in any U.S. states, territories, or jurisdictions, since Omicron-lineage variants are currently dominant across the United States. In light of these developments, we cannot predict whether (if at all) or to what extent REGEN-COV may be reauthorized or approved for use by the FDA in the future. In July 2022, the FDA notified us that its review of the BLA for REGEN-COV to treat COVID-19 in non-hospitalized patients and as prophylaxis in certain individuals is ongoing; it is possible that approval of this BLA may be further delayed or not granted at all.</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addition to our REGEN-COV program, we are progressing "next generation" monoclonal antibodies targeting SARS-CoV-2 (together with REGEN-COV referred to below as "our COVID-19 monoclonal antibodies"). There can be no assurance as to the timing or success of any studies evaluating "next generation" antibodies and whether any of such antibodies will retain activity against present or future variants of concern.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face risks related to our significant investment in the development, supply, allocation, distribution, pricing, and potential future commercialization of our COVID-19 monoclonal antibodies. We have committed and may continue to commit significant capital and resources to fund and supply clinical trials and to accelerate and scale up the production of our COVID-19 monoclonal antibodies, which involves a complex manufacturing process that is both resource- and time-sensitive. For example, the impact of prioritizing certain manufacturing-related resources for our COVID-19 monoclonal antibodies includes, among other things, drawing down inventory safety stock levels for certain of our other products (including Dupixent and EYLEA). Depending on the demand for our products (including any future demand for our COVID-19 monoclonal antibodies), our ability to re-establish successfully our customary manufacturing cadence, and other relevant factors, we may not be able to replenish our inventory safety stock to the levels we deem prudent or supply our products and product candidates in sufficient quantities to satisfy our commercial and development needs. We expect our investment in the development and manufacture of our COVID-19 monoclonal antibodies to continue through 2022 and potentially beyond, although the magnitude of our investment will be subject to clinical data results, the duration of the COVID-19 pandemic, and other factors, including regulatory outcomes. If we are unable to obtain a new EUA for any of our "next generation" monoclonal antibodies, or obtain regulatory approvals for any of the foregoing, or if we make a strategic decision to discontinue development of, or not commercialize, our COVID-19 monoclonal antibodies or are otherwise not successful in their commercialization, we may be unable to recoup our significant expenses incurred to date and/or in the future related to the development and production of our COVID-19 monoclonal antibodies. While we previously recognized significant revenues in connection with sales of REGEN-COV, the degree to which future sales of our COVID-19 monoclonal antibodies will continue to impact our results of operations is highly uncertain.</w:t>
      </w:r>
    </w:p>
    <w:p>
      <w:pPr>
        <w:spacing w:after="0" w:line="105" w:lineRule="exact"/>
        <w:rPr>
          <w:sz w:val="20"/>
          <w:szCs w:val="20"/>
          <w:color w:val="auto"/>
        </w:rPr>
      </w:pPr>
    </w:p>
    <w:p>
      <w:pPr>
        <w:ind w:right="1000"/>
        <w:spacing w:after="0" w:line="421" w:lineRule="auto"/>
        <w:rPr>
          <w:sz w:val="20"/>
          <w:szCs w:val="20"/>
          <w:color w:val="auto"/>
        </w:rPr>
      </w:pPr>
      <w:r>
        <w:rPr>
          <w:rFonts w:ascii="Times New Roman" w:cs="Times New Roman" w:eastAsia="Times New Roman" w:hAnsi="Times New Roman"/>
          <w:sz w:val="18"/>
          <w:szCs w:val="18"/>
          <w:b w:val="1"/>
          <w:bCs w:val="1"/>
          <w:color w:val="auto"/>
        </w:rPr>
        <w:t xml:space="preserve">Risks Related to Commercialization of Our Marketed Products, Product Candidates, and New Indications for Our Marketed Products </w:t>
      </w:r>
      <w:r>
        <w:rPr>
          <w:rFonts w:ascii="Times New Roman" w:cs="Times New Roman" w:eastAsia="Times New Roman" w:hAnsi="Times New Roman"/>
          <w:sz w:val="18"/>
          <w:szCs w:val="18"/>
          <w:b w:val="1"/>
          <w:bCs w:val="1"/>
          <w:i w:val="1"/>
          <w:iCs w:val="1"/>
          <w:color w:val="auto"/>
        </w:rPr>
        <w:t>We are substantially dependent on the success of EYLEA and Dupixent.</w:t>
      </w:r>
    </w:p>
    <w:p>
      <w:pPr>
        <w:jc w:val="both"/>
        <w:spacing w:after="0" w:line="254" w:lineRule="auto"/>
        <w:rPr>
          <w:sz w:val="20"/>
          <w:szCs w:val="20"/>
          <w:color w:val="auto"/>
        </w:rPr>
      </w:pPr>
      <w:r>
        <w:rPr>
          <w:rFonts w:ascii="Times New Roman" w:cs="Times New Roman" w:eastAsia="Times New Roman" w:hAnsi="Times New Roman"/>
          <w:sz w:val="18"/>
          <w:szCs w:val="18"/>
          <w:color w:val="auto"/>
        </w:rPr>
        <w:t>EYLEA net sales represent a substantial portion of our revenues and this concentration of our net sales in a single product makes us substantially dependent on that product. For the nine months ended September 30, 2022 and 2021, EYLEA net sales in the United States represented 54% and 38% of our total revenues, respectively. If we were to experience difficulty with the commercialization of EYLEA in the United States or if Bayer were to experience any difficulty with the commercialization of EYLEA outside the United States (including as a result of the COVID-19 pandemic discussed above),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1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addition, we are dependent on our share of profits from the commercialization of Dupixent under our Antibody Collaboration with Sanofi.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would be materially harmed.</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that the degree of commercial success of our marketed products will continue to depend on many factors, including the following (as applicable):</w:t>
      </w:r>
    </w:p>
    <w:p>
      <w:pPr>
        <w:spacing w:after="0" w:line="152" w:lineRule="exact"/>
        <w:rPr>
          <w:sz w:val="20"/>
          <w:szCs w:val="20"/>
          <w:color w:val="auto"/>
        </w:rPr>
      </w:pPr>
    </w:p>
    <w:p>
      <w:pPr>
        <w:jc w:val="both"/>
        <w:ind w:left="640" w:hanging="312"/>
        <w:spacing w:after="0" w:line="253"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continued impact of SARS-CoV-2 (the virus that has caused the COVID-19 pandemic) on our business and the demand for our marketed products, as well as its continued impact on, among other things, our employees, collaborators, suppliers, and other third parties on which we rely, our ability to continue to manage our supply chain, and the global economy (as further discussed above under "Risks Related to the COVID-19 Pandemic - </w:t>
      </w:r>
      <w:r>
        <w:rPr>
          <w:rFonts w:ascii="Times New Roman" w:cs="Times New Roman" w:eastAsia="Times New Roman" w:hAnsi="Times New Roman"/>
          <w:sz w:val="18"/>
          <w:szCs w:val="18"/>
          <w:i w:val="1"/>
          <w:iCs w:val="1"/>
          <w:color w:val="auto"/>
        </w:rPr>
        <w:t>Our business may be further adversely affected by the effects of the COVID-19 pandemic</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our products, including pricing strategy;</w:t>
      </w:r>
    </w:p>
    <w:p>
      <w:pPr>
        <w:spacing w:after="0" w:line="6" w:lineRule="exact"/>
        <w:rPr>
          <w:rFonts w:ascii="Times New Roman" w:cs="Times New Roman" w:eastAsia="Times New Roman" w:hAnsi="Times New Roman"/>
          <w:sz w:val="18"/>
          <w:szCs w:val="18"/>
          <w:color w:val="auto"/>
        </w:rPr>
      </w:pPr>
    </w:p>
    <w:p>
      <w:pPr>
        <w:jc w:val="both"/>
        <w:ind w:left="640" w:hanging="312"/>
        <w:spacing w:after="0" w:line="250"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coverage of, and reimbursement for, our marketed products by third-party payors,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enacted or introduced in the United States by various federal and state authorities);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3" w:lineRule="exact"/>
        <w:rPr>
          <w:sz w:val="20"/>
          <w:szCs w:val="20"/>
          <w:color w:val="auto"/>
        </w:rPr>
      </w:pPr>
    </w:p>
    <w:p>
      <w:pPr>
        <w:jc w:val="both"/>
        <w:ind w:left="640" w:hanging="312"/>
        <w:spacing w:after="0" w:line="252"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(such as aflibercept 8 mg); and, in the case of EYLEA, the existing and potential new branded and biosimilar competition for EYLEA (discussed further under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commercial success of our products and product candidates is subject to significant competition - </w:t>
      </w:r>
      <w:r>
        <w:rPr>
          <w:rFonts w:ascii="Times New Roman" w:cs="Times New Roman" w:eastAsia="Times New Roman" w:hAnsi="Times New Roman"/>
          <w:sz w:val="18"/>
          <w:szCs w:val="18"/>
          <w:color w:val="auto"/>
        </w:rPr>
        <w:t>Marketed Products" below) and the willingness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retinal specialists and patients to start or continue treatment with EYLEA or to switch from another product to EYLEA;</w:t>
      </w:r>
    </w:p>
    <w:p>
      <w:pPr>
        <w:spacing w:after="0" w:line="2"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 care laws and regulations currently being considered or implemented in the United States, including price reporting and other disclosure requirements of such laws and regulations and the potential impact of such requirements on physician prescribing practices and payor coverage;</w:t>
      </w:r>
    </w:p>
    <w:p>
      <w:pPr>
        <w:jc w:val="both"/>
        <w:ind w:left="640" w:hanging="312"/>
        <w:spacing w:after="0" w:line="248"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 effects in connection with the use of our products and in clinical trials for our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jc w:val="both"/>
        <w:ind w:left="640" w:hanging="312"/>
        <w:spacing w:after="0" w:line="248"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ind w:left="640" w:hanging="31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our marketed products;</w:t>
      </w:r>
    </w:p>
    <w:p>
      <w:pPr>
        <w:spacing w:after="0" w:line="6"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proceedings relating to EYLEA, Dupixent, Praluent, and REGEN-COV (described further in Note 14 to our Condensed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jc w:val="both"/>
        <w:ind w:left="640" w:right="20" w:hanging="312"/>
        <w:spacing w:after="0" w:line="248"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government proceedings and investigations and other matters described in Note 14 to our Condensed Consolidated Financial Statements included in this report (including the civil complaint filed against us on June 24, 2020 in the U.S. District Court for the District of Massachusetts by the U.S. Attorney's Office for the District of Massachusetts); and</w:t>
      </w:r>
    </w:p>
    <w:p>
      <w:pPr>
        <w:ind w:left="640" w:hanging="312"/>
        <w:spacing w:after="0" w:line="256"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our marketed products is provided in the risk factors below.</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1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and our collaborators are subject to significant ongoing regulatory obligations and oversight with respect to the products we or they commercialize for the products' currently approved indications in the United States, EU, and other countries where such products are approved. If we or our collaborators fail to maintain regulatory compliance or satisfy other obligations for such products' currently approved indications (including because the product does not meet the relevant endpoints of any required post-approval studies (such as those required under an accelerated approval by the FDA or other similar type of approval), or for any of the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is costly, time-consuming, and highly uncertain</w:t>
      </w:r>
      <w:r>
        <w:rPr>
          <w:rFonts w:ascii="Times New Roman" w:cs="Times New Roman" w:eastAsia="Times New Roman" w:hAnsi="Times New Roman"/>
          <w:sz w:val="18"/>
          <w:szCs w:val="18"/>
          <w:color w:val="auto"/>
        </w:rPr>
        <w:t>"), the applicable marketing approval may be withdrawn, which would materially harm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prospects, operating results, 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Our or our collaborators' failure to meet the stringent requirements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are dependent on the availability and extent of reimbursement from third-party payors, and changes to such reimbursement may materially harm our business, prospects, operating results, and financial condition.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our marketed products in the United States are dependent, in large part, on the availability and extent of reimbursement from third-party payors, including private payor healthcare and insurance programs, health maintenance organizations, pharmacy benefit management companies ("PBMs"), and government programs such as Medicare and Medicaid. Sales of our marketed products in other countries are dependent, in large part, on similar reimbursement mechanisms and programs in those countries.</w:t>
      </w:r>
    </w:p>
    <w:p>
      <w:pPr>
        <w:spacing w:after="0" w:line="1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future revenues and profitability will be adversely affected in a material manner if such third-party payors do not adequately defray or reimburse the cost of our marketed products.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or require failure on another type of treatment before covering a particular drug, particularly with respect to higher-priced drugs. As our currently marketed products and most of our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(which may continue to be exacerbated as a result of the COVID-19 pandemic), our currently marketed products and product candidates are likely to be subject to continued pricing pressures, which may have an adverse impact on our business, prospects, operating results, and financial condition.</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PBMs, and recognition by insurance companies and the Centers for Medicare &amp; Medicaid Services (the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1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(i.e., requiring the use of less costly medications before more costly medications are approved for coverage).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 this trend may be further accelerated as a result of the COVID-19 pandemic.</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 there have been several recent U.S. Congressional inquiries and proposed federal and state legislation and policies (in addition to those already in effect) designed to, among other things, bring more transparency to drug pricing, review the relationship between pricing and manufacturer patient programs, reduce the out-of-pocket cost of prescription drugs, and reform government program reimbursement methodologies for drugs. Notably, the U.S. Congress recently passed the Inflation Reduction Act (the "IRA"), which includes measures allowing the government to negotiate prices of certain prescription drugs under Medicare (including those covered under Medicare Part B, such as EYLEA and, potentially in the future, aflibercept 8 mg) and measures redesigning the Medicare Part D benefit to limit patient out-of-pocket drug costs and shift liabilities among stakeholders, including manufacturers. While enacted into law, it is unclear how the provisions of the IRA will be implemented and the extent to which the policy changes will ultimately impact reimbursement levels of our marketed products covered under Medicare Part B (such as EYLEA) or our product candidates that may in the future be covered under Medicare Part B (such as aflibercept 8 mg). 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as a result of the legislation, proposals, initiatives, and developments described above) could have a material adverse effect on the sales of EYLEA or our other marketed products. Economic pressure on state budgets may also have a similar impact.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PBMs and other managed-care organizations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1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marketed products in foreign countries is limited or delayed.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products and product candidates is subject to significant competition.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competitors, regardless of their size, may also enhance their competitive position if they acquire or discover patentable inventions, form collaborative arrangements, or merge with other pharmaceutical or biotechnology companies. There is significant actual and potential future competition for each of our marketed products.</w:t>
      </w:r>
    </w:p>
    <w:p>
      <w:pPr>
        <w:spacing w:after="0" w:line="11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EYLEA faces and, if approved, aflibercept 8 mg will face, significant competition in the marketplace. For example, EYLEA competes in one or more of its approved indications with other VEGF inhibitors, including Novartis and Genentech/Roche's Lucentis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Novartis' Beovu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(brolucizumab), and Genentech/Roche's Susvimo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ocular implant) and Vabysmo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(faricimab-svoa), as well as biosimilar versions of Lucentis commercialized in the United States by Biogen Inc. and Coherus BioSciences, Inc. Ophthalmologists are also using off-label, third-party repackaged versions of Genentech/Roche's approved VEGF antagonist, bevacizumab, for the treatment of certain of EYLEA's indications, and we are aware of another company developing an ophthalmic formulation of such product. In DME and RVO, EYLEA also competes with intravitreal implants of corticosteroids. We are also aware of a number of companies working on the development of product candidates and extended delivery devices for the potential treatment of one or more of EYLEA's indications, including those that act by blocking VEGF and VEGF receptors (including therapies designed to extend the treatment interval) and/or other targets. In addition, we are aware of several companies developing biosimilar versions of EYLEA and other approved anti-VEGF treatments.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 If approved, we expect that aflibercept 8 mg will be entering a highly competitive environment; and our success in potentially commercializing aflibercept 8 mg will depend on a number of factors, including the extent to which we and our collaborators are able to differentiate aflibercept 8 mg from competitive products and the applicability of any restrictions imposed by payors at the time, such as step therapy.</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for Dupixent's current and potential future indications is also increasingly competitive. In atopic dermatitis, there are topical and systemic JAK inhibitors and an antibody against IL-13 approved for atopic dermatitis and others are in development. In addition, a number of companies are developing antibodies against IL-4Ra, IL-13Ra1, OX40(L), and/or IL-31R. In asthma, competitors to Dupixent include antibodies against the IL-5 ligand or the IL-5 receptor, immunoglobulin E, or thymic stromal lymphopoietin ("TSLP"); and some of these antibodies are either approved or in development for indications that also compete or may compete in the future with Dupixent in CRSwNP and EoE. There are several other potentially competitive products in development that may compete with Dupixent in asthma, as well as potential future indications,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antibodies against the IL-33 ligand or receptor. Dupixent also faces competition from inhaled products in asthma and potential future indications.</w:t>
      </w:r>
    </w:p>
    <w:p>
      <w:pPr>
        <w:spacing w:after="0" w:line="1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Libtayo also faces significant competition. There are several competitors that are marketing and/or developing antibodies against PD-1 and/or PDL-1 (some of which were approved in the relevant indications and commercialized before Libtayo), including Merck's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(pembrolizumab), Bristol-Myers Squibb's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(nivolumab), Roche's Tecentriq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(atezolizumab), and AstraZeneca's Imfinzi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(durvalumab).</w:t>
      </w:r>
    </w:p>
    <w:p>
      <w:pPr>
        <w:spacing w:after="0" w:line="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also significant actual and potential future competition for other products marketed or otherwise commercialized by us and/or our collaborators under our collaboration agreements with them. For example, there are several companies that are marketing and/or developing antibodies or other molecules (such as small interfering RNA molecules, or siRNAs) against PCSK9, ANGPTL3 and IL-6 and/or IL-6R, which currently (or, for product candidates in development, may in the future if approved) compete with Praluent, Evkeeza, and Kevzara,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Candidates</w:t>
      </w:r>
    </w:p>
    <w:p>
      <w:pPr>
        <w:spacing w:after="0" w:line="1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other antibody generation technologies, and late-stage and earlier-stage clinical candidates face competition from many pharmaceutical and biotechnology companies using various technologies, including antibody generation technologies and other approaches such as RNAi, chimeric antigen receptor T cell (CAR-T cell), and gene therapy technologies. For example, we are aware of other pharmaceutical and biotechnology companies actively engaged in the research and development of antibody-based products against targets that are also the targets of our early- and late-stage product candidates. We are also aware of other companies developing or marketing small molecules or other treatments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collaborations with Bayer and Sanofi for commercializing some of our marketed products.</w:t>
      </w:r>
    </w:p>
    <w:p>
      <w:pPr>
        <w:spacing w:after="0" w:line="15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While we have established our own sales and marketing organization for EYLEA in the United States for its currently approved indications, we have no sales, marketing, commercial, or distribution capabilities for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for sales, marketing, and distribution of EYLEA (and, if approved, will rely on Bayer for such activities relating to aflibercept 8 mg) in countries outside the United States.</w:t>
      </w:r>
    </w:p>
    <w:p>
      <w:pPr>
        <w:spacing w:after="0" w:line="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under the terms of our Antibody Collaboration, we and Sanofi co-commercialize Dupixent in the United States and, as further discussed below, certain jurisdictions outside the United States. As a result, we rely in part on Sanofi's sales and marketing organization for Dupixent. If we and Sanofi fail to coordinate our sales and marketing efforts effectively, sales of Dupixent may be materially affected. Sanofi also maintains other important responsibilities relating to Dupixent. For example, Sanofi records product sales for Dupixent in the United States and leads negotiations with payors relating to this product. We also rely on Sanofi for sales, marketing, and distribution of Dupixent in countries outside the United States. While we exercised our option under the Antibody Collaboration to co-commercialize Dupixent in certain jurisdictions outside the United States and have commenced this co-commercialization in some of these jurisdictions, we will continue to rely in part on Sanofi's sales and marketing organization in such jurisdictions and there can be no assurance that we will be able to successfully conduct such co-commercialization in the expected time frame or at all.</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We have limited commercial capabilities outside the United States and would have to develop or outsource these capabilities. Therefore, termination of the Bayer collaboration agreement or our Antibody Collaboration would create substantial new and additional risks to the successful commercialization of the applicable products, particularly outside the United States. For additional information regarding our collaborations with Bayer and Sanofi, see "Risks Related to Our Reliance on or Transactions with Third Parties - </w:t>
      </w:r>
      <w:r>
        <w:rPr>
          <w:rFonts w:ascii="Times New Roman" w:cs="Times New Roman" w:eastAsia="Times New Roman" w:hAnsi="Times New Roman"/>
          <w:sz w:val="18"/>
          <w:szCs w:val="18"/>
          <w:i w:val="1"/>
          <w:iCs w:val="1"/>
          <w:color w:val="auto"/>
        </w:rPr>
        <w:t>If our collaboration with Bayer for EYLEA is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terminated, or Bayer materially breaches its obligations thereunder, our business, prospects, operating results, and financial condition, and our ability to continue to commercialize EYLEA outside the United States would be materially harmed</w:t>
      </w:r>
      <w:r>
        <w:rPr>
          <w:rFonts w:ascii="Times New Roman" w:cs="Times New Roman" w:eastAsia="Times New Roman" w:hAnsi="Times New Roman"/>
          <w:sz w:val="18"/>
          <w:szCs w:val="18"/>
          <w:color w:val="auto"/>
        </w:rPr>
        <w:t>" below and "Risks Related to Our Reliance on or Transactions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Third Parties - </w:t>
      </w:r>
      <w:r>
        <w:rPr>
          <w:rFonts w:ascii="Times New Roman" w:cs="Times New Roman" w:eastAsia="Times New Roman" w:hAnsi="Times New Roman"/>
          <w:sz w:val="18"/>
          <w:szCs w:val="18"/>
          <w:i w:val="1"/>
          <w:iCs w:val="1"/>
          <w:color w:val="auto"/>
        </w:rPr>
        <w:t>If our Antibody Collaboration with Sanofi is terminated, or Sanofi materially breaches its obligations thereunder, our business, prospects,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results, and financial condition, and our ability to develop, manufacture, and commercialize certain of our products and product candidates in the time expected, or at all, would be materially harmed</w:t>
      </w:r>
      <w:r>
        <w:rPr>
          <w:rFonts w:ascii="Times New Roman" w:cs="Times New Roman" w:eastAsia="Times New Roman" w:hAnsi="Times New Roman"/>
          <w:sz w:val="18"/>
          <w:szCs w:val="18"/>
          <w:color w:val="auto"/>
        </w:rPr>
        <w:t>" below.</w:t>
      </w:r>
    </w:p>
    <w:p>
      <w:pPr>
        <w:spacing w:after="0" w:line="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sales of products we commercialize in the United States and our collaborators' sales of products they commercialize or co-commercialize with us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Similarly, under our Antibody Collaboration with Sanofi, pricing and reimbursement for the products commercialized or co-commercialized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sell our marketed products for which we record net product sales in the United States to several distributors and specialty pharmacies, as applicable, which generally sell the product directly to healthcare providers or other pharmacies (as applicable). For the nine months ended September 30, 2022 and 2021, our gross product sales of such products to two customers accounted on a combined basis for 85% and 53% of our total gross product revenue, respectively. We expect significant customer</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concentration to continue for the foreseeable future. Our ability to generate and grow sales of these products will depend, in part, on the extent to which our distributors and specialty pharmacies are able to provide adequate distribution of these products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commercial capabilities outside the United States for products we intend to commercialize or co-commercialize outside the United States, our business, prospects, operating results, and financial condition may be adversely affected.</w:t>
      </w:r>
    </w:p>
    <w:p>
      <w:pPr>
        <w:spacing w:after="0" w:line="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limited commercial capabilities outside the United States and do not currently have a fully established organization for the sales, marketing, and distribution of marketed products outside the United States. We will need to establish some or all of these capabilities outside the United States for any product we decide to independently commercialize or co-commercialize outside the United States. For example, following the exercise of our option under the Antibody Collaboration to co-commercialize Dupixent in certain jurisdictions outside the United States, we have begun establishing certain commercial capabilities for Dupixent in such jurisdictions. In addition, we and Sanofi recently amended the IO Collaboration to transfer the rights to develop, commercialize, and manufacture Libtayo exclusively to our Company, on a worldwide basis, over the course of a defined transition period, and we will need to establish commercial, development, and manufacturing capabilities for Libtayo in many jurisdictions outside the United States. See Part I, Item 2. "Management's Discussion and Analysis of Financial Condition and Results of Operations - Collaboration, License, and Other Agreements - Sanofi." There may be other circumstances in which we need to establish commercial capabilities outside the United States, including because we decide to commercialize a particular product independently; we are unable to find an appropriate collaborator; or an existing collaborator decides to opt out or breaches its obligations to us with respect to a particular product.</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commercialize or co-commercialize any products outside the United States, we must build our sales, marketing, distribution, managerial, and other capabilities in the relevant markets or make arrangements with third parties to perform these services, any of which will likely be expensive and time consuming and could delay product launch or the co-commercialization of a product in one or more markets outside the United States. We cannot be certain that we will be able to successfully develop commercial capabilities outside the United States (including as it relates to Dupixent and Libtayo) within an acceptable time frame, without incurring substantial expenses, or at all. These and other difficulties relating to commercializing our products outside the United States may severely harm our business, prospects, operating results, and financial condition.</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1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or other authorization.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products is costly, time-consuming, and highly uncertain.</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United States, we (which, for purposes of this risk factor, includes our collaborators, unless otherwise stated or required by the context) must obtain and maintain approval from the FDA for each drug we intend to sell. Obtaining FDA approval for a new drug or indication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the FDA may determine that a Risk Evaluation and Mitigation Strategy ("REMS") is necessary to ensure that the benefits of a new product outweigh its risks, and the product can therefore be approved. A REMS may include various elements, ranging from a medication guide or patient package insert to limitations on who may prescribe or dispense the drug, depending on what the FDA considers necessary for the safe use of the drug. The FDA has substantial discretion in the approval process (including with respect to setting specific conditions for submission) and may either refuse to accept an application for substantive review or may form the opinion after review of an application that the application is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or product labeling updates for such companion diagnostics, which could negatively impact regulatory approval of our product candidates or may result in increased development costs or delays.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 Obligations equivalent in scope, but which can vary widely in application, apply in foreign countries.</w:t>
      </w:r>
    </w:p>
    <w:p>
      <w:pPr>
        <w:spacing w:after="0" w:line="1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includes standard review and priority review. The FDA's goal for a standard review is to review the application within a 10-month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and may be delayed for reasons beyond our control. For example, an FDA travel complication related to scheduling a routine clinical trial site inspection in eastern Europe has delayed the FDA's decision on the sBLA for the combination treatment of Libtayo with chemotherapy in NSCLC until after the original target action date.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 Procedures that are equivalent in scope, but which can vary widely in application, apply in foreign countries.</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comparable foreign regulatory authorities enforce Good Clinical Practice requirements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and similar instances of non-compliance with GCPs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Before approving a new drug or biologic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 product. Additionally, manufacturers of biological products and their facilities are subject to payment of substantial user fees and continual review and periodic inspections by the FDA and other regulatory authorities for compliance with cGMP regulations and adherence to any commitments made in the applicable BLA. These cGMP requirements and regulations are not prescriptive instructions on how to manufacture products, but rather a series of principles that must be observed during</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 product, or revocation of a pre-existing approval. For additional information, see "Risks Related to Manufacturing and Supply - </w:t>
      </w:r>
      <w:r>
        <w:rPr>
          <w:rFonts w:ascii="Times New Roman" w:cs="Times New Roman" w:eastAsia="Times New Roman" w:hAnsi="Times New Roman"/>
          <w:sz w:val="18"/>
          <w:szCs w:val="18"/>
          <w:i w:val="1"/>
          <w:iCs w:val="1"/>
          <w:color w:val="auto"/>
        </w:rPr>
        <w:t>Our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Our business, prospects, operating results, and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may be materially harmed as a result of noncompliance with the requirements and regulations described in this paragraph.</w:t>
      </w:r>
    </w:p>
    <w:p>
      <w:pPr>
        <w:spacing w:after="0" w:line="1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BLA or foreign equivalent is obligated to monitor and report adverse events and any failure of a product to meet the specifications in the BLA. The holder of an approved BLA or foreign equivalent must also submit new or supplemental applications and obtain FDA approval for certain changes to the approved product, product labeling, or manufacturing process. Advertising and promotional materials must comply with FDA regulations and those of foreign regulatory authorities and may be subject to other potentially applicable federal and state laws. The applicable regulations in countries outside the U.S. grant similar powers to the competent authorities and impose similar obligations on companies.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addition to the standard drug approval process, the Secretary of HHS may authorize the issuance of, and the FDA Commissioner may issue, an EUA to allow an unapproved medical product to be used in an emergency based on criteria established by the Food, Drug, and Cosmetic Act, including that the product at issue may be effective in diagnosing, treating, or preventing serious or life-threatening diseases when there are no adequate, approved, and available alternatives. An EUA terminates when the emergency determination underlying the EUA terminates. The FDA may also revoke, revise, or restrict an EUA for a variety of reasons, including where it is determined that the underlying health emergency no longer exists or warrants such authorization or the medical product is no longer effective in diagnosing, treating, or preventing the underlying health emergency. For example, in January 2022, the FDA revised the EUA previously granted for REGEN-COV to exclude its use in geographic regions where, based on available information including variant susceptibility and regional variant frequency, infection or exposure is likely due to a variant such as an Omicron-lineage variant that is not susceptible to the treatment. With this EUA revision, REGEN-COV is not currently authorized for use in any U.S. states, territories, or jurisdictions, since Omicron-lineage variants are currently dominant across the United States. Any such termination, revocation, or revision of an EUA could adversely impact our business in a variety of ways, including by having to absorb related manufacturing and overhead costs as well as potential inventory write-offs if regulatory approval is not obtained timely or at all. For example, during the fourth quarter of 2021, we recorded a charge of $231.7 million to write down REGEN-COV inventory.</w:t>
      </w:r>
    </w:p>
    <w:p>
      <w:pPr>
        <w:spacing w:after="0" w:line="1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foreign jurisdictions. From time to time, we may hold a product's marketing approval in a jurisdiction outside the United States where we may have less experience and where our regulatory capabilities may be more limited. In addition, actions by a regulatory agency in a country or region with respect to a product candidate may have an impact on the approval process for that product candidate in another country or region. Foreign regulatory authorities may ask for additional data in order to begin a clinical study, including phase 3 clinical trials required to submit a Marketing Authorization Application ("MAA") in the EU. In addition such authorities often have the authority to require post-approval studies, such as a post-authorization safety study ("PASS") and/or post-authorization efficacy study ("PAES"), which involve various risks similar to those described above. Whether or not we obtain FDA approval for a product in the United States, we must obtain approval of the product by the comparable regulatory authorities in foreign countries before we can market that product or any other product in those countries.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in the European Economic Area ("EEA"), if we do not manage to retain a Qualified Person Responsible for Pharmacovigilance ("QPPV"), to maintain a Pharmacovigilance System Master File ("PSMF"), or to comply with other pharmacovigilance obligations, we may be at risk of our clinical trials being closed prematurely, our marketing authorization being suspended, and we may be subject to other enforcement actions by the national competent authorities of the EEA or the EC.</w:t>
      </w:r>
    </w:p>
    <w:p>
      <w:pPr>
        <w:spacing w:after="0" w:line="1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exact requirements concerning pharmacovigilance reporting may differ in the numerous countries in which we conduct clinical trials. Failure to comply with the related pharmacovigilance requirements may result in the premature closure of the clinical trials and other enforcement actions by the relevant regulatory authorities.</w:t>
      </w:r>
    </w:p>
    <w:p>
      <w:pPr>
        <w:spacing w:after="0" w:line="1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1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or retain a sufficient number of 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the FDA's Good Laboratory Practice requirements ("GLPs") or GCPs. A clinical trial may also fail because the dose(s) of the investigational drug included in the trial were either too low or too high to determine the optimal effect of the investigational drug in the disease setting.</w:t>
      </w:r>
    </w:p>
    <w:p>
      <w:pPr>
        <w:spacing w:after="0" w:line="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conducting clinical trials in foreign countries presents additional risks, including political and economic risks that are not present in the United States, such as armed conflict and economic embargoes or boycotts. For example, we and our collaborators are currently conducting and may in the future conduct or initiate clinical trials with sites in Russia and/or Ukraine. While we currently do not expect the conflict between Russia and Ukraine and related developments to have a significant impact on our ability to obtain results from clinical trials conducted by us or our collaborators, actions taken by Russia or potentially other countries in Ukraine and surrounding areas may adversely affect our ability to adequately conduct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events that restrict movement. These developments may also result in our inability to access sites for monitoring or to obtain data from affected sites or patients going forward. We could also experience disruptions in our supply chain or limits to our ability to provide sufficient investigational materials in Ukraine and surrounding regions. Clinical trial sites may suspend or terminate the trials being conducted and patients could be forced to evacuate or choose to relocate, making them unavailable for initial or further participation in such trials. Alternative sites in these areas may not be available and we may need to find other countries to conduct the relevant trials. Furthermore, military action may prevent the FDA or other regulatory agencies from inspecting clinical sites in these countries. Such interruptions may delay our plans for clinical development and approvals for our product candidates.</w:t>
      </w:r>
    </w:p>
    <w:p>
      <w:pPr>
        <w:spacing w:after="0" w:line="12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1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Furthermore, some of our products and product candidates (such as Libtayo)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some jurisdictions such as the EU, initiating phase 3 clinical trials and clinical trials in the pediatric population is subject to a requirement to obtain approval or a waiver from the competent authorities of the EU Member States and/or the European Medicines Agency ("EMA"). If we do not obtain such approval, our ability to conduct clinical trials and obtain marketing authorizations or approvals may be severely impaired and our business may be adversely impacted.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research and development activities are conducted at our existing facilities primarily located in Tarrytown, New York. As we continue to expand, we may lease, operate, purchase, or construct additional facilities to expand our research and development capabilities in the future. Expanding our research and laboratory facilities may require significant time and resources. Further, we may be unable to pursue our research and development efforts if the relevant facility were to cease operations due to fire, climate change, natural disasters, acts of war or terrorism, or other disruptions. Any related delays may interfere with our research and development efforts and our business may be adversely impacted.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had been obtained in earlier trials. In a number of instances, we have terminated the development of product candidates due to a lack of or only modest effectiveness and/or safety concerns, and clinical trials evaluating our product candidates have failed to meet the relevant endpoints. Moreover, even if we obtain positive results from preclinical testing or clinical trials, we may not achieve the same success in future trials, or the FDA and analogous foreign regulatory authorities may deem the results insufficient for an approval.</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we previously discontinued actively treating patients with fasinumab (which at such time only involved dosing in an optional second-year extension phase of one trial) following a recommendation from the responsible IDMC that the program be terminated based on available evidence to date; and we later discontinued further clinical development of fasinumab.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studying our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10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EYLEA and aflibercept 8 mg, there are many potential safety concerns associated with significant blockade of VEGF that may limit our ability to further successfully commercialize EYLEA and to obtain regulatory approval for aflibercept 8 mg.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("IOI"), sterile and culture positive endophthalmitis, corneal decomposition, retinal detachment, and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retinal tear), which can cause injury to the eye and other complications. The side effects previously reported for aflibercept include conjunctival hemorrhage, macular degeneration, eye pain, retinal hemorrhage, and vitreous floaters. There is no guarantee that we will be able to successfully obtain regulatory approval for aflibercept 8 mg. In addition, commercialization of EYLEA or our other products and potential future commercialization of aflibercept 8 mg or our other product candidates may be impacted by actions of third parties on which we rely, such as manufacturers of syringes or other devices used in the administration of our products. These and other complications or issues or side effects could harm further development and/or commercialization of EYLEA as well as further development and potential future commercialization of aflibercept 8 mg.</w:t>
      </w:r>
    </w:p>
    <w:p>
      <w:pPr>
        <w:spacing w:after="0" w:line="1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Dupixent and Libtayo are being studied in additional indications, as shown in the table under Part I, Item 2. "Management's Discussion and Analysis of Financial Condition and Results of Operations - Overview - Programs in Clinical Development." There is no guarantee that regulatory approval of Dupixent or Libtayo (as applicable) in any of these indications will be successfully obtained. The side effects previously reported for Dupixent include hypersensitivity reactions, eye problems (including conjunctivitis and keratitis), injection-site reactions, eye and eyelid inflammation, cold sores, oropharyngeal pain, eosinophilia, insomnia, toothache, gastritis, joint pain (arthralgia), parasitic (helminth) infections, and facial rash or redness; and the side effects previously reported for Libtayo include certain immune-mediated adverse reactions that may occur in any organ system or tissue, including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In addition, there are risks inherent in intravenous administration (which are used for some of our antibody-based products and product candidates), such as infusion-related reactions (including nausea, pyrexia, rash, and dyspnea). These and other complications or side effects could harm further development and/or commercialization of our antibody-based products and product candidates utilizing this method of administration.</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 candidates in development are recombinant proteins that could cause an immune response, resulting in the creation of harmful or neutralizing antibodies against the therapeutic protein.</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safety, efficacy, manufacturing, and regulatory hurdles faced by our product candidates, the administration of recombinant proteins frequently causes an immune response, sometimes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1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In addition, some of these drug-delivery devices may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In addition, other parties may allege that our drug-delivery devices infringe patents or other intellectual property rights. For example, we are currently party to patent infringement and other proceedings relating to the EYLEA pre-filled syringe, as described in Note 14 to our Condensed Consolidated Financial Statements.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1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For purposes of this subsection, references to our intellectual property (including patents, trademarks, copyrights, and trade secrets) include that of our collaborators and licensees, unless otherwise stated or required by the context.</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For example, certain of our U.S. patents (including those pertaining to our key products, such as EYLEA) have been and may in the future be challenged by parties who file a request for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under the America Invents Act of 2011 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as described in Note 14 to our Condensed Consolidated Financial Statements included in this report. Post-grant proceedings are increasingly common in the United States and are costly to defend. In addition, patent applications filed outside the United States may be challenged by other parties, for example, by filing pre-grant third-party observations that argue against patentability or a post-grant opposition. Such opposition proceedings are increasingly common in Europe and are costly to defend. For example, our European Patent No. 2,264,163 (which concerns genetically engineered mice capable of producing chimeric antibodies that are part human and part mouse) is the subject of opposition proceedings in the European Patent Office (the "EPO") (currently pending before its Boards of Appeal). In addition, on October 26 and October 27, 2021, anonymous parties initiated opposition proceedings in the EPO against our European Patent No. 2,944,306 (which concerns pre-filled syringes comprising ophthalmic formulations containing VEGF antagonists such as aflibercept for intravitreal administration), as described in Note 14 to our Condensed Consolidated Financial Statements included in this report. We have pending patent applications in the United States Patent and Trademark Office (the "USPTO"), the EPO, and the patent offices of other foreign jurisdictions, and it is likely that we will need to defend patents from challenges by others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or our ability to obtain, maintain, and enforce our intellectual property rights. Any such changes could also affect the value of our intellectual property or narrow the scope of our patents. For example, the World Trade Organization ("WTO") is currently considering an extension of a recently adopted waiver of certain intellectual property rights under the WTO Agreement on Trade-Related Aspects of Intellectual Property Rights for COVID-19 vaccines to include therapeutics. The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timing of a decision on whether or not to extend the waiver is unknown. We cannot be certain that our intellectual property rights related to our COVID-19 monoclonal antibodies or any other current or future product or product candidate or technology would not be eliminated, narrowed, or weakened by any such extension or other rulemaking.</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the United States and other government actions related to Russia's invasion of Ukraine may limit or prevent filing, prosecution, and maintenance of patent applications in Russia. These actions could result in abandonment or lapse of our patents or patent applications, resulting in partial or complete loss of patent rights in Russia. Further, a decree was adopted by the Russian government in March 2022, allowing Russian companies and individuals to exploit inventions owned by patent holders from the United States without consent or compensation. Consequently, we would not be able to prevent third parties from practicing our inventions in Russia or from selling or importing products made using our inventions in and into Russia.</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1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and other proceedings involving patents and other intellectual property. For example, we and/or Sanofi are currently party to patent infringement proceedings initiated by Amgen against us and/or Sanofi relating to Praluent, as described in Note 14 to our Condensed Consolidated Financial Statements. In addition, we are currently party to patent infringement and other proceedings relating to EYLEA and REGEN-COV, as described in Note 14 to our Condensed Consolidated Financial Statements.</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aware of patents and pending patent applications owned by others that claim compositions and methods of treatment relating to targets and conditions that we are also pursuing with our products and/or product candidates. Although we do not believe that any of our products or our late-stage antibody-based product candidates infringe any valid claim in these patents or patent applications, these other parties could initiate lawsuits for patent infringement and assert that their patents are valid and cover our products or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1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For example, in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other parties may have regulatory exclusivity in the United States or foreign jurisdictions for products relating to targets or conditions we are also pursuing, which could prevent or delay our ability to apply for or obtain regulatory approval for our product candidates in such jurisdictions. For example, in the EU, a designated orphan drug is provided up to 10 years of market exclusivity in the orphan indication, during which time the EMA is generally precluded from accepting a MAA for a similar medicinal product unless it can be demonstrated that it is safer, more effective, or otherwise clinically superior to the original orphan medicinal product.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or limitation of patent rights, and regulatory pathways for biosimilar competition, could reduce the duration of market exclusivity for our products.</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1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the scope and enforceability of our patent rights may vary from country to country. The failure to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1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federal Patient Protection and Affordable Care Act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118"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We are aware of several companies developing biosimilar versions of EYLEA, as discussed further under "Risks Related to Commercialization of Our Marketed Products, Product Candidates, and New Indications for Our Marketed Products - </w:t>
      </w:r>
      <w:r>
        <w:rPr>
          <w:rFonts w:ascii="Times New Roman" w:cs="Times New Roman" w:eastAsia="Times New Roman" w:hAnsi="Times New Roman"/>
          <w:sz w:val="17"/>
          <w:szCs w:val="17"/>
          <w:i w:val="1"/>
          <w:iCs w:val="1"/>
          <w:color w:val="auto"/>
        </w:rPr>
        <w:t>The commercial success of our products and product candidates is subject to significant competition -</w:t>
      </w:r>
      <w:r>
        <w:rPr>
          <w:rFonts w:ascii="Times New Roman" w:cs="Times New Roman" w:eastAsia="Times New Roman" w:hAnsi="Times New Roman"/>
          <w:sz w:val="17"/>
          <w:szCs w:val="17"/>
          <w:color w:val="auto"/>
        </w:rPr>
        <w:t xml:space="preserve"> Marketed Products" above. In the United States, the regulatory exclusivity period for EYLEA (i.e., the period during which no biosimilar product can be approved by the FDA) extends through May 17, 2024 following the recently announced pediatric exclusivity granted by the FDA. See Part I, Item 2. "Management's Discussion and Analysis of Financial Condition and Results of Operations - Overview - Programs in Clinical Development." The loss of market exclusivity for a product (such as EYLEA) would likely materially and negatively affect revenues from product sales of that product and thus our financial results and condition.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clinical pipeline advances as planned. In addition to expanding our internal capacity, we intend to continue to rely on our collaborators, and may also rely on contract manufacturers, to produce commercial quantities of drug material needed for commercialization of our products.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The COVID-19 pandemic has exacerbated and may in the future further exacerbate certain of these risks. For example, the impact of prioritizing certain manufacturing-related resources for our COVID-19 monoclonal antibodies includes, among other things, drawing down inventory safety stock levels for certain of our other products (including Dupixent and EYLEA). Depending on the demand for our products (including any future demand for our COVID-19 monoclonal antibodies), our ability to re-establish successfully our customary manufacturing cadence, and other relevant factors, we may not be able to replenish our inventory safety stock to the levels we deem prudent or supply our products and product candidates in sufficient quantities to satisfy our commercial and development needs. We also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and establishing fill/finish capabilities will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1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are in the process of constructing fill/finish facilities (refer to Part I, Item 2. "Management's Discussion and Analysis of Financial Condition and Results of Operations – Liquidity and Capital Resources" for information about expected capital expenditures relating to this and other projects).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and any future fill/finish activities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economically or in compliance with cGMPs and other regulatory requirements, and we and our collaborators may not be able to build or procure additional capacity in the required timeframe to meet commercial demand for our product candidates if they receive regulatory approval, and to continue to meet the requirements of our clinical programs. This would interfere with our efforts to successfully commercialize our marketed products, and it could also delay or require us to discontinue one or more of our clinical development programs. As a result, our business, prospects, operating results, and financial condition could be materially harmed.</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7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parties may allege that our or our collaborators' manufacturing activities, or the activities of other third parties involved in our manufacture and supply chain (which may be located in jurisdictions outside the United States), infringe patents or other intellectual property rights. For example, we are currently party to patent infringement and other proceedings relating to the EYLEA pre-filled syringe, as described in Note 14 to our Condensed Consolidated Financial Statements.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11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or otherwise authorized for use.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 For example, during the fourth quarter of 2021, we recorded a charge of $231.7 million to write down REGEN-COV inventory.</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supply chain interruptions or constraints (including with respect to natural gas and other raw materials), contaminations, fire, climate change, natural disasters, acts of war or terrorism, or other problems.</w:t>
      </w:r>
    </w:p>
    <w:p>
      <w:pPr>
        <w:spacing w:after="0" w:line="1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products and most of our product candidates are biologics, they require processing steps that are more difficult than those required for many other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the COVID-19 pandemic and Russia's invasion of Ukraine, which have exacerbated many of these issues). In any such circumstances, we may not be able to engage a backup or alternative supplier or service provider in a timely manner or at all. This, in turn, could materially and adversely affect our or our collaborators' ability to manufacture or supply marketed products and product candidates, which could materially and adversely affect our business and future prospects.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are required to substitute for these sources to comply with such regulatory requirements, our clinical development or commercial activities may be delayed or interrupted.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w:t>
      </w:r>
    </w:p>
    <w:p>
      <w:pPr>
        <w:spacing w:after="0" w:line="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any marketed products, which could be seriously detrimental to our business, prospects, operating results, and financial condition. Significant noncompliance could also result in the imposition of monetary penalties or other civil or criminal sanctions and damage our reputation.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have been, and may in the future be, challenged under U.S. federal or state and foreign healthcare laws, which may subject us to civil or criminal proceedings, investigations, or penalties.</w:t>
      </w:r>
    </w:p>
    <w:p>
      <w:pPr>
        <w:spacing w:after="0" w:line="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communications regarding unapproved uses, industry-sponsored scientific and educational activities, and sales representatives' communications. Failure to comply with applicable FDA requirements and restrictions in this area may subject a company to adverse enforcement action by the FDA, the Department of Justice, or the Office of the Inspector General of the HHS, as well as state authorities. This could subject a company to a range of penalties that could have a significant commercial impact, including civil and criminal fines and agreements that materially restrict the manner in which a company promotes or distributes a drug. Any such failures could also cause significant reputational harm. The FDA may take enforcement action for promoting unapproved uses of a product or other violations of its advertising laws and regulations. The applicable regulations in countries outside the U.S. grant similar powers to the competent authorities and impose similar obligations on companies.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 The Bipartisan Budget Act of 2018 has increased the criminal and civil penalties that can be imposed for violating certain federal health care laws, including the federal anti-kickback statute.</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 laws, including, among others, federal criminal fraud and false statement statutes that extend to non-government health benefit programs.</w:t>
      </w:r>
    </w:p>
    <w:p>
      <w:pPr>
        <w:spacing w:after="0" w:line="1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majority of states also have statutes or regulations similar to the federal anti-kickback law and false claims laws, which apply to items and services reimbursed under Medicaid and other state programs, or, in several states, apply regardless of the payor. Sanctions under these federal and state laws may include civil monetary penalties, damages, exclusion of a manufacturer's products from reimbursement under government programs, criminal fines, and</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14 to our Condensed Consolidated Financial Statements included in this report, we are party to civil litigation initiated in June 2020 by the U.S. Attorney's Office for the District of Massachusetts concerning our support of a 501(c)(3) organization that provides financial assistance to patients; and we are cooperating with pending government investigations concerning certain other business activities. Any adverse decision, finding, allegation, or exercise of enforcement or regulatory discretion 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proceedings or investigations could harm our business, prospects, operating results, and financial condition.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PPACA, the federal government requires that pharmaceutical manufacturers record any "transfers of value" made to U.S. licensed physicians</w:t>
      </w:r>
    </w:p>
    <w:p>
      <w:pPr>
        <w:spacing w:after="0" w:line="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teaching hospitals as well as ownership and investment interests held by physicians and their immediate family members. Information provided by companies is aggregated and posted annually on an "Open Payments" website, which is managed by CMS, the agency responsible for implementing these disclosure requirements. Beginning in 2022, applicable manufacturers also are required to report information regarding payments and transfers of value provided to physician assistants, nurse practitioners, clinical nurse specialists, certified nurse anesthetists, anesthesiologist assistants, and certified nurse-midwives. We also have similar reporting obligations in other countries based on laws, regulations, and/or industry trade association requirements.</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continue to dedicate significant resources to comply with these requirements and need to be prepared to comply with additional reporting obligations outside the United States that may apply in the future. In addition, several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1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participate in the Medicaid Drug Rebate program, the Public Health Service's 340B drug pricing program (the "340B program") (which is administered by the Health Resources and Services Administration ("HRSA")), the U.S. Department of Veterans Affairs ("VA") Federal Supply Schedule ("FSS") pricing program, and the Tricare Retail Pharmacy Program.</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Such interpretation can change and evolve over time.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CMS could also decide to terminate our Medicaid drug rebate agreement, or HRSA could decide to terminate our 340B program participation agreement, in which case federal payments may not be available under Medicaid or Medicare Part B for our covered outpatient drugs.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failure to comply with our reporting and payment obligations under the Medicaid Drug Rebate program and other governmental programs could negatively impact our financial results. The final regulation governing the Medicaid Drug Rebate program issued by CMS has increased and will continue to increase our costs and the complexity of compliance, has been and will continue to be time-consuming to implement, and could have a material adverse effect on our results of operations, particularly if CMS challenges the approach we have taken in our implementation of the final regulation. Other regulations and coverage expansion by various governmental agencies relating to the Medicaid Drug Rebate program may have a similar impact.</w:t>
      </w:r>
    </w:p>
    <w:p>
      <w:pPr>
        <w:spacing w:after="0" w:line="1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the final regulation issued by HRSA regarding the calculation of the 340B ceiling price and the imposition of civil monetary penalties on manufacturers that knowingly and intentionally overcharge covered entities has affected our obligations and potential liability under the 340B program. We are also required to report the 340B ceiling prices for our covered outpatient drugs to HRSA, which then publishes them to 340B covered entities. Any charge by HRSA that we have violated the requirements of the program or the regulation could negatively impact our financial results. Moreover, under a final regulation effective January 13, 2021, HRSA established an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Further, any additional future changes to the definition of average manufacturer price and the Medicaid rebate amount under the PPACA or otherwise could affect our 340B ceiling price calculations and negatively impact our results of operations.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obligations to report the average sales price for certain of our drugs to the Medicare program as a part of our agreement to participate in the Medicaid Drug Rebate program. For calendar quarters beginning January 1, 2022, we need to report the average sales price for certain drugs under the Medicare program regardless of whether we participate in the Medicaid Drug Rebate program. Statutory or regulatory changes or CMS guidance could affect the average sales price calculations for our products and the resulting Medicare payment rate, and could negatively impact our results of operations.</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Starting in 2023, manufacturers must pay refunds to Medicare for single-source drugs or biological products, or biosimilar biological products, reimbursed under Medicare Part B and packaged in single-dose containers or single-use packages for units of discarded drug reimbursed by Medicare Part B in excess of 10 percent of total allowed charges under Medicare Part B for that drug. Manufacturers that fail to pay refunds could be subject to civil monetary penalties of 125 percent of the refund amount.</w:t>
      </w:r>
    </w:p>
    <w:p>
      <w:pPr>
        <w:spacing w:after="0" w:line="71"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Pursuant to applicable law, knowing provision of false information in connection with price reporting or contract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requirements under the VA/FSS and/or Tricare programs can subject a manufacturer to civil monetary penalties. These program and contract-based obligations also contain extensive disclosure and certification requirements. If we overcharge the government in connection with our arrangements with FSS or Tricare, we are required to refund the difference to the government. Failure to make necessary disclosures or to identify contract overcharges can result in allegations against us under</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False Claims Act and other laws and regulations. Unexpected refunds to the government, and/or response to a government investigation or enforcement action, would be expensive and time-consuming, and could have a material adverse effect on our business, financial condition, results of operations, and future prospects.</w:t>
      </w:r>
    </w:p>
    <w:p>
      <w:pPr>
        <w:spacing w:after="0" w:line="9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particular, our business activities outside the United States (which have recently increased, and are expected to continue to increase, due to, in part, our efforts to establish our commercialization and co-commercialization capabilities in certain jurisdictions outside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1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For example, in March 2022, the SEC proposed new rules for extensive and prescriptive climate-related disclosure in annual reports and registration statements, which would also require inclusion of certain climate-related financial metrics in a note to companies’ audited financial statements. Also in March 2022, the SEC proposed rules that are intended to enhance and standardize disclosures regarding cybersecurity risk management, strategy, and governance, as well as cybersecurity incident reporting, by public companies. Our efforts to comply with these requirements and regulations (as well as corporate governance and disclosure expectations of investors and other stakeholders) have resulted in, and are likely to continue to result in, an increase in expenses and a diversion of management's time from other business activities.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and regulations affecting the healthcare industry could adversely affect our business.</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federal and state laws and agency regulations could have a materially negative impact on our business. These include:</w:t>
      </w:r>
    </w:p>
    <w:p>
      <w:pPr>
        <w:spacing w:after="0" w:line="109" w:lineRule="exact"/>
        <w:rPr>
          <w:sz w:val="20"/>
          <w:szCs w:val="20"/>
          <w:color w:val="auto"/>
        </w:rPr>
      </w:pPr>
    </w:p>
    <w:p>
      <w:pPr>
        <w:ind w:left="640" w:hanging="312"/>
        <w:spacing w:after="0" w:line="259"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FDA and foreign regulatory processes for new therapeutics that may delay or prevent the approval of any of our current or future product candidates;</w:t>
      </w:r>
    </w:p>
    <w:p>
      <w:pPr>
        <w:jc w:val="both"/>
        <w:ind w:left="640" w:hanging="312"/>
        <w:spacing w:after="0" w:line="248"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ind w:left="640" w:right="20" w:hanging="312"/>
        <w:spacing w:after="0" w:line="248"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40" w:hanging="312"/>
        <w:spacing w:after="0" w:line="256"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cGMP requirements that may make it more difficult and costly for us to maintain regulatory compliance and/or manufacture our marketed product and product candidates in accordance with cGMPs.</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U.S. government could carry out other significant changes in legislation, regulation, and government policy, including with respect to government reimbursement changes and drug price control measures (such as those discussed above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Sales of our marketed products are dependent on the availability and extent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reimbursement from third-party payors, and changes to such reimbursement may materially harm our business, prospects, operating results, and financial condition</w:t>
      </w:r>
      <w:r>
        <w:rPr>
          <w:rFonts w:ascii="Times New Roman" w:cs="Times New Roman" w:eastAsia="Times New Roman" w:hAnsi="Times New Roman"/>
          <w:sz w:val="18"/>
          <w:szCs w:val="18"/>
          <w:color w:val="auto"/>
        </w:rPr>
        <w:t>"). While it is not possible to predict whether and when any such changes will occur, changes in the laws, regulations, and policies governing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the United States could adversely affect our business.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operations and conduct business in several countries outside the United States and we plan to expand these activities. For example, as discussed above, we recently commenced co-commercialization activities under the Antibody Collaboration related to Dupixent in certain jurisdictions outside the United States and we will need to establish commercial capabilities related to Libtayo outside the United States following the amendment to the IO Collaboration. Consequently, we are, and will continue to be, subject to risks related to operating in foreign countries, and many of these risks will increase as we expand our activities in such jurisdictions. These risks include:</w:t>
      </w:r>
    </w:p>
    <w:p>
      <w:pPr>
        <w:spacing w:after="0" w:line="104" w:lineRule="exact"/>
        <w:rPr>
          <w:sz w:val="20"/>
          <w:szCs w:val="20"/>
          <w:color w:val="auto"/>
        </w:rPr>
      </w:pPr>
    </w:p>
    <w:p>
      <w:pPr>
        <w:ind w:left="640" w:hanging="312"/>
        <w:spacing w:after="0" w:line="259"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 including those with which we and/or our collaborators must comply in order to maintain our marketing authorizations outside the United States;</w:t>
      </w:r>
    </w:p>
    <w:p>
      <w:pPr>
        <w:jc w:val="both"/>
        <w:ind w:left="640" w:hanging="312"/>
        <w:spacing w:after="0" w:line="248"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and industry trade association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 collaborators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could adversely affect our reputation and our business, prospects, operating results, and financial condition</w:t>
      </w:r>
      <w:r>
        <w:rPr>
          <w:rFonts w:ascii="Times New Roman" w:cs="Times New Roman" w:eastAsia="Times New Roman" w:hAnsi="Times New Roman"/>
          <w:sz w:val="18"/>
          <w:szCs w:val="18"/>
          <w:color w:val="auto"/>
        </w:rPr>
        <w:t>");</w:t>
      </w: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 including as a result of Russia's invasion of Ukraine;</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w:t>
      </w:r>
    </w:p>
    <w:p>
      <w:pPr>
        <w:spacing w:after="0" w:line="6" w:lineRule="exact"/>
        <w:rPr>
          <w:rFonts w:ascii="Times New Roman" w:cs="Times New Roman" w:eastAsia="Times New Roman" w:hAnsi="Times New Roman"/>
          <w:sz w:val="18"/>
          <w:szCs w:val="18"/>
          <w:color w:val="auto"/>
        </w:rPr>
      </w:pPr>
    </w:p>
    <w:p>
      <w:pPr>
        <w:ind w:left="640" w:hanging="312"/>
        <w:spacing w:after="0" w:line="248"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135"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For example, effective January 31, 2020, the United Kingdom commenced an exit from the EU, commonly referred to as "Brexit." The transition period for Brexit expired on December 31, 2020 following the entry into a trade agreement that now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governs the United Kingdom's relationship with the EU. We do not know to what extent Brexit will ultimately impact the business and regulatory environment in the United Kingdom, the rest of the EU, or other countries. For example, the impact of Brexit on the ongoing validity in the United Kingdom of current EU authorizations for medicinal products and on the future process for obtaining and maintaining marketing authorization for pharmaceutical products manufactured or sold in the United Kingdom remains uncertain. We have large-scale manufacturing operations in Limerick, Ireland and have also established an office in the vicinity of London.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for uncertain tax positions that involve significant management judgment as to the application of law. The Internal Revenue Service or other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(see also Note 14 of the Company's Consolidated Financial Statements included in the Company's Annual Report on Form 10-K for the year ended December 31, 2021).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changes in tax laws and regulations, and tax effects of the accounting for stock-based compensation (which depend in part on the price of our stock and, therefore, are beyond our control). For example, the IRA has created a new corporate alternative minimum tax of 15% on adjusted financial statement income that applies to certain corporations for tax years beginning after December 31, 2022. Further specifics of this legislation will be outlined in Treasury regulations and any impact to the Company will depend on a number of factors, including any offsets for foreign tax credits or general business credits. The IRA also created an excise tax of 1% of the value of certain stock repurchases after December 31, 2022 that generally applies to publicly traded domestic corporations. We are in the process of evaluating the potential impact of these alternative minimum and excise tax provisions of the IRA. Other changes to U.S. tax laws and/or recommendations from the Organization for Economic Co-operation and Development (the "OECD") regarding a global minimum tax and other changes being considered and/or implemented in countries where we operate could materially impact our tax provision, cash tax liability, and effective tax rate. In addition, recommendations by the OECD and the EU could require companies to disclose more information to tax authorities on operations around the world, which may lead to greater audit scrutiny. Even though we regularly assess the information provided to tax authorities in determining the appropriateness of our tax reserves, such tax authorities could take a position that is contrary to our expectations, and the result could adversely affect our provision for income tax and our current rate.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personal data we collect, process, and share.</w:t>
      </w:r>
    </w:p>
    <w:p>
      <w:pPr>
        <w:spacing w:after="0" w:line="14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Our ability to conduct our business is significantly dependent on the data that we collect, process, and share in discovering, developing, and commercializing drug products. These data are often considered personal data and are therefore regulated by data privacy laws in applicable jurisdictions.</w:t>
      </w:r>
    </w:p>
    <w:p>
      <w:pPr>
        <w:spacing w:after="0" w:line="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activities outside the U.S., including clinical trial programs and research collaborations (such as our consortium with a group of companies to fund the generation of genetic exome sequence data from the UK Biobank health resource), implicate non-U.S. data protection laws, including the EU's General Data Protection Regulations ("GDPR"). The GDPR has a wide range of compliance obligations, including increased transparency requirements and data subject rights. Violations of the GDPR carry significant financial penalties for noncompliance (including possible fines of up to 4% of global annual turnover for the preceding financial year or €20 million (whichever is higher)). In addition to the GDPR, certain EU Member States have issued or will be issuing their own implementation legislation. In June 2021, the European Commission introduced new standard contractual clauses required to be incorporated into certain new and existing agreements within prescribed timeframes in order to continue to lawfully transfer personal data outside the EU. Compliance with these requirements has been and is expected to continue to be costly and time consuming.</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 clinical trials in many countries around the world, which have new or evolving data privacy laws that have resulted in increased liability in the management of clinical trial data, and additional contractual and due-diligence obligations that could lead to a delay in clinical trial site start-up. There is an increase of enforcement activities in various EU countries that require evidence of compliance with local data privacy requirements. While we continue to monitor these developments, there remains some uncertainty surrounding the legal and regulatory environment for these evolving privacy and data protection laws.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Complying with varying jurisdictional requirements could increase the costs and complexity of compliance, including the risk of substantial financial penalties for insufficient notice and consent, failure to respond to data subject rights requests, lack of a legal basis for the transfer of personal information out of the EU, or improper processing of personal data under the GDPR. Failure by our collaborators to comply with the strict rules on the transfer of personal data outside the EU into the U.S. may result in the imposition of criminal and administrative sanctions on such collaborators or impact the flow of personal data outside the EU, which could adversely affect our business and could create liability for us.</w:t>
      </w:r>
    </w:p>
    <w:p>
      <w:pPr>
        <w:spacing w:after="0" w:line="1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Most U.S. health care providers, including research institutions from which we or our collaborators obtain clinical trial data, are subject to privacy and security regulations promulgated under HIPAA. For example, as part of our human genetics initiative, our wholly-owned subsidiary, Regeneron Genetics Center LLC, has entered into collaborations with research institutions, including the Geisinger Health System, which are subject to HIPAA. Regeneron is not a covered entity or business associate under HIPAA and thus is not subject to its requirements. However, we could be subject to criminal penalties if we, our affiliates, or our agents knowingly receive, use, or disclose protected health information ("PHI") in a manner that is not permitted under HIPAA. Consequently, depending on the facts and circumstances, we could face substantial criminal penalties if we knowingly receive PHI from a health care provider or research institution that has not satisfied HIPAA's requirements for its disclosure. There are instances where we collect and maintain personal data, which may include health information that is outside the scope of HIPAA but within the scope of state health privacy laws or similar state level privacy legislation. This information may be received throughout the clinical trial process, in the course of our research collaborations, directly from individuals who enroll in our patient assistance programs, and from our own employees in a pandemic response process (such as in connection with the COVID-19 pandemic).</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 protection laws impact the manner in which we develop and maintain processes to support our patient assistance programs, product marketing activities, and the sharing of employee and clinical data for internal and third-party commercial activities. Several U.S. states have proposed and passed consumer privacy laws, which were modeled after the California Consumer Privacy Act of 2018 (the "CCPA"). The CCPA, which became effective on January 1, 2020, is a consumer protection law that establishes requirements for data use and sharing transparency and provides California residents with</w:t>
      </w:r>
    </w:p>
    <w:p>
      <w:pPr>
        <w:spacing w:after="0" w:line="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personal data privacy rights regarding the use, disclosure, and retention of their personal data. Amendments to the CCPA have, among other things, imposed new obligations to provide notice where personal data will be de-identified. These laws and regulations are constantly evolving and may impose limitations on our business activities. Several other U.S. states have introduced similar consumer protection laws that may go into effect in the near future. At the federal level, Section 5 of the Federal Trade Commission Act is a consumer protection law that bars unfair and deceptive acts and practices and requires, among other things, companies to notify individuals that they will safeguard their personal data and that they will fulfil the commitments made in their privacy notices. The Federal Trade Commission has brought legal actions against organizations that have violated consumers' privacy rights or have misled them by failing to maintain appropriate security.</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Furthermore, health privacy laws, data breach notification laws, consumer protection laws, data localization laws, and genetic privacy laws may apply directly to our operations and/or those of our collaborators and may impose restrictions on our collection, use, and dissemination of individuals' health and other personal data. New state level genetic privacy and consumer protection laws in the United States may require additional transparency and permissions in our informed consent forms. Moreover, individuals about whom we or our collaborators obtain health or other personal data, as well as the providers and third parties who share this information with us, may have statutory or contractual limits that impact our ability to use and disclose the information. We are likely to be required to expend significant capital and other resources to ensure ongoing compliance with applicable privacy and data security laws both inside and outside the United States. Many of these laws differ from each other in significant ways and have different effects. Many of the state laws enable a state attorney general to bring actions and provide private rights of action to consumers as enforcement mechanisms. Compliance with these laws requires a flexible privacy framework as they are constantly evolving. Failure to comply with these laws and regulations could result in government enforcement actions and create liability for us (which could include civil and/or criminal penalties), private litigation, and/or adverse publicity. Federal regulators, state attorneys general, and plaintiffs' attorneys have been active in this space.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or any collaborators fail to comply with applicable federal, state, local, or foreign regulatory requirements, we could be subject to a range of regulatory actions that could affect our or any collaborators' ability to commercialize our products and could harm, prevent, or substantially increase the cost of marketing and sales of any affected products that we are able to commercialize. Any threatened or actual government enforcement action could also generate adverse publicity and require that we devote substantial resources that could otherwise be used in other aspects of our business.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use of social media could give rise to liability, breaches of data security, or reputational damage.</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a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data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would be materially harmed.</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support from Sanofi to develop, manufacture, and commercialize certain of our products and product candidates. With respect to the products that we are co-developing with Sanofi under our Antibody Collaboration (currently consisting of Dupixent, Kevzara, and itepekimab), Sanofi funds a significant portion of development expenses incurred in connection with the development of these products. In addition, we rely on Sanofi to lead much of the clinical development efforts, assist with or lead efforts to obtain and maintain regulatory approvals, and lead the commercialization efforts for these products and product candidates.</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If Sanofi terminates the Antibody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it is co-developing with us,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 commercial capabilities outside the United States for products we intend to commercialize or co-commercialize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Antibody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Collaboration would create substantial new and additional risks to the successful development and commercialization of the products subject to such collaborations, particularly outside the United States.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We rely heavily on Bayer with respect to the commercialization of EYLEA outside the United States (and, if approved, will rely on Bayer with respect to any potential future commercialization of aflibercept 8 mg outside the United States, including the activities discussed below). Bayer is responsible for obtaining and maintaining regulatory approval outside the United States, as well as providing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Times New Roman" w:cs="Times New Roman" w:eastAsia="Times New Roman" w:hAnsi="Times New Roman"/>
          <w:sz w:val="17"/>
          <w:szCs w:val="17"/>
          <w:i w:val="1"/>
          <w:iCs w:val="1"/>
          <w:color w:val="auto"/>
        </w:rPr>
        <w:t>If we are unable to establish commercial capabilities outside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United States for products we intend to commercialize or co-commercialize outside the United States, our business, prospects, operating results,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i w:val="1"/>
          <w:iCs w:val="1"/>
          <w:color w:val="auto"/>
        </w:rPr>
        <w:t>and financial condition may be adversely affected</w:t>
      </w:r>
      <w:r>
        <w:rPr>
          <w:rFonts w:ascii="Times New Roman" w:cs="Times New Roman" w:eastAsia="Times New Roman" w:hAnsi="Times New Roman"/>
          <w:sz w:val="18"/>
          <w:szCs w:val="18"/>
          <w:color w:val="auto"/>
        </w:rPr>
        <w:t>" above). Termination of the Bayer collaboration agreement would create substantial new and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risks to the successful commercialization of EYLEA and, if approved, any potential future commercialization of aflibercept 8 mg outside the United States.</w:t>
      </w:r>
    </w:p>
    <w:p>
      <w:pPr>
        <w:spacing w:after="0" w:line="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or other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such as due to Russia's invasion of Ukraine)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1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have undertaken and may in the future undertake strategic acquisitions, and any difficulties from integrating such acquisitions could adversely affect our business, operating results, and financial condition.</w:t>
      </w:r>
    </w:p>
    <w:p>
      <w:pPr>
        <w:spacing w:after="0" w:line="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may acquire companies, businesses, products, or product candidates that complement or augment our existing business. For example, in May 2022, we completed our acquisition of Checkmate Pharmaceuticals, Inc. The process of proposing, negotiating, completing, and integrating any such acquisition is lengthy and complex. Other companies may compete with us for such acquisitions. In addition, we may not be able to integrate any acquired business successfully or operate any acquired business profitably. Integrating any newly acquired business could be expensive and time consuming. Integration efforts often take a significant amount of time, place a significant strain on managerial, operational, and financial resources, result in a loss of key personnel of the acquired business, and could prove to be more difficult or expensive than we predict. The diversion of our management’s attention and any delay or difficulties encountered in connection with any acquisitions we may consummate could result in the disruption of our ongoing business or inconsistencies in standards and controls that could negatively affect our ability to maintain third-party relationships. Moreover, we may need to raise additional funds through public or private debt or equity financing to acquire any businesses, products, or product candidates, which may result in dilution for shareholders or the incurrence of indebtedness.</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part of our efforts to acquire companies, businesses, products, or product candidates or to enter into other significant transactions, we will conduct business, legal, and financial due diligence with the goal of identifying and evaluating material risks involved in the transaction. Despite our efforts, we ultimately may be unsuccessful in ascertaining or evaluating all such risks and, as a result, might not realize the intended advantages of the transaction. If we fail to realize the expected benefits from acquisitions we have consummated or may consummate in the future, whether as a result of unidentified risks or liabilities, integration difficulties, regulatory setbacks, litigation with current or former employees and other events, our business, operating results, and financial condition could be adversely affected. For any acquired product candidates, we will also need to make certain assumptions about, among other things, development costs, the likelihood of receiving regulatory approval, and the market for any such product candidates. Our assumptions may prove to be incorrect, which could cause us to fail to realize the anticipated benefits of these transactions.</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experience significant charges to earnings in connection with our efforts, if any, to consummate acquisitions. For transactions that are ultimately not consummated, these charges may include fees and expenses for investment bankers, attorneys, accountants, and other advisors in connection with our efforts. Even if our efforts are successful, we may incur, as part of a transaction, substantial charges for closure costs associated with elimination of duplicate operations and facilities and acquired in-process research and development charges. In either case, the incurrence of these charges could adversely affect our operating results for particular periods.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Employees</w:t>
      </w:r>
    </w:p>
    <w:p>
      <w:pPr>
        <w:spacing w:after="0" w:line="1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other key members of our senior management team, and the Chair of our board of directors. If we are not able to retain (or for any other reason lose the services of) any of these persons, our business may suffer. In particular, we depend on the services of P. Roy Vagelos, M.D., the Chair of our board of directors;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Risks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These systems are also critical to enable remote working arrangements, which have been growing in importance due in part to the COVID-19 pandemic and related developments. The size and complexity of our computer systems make us potentially vulnerable to IT system breakdowns, internal and external malicious intrusion, and computer viruses and ransomware,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As a company with an increasingly global presence, our systems are subject to frequent attacks. There is the potential that our systems may be directly or indirectly affected as nation-states conduct global cyberwarfare, including in connection with the current Russia-Ukraine hostilities.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nature of some of these attacks, there is a risk that an attack may remain undetected for a period of time. While we continue to make investments to improve the protection of data and information technology, and to oversee and monitor the security measures of our suppliers and/or service providers, there can be no assurance that our efforts will prevent service interruptions or security breaches. In addition, we depend in part on third-party security measures over which we do not have full control to protect against data security breaches.</w:t>
      </w:r>
    </w:p>
    <w:p>
      <w:pPr>
        <w:spacing w:after="0" w:line="1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or our suppliers and/or service providers fail to maintain or protect our information technology systems and data security effectively and in compliance with U.S. and foreign laws, or fail to anticipate, plan for, or manage significant disruptions to these systems, we or our suppliers and/or service providers could have difficulty preventing, detecting, or controlling such disruptions or security breaches, which could result in legal proceedings, liability under U.S. and foreign laws that protect the privacy of personal information, disruptions to our operations, government investigations, breach of contract claims, and damage to our reputation (in each case in the U.S. or globally), which could have a material adverse effect on our business, prospects, operating results, and financial condition.</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Liquidity, and Need for Additional Financing</w:t>
      </w:r>
    </w:p>
    <w:p>
      <w:pPr>
        <w:spacing w:after="0" w:line="1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our current and anticipated EYLEA net product sales and funding we are entitled to receive under our collaboration agreements and other similar agreements (including our share of profits in connection with commercialization of EYLEA and Dupixent under our collaboration agreements with Bayer and Sanofi, respectively),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1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there is no guarantee that we will have the ability to pay the principal amount due on our senior unsecured notes at maturity or redeem, repurchase, or refinance the notes prior to maturity on acceptable terms or at all. In addition, in March 2022, we completed an extension of the $720.0 million lease financing for our existing corporate headquarters and other rentable area consisting of approximately 150 acres of predominately office buildings and laboratory space located in Tarrytown, New York, which is set to expire in March 2027. Refer to Part I, Item 2. "Management's Discussion and Analysis of Financial Condition and Results of Operations - Liquidity and Capital Resources - </w:t>
      </w:r>
      <w:r>
        <w:rPr>
          <w:rFonts w:ascii="Times New Roman" w:cs="Times New Roman" w:eastAsia="Times New Roman" w:hAnsi="Times New Roman"/>
          <w:sz w:val="17"/>
          <w:szCs w:val="17"/>
          <w:i w:val="1"/>
          <w:iCs w:val="1"/>
          <w:color w:val="auto"/>
        </w:rPr>
        <w:t>Tarrytown, New York Leases</w:t>
      </w:r>
      <w:r>
        <w:rPr>
          <w:rFonts w:ascii="Times New Roman" w:cs="Times New Roman" w:eastAsia="Times New Roman" w:hAnsi="Times New Roman"/>
          <w:sz w:val="17"/>
          <w:szCs w:val="17"/>
          <w:color w:val="auto"/>
        </w:rPr>
        <w:t>" for further details.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impact our business.</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certain indebtedness and contingent liabilities, including milestone and royalty payment obligations. As of September 30, 2022, we had an aggregate of $2.701 billion of outstanding indebtedness under our senior unsecured notes and the lease financing facility. We may also incur additional debt in the future. Any such indebtedness could:</w:t>
      </w:r>
    </w:p>
    <w:p>
      <w:pPr>
        <w:spacing w:after="0" w:line="109" w:lineRule="exact"/>
        <w:rPr>
          <w:sz w:val="20"/>
          <w:szCs w:val="20"/>
          <w:color w:val="auto"/>
        </w:rPr>
      </w:pPr>
    </w:p>
    <w:p>
      <w:pPr>
        <w:ind w:left="640" w:hanging="312"/>
        <w:spacing w:after="0"/>
        <w:tabs>
          <w:tab w:leader="none" w:pos="64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limit our ability to access capital markets and incur additional debt in the future;</w:t>
      </w:r>
    </w:p>
    <w:p>
      <w:pPr>
        <w:spacing w:after="0" w:line="26" w:lineRule="exact"/>
        <w:rPr>
          <w:rFonts w:ascii="Arial" w:cs="Arial" w:eastAsia="Arial" w:hAnsi="Arial"/>
          <w:sz w:val="18"/>
          <w:szCs w:val="18"/>
          <w:color w:val="auto"/>
        </w:rPr>
      </w:pPr>
    </w:p>
    <w:p>
      <w:pPr>
        <w:ind w:left="640" w:hanging="312"/>
        <w:spacing w:after="0" w:line="246" w:lineRule="auto"/>
        <w:tabs>
          <w:tab w:leader="none" w:pos="635"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spacing w:after="0" w:line="1" w:lineRule="exact"/>
        <w:rPr>
          <w:rFonts w:ascii="Arial" w:cs="Arial" w:eastAsia="Arial" w:hAnsi="Arial"/>
          <w:sz w:val="18"/>
          <w:szCs w:val="18"/>
          <w:color w:val="auto"/>
        </w:rPr>
      </w:pPr>
    </w:p>
    <w:p>
      <w:pPr>
        <w:ind w:left="640" w:hanging="312"/>
        <w:spacing w:after="0" w:line="256"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 from outside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and Australian dollar.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September 30, 2022, we had $3.491 billion in cash and cash equivalents and $9.499 billion in marketable securities (including $1.129 billion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1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Changes in the method of determining LIBOR, or the replacement of LIBOR with an alternative reference rate, may adversely affect our business, operating results, and financial condition.</w:t>
      </w:r>
    </w:p>
    <w:p>
      <w:pPr>
        <w:spacing w:after="0" w:line="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subject to risks related to uncertainty regarding the London Interbank Offered Rate ("LIBOR"), which is in the process of being phased out. The publication of U.S. dollar LIBOR for certain tenors and all non-U.S. dollar LIBOR tenors ceased after December 31, 2021 (other than certain sterling and Japanese yen settings being published on a synthetic temporary basis). Banks reporting information used to set U.S. dollar LIBOR for all other tenors are currently expected to stop doing so after June 30, 2023, although the LIBOR administrator may discontinue or modify LIBOR prior to that date. In 2021, the U.S. Federal Reserve Board and certain other regulatory bodies issued guidance encouraging banks and other financial market participants to cease entering into new contracts that use U.S. dollar LIBOR as a reference rate as soon as practicable and in any event no later than December 31, 2021. Although regulators in various jurisdictions have been working to replace LIBOR and have encouraged the development and adoption of alternative reference rates, such as SOFR, there continues to be uncertainty regarding the nature of potential changes to and future utilization of specific LIBOR tenors, the development and acceptance of alternative reference rates, and other reforms. We cannot predict the consequences and timing of these developments or other market or regulatory changes related to the phase-out of LIBOR. A transition away from LIBOR as a benchmark for establishing the applicable interest rate may adversely affect our outstanding variable-rate indebtedness (if any), as well as floating-rate debt securities in our investment portfolio. For example, if a published U.S. dollar LIBOR is unavailable or no longer representative, interest for borrowings (if any) with an interest rate based on LIBOR under our revolving credit facility will be determined using various alternative methods, any of which may result in interest obligations which are more than, or do not otherwise correlate over time with, the payments that would have been made on such debt prior to any LIBOR phase-out.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15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96" w:lineRule="exact"/>
        <w:rPr>
          <w:sz w:val="20"/>
          <w:szCs w:val="20"/>
          <w:color w:val="auto"/>
        </w:rPr>
      </w:pPr>
    </w:p>
    <w:p>
      <w:pPr>
        <w:ind w:left="640" w:hanging="312"/>
        <w:spacing w:after="0" w:line="259"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sales of our marketed products (as recorded by us or our collaborators), in particular EYLEA, Dupixent, and Libtayo, as well as our overall operating results;</w:t>
      </w:r>
    </w:p>
    <w:p>
      <w:pPr>
        <w:ind w:left="640" w:right="20" w:hanging="312"/>
        <w:spacing w:after="0" w:line="248"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(such as aflibercept 8 mg) or our new indications for our marketed products receive regulatory approval, net product sales of, and profits from, these product candidates and new indications;</w:t>
      </w:r>
    </w:p>
    <w:p>
      <w:pPr>
        <w:ind w:left="640" w:hanging="31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market share for, our marketed products, especially EYLEA, Dupixent, and Libtayo;</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 sales and net profits underperform, meet, or exceed the expectations of investors or analysts;</w:t>
      </w:r>
    </w:p>
    <w:p>
      <w:pPr>
        <w:spacing w:after="0" w:line="6"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ind w:left="640" w:hanging="312"/>
        <w:spacing w:after="0" w:line="248"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ind w:left="640" w:hanging="31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the COVID-19 pandemic on our business, including any potential future sales of our COVID-19 monoclonal antibodies;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EPO and in the USPTO;</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concern as to the safety or effectiveness of any of our marketed products or product candidates or new indications for our marketed products;</w:t>
      </w:r>
    </w:p>
    <w:p>
      <w:pPr>
        <w:spacing w:after="0" w:line="18" w:lineRule="exact"/>
        <w:rPr>
          <w:rFonts w:ascii="Times New Roman" w:cs="Times New Roman" w:eastAsia="Times New Roman" w:hAnsi="Times New Roman"/>
          <w:sz w:val="17"/>
          <w:szCs w:val="17"/>
          <w:color w:val="auto"/>
        </w:rPr>
      </w:pPr>
    </w:p>
    <w:p>
      <w:pPr>
        <w:ind w:left="640" w:hanging="312"/>
        <w:spacing w:after="0" w:line="248"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decisions, or recommendations by government authorities, insurers, or other organizations (such as health maintenance organizations and PBMs) affecting the coverage, reimbursement, or use of any of our marketed products or competitors' products;</w:t>
      </w:r>
    </w:p>
    <w:p>
      <w:pPr>
        <w:ind w:left="640" w:hanging="31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as needed on favorable terms;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collaborators or key customers;</w:t>
      </w:r>
    </w:p>
    <w:p>
      <w:pPr>
        <w:spacing w:after="0" w:line="6"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 (i.e., a practice in which a pharmacist, a physician, or, in the case of an outsourcing facility, a person under the supervision of a pharmacist, combines, mixes, or alters ingredients of a drug to create a medication tailored to the needs of an individual patient);</w:t>
      </w:r>
    </w:p>
    <w:p>
      <w:pPr>
        <w:ind w:left="640" w:hanging="312"/>
        <w:spacing w:after="0" w:line="248"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or other employees, directors, or significant shareholders (or the expectation of any such sales);</w:t>
      </w:r>
    </w:p>
    <w:p>
      <w:pPr>
        <w:ind w:left="640" w:hanging="31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our Common Stock under any share repurchase program on favorable terms or at all;</w:t>
      </w:r>
    </w:p>
    <w:p>
      <w:pPr>
        <w:spacing w:after="0" w:line="6" w:lineRule="exact"/>
        <w:rPr>
          <w:rFonts w:ascii="Times New Roman" w:cs="Times New Roman" w:eastAsia="Times New Roman" w:hAnsi="Times New Roman"/>
          <w:sz w:val="18"/>
          <w:szCs w:val="18"/>
          <w:color w:val="auto"/>
        </w:rPr>
      </w:pPr>
    </w:p>
    <w:p>
      <w:pPr>
        <w:ind w:left="640" w:hanging="312"/>
        <w:spacing w:after="0" w:line="248"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that results from the rebalancing of stock indices in which our Common Stock is included, or the inclusion or exclusion of our Common Stock from such indices;</w:t>
      </w:r>
    </w:p>
    <w:p>
      <w:pPr>
        <w:ind w:left="640" w:hanging="31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identified in these "Risk Factors"; and</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the investment community or our shareholders of any of the foregoing factors.</w:t>
      </w:r>
    </w:p>
    <w:p>
      <w:pPr>
        <w:spacing w:after="0" w:line="1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Times New Roman" w:cs="Times New Roman" w:eastAsia="Times New Roman" w:hAnsi="Times New Roman"/>
          <w:sz w:val="17"/>
          <w:szCs w:val="17"/>
          <w:i w:val="1"/>
          <w:iCs w:val="1"/>
          <w:color w:val="auto"/>
        </w:rPr>
        <w:t>Future sales of our Common Stock by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significant shareholders or us may depress our stock price and impair our ability to raise funds in new share offerings</w:t>
      </w:r>
      <w:r>
        <w:rPr>
          <w:rFonts w:ascii="Times New Roman" w:cs="Times New Roman" w:eastAsia="Times New Roman" w:hAnsi="Times New Roman"/>
          <w:sz w:val="17"/>
          <w:szCs w:val="17"/>
          <w:color w:val="auto"/>
        </w:rPr>
        <w:t>" below, a large percentage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is owned by a small number of our principal shareholders. As a result, the public float of our Common Stock (i.e.,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resources, and could also require us to make substantial payments to satisfy judgments or to settle litigation, which may harm our business, prospects, operating results, and financial condition.</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 small number of our shareholders beneficially own a substantial amount of our Common Stock. As of September 30, 2022, our five largest shareholders plus Dr. Schleifer, our Chief Executive Officer, beneficially owned approximately 39.8% of our outstanding shares of Common Stock, assuming, in the case of our Chief Executive Officer, the conversion of his Class A Stock into Common Stock and the exercise of all options held by him which are exercisable within 60 days of September 30, 2022.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repurchase shares of our Common Stock or that we will repurchase shares at favorable prices.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2021, our board of directors authorized a share repurchase program to repurchase up to $3.0 billion of our Common Stock (of which $1.186 billion remained available as of September 30, 2022). There can be no assurance of any future share repurchases or share repurchase program authorizations. Any share repurchases will depend upon, among other factors, our cash balances and potential future capital requirements, our results of operations and financial condition, the price of our Common Stock on the NASDAQ Global Select Market, and other factors that we may deem relevant. We can provide no assurance that we will repurchase shares of our Common Stock at favorable prices, if at all.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substantial influence over matters requiring shareholder approval and over our management.</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September 30, 2022, holders of Class A Stock held 14.5%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September 30, 2022:</w:t>
      </w:r>
    </w:p>
    <w:p>
      <w:pPr>
        <w:spacing w:after="0" w:line="103" w:lineRule="exact"/>
        <w:rPr>
          <w:sz w:val="20"/>
          <w:szCs w:val="20"/>
          <w:color w:val="auto"/>
        </w:rPr>
      </w:pPr>
    </w:p>
    <w:p>
      <w:pPr>
        <w:jc w:val="both"/>
        <w:ind w:left="640" w:hanging="312"/>
        <w:spacing w:after="0" w:line="253"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7.0% of our outstanding shares of Common Stock, assuming conversion of their Class A Stock into Common Stock and the exercise of all options held by such persons which are exercisable within 60 days of September 30, 2022, and 18.5% of the combined voting power of our outstanding shares of Common Stock and Class A Stock, assuming the exercise of all options held by such persons which are exercisable within 60 days of September 30, 2022; and</w:t>
      </w:r>
    </w:p>
    <w:p>
      <w:pPr>
        <w:spacing w:after="0" w:line="2" w:lineRule="exact"/>
        <w:rPr>
          <w:rFonts w:ascii="Times New Roman" w:cs="Times New Roman" w:eastAsia="Times New Roman" w:hAnsi="Times New Roman"/>
          <w:sz w:val="18"/>
          <w:szCs w:val="18"/>
          <w:color w:val="auto"/>
        </w:rPr>
      </w:pPr>
    </w:p>
    <w:p>
      <w:pPr>
        <w:jc w:val="both"/>
        <w:ind w:left="640" w:hanging="312"/>
        <w:spacing w:after="0" w:line="250"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Dr. Schleifer, our Chief Executive Officer, beneficially owned approximately 39.8% of our outstanding shares of Common Stock, assuming, in the case of our Chief Executive Officer, the conversion of his Class A Stock into Common Stock and the exercise of all options held by him which are exercisable within 60 days of September 30, 2022. In addition, these five shareholders plus our Chief Executive Officer held approximately 46.9% of the combined voting power of our outstanding shares of Common Stock and Class A Stock, assuming the exercise of all options held by our Chief Executive Officer which are exercisable within 60 days of September 30, 2022.</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13" w:lineRule="exact"/>
        <w:rPr>
          <w:sz w:val="20"/>
          <w:szCs w:val="20"/>
          <w:color w:val="auto"/>
        </w:rPr>
      </w:pPr>
    </w:p>
    <w:p>
      <w:pPr>
        <w:ind w:left="640" w:hanging="312"/>
        <w:spacing w:after="0" w:line="259"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40" w:hanging="312"/>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so that it would take three successive annual shareholder meetings to replace all of our directors;</w:t>
      </w:r>
    </w:p>
    <w:p>
      <w:pPr>
        <w:spacing w:after="0" w:line="6"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ind w:left="640" w:hanging="312"/>
        <w:spacing w:after="0" w:line="248"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40" w:hanging="312"/>
        <w:spacing w:after="0" w:line="248"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40" w:hanging="312"/>
        <w:spacing w:after="0" w:line="250"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significant influence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 matters requiring shareholder approval and over our management.</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Sanofi, Bayer, and Teva are currently bound by certain "standstill" provisions under the January 2014 amended and restated investor agreement between us and Sanofi, as amended; our 2016 ANG2 license and collaboration agreement with Bayer; and our 2016 collaboration agreement with Teva, respectively. These provisions contractually prohibit Sanofi, Bayer, and Teva from seeking to directly or indirectly exert control of our Company or acquiring more than a specified percentage of our Class A Stock and Common Stock, taken together (30% in the case of Sanofi, 20% in the case of Bayer, and 5% in the case of Teva).</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right="4200"/>
        <w:spacing w:after="0" w:line="413"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b w:val="1"/>
          <w:bCs w:val="1"/>
          <w:i w:val="1"/>
          <w:iCs w:val="1"/>
          <w:color w:val="auto"/>
        </w:rPr>
        <w:t>Issuer Purchases of Equity Securities</w:t>
      </w: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reflects shares of Common Stock we repurchased under our share repurchase program, as well as Common Stock withheld by us for employees to satisfy their tax withholding obligations arising upon the vesting of restricted stock granted under one of our long-term incentive plans, during the three months ended September 30, 2022. Refer to Part I, Item 2. "Management's Discussion and Analysis of Financial Condition and Results of Operations – Liquidity and Capital Resources" for further details of the share repurchase program.</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340" w:type="dxa"/>
            <w:vAlign w:val="bottom"/>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Approximate Dollar Value</w:t>
            </w: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of Shares that May Yet Be</w:t>
            </w:r>
          </w:p>
        </w:tc>
        <w:tc>
          <w:tcPr>
            <w:tcW w:w="0" w:type="dxa"/>
            <w:vAlign w:val="bottom"/>
          </w:tcPr>
          <w:p>
            <w:pPr>
              <w:spacing w:after="0"/>
              <w:rPr>
                <w:sz w:val="1"/>
                <w:szCs w:val="1"/>
                <w:color w:val="auto"/>
              </w:rPr>
            </w:pPr>
          </w:p>
        </w:tc>
      </w:tr>
      <w:tr>
        <w:trPr>
          <w:trHeight w:val="174"/>
        </w:trPr>
        <w:tc>
          <w:tcPr>
            <w:tcW w:w="1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340" w:type="dxa"/>
            <w:vAlign w:val="bottom"/>
          </w:tcPr>
          <w:p>
            <w:pPr>
              <w:spacing w:after="0"/>
              <w:rPr>
                <w:sz w:val="15"/>
                <w:szCs w:val="15"/>
                <w:color w:val="auto"/>
              </w:rPr>
            </w:pPr>
          </w:p>
        </w:tc>
        <w:tc>
          <w:tcPr>
            <w:tcW w:w="22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19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tcPr>
          <w:p>
            <w:pPr>
              <w:jc w:val="center"/>
              <w:ind w:right="91"/>
              <w:spacing w:after="0" w:line="174" w:lineRule="exact"/>
              <w:rPr>
                <w:sz w:val="20"/>
                <w:szCs w:val="20"/>
                <w:color w:val="auto"/>
              </w:rPr>
            </w:pPr>
            <w:r>
              <w:rPr>
                <w:rFonts w:ascii="Times New Roman" w:cs="Times New Roman" w:eastAsia="Times New Roman" w:hAnsi="Times New Roman"/>
                <w:sz w:val="18"/>
                <w:szCs w:val="18"/>
                <w:b w:val="1"/>
                <w:bCs w:val="1"/>
                <w:color w:val="auto"/>
                <w:w w:val="98"/>
              </w:rPr>
              <w:t>Purchased Under the</w:t>
            </w:r>
          </w:p>
        </w:tc>
        <w:tc>
          <w:tcPr>
            <w:tcW w:w="0" w:type="dxa"/>
            <w:vAlign w:val="bottom"/>
          </w:tcPr>
          <w:p>
            <w:pPr>
              <w:spacing w:after="0"/>
              <w:rPr>
                <w:sz w:val="1"/>
                <w:szCs w:val="1"/>
                <w:color w:val="auto"/>
              </w:rPr>
            </w:pPr>
          </w:p>
        </w:tc>
      </w:tr>
      <w:tr>
        <w:trPr>
          <w:trHeight w:val="174"/>
        </w:trPr>
        <w:tc>
          <w:tcPr>
            <w:tcW w:w="22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280" w:type="dxa"/>
            <w:vAlign w:val="bottom"/>
            <w:gridSpan w:val="3"/>
            <w:vMerge w:val="continue"/>
          </w:tcPr>
          <w:p>
            <w:pPr>
              <w:spacing w:after="0"/>
              <w:rPr>
                <w:sz w:val="15"/>
                <w:szCs w:val="15"/>
                <w:color w:val="auto"/>
              </w:rPr>
            </w:pPr>
          </w:p>
        </w:tc>
        <w:tc>
          <w:tcPr>
            <w:tcW w:w="19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tcPr>
          <w:p>
            <w:pPr>
              <w:jc w:val="center"/>
              <w:ind w:right="91"/>
              <w:spacing w:after="0" w:line="174"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41"/>
        </w:trPr>
        <w:tc>
          <w:tcPr>
            <w:tcW w:w="2220" w:type="dxa"/>
            <w:vAlign w:val="bottom"/>
            <w:gridSpan w:val="2"/>
            <w:vMerge w:val="continue"/>
          </w:tcPr>
          <w:p>
            <w:pPr>
              <w:spacing w:after="0"/>
              <w:rPr>
                <w:sz w:val="20"/>
                <w:szCs w:val="20"/>
                <w:color w:val="auto"/>
              </w:rPr>
            </w:pPr>
          </w:p>
        </w:tc>
        <w:tc>
          <w:tcPr>
            <w:tcW w:w="194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center"/>
              <w:ind w:right="91"/>
              <w:spacing w:after="0"/>
              <w:rPr>
                <w:sz w:val="20"/>
                <w:szCs w:val="20"/>
                <w:color w:val="auto"/>
              </w:rPr>
            </w:pPr>
            <w:r>
              <w:rPr>
                <w:rFonts w:ascii="Times New Roman" w:cs="Times New Roman" w:eastAsia="Times New Roman" w:hAnsi="Times New Roman"/>
                <w:sz w:val="18"/>
                <w:szCs w:val="18"/>
                <w:i w:val="1"/>
                <w:iCs w:val="1"/>
                <w:color w:val="auto"/>
                <w:w w:val="99"/>
              </w:rPr>
              <w:t>(in millions)</w:t>
            </w:r>
          </w:p>
        </w:tc>
        <w:tc>
          <w:tcPr>
            <w:tcW w:w="0" w:type="dxa"/>
            <w:vAlign w:val="bottom"/>
          </w:tcPr>
          <w:p>
            <w:pPr>
              <w:spacing w:after="0"/>
              <w:rPr>
                <w:sz w:val="1"/>
                <w:szCs w:val="1"/>
                <w:color w:val="auto"/>
              </w:rPr>
            </w:pPr>
          </w:p>
        </w:tc>
      </w:tr>
      <w:tr>
        <w:trPr>
          <w:trHeight w:val="221"/>
        </w:trPr>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7/1/2022–7/31/2022</w:t>
            </w:r>
          </w:p>
        </w:tc>
        <w:tc>
          <w:tcPr>
            <w:tcW w:w="34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665,954</w:t>
            </w:r>
          </w:p>
        </w:tc>
        <w:tc>
          <w:tcPr>
            <w:tcW w:w="3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594.77</w:t>
            </w:r>
          </w:p>
        </w:tc>
        <w:tc>
          <w:tcPr>
            <w:tcW w:w="3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665,896</w:t>
            </w:r>
          </w:p>
        </w:tc>
        <w:tc>
          <w:tcPr>
            <w:tcW w:w="3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1,703.4</w:t>
            </w:r>
          </w:p>
        </w:tc>
        <w:tc>
          <w:tcPr>
            <w:tcW w:w="0" w:type="dxa"/>
            <w:vAlign w:val="bottom"/>
          </w:tcPr>
          <w:p>
            <w:pPr>
              <w:spacing w:after="0"/>
              <w:rPr>
                <w:sz w:val="1"/>
                <w:szCs w:val="1"/>
                <w:color w:val="auto"/>
              </w:rPr>
            </w:pPr>
          </w:p>
        </w:tc>
      </w:tr>
      <w:tr>
        <w:trPr>
          <w:trHeight w:val="227"/>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8/1/2022–8/31/2022</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542,794</w:t>
            </w:r>
          </w:p>
        </w:tc>
        <w:tc>
          <w:tcPr>
            <w:tcW w:w="780" w:type="dxa"/>
            <w:vAlign w:val="bottom"/>
            <w:gridSpan w:val="2"/>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612.03</w:t>
            </w:r>
          </w:p>
        </w:tc>
        <w:tc>
          <w:tcPr>
            <w:tcW w:w="3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542,794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0" w:type="dxa"/>
            <w:vAlign w:val="bottom"/>
          </w:tcPr>
          <w:p>
            <w:pPr>
              <w:spacing w:after="0"/>
              <w:rPr>
                <w:sz w:val="1"/>
                <w:szCs w:val="1"/>
                <w:color w:val="auto"/>
              </w:rPr>
            </w:pPr>
          </w:p>
        </w:tc>
      </w:tr>
      <w:tr>
        <w:trPr>
          <w:trHeight w:val="227"/>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9/1/2022–9/30/2022</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287,913</w:t>
            </w:r>
          </w:p>
        </w:tc>
        <w:tc>
          <w:tcPr>
            <w:tcW w:w="780" w:type="dxa"/>
            <w:vAlign w:val="bottom"/>
            <w:gridSpan w:val="2"/>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648.60</w:t>
            </w:r>
          </w:p>
        </w:tc>
        <w:tc>
          <w:tcPr>
            <w:tcW w:w="3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285,327</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1,186.3</w:t>
            </w:r>
          </w:p>
        </w:tc>
        <w:tc>
          <w:tcPr>
            <w:tcW w:w="0" w:type="dxa"/>
            <w:vAlign w:val="bottom"/>
          </w:tcPr>
          <w:p>
            <w:pPr>
              <w:spacing w:after="0"/>
              <w:rPr>
                <w:sz w:val="1"/>
                <w:szCs w:val="1"/>
                <w:color w:val="auto"/>
              </w:rPr>
            </w:pPr>
          </w:p>
        </w:tc>
      </w:tr>
      <w:tr>
        <w:trPr>
          <w:trHeight w:val="226"/>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1,496,661</w:t>
            </w:r>
          </w:p>
        </w:tc>
        <w:tc>
          <w:tcPr>
            <w:tcW w:w="780" w:type="dxa"/>
            <w:vAlign w:val="bottom"/>
            <w:gridSpan w:val="2"/>
          </w:tcPr>
          <w:p>
            <w:pPr>
              <w:jc w:val="right"/>
              <w:ind w:right="531"/>
              <w:spacing w:after="0" w:line="129" w:lineRule="exact"/>
              <w:rPr>
                <w:sz w:val="20"/>
                <w:szCs w:val="20"/>
                <w:color w:val="auto"/>
              </w:rPr>
            </w:pPr>
            <w:r>
              <w:rPr>
                <w:rFonts w:ascii="Times New Roman" w:cs="Times New Roman" w:eastAsia="Times New Roman" w:hAnsi="Times New Roman"/>
                <w:sz w:val="12"/>
                <w:szCs w:val="12"/>
                <w:color w:val="auto"/>
              </w:rPr>
              <w:t>(a)</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1,494,017</w:t>
            </w:r>
          </w:p>
        </w:tc>
        <w:tc>
          <w:tcPr>
            <w:tcW w:w="520" w:type="dxa"/>
            <w:vAlign w:val="bottom"/>
            <w:gridSpan w:val="2"/>
          </w:tcPr>
          <w:p>
            <w:pPr>
              <w:jc w:val="right"/>
              <w:ind w:right="291"/>
              <w:spacing w:after="0" w:line="129" w:lineRule="exact"/>
              <w:rPr>
                <w:sz w:val="20"/>
                <w:szCs w:val="20"/>
                <w:color w:val="auto"/>
              </w:rPr>
            </w:pPr>
            <w:r>
              <w:rPr>
                <w:rFonts w:ascii="Times New Roman" w:cs="Times New Roman" w:eastAsia="Times New Roman" w:hAnsi="Times New Roman"/>
                <w:sz w:val="12"/>
                <w:szCs w:val="12"/>
                <w:color w:val="auto"/>
                <w:w w:val="89"/>
              </w:rPr>
              <w:t>(a)</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80" w:right="20" w:firstLine="5"/>
        <w:spacing w:after="0" w:line="226" w:lineRule="auto"/>
        <w:tabs>
          <w:tab w:leader="none" w:pos="337"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difference between the total number of shares purchased and the total number of shares purchased as part of a publicly announced program relates to Common Stock withheld by us for employees to satisfy their tax withholding obligations arising upon the vesting of restricted stock granted under one of our long-term incentive plans.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Exhibits</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4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7720" w:type="dxa"/>
            <w:vAlign w:val="bottom"/>
            <w:gridSpan w:val="1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58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6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7720" w:type="dxa"/>
            <w:vAlign w:val="bottom"/>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5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0" w:type="dxa"/>
            <w:vAlign w:val="bottom"/>
            <w:gridSpan w:val="14"/>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Modification No. 02 to Base Agreement, dated as of August 2, 2022, by and between Regeneron Pharmaceuticals, Inc.</w:t>
            </w:r>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8580" w:type="dxa"/>
            <w:vAlign w:val="bottom"/>
            <w:tcBorders>
              <w:top w:val="single" w:sz="8" w:color="0000FF"/>
            </w:tcBorders>
            <w:gridSpan w:val="13"/>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(the "Registrant") and Advanced Technology International.</w:t>
            </w: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840" w:type="dxa"/>
            <w:vAlign w:val="bottom"/>
            <w:vMerge w:val="restart"/>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120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0000FF"/>
            </w:tcBorders>
            <w:shd w:val="clear" w:color="auto" w:fill="CCEEFF"/>
          </w:tcPr>
          <w:p>
            <w:pPr>
              <w:spacing w:after="0"/>
              <w:rPr>
                <w:sz w:val="2"/>
                <w:szCs w:val="2"/>
                <w:color w:val="auto"/>
              </w:rPr>
            </w:pPr>
          </w:p>
        </w:tc>
        <w:tc>
          <w:tcPr>
            <w:tcW w:w="39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840" w:type="dxa"/>
            <w:vAlign w:val="bottom"/>
            <w:vMerge w:val="continue"/>
          </w:tcPr>
          <w:p>
            <w:pPr>
              <w:spacing w:after="0"/>
              <w:rPr>
                <w:sz w:val="16"/>
                <w:szCs w:val="16"/>
                <w:color w:val="auto"/>
              </w:rPr>
            </w:pPr>
          </w:p>
        </w:tc>
        <w:tc>
          <w:tcPr>
            <w:tcW w:w="5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0" w:type="dxa"/>
            <w:vAlign w:val="bottom"/>
            <w:gridSpan w:val="14"/>
          </w:tcPr>
          <w:p>
            <w:pPr>
              <w:spacing w:after="0" w:line="188" w:lineRule="exact"/>
              <w:rPr>
                <w:sz w:val="20"/>
                <w:szCs w:val="20"/>
                <w:color w:val="auto"/>
              </w:rPr>
            </w:pPr>
            <w:r>
              <w:rPr>
                <w:rFonts w:ascii="Times New Roman" w:cs="Times New Roman" w:eastAsia="Times New Roman" w:hAnsi="Times New Roman"/>
                <w:sz w:val="18"/>
                <w:szCs w:val="18"/>
                <w:color w:val="0000FF"/>
              </w:rPr>
              <w:t>Modification No. 03 to Project Agreement, dated as of May 21, 2021, by and between the Registrant and Advanced</w:t>
            </w:r>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520" w:type="dxa"/>
            <w:vAlign w:val="bottom"/>
            <w:tcBorders>
              <w:top w:val="single" w:sz="8" w:color="0000FF"/>
            </w:tcBorders>
            <w:gridSpan w:val="10"/>
          </w:tcPr>
          <w:p>
            <w:pPr>
              <w:spacing w:after="0" w:line="154" w:lineRule="exact"/>
              <w:rPr>
                <w:sz w:val="20"/>
                <w:szCs w:val="20"/>
                <w:color w:val="auto"/>
              </w:rPr>
            </w:pPr>
            <w:r>
              <w:rPr>
                <w:rFonts w:ascii="Times New Roman" w:cs="Times New Roman" w:eastAsia="Times New Roman" w:hAnsi="Times New Roman"/>
                <w:sz w:val="17"/>
                <w:szCs w:val="17"/>
                <w:color w:val="0000FF"/>
              </w:rPr>
              <w:t>Technology International.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84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840" w:type="dxa"/>
            <w:vAlign w:val="bottom"/>
            <w:vMerge w:val="continue"/>
          </w:tcPr>
          <w:p>
            <w:pPr>
              <w:spacing w:after="0"/>
              <w:rPr>
                <w:sz w:val="16"/>
                <w:szCs w:val="16"/>
                <w:color w:val="auto"/>
              </w:rPr>
            </w:pPr>
          </w:p>
        </w:tc>
        <w:tc>
          <w:tcPr>
            <w:tcW w:w="5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10.3</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0" w:type="dxa"/>
            <w:vAlign w:val="bottom"/>
            <w:gridSpan w:val="14"/>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Modification No. 04 to Project Agreement, dated as of July 12, 2021, by and between the Registrant and Advanced</w:t>
            </w: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1840" w:type="dxa"/>
            <w:vAlign w:val="bottom"/>
            <w:tcBorders>
              <w:top w:val="single" w:sz="8" w:color="0000FF"/>
              <w:bottom w:val="single" w:sz="8" w:color="0000FF"/>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Technology International.</w:t>
            </w:r>
          </w:p>
        </w:tc>
        <w:tc>
          <w:tcPr>
            <w:tcW w:w="664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5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0" w:type="dxa"/>
            <w:vAlign w:val="bottom"/>
            <w:gridSpan w:val="14"/>
          </w:tcPr>
          <w:p>
            <w:pPr>
              <w:spacing w:after="0" w:line="188" w:lineRule="exact"/>
              <w:rPr>
                <w:sz w:val="20"/>
                <w:szCs w:val="20"/>
                <w:color w:val="auto"/>
              </w:rPr>
            </w:pPr>
            <w:r>
              <w:rPr>
                <w:rFonts w:ascii="Times New Roman" w:cs="Times New Roman" w:eastAsia="Times New Roman" w:hAnsi="Times New Roman"/>
                <w:sz w:val="18"/>
                <w:szCs w:val="18"/>
                <w:color w:val="0000FF"/>
              </w:rPr>
              <w:t>Modification No. 06 to Project Agreement, dated as of July 12, 2022, by and between the Registrant and Advanced</w:t>
            </w:r>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80" w:type="dxa"/>
            <w:vAlign w:val="bottom"/>
            <w:tcBorders>
              <w:top w:val="single" w:sz="8" w:color="0000FF"/>
            </w:tcBorders>
            <w:gridSpan w:val="8"/>
          </w:tcPr>
          <w:p>
            <w:pPr>
              <w:spacing w:after="0" w:line="154" w:lineRule="exact"/>
              <w:rPr>
                <w:sz w:val="20"/>
                <w:szCs w:val="20"/>
                <w:color w:val="auto"/>
              </w:rPr>
            </w:pPr>
            <w:r>
              <w:rPr>
                <w:rFonts w:ascii="Times New Roman" w:cs="Times New Roman" w:eastAsia="Times New Roman" w:hAnsi="Times New Roman"/>
                <w:sz w:val="17"/>
                <w:szCs w:val="17"/>
                <w:color w:val="0000FF"/>
              </w:rPr>
              <w:t>Technology International.</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84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840" w:type="dxa"/>
            <w:vAlign w:val="bottom"/>
            <w:vMerge w:val="continue"/>
          </w:tcPr>
          <w:p>
            <w:pPr>
              <w:spacing w:after="0"/>
              <w:rPr>
                <w:sz w:val="16"/>
                <w:szCs w:val="16"/>
                <w:color w:val="auto"/>
              </w:rPr>
            </w:pPr>
          </w:p>
        </w:tc>
        <w:tc>
          <w:tcPr>
            <w:tcW w:w="5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10.5*</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0" w:type="dxa"/>
            <w:vAlign w:val="bottom"/>
            <w:gridSpan w:val="14"/>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Modification P00001 to Supply Agreement, dated as of March 9, 2021, by and between the Registrant and the U.S.</w:t>
            </w: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3040" w:type="dxa"/>
            <w:vAlign w:val="bottom"/>
            <w:tcBorders>
              <w:top w:val="single" w:sz="8" w:color="0000FF"/>
              <w:bottom w:val="single" w:sz="8" w:color="0000FF"/>
            </w:tcBorders>
            <w:gridSpan w:val="3"/>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Army Contracting Command, New Jersey.</w:t>
            </w:r>
          </w:p>
        </w:tc>
        <w:tc>
          <w:tcPr>
            <w:tcW w:w="550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5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0" w:type="dxa"/>
            <w:vAlign w:val="bottom"/>
            <w:gridSpan w:val="14"/>
          </w:tcPr>
          <w:p>
            <w:pPr>
              <w:spacing w:after="0" w:line="188" w:lineRule="exact"/>
              <w:rPr>
                <w:sz w:val="20"/>
                <w:szCs w:val="20"/>
                <w:color w:val="auto"/>
              </w:rPr>
            </w:pPr>
            <w:r>
              <w:rPr>
                <w:rFonts w:ascii="Times New Roman" w:cs="Times New Roman" w:eastAsia="Times New Roman" w:hAnsi="Times New Roman"/>
                <w:sz w:val="18"/>
                <w:szCs w:val="18"/>
                <w:color w:val="0000FF"/>
              </w:rPr>
              <w:t>Modification P00002 to Supply Agreement, dated as of June 17, 2021, by and between the Registrant and the U.S.</w:t>
            </w:r>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60" w:type="dxa"/>
            <w:vAlign w:val="bottom"/>
            <w:tcBorders>
              <w:top w:val="single" w:sz="8" w:color="0000FF"/>
            </w:tcBorders>
            <w:gridSpan w:val="7"/>
          </w:tcPr>
          <w:p>
            <w:pPr>
              <w:spacing w:after="0" w:line="154" w:lineRule="exact"/>
              <w:rPr>
                <w:sz w:val="20"/>
                <w:szCs w:val="20"/>
                <w:color w:val="auto"/>
              </w:rPr>
            </w:pPr>
            <w:r>
              <w:rPr>
                <w:rFonts w:ascii="Times New Roman" w:cs="Times New Roman" w:eastAsia="Times New Roman" w:hAnsi="Times New Roman"/>
                <w:sz w:val="17"/>
                <w:szCs w:val="17"/>
                <w:color w:val="0000FF"/>
              </w:rPr>
              <w:t>Army Contracting Command, New Jersey.</w:t>
            </w: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84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840" w:type="dxa"/>
            <w:vAlign w:val="bottom"/>
            <w:vMerge w:val="continue"/>
          </w:tcPr>
          <w:p>
            <w:pPr>
              <w:spacing w:after="0"/>
              <w:rPr>
                <w:sz w:val="16"/>
                <w:szCs w:val="16"/>
                <w:color w:val="auto"/>
              </w:rPr>
            </w:pPr>
          </w:p>
        </w:tc>
        <w:tc>
          <w:tcPr>
            <w:tcW w:w="5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10.7</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0" w:type="dxa"/>
            <w:vAlign w:val="bottom"/>
            <w:gridSpan w:val="14"/>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Modification P00003 to Supply Agreement, dated as of July 8, 2021, by and between the Registrant and the U.S.</w:t>
            </w: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3040" w:type="dxa"/>
            <w:vAlign w:val="bottom"/>
            <w:tcBorders>
              <w:top w:val="single" w:sz="8" w:color="0000FF"/>
              <w:bottom w:val="single" w:sz="8" w:color="0000FF"/>
            </w:tcBorders>
            <w:gridSpan w:val="3"/>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Army Contracting Command, New Jersey.</w:t>
            </w:r>
          </w:p>
        </w:tc>
        <w:tc>
          <w:tcPr>
            <w:tcW w:w="546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5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0" w:type="dxa"/>
            <w:vAlign w:val="bottom"/>
            <w:gridSpan w:val="14"/>
          </w:tcPr>
          <w:p>
            <w:pPr>
              <w:spacing w:after="0" w:line="188" w:lineRule="exact"/>
              <w:rPr>
                <w:sz w:val="20"/>
                <w:szCs w:val="20"/>
                <w:color w:val="auto"/>
              </w:rPr>
            </w:pPr>
            <w:r>
              <w:rPr>
                <w:rFonts w:ascii="Times New Roman" w:cs="Times New Roman" w:eastAsia="Times New Roman" w:hAnsi="Times New Roman"/>
                <w:sz w:val="18"/>
                <w:szCs w:val="18"/>
                <w:color w:val="0000FF"/>
              </w:rPr>
              <w:t>Modification P00007 to Supply Agreement, dated as of July 29, 2022, by and between the Registrant and the U.S.</w:t>
            </w:r>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560" w:type="dxa"/>
            <w:vAlign w:val="bottom"/>
            <w:tcBorders>
              <w:top w:val="single" w:sz="8" w:color="0000FF"/>
            </w:tcBorders>
            <w:gridSpan w:val="12"/>
          </w:tcPr>
          <w:p>
            <w:pPr>
              <w:spacing w:after="0" w:line="154" w:lineRule="exact"/>
              <w:rPr>
                <w:sz w:val="20"/>
                <w:szCs w:val="20"/>
                <w:color w:val="auto"/>
              </w:rPr>
            </w:pPr>
            <w:r>
              <w:rPr>
                <w:rFonts w:ascii="Times New Roman" w:cs="Times New Roman" w:eastAsia="Times New Roman" w:hAnsi="Times New Roman"/>
                <w:sz w:val="17"/>
                <w:szCs w:val="17"/>
                <w:color w:val="0000FF"/>
              </w:rPr>
              <w:t>Army Contracting Command, New Jersey.</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84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40" w:type="dxa"/>
            <w:vAlign w:val="bottom"/>
            <w:vMerge w:val="continue"/>
          </w:tcPr>
          <w:p>
            <w:pPr>
              <w:spacing w:after="0"/>
              <w:rPr>
                <w:sz w:val="18"/>
                <w:szCs w:val="18"/>
                <w:color w:val="auto"/>
              </w:rPr>
            </w:pPr>
          </w:p>
        </w:tc>
        <w:tc>
          <w:tcPr>
            <w:tcW w:w="5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31.1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0" w:type="dxa"/>
            <w:vAlign w:val="bottom"/>
            <w:gridSpan w:val="14"/>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 13a-14(a) under the Securities Exchange Act of 1934.</w:t>
            </w: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580" w:type="dxa"/>
            <w:vAlign w:val="bottom"/>
            <w:tcBorders>
              <w:top w:val="single" w:sz="8" w:color="CCEEFF"/>
            </w:tcBorders>
          </w:tcPr>
          <w:p>
            <w:pPr>
              <w:spacing w:after="0" w:line="188" w:lineRule="exact"/>
              <w:rPr>
                <w:sz w:val="20"/>
                <w:szCs w:val="20"/>
                <w:color w:val="auto"/>
              </w:rPr>
            </w:pPr>
            <w:r>
              <w:rPr>
                <w:rFonts w:ascii="Times New Roman" w:cs="Times New Roman" w:eastAsia="Times New Roman" w:hAnsi="Times New Roman"/>
                <w:sz w:val="18"/>
                <w:szCs w:val="18"/>
                <w:color w:val="auto"/>
              </w:rPr>
              <w:t>31.2</w:t>
            </w:r>
          </w:p>
        </w:tc>
        <w:tc>
          <w:tcPr>
            <w:tcW w:w="6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8160" w:type="dxa"/>
            <w:vAlign w:val="bottom"/>
            <w:tcBorders>
              <w:top w:val="single" w:sz="8" w:color="0000FF"/>
              <w:bottom w:val="single" w:sz="8" w:color="0000FF"/>
            </w:tcBorders>
            <w:gridSpan w:val="5"/>
          </w:tcPr>
          <w:p>
            <w:pPr>
              <w:spacing w:after="0" w:line="188" w:lineRule="exact"/>
              <w:rPr>
                <w:sz w:val="20"/>
                <w:szCs w:val="20"/>
                <w:color w:val="auto"/>
              </w:rPr>
            </w:pPr>
            <w:r>
              <w:rPr>
                <w:rFonts w:ascii="Times New Roman" w:cs="Times New Roman" w:eastAsia="Times New Roman" w:hAnsi="Times New Roman"/>
                <w:sz w:val="18"/>
                <w:szCs w:val="18"/>
                <w:color w:val="0000FF"/>
                <w:w w:val="98"/>
              </w:rPr>
              <w:t>Certification of Principal Financial Officer pursuant to Rule 13a-14(a) under the Securities Exchange Act of 1934.</w:t>
            </w:r>
          </w:p>
        </w:tc>
        <w:tc>
          <w:tcPr>
            <w:tcW w:w="40" w:type="dxa"/>
            <w:vAlign w:val="bottom"/>
            <w:tcBorders>
              <w:top w:val="single" w:sz="8" w:color="0000FF"/>
            </w:tcBorders>
          </w:tcPr>
          <w:p>
            <w:pPr>
              <w:spacing w:after="0"/>
              <w:rPr>
                <w:sz w:val="16"/>
                <w:szCs w:val="16"/>
                <w:color w:val="auto"/>
              </w:rPr>
            </w:pPr>
          </w:p>
        </w:tc>
        <w:tc>
          <w:tcPr>
            <w:tcW w:w="400" w:type="dxa"/>
            <w:vAlign w:val="bottom"/>
            <w:tcBorders>
              <w:top w:val="single" w:sz="8" w:color="CCEEFF"/>
            </w:tcBorders>
            <w:gridSpan w:val="8"/>
          </w:tcPr>
          <w:p>
            <w:pPr>
              <w:spacing w:after="0"/>
              <w:rPr>
                <w:sz w:val="16"/>
                <w:szCs w:val="1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920" w:hanging="1073"/>
        <w:spacing w:after="0"/>
        <w:tabs>
          <w:tab w:leader="none" w:pos="1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-127635</wp:posOffset>
            </wp:positionV>
            <wp:extent cx="6089015" cy="144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89015" cy="144145"/>
                    </a:xfrm>
                    <a:prstGeom prst="rect">
                      <a:avLst/>
                    </a:prstGeom>
                    <a:noFill/>
                  </pic:spPr>
                </pic:pic>
              </a:graphicData>
            </a:graphic>
          </wp:anchor>
        </w:drawing>
      </w:r>
    </w:p>
    <w:p>
      <w:pPr>
        <w:spacing w:after="0" w:line="6" w:lineRule="exact"/>
        <w:rPr>
          <w:sz w:val="20"/>
          <w:szCs w:val="20"/>
          <w:color w:val="auto"/>
        </w:rPr>
      </w:pPr>
    </w:p>
    <w:p>
      <w:pPr>
        <w:ind w:left="1920" w:right="40" w:hanging="1073"/>
        <w:spacing w:after="0" w:line="214" w:lineRule="auto"/>
        <w:tabs>
          <w:tab w:leader="none" w:pos="1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formatted in Inline Extensible Business Reporting Language ("Inline XBRL"): (i) the Registrant's Condensed Consolidated Balance Sheets as of September 30, 2022 and December 31, 2021; (ii) the Registrant's Condensed Consolidated Statements of Operations and Comprehensive Income for the three and nine months ended September 30, 2022 and 2021; (iii) the Registrant's Condensed Consolidated Statements of Stockholders’ Equity for the three and nine months ended September 30, 2022 and 2021; (iv) the Registrant's Condensed Consolidated Statements of Cash Flows for the nine months ended September 30, 2022 and 2021; and (v) the notes to the Registrant's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3175</wp:posOffset>
            </wp:positionV>
            <wp:extent cx="6089015" cy="144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89015" cy="144145"/>
                    </a:xfrm>
                    <a:prstGeom prst="rect">
                      <a:avLst/>
                    </a:prstGeom>
                    <a:noFill/>
                  </pic:spPr>
                </pic:pic>
              </a:graphicData>
            </a:graphic>
          </wp:anchor>
        </w:drawing>
      </w:r>
    </w:p>
    <w:p>
      <w:pPr>
        <w:ind w:left="840"/>
        <w:spacing w:after="0"/>
        <w:tabs>
          <w:tab w:leader="none" w:pos="1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57" w:lineRule="exact"/>
        <w:rPr>
          <w:sz w:val="20"/>
          <w:szCs w:val="20"/>
          <w:color w:val="auto"/>
        </w:rPr>
      </w:pPr>
    </w:p>
    <w:p>
      <w:pPr>
        <w:ind w:left="1100" w:hanging="92"/>
        <w:spacing w:after="0"/>
        <w:tabs>
          <w:tab w:leader="none" w:pos="110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Certain confidential portions of this exhibit were omitted in accordance with Item 601(b)(10) of Regulation S-K</w:t>
      </w:r>
    </w:p>
    <w:p>
      <w:pPr>
        <w:spacing w:after="0" w:line="200" w:lineRule="exact"/>
        <w:rPr>
          <w:rFonts w:ascii="Times New Roman" w:cs="Times New Roman" w:eastAsia="Times New Roman" w:hAnsi="Times New Roman"/>
          <w:sz w:val="23"/>
          <w:szCs w:val="23"/>
          <w:color w:val="auto"/>
          <w:vertAlign w:val="superscript"/>
        </w:rPr>
      </w:pPr>
    </w:p>
    <w:p>
      <w:pPr>
        <w:spacing w:after="0" w:line="22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20"/>
          </w:cols>
          <w:pgMar w:left="320" w:top="366" w:right="11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14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88" w:lineRule="exact"/>
        <w:rPr>
          <w:sz w:val="20"/>
          <w:szCs w:val="20"/>
          <w:color w:val="auto"/>
        </w:rPr>
      </w:pPr>
    </w:p>
    <w:p>
      <w:pPr>
        <w:ind w:left="260"/>
        <w:spacing w:after="0"/>
        <w:tabs>
          <w:tab w:leader="none" w:pos="1000" w:val="left"/>
          <w:tab w:leader="none" w:pos="4480" w:val="left"/>
          <w:tab w:leader="none" w:pos="50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Robert E. Landry</w:t>
      </w:r>
    </w:p>
    <w:p>
      <w:pPr>
        <w:spacing w:after="0" w:line="7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Robert E. Landry</w:t>
      </w:r>
    </w:p>
    <w:p>
      <w:pPr>
        <w:spacing w:after="0" w:line="2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Executive Vice President, Finance and</w:t>
      </w:r>
    </w:p>
    <w:p>
      <w:pPr>
        <w:spacing w:after="0" w:line="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366"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1"/>
          <w:szCs w:val="2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534670</wp:posOffset>
            </wp:positionV>
            <wp:extent cx="5299075" cy="798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99075" cy="798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August 2,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212" w:lineRule="auto"/>
        <w:rPr>
          <w:sz w:val="20"/>
          <w:szCs w:val="20"/>
          <w:color w:val="auto"/>
        </w:rPr>
      </w:pPr>
      <w:r>
        <w:rPr>
          <w:rFonts w:ascii="Times New Roman" w:cs="Times New Roman" w:eastAsia="Times New Roman" w:hAnsi="Times New Roman"/>
          <w:sz w:val="21"/>
          <w:szCs w:val="21"/>
          <w:color w:val="auto"/>
        </w:rPr>
        <w:t>777 Old Saw Mill River Road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Tarrytown, NY 10591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w:t>
      </w:r>
    </w:p>
    <w:p>
      <w:pPr>
        <w:spacing w:after="0" w:line="212" w:lineRule="auto"/>
        <w:tabs>
          <w:tab w:leader="none" w:pos="900" w:val="left"/>
        </w:tabs>
        <w:rPr>
          <w:sz w:val="20"/>
          <w:szCs w:val="20"/>
          <w:color w:val="auto"/>
        </w:rPr>
      </w:pPr>
      <w:r>
        <w:rPr>
          <w:rFonts w:ascii="Times New Roman" w:cs="Times New Roman" w:eastAsia="Times New Roman" w:hAnsi="Times New Roman"/>
          <w:sz w:val="21"/>
          <w:szCs w:val="21"/>
          <w:color w:val="auto"/>
        </w:rPr>
        <w:t>Subject:</w:t>
        <w:tab/>
        <w:t>Modification No. 02</w:t>
      </w:r>
    </w:p>
    <w:p>
      <w:pPr>
        <w:spacing w:after="0" w:line="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1"/>
          <w:szCs w:val="21"/>
          <w:color w:val="auto"/>
        </w:rPr>
        <w:t>Reference:</w:t>
        <w:tab/>
        <w:t>MCDC Base Agreement No. 2020-504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accordance with the terms and conditions of the referenced MCDC Base Agreement, Modification No. 02 hereby amends the</w:t>
      </w:r>
    </w:p>
    <w:p>
      <w:pPr>
        <w:spacing w:after="0"/>
        <w:rPr>
          <w:sz w:val="20"/>
          <w:szCs w:val="20"/>
          <w:color w:val="auto"/>
        </w:rPr>
      </w:pPr>
      <w:r>
        <w:rPr>
          <w:rFonts w:ascii="Times New Roman" w:cs="Times New Roman" w:eastAsia="Times New Roman" w:hAnsi="Times New Roman"/>
          <w:sz w:val="21"/>
          <w:szCs w:val="21"/>
          <w:color w:val="auto"/>
        </w:rPr>
        <w:t>Base Agreement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DESCRIPTION OF MODIFICATION</w:t>
      </w:r>
    </w:p>
    <w:p>
      <w:pPr>
        <w:spacing w:after="0" w:line="186" w:lineRule="exact"/>
        <w:rPr>
          <w:sz w:val="20"/>
          <w:szCs w:val="20"/>
          <w:color w:val="auto"/>
        </w:rPr>
      </w:pPr>
    </w:p>
    <w:p>
      <w:pPr>
        <w:ind w:left="400" w:hanging="393"/>
        <w:spacing w:after="0"/>
        <w:tabs>
          <w:tab w:leader="none" w:pos="400" w:val="left"/>
        </w:tabs>
        <w:numPr>
          <w:ilvl w:val="0"/>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References in the MCDC Base Agreement to 10 U.S.C. § 2371 are hereby replaced with 10 U.S.C. § 4022.</w:t>
      </w:r>
    </w:p>
    <w:p>
      <w:pPr>
        <w:spacing w:after="0" w:line="186" w:lineRule="exact"/>
        <w:rPr>
          <w:rFonts w:ascii="Times New Roman" w:cs="Times New Roman" w:eastAsia="Times New Roman" w:hAnsi="Times New Roman"/>
          <w:sz w:val="21"/>
          <w:szCs w:val="21"/>
          <w:b w:val="1"/>
          <w:bCs w:val="1"/>
          <w:color w:val="auto"/>
        </w:rPr>
      </w:pPr>
    </w:p>
    <w:p>
      <w:pPr>
        <w:ind w:left="380" w:hanging="373"/>
        <w:spacing w:after="0"/>
        <w:tabs>
          <w:tab w:leader="none" w:pos="380" w:val="left"/>
        </w:tabs>
        <w:numPr>
          <w:ilvl w:val="0"/>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Article I: Scope of the Agreement, of the MCDC Base Agreement is modified as follows: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Section 1.01 Background</w:t>
      </w:r>
    </w:p>
    <w:p>
      <w:pPr>
        <w:spacing w:after="0" w:line="190" w:lineRule="exact"/>
        <w:rPr>
          <w:sz w:val="20"/>
          <w:szCs w:val="20"/>
          <w:color w:val="auto"/>
        </w:rPr>
      </w:pPr>
    </w:p>
    <w:p>
      <w:pPr>
        <w:jc w:val="both"/>
        <w:ind w:left="320"/>
        <w:spacing w:after="0" w:line="231" w:lineRule="auto"/>
        <w:rPr>
          <w:sz w:val="20"/>
          <w:szCs w:val="20"/>
          <w:color w:val="auto"/>
        </w:rPr>
      </w:pPr>
      <w:r>
        <w:rPr>
          <w:rFonts w:ascii="Times New Roman" w:cs="Times New Roman" w:eastAsia="Times New Roman" w:hAnsi="Times New Roman"/>
          <w:sz w:val="21"/>
          <w:szCs w:val="21"/>
          <w:color w:val="auto"/>
        </w:rPr>
        <w:t xml:space="preserve">The U.S. Army Contracting Command-New Jersey (ACC-NJ) is entering into an Other Transaction Agreement (OTA) under the authority of </w:t>
      </w:r>
      <w:r>
        <w:rPr>
          <w:rFonts w:ascii="Times New Roman" w:cs="Times New Roman" w:eastAsia="Times New Roman" w:hAnsi="Times New Roman"/>
          <w:sz w:val="21"/>
          <w:szCs w:val="21"/>
          <w:b w:val="1"/>
          <w:bCs w:val="1"/>
          <w:i w:val="1"/>
          <w:iCs w:val="1"/>
          <w:color w:val="auto"/>
        </w:rPr>
        <w:t>10 U.S.C. § 4022(f)</w:t>
      </w:r>
      <w:r>
        <w:rPr>
          <w:rFonts w:ascii="Times New Roman" w:cs="Times New Roman" w:eastAsia="Times New Roman" w:hAnsi="Times New Roman"/>
          <w:sz w:val="21"/>
          <w:szCs w:val="21"/>
          <w:color w:val="auto"/>
        </w:rPr>
        <w:t>, with the Medical CBRN Defense Consortium (MCDC). The Joint Project Manager for Chemical, Biological, Radiological, Nuclear - Medical (JPM-CBRN Medical), through the Joint Program Executive Office for Chemical, Biological, Radiological, and Nuclear Defense (JPEO-CBRND), will collaborate with the MCDC to carry out a coordinated research and development program designed to develop prototype medical, pharmaceutical, and diagnostic technologies directly relevant to enhancing the mission effectiveness of military personnel and the supporting platforms, systems, components, or materials proposed to be acquired or developed by the Department of Defense, or to improvement of platforms, systems, components or materials in use by the armed forces. An OTA is being proposed with the purpose of conducting Research and Development into medical, pharmaceutical, and diagnostic technologies to enhance the mission effectiveness of military personnel, collaborating with industry partners for the advanced development of Medical Countermeasures (MCM) for chemical and biological defense. The OTA will allow JPM-CBRN Medical to partner with other agencies in the Department of Defense (DoD) chemical and biological defense enterprise, as well as collaborate with industry on applied research on candidate MCMs and supporting technologies. The MCDC was formed in response to the Government’s expressed interest to engage with an industry consortium comprised of traditional and nontraditional Government contractors, small and large business, for-profit and not-for-profit entities, academic organizations and their affiliates for the purpose of entering into an OTA to develop and</w:t>
      </w:r>
    </w:p>
    <w:p>
      <w:pPr>
        <w:sectPr>
          <w:pgSz w:w="11900" w:h="16838" w:orient="portrait"/>
          <w:cols w:equalWidth="0" w:num="1">
            <w:col w:w="11240"/>
          </w:cols>
          <w:pgMar w:left="320" w:top="339" w:right="339" w:bottom="1440" w:gutter="0" w:footer="0" w:header="0"/>
        </w:sectPr>
      </w:pPr>
    </w:p>
    <w:bookmarkStart w:id="91" w:name="page92"/>
    <w:bookmarkEnd w:id="91"/>
    <w:p>
      <w:pPr>
        <w:ind w:left="320"/>
        <w:spacing w:after="0"/>
        <w:rPr>
          <w:sz w:val="20"/>
          <w:szCs w:val="20"/>
          <w:color w:val="auto"/>
        </w:rPr>
      </w:pPr>
      <w:r>
        <w:rPr>
          <w:rFonts w:ascii="Times New Roman" w:cs="Times New Roman" w:eastAsia="Times New Roman" w:hAnsi="Times New Roman"/>
          <w:sz w:val="21"/>
          <w:szCs w:val="21"/>
          <w:color w:val="auto"/>
        </w:rPr>
        <w:t>mature medical, pharmaceutical, and diagnostic technologies through the execution of prototype projects.</w:t>
      </w:r>
    </w:p>
    <w:p>
      <w:pPr>
        <w:spacing w:after="0" w:line="186" w:lineRule="exact"/>
        <w:rPr>
          <w:sz w:val="20"/>
          <w:szCs w:val="20"/>
          <w:color w:val="auto"/>
        </w:rPr>
      </w:pPr>
    </w:p>
    <w:p>
      <w:pPr>
        <w:jc w:val="both"/>
        <w:ind w:left="320"/>
        <w:spacing w:after="0" w:line="234" w:lineRule="auto"/>
        <w:rPr>
          <w:sz w:val="20"/>
          <w:szCs w:val="20"/>
          <w:color w:val="auto"/>
        </w:rPr>
      </w:pPr>
      <w:r>
        <w:rPr>
          <w:rFonts w:ascii="Times New Roman" w:cs="Times New Roman" w:eastAsia="Times New Roman" w:hAnsi="Times New Roman"/>
          <w:sz w:val="21"/>
          <w:szCs w:val="21"/>
          <w:color w:val="auto"/>
        </w:rPr>
        <w:t>Under the OTA and associated awards, the Government, along with the non-government members from the MCDC, shall perform coordinated planning and research and development prototype efforts designed to encompass the areas contained within the scope of the OTA as listed in Article I, Section 1.03 herein.</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Section 1.02, Definitions</w:t>
      </w:r>
    </w:p>
    <w:p>
      <w:pPr>
        <w:spacing w:after="0" w:line="184"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21"/>
          <w:szCs w:val="21"/>
          <w:color w:val="auto"/>
        </w:rPr>
        <w:t xml:space="preserve">“Base Agreement” or “OTA” refers to the Prototype OTA under the authority of </w:t>
      </w:r>
      <w:r>
        <w:rPr>
          <w:rFonts w:ascii="Times New Roman" w:cs="Times New Roman" w:eastAsia="Times New Roman" w:hAnsi="Times New Roman"/>
          <w:sz w:val="21"/>
          <w:szCs w:val="21"/>
          <w:b w:val="1"/>
          <w:bCs w:val="1"/>
          <w:i w:val="1"/>
          <w:iCs w:val="1"/>
          <w:color w:val="auto"/>
        </w:rPr>
        <w:t>10 U.S.C. § 4022(f)</w:t>
      </w:r>
      <w:r>
        <w:rPr>
          <w:rFonts w:ascii="Times New Roman" w:cs="Times New Roman" w:eastAsia="Times New Roman" w:hAnsi="Times New Roman"/>
          <w:sz w:val="21"/>
          <w:szCs w:val="21"/>
          <w:color w:val="auto"/>
        </w:rPr>
        <w:t>, between the Government and the MCDC, Agreement No. W15QKN-16-9-1002.</w:t>
      </w:r>
    </w:p>
    <w:p>
      <w:pPr>
        <w:spacing w:after="0" w:line="135" w:lineRule="exact"/>
        <w:rPr>
          <w:sz w:val="20"/>
          <w:szCs w:val="20"/>
          <w:color w:val="auto"/>
        </w:rPr>
      </w:pPr>
    </w:p>
    <w:p>
      <w:pPr>
        <w:jc w:val="both"/>
        <w:ind w:left="320"/>
        <w:spacing w:after="0" w:line="220" w:lineRule="auto"/>
        <w:rPr>
          <w:sz w:val="20"/>
          <w:szCs w:val="20"/>
          <w:color w:val="auto"/>
        </w:rPr>
      </w:pPr>
      <w:r>
        <w:rPr>
          <w:rFonts w:ascii="Times New Roman" w:cs="Times New Roman" w:eastAsia="Times New Roman" w:hAnsi="Times New Roman"/>
          <w:sz w:val="21"/>
          <w:szCs w:val="21"/>
          <w:color w:val="auto"/>
        </w:rPr>
        <w:t xml:space="preserve">“Other Transactions for Prototype Projects” refers to the type of OTA this MCDC Base Agreement is under. This type of OTA is authorized by Department of Defense (DoD) Authorization Acts, and is found in the U.S. Code as a Note in </w:t>
      </w:r>
      <w:r>
        <w:rPr>
          <w:rFonts w:ascii="Times New Roman" w:cs="Times New Roman" w:eastAsia="Times New Roman" w:hAnsi="Times New Roman"/>
          <w:sz w:val="21"/>
          <w:szCs w:val="21"/>
          <w:b w:val="1"/>
          <w:bCs w:val="1"/>
          <w:i w:val="1"/>
          <w:iCs w:val="1"/>
          <w:color w:val="auto"/>
        </w:rPr>
        <w:t>10 U.S.C. §</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4022. 10 U.S.C. § 4022</w:t>
      </w:r>
      <w:r>
        <w:rPr>
          <w:rFonts w:ascii="Times New Roman" w:cs="Times New Roman" w:eastAsia="Times New Roman" w:hAnsi="Times New Roman"/>
          <w:sz w:val="21"/>
          <w:szCs w:val="21"/>
          <w:color w:val="auto"/>
        </w:rPr>
        <w:t>, “Authority of the DoD to carry out certain prototype projects,” authorizes the Secretary of a military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department to carry out prototype projects directly relevant to enhancing the mission effectiveness of military personnel and the supporting platforms, systems, components, or materials proposed to be acquired or developed by the Department of Defense, or to improvement of platforms, systems, components, or materials in use by the armed forces. This type of OTA is treated by the DoD as an acquisition instrument, commonly referred to as an “other transaction” for a research prototype project or </w:t>
      </w:r>
      <w:r>
        <w:rPr>
          <w:rFonts w:ascii="Times New Roman" w:cs="Times New Roman" w:eastAsia="Times New Roman" w:hAnsi="Times New Roman"/>
          <w:sz w:val="21"/>
          <w:szCs w:val="21"/>
          <w:b w:val="1"/>
          <w:bCs w:val="1"/>
          <w:i w:val="1"/>
          <w:iCs w:val="1"/>
          <w:color w:val="auto"/>
        </w:rPr>
        <w:t>4022</w:t>
      </w:r>
      <w:r>
        <w:rPr>
          <w:rFonts w:ascii="Times New Roman" w:cs="Times New Roman" w:eastAsia="Times New Roman" w:hAnsi="Times New Roman"/>
          <w:sz w:val="21"/>
          <w:szCs w:val="21"/>
          <w:color w:val="auto"/>
        </w:rPr>
        <w:t xml:space="preserve"> “other transaction.”</w:t>
      </w:r>
    </w:p>
    <w:p>
      <w:pPr>
        <w:spacing w:after="0" w:line="151" w:lineRule="exact"/>
        <w:rPr>
          <w:sz w:val="20"/>
          <w:szCs w:val="20"/>
          <w:color w:val="auto"/>
        </w:rPr>
      </w:pPr>
    </w:p>
    <w:p>
      <w:pPr>
        <w:ind w:left="320" w:right="420" w:hanging="313"/>
        <w:spacing w:after="0" w:line="424" w:lineRule="auto"/>
        <w:tabs>
          <w:tab w:leader="none" w:pos="379" w:val="left"/>
        </w:tabs>
        <w:numPr>
          <w:ilvl w:val="0"/>
          <w:numId w:val="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Article VI, Appropriate Use of Other Transaction Authority, of the MCDC Base Agreement is modified as follows: Article VI. APPROPRIATE USE OF OTHER TRANSACTION AUTHORITY</w:t>
      </w:r>
    </w:p>
    <w:p>
      <w:pPr>
        <w:spacing w:after="0" w:line="1" w:lineRule="exact"/>
        <w:rPr>
          <w:sz w:val="20"/>
          <w:szCs w:val="20"/>
          <w:color w:val="auto"/>
        </w:rPr>
      </w:pPr>
    </w:p>
    <w:p>
      <w:pPr>
        <w:jc w:val="both"/>
        <w:ind w:left="320"/>
        <w:spacing w:after="0"/>
        <w:rPr>
          <w:sz w:val="20"/>
          <w:szCs w:val="20"/>
          <w:color w:val="auto"/>
        </w:rPr>
      </w:pPr>
      <w:r>
        <w:rPr>
          <w:rFonts w:ascii="Times New Roman" w:cs="Times New Roman" w:eastAsia="Times New Roman" w:hAnsi="Times New Roman"/>
          <w:sz w:val="21"/>
          <w:szCs w:val="21"/>
          <w:color w:val="auto"/>
        </w:rPr>
        <w:t xml:space="preserve">In accordance with provisions of </w:t>
      </w:r>
      <w:r>
        <w:rPr>
          <w:rFonts w:ascii="Times New Roman" w:cs="Times New Roman" w:eastAsia="Times New Roman" w:hAnsi="Times New Roman"/>
          <w:sz w:val="21"/>
          <w:szCs w:val="21"/>
          <w:b w:val="1"/>
          <w:bCs w:val="1"/>
          <w:i w:val="1"/>
          <w:iCs w:val="1"/>
          <w:color w:val="auto"/>
        </w:rPr>
        <w:t>10 U.S.C. § 4022</w:t>
      </w:r>
      <w:r>
        <w:rPr>
          <w:rFonts w:ascii="Times New Roman" w:cs="Times New Roman" w:eastAsia="Times New Roman" w:hAnsi="Times New Roman"/>
          <w:sz w:val="21"/>
          <w:szCs w:val="21"/>
          <w:color w:val="auto"/>
        </w:rPr>
        <w:t>, the DoD has authority to enter into transactions other than contracts, grants, or cooperative agreements. The DoD has the authority to make awards that are directly relevant to enhancing the mission effectiveness of military personnel and the supporting platforms, systems, components, or materials proposed to be acquired or developed by the DoD, or the improvement of platforms, systems, components, or materials in use by the armed forces.</w:t>
      </w: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 xml:space="preserve">Per </w:t>
      </w:r>
      <w:r>
        <w:rPr>
          <w:rFonts w:ascii="Times New Roman" w:cs="Times New Roman" w:eastAsia="Times New Roman" w:hAnsi="Times New Roman"/>
          <w:sz w:val="21"/>
          <w:szCs w:val="21"/>
          <w:b w:val="1"/>
          <w:bCs w:val="1"/>
          <w:i w:val="1"/>
          <w:iCs w:val="1"/>
          <w:color w:val="auto"/>
        </w:rPr>
        <w:t>10 U.S.C. § 4022</w:t>
      </w:r>
      <w:r>
        <w:rPr>
          <w:rFonts w:ascii="Times New Roman" w:cs="Times New Roman" w:eastAsia="Times New Roman" w:hAnsi="Times New Roman"/>
          <w:sz w:val="21"/>
          <w:szCs w:val="21"/>
          <w:color w:val="auto"/>
        </w:rPr>
        <w:t>, each prototype project awarded under this Base Agreement must meet one of the following conditions:</w:t>
      </w:r>
    </w:p>
    <w:p>
      <w:pPr>
        <w:spacing w:after="0" w:line="192" w:lineRule="exact"/>
        <w:rPr>
          <w:sz w:val="20"/>
          <w:szCs w:val="20"/>
          <w:color w:val="auto"/>
        </w:rPr>
      </w:pPr>
    </w:p>
    <w:p>
      <w:pPr>
        <w:ind w:left="980" w:right="20" w:hanging="331"/>
        <w:spacing w:after="0" w:line="249" w:lineRule="auto"/>
        <w:tabs>
          <w:tab w:leader="none" w:pos="97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at least one nontraditional defense contractor or nonprofit research institution participating to a significant extent in the prototype project.</w:t>
      </w:r>
    </w:p>
    <w:p>
      <w:pPr>
        <w:spacing w:after="0" w:line="140" w:lineRule="exact"/>
        <w:rPr>
          <w:rFonts w:ascii="Times New Roman" w:cs="Times New Roman" w:eastAsia="Times New Roman" w:hAnsi="Times New Roman"/>
          <w:sz w:val="21"/>
          <w:szCs w:val="21"/>
          <w:color w:val="auto"/>
        </w:rPr>
      </w:pPr>
    </w:p>
    <w:p>
      <w:pPr>
        <w:jc w:val="both"/>
        <w:ind w:left="980" w:hanging="331"/>
        <w:spacing w:after="0" w:line="234" w:lineRule="auto"/>
        <w:tabs>
          <w:tab w:leader="none" w:pos="97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participants in the transaction, other than the Federal Government, are small businesses (including small businesses participating in a program described under section 9 of the Small Business Act (15 U.S.C. 638)) or nontraditional defense contractors.</w:t>
      </w:r>
    </w:p>
    <w:p>
      <w:pPr>
        <w:spacing w:after="0" w:line="149" w:lineRule="exact"/>
        <w:rPr>
          <w:rFonts w:ascii="Times New Roman" w:cs="Times New Roman" w:eastAsia="Times New Roman" w:hAnsi="Times New Roman"/>
          <w:sz w:val="21"/>
          <w:szCs w:val="21"/>
          <w:color w:val="auto"/>
        </w:rPr>
      </w:pPr>
    </w:p>
    <w:p>
      <w:pPr>
        <w:ind w:left="980" w:hanging="331"/>
        <w:spacing w:after="0" w:line="249" w:lineRule="auto"/>
        <w:tabs>
          <w:tab w:leader="none" w:pos="97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least one third of the total cost of the prototype project is to be paid out of funds provided by sources other than the Federal Government.</w:t>
      </w:r>
    </w:p>
    <w:p>
      <w:pPr>
        <w:spacing w:after="0" w:line="140" w:lineRule="exact"/>
        <w:rPr>
          <w:rFonts w:ascii="Times New Roman" w:cs="Times New Roman" w:eastAsia="Times New Roman" w:hAnsi="Times New Roman"/>
          <w:sz w:val="21"/>
          <w:szCs w:val="21"/>
          <w:color w:val="auto"/>
        </w:rPr>
      </w:pPr>
    </w:p>
    <w:p>
      <w:pPr>
        <w:jc w:val="both"/>
        <w:ind w:left="980" w:hanging="331"/>
        <w:spacing w:after="0" w:line="234" w:lineRule="auto"/>
        <w:tabs>
          <w:tab w:leader="none" w:pos="97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senior procurement executive for the agency determines in writing that exceptional circumstances justify the use of a transaction that provides for innovative business arrangements or structures that would not be feasible or appropriate under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83" w:right="339" w:bottom="1440" w:gutter="0" w:footer="0" w:header="0"/>
        </w:sectPr>
      </w:pPr>
    </w:p>
    <w:bookmarkStart w:id="92" w:name="page93"/>
    <w:bookmarkEnd w:id="92"/>
    <w:p>
      <w:pPr>
        <w:ind w:left="980" w:right="20"/>
        <w:spacing w:after="0" w:line="249" w:lineRule="auto"/>
        <w:rPr>
          <w:sz w:val="20"/>
          <w:szCs w:val="20"/>
          <w:color w:val="auto"/>
        </w:rPr>
      </w:pPr>
      <w:r>
        <w:rPr>
          <w:rFonts w:ascii="Times New Roman" w:cs="Times New Roman" w:eastAsia="Times New Roman" w:hAnsi="Times New Roman"/>
          <w:sz w:val="21"/>
          <w:szCs w:val="21"/>
          <w:color w:val="auto"/>
        </w:rPr>
        <w:t>contract, or would provide an opportunity to expand the defense supply base in a manner that would not be practical or feasible under a contract.</w:t>
      </w:r>
    </w:p>
    <w:p>
      <w:pPr>
        <w:spacing w:after="0" w:line="141" w:lineRule="exact"/>
        <w:rPr>
          <w:sz w:val="20"/>
          <w:szCs w:val="20"/>
          <w:color w:val="auto"/>
        </w:rPr>
      </w:pPr>
    </w:p>
    <w:p>
      <w:pPr>
        <w:jc w:val="both"/>
        <w:ind w:left="320"/>
        <w:spacing w:after="0" w:line="223" w:lineRule="auto"/>
        <w:rPr>
          <w:sz w:val="20"/>
          <w:szCs w:val="20"/>
          <w:color w:val="auto"/>
        </w:rPr>
      </w:pPr>
      <w:r>
        <w:rPr>
          <w:rFonts w:ascii="Times New Roman" w:cs="Times New Roman" w:eastAsia="Times New Roman" w:hAnsi="Times New Roman"/>
          <w:sz w:val="21"/>
          <w:szCs w:val="21"/>
          <w:color w:val="auto"/>
        </w:rPr>
        <w:t>Throughout the period of performance of any PA, the AO and AOR will actively monitor projects to ensure compliance with this statutory requirement. The Government will take into account any implementation guidance from the Department of the Army and the Office of the Under Secretary of Defense for Acquisition and Sustainment, which includes but is not limited to, the most recent Other Transactions Guide. The MCDC Member awarded a PA will be given the opportunity to become compliant with this statutory requirement should they be found non-compliant by the AO and AOR and as communicated to the PAH by the CMF. Failure to comply may result in termination.</w:t>
      </w:r>
    </w:p>
    <w:p>
      <w:pPr>
        <w:spacing w:after="0" w:line="152" w:lineRule="exact"/>
        <w:rPr>
          <w:sz w:val="20"/>
          <w:szCs w:val="20"/>
          <w:color w:val="auto"/>
        </w:rPr>
      </w:pPr>
    </w:p>
    <w:p>
      <w:pPr>
        <w:jc w:val="both"/>
        <w:ind w:left="320"/>
        <w:spacing w:after="0"/>
        <w:rPr>
          <w:sz w:val="20"/>
          <w:szCs w:val="20"/>
          <w:color w:val="auto"/>
        </w:rPr>
      </w:pPr>
      <w:r>
        <w:rPr>
          <w:rFonts w:ascii="Times New Roman" w:cs="Times New Roman" w:eastAsia="Times New Roman" w:hAnsi="Times New Roman"/>
          <w:sz w:val="21"/>
          <w:szCs w:val="21"/>
          <w:color w:val="auto"/>
        </w:rPr>
        <w:t>If significant nontraditional / nonprofit participation cannot be fulfilled, the PAH must provide at least one third cost share of the value of the PA awarded to the PAH. Proposals that fail to comply with this requirement, will not be awarded under the OTA.</w:t>
      </w:r>
    </w:p>
    <w:p>
      <w:pPr>
        <w:spacing w:after="0" w:line="373" w:lineRule="exact"/>
        <w:rPr>
          <w:sz w:val="20"/>
          <w:szCs w:val="20"/>
          <w:color w:val="auto"/>
        </w:rPr>
      </w:pPr>
    </w:p>
    <w:p>
      <w:pPr>
        <w:jc w:val="both"/>
        <w:ind w:left="320"/>
        <w:spacing w:after="0" w:line="234" w:lineRule="auto"/>
        <w:rPr>
          <w:sz w:val="20"/>
          <w:szCs w:val="20"/>
          <w:color w:val="auto"/>
        </w:rPr>
      </w:pPr>
      <w:r>
        <w:rPr>
          <w:rFonts w:ascii="Times New Roman" w:cs="Times New Roman" w:eastAsia="Times New Roman" w:hAnsi="Times New Roman"/>
          <w:sz w:val="21"/>
          <w:szCs w:val="21"/>
          <w:color w:val="auto"/>
        </w:rPr>
        <w:t>Cost Sharing is not required under the OTA for projects that contain significant nontraditional / nonprofit participation. Where the Government and PAH agree, cost sharing may be considered on a per project basis under terms and conditions to be agreed to by them, and in accordance with the most recent Other Transactions Guide.</w:t>
      </w:r>
    </w:p>
    <w:p>
      <w:pPr>
        <w:spacing w:after="0" w:line="146" w:lineRule="exact"/>
        <w:rPr>
          <w:sz w:val="20"/>
          <w:szCs w:val="20"/>
          <w:color w:val="auto"/>
        </w:rPr>
      </w:pPr>
    </w:p>
    <w:p>
      <w:pPr>
        <w:ind w:left="320" w:hanging="313"/>
        <w:spacing w:after="0" w:line="253" w:lineRule="auto"/>
        <w:tabs>
          <w:tab w:leader="none" w:pos="436" w:val="left"/>
        </w:tabs>
        <w:numPr>
          <w:ilvl w:val="0"/>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Article XXI: General Provisions, Section 21.15, Follow-On Production, of the MCDC Base Agreement is modified as follows: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Section 21.15 Follow-On Production</w:t>
      </w:r>
    </w:p>
    <w:p>
      <w:pPr>
        <w:spacing w:after="0" w:line="184" w:lineRule="exact"/>
        <w:rPr>
          <w:sz w:val="20"/>
          <w:szCs w:val="20"/>
          <w:color w:val="auto"/>
        </w:rPr>
      </w:pPr>
    </w:p>
    <w:p>
      <w:pPr>
        <w:jc w:val="both"/>
        <w:ind w:left="320"/>
        <w:spacing w:after="0" w:line="221" w:lineRule="auto"/>
        <w:rPr>
          <w:sz w:val="20"/>
          <w:szCs w:val="20"/>
          <w:color w:val="auto"/>
        </w:rPr>
      </w:pPr>
      <w:r>
        <w:rPr>
          <w:rFonts w:ascii="Times New Roman" w:cs="Times New Roman" w:eastAsia="Times New Roman" w:hAnsi="Times New Roman"/>
          <w:sz w:val="21"/>
          <w:szCs w:val="21"/>
          <w:b w:val="1"/>
          <w:bCs w:val="1"/>
          <w:i w:val="1"/>
          <w:iCs w:val="1"/>
          <w:color w:val="auto"/>
        </w:rPr>
        <w:t xml:space="preserve">10 U.S.C. § 4022(f) </w:t>
      </w:r>
      <w:r>
        <w:rPr>
          <w:rFonts w:ascii="Times New Roman" w:cs="Times New Roman" w:eastAsia="Times New Roman" w:hAnsi="Times New Roman"/>
          <w:sz w:val="21"/>
          <w:szCs w:val="21"/>
          <w:color w:val="auto"/>
        </w:rPr>
        <w:t>authorizes the use of a follow-on production contract (FAR) or transaction (OTA). In order to be eligible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for follow-on production, the following criteria is required: (1) the follow-on shall be awarded to the same participants named in the PA; (2) competitive procedures were used to award the PA in question; and (3) the PA was successfully completed. This MCDC Base Agreement was the result of competitive procedures, and competitive procedures are used to award individual projects under this MCDC Base Agreement. The AO shall be responsible for documenting whether or not a PA was successfully completed. Follow-on production efforts shall be strictly limited to the scope of the successfully completed prototype. This MCDC Base Agreement will not be used to award follow-on production efforts; Government customers will be responsible for working with their contracting personnel.</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All PAs shall include the following statement:</w:t>
      </w:r>
    </w:p>
    <w:p>
      <w:pPr>
        <w:spacing w:after="0" w:line="180" w:lineRule="exact"/>
        <w:rPr>
          <w:sz w:val="20"/>
          <w:szCs w:val="20"/>
          <w:color w:val="auto"/>
        </w:rPr>
      </w:pPr>
    </w:p>
    <w:p>
      <w:pPr>
        <w:jc w:val="both"/>
        <w:ind w:left="320"/>
        <w:spacing w:after="0" w:line="236" w:lineRule="auto"/>
        <w:rPr>
          <w:sz w:val="20"/>
          <w:szCs w:val="20"/>
          <w:color w:val="auto"/>
        </w:rPr>
      </w:pPr>
      <w:r>
        <w:rPr>
          <w:rFonts w:ascii="Times New Roman" w:cs="Times New Roman" w:eastAsia="Times New Roman" w:hAnsi="Times New Roman"/>
          <w:sz w:val="21"/>
          <w:szCs w:val="21"/>
          <w:color w:val="auto"/>
        </w:rPr>
        <w:t xml:space="preserve">“In accordance with </w:t>
      </w:r>
      <w:r>
        <w:rPr>
          <w:rFonts w:ascii="Times New Roman" w:cs="Times New Roman" w:eastAsia="Times New Roman" w:hAnsi="Times New Roman"/>
          <w:sz w:val="21"/>
          <w:szCs w:val="21"/>
          <w:b w:val="1"/>
          <w:bCs w:val="1"/>
          <w:i w:val="1"/>
          <w:iCs w:val="1"/>
          <w:color w:val="auto"/>
        </w:rPr>
        <w:t>10 U.S.C. § 4022(f)</w:t>
      </w:r>
      <w:r>
        <w:rPr>
          <w:rFonts w:ascii="Times New Roman" w:cs="Times New Roman" w:eastAsia="Times New Roman" w:hAnsi="Times New Roman"/>
          <w:sz w:val="21"/>
          <w:szCs w:val="21"/>
          <w:color w:val="auto"/>
        </w:rPr>
        <w:t>, and upon a determination that this competitively awarded prototype project has been successfully completed, this prototype project may result in the award of a follow-on production contract or transaction without the use of competitive procedures.”</w:t>
      </w:r>
    </w:p>
    <w:p>
      <w:pPr>
        <w:spacing w:after="0" w:line="150"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21"/>
          <w:szCs w:val="21"/>
          <w:color w:val="auto"/>
        </w:rPr>
        <w:t>Except as provided herein, all Terms and Conditions of the referenced MCDC Base Agreement and preceding modifications remain unchanged and in full force and effect.</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This modification is issued unilaterally. The Project Agreement Holder is not required to sign to finalize this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2" w:right="339"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21"/>
          <w:szCs w:val="21"/>
          <w:b w:val="1"/>
          <w:bCs w:val="1"/>
          <w:color w:val="auto"/>
        </w:rPr>
        <w:t>Advanced Technology International</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w:t>
      </w:r>
      <w:r>
        <w:rPr>
          <w:rFonts w:ascii="Times New Roman" w:cs="Times New Roman" w:eastAsia="Times New Roman" w:hAnsi="Times New Roman"/>
          <w:sz w:val="21"/>
          <w:szCs w:val="21"/>
          <w:color w:val="auto"/>
        </w:rPr>
        <w:t>________________________</w:t>
      </w:r>
    </w:p>
    <w:p>
      <w:pPr>
        <w:spacing w:after="0" w:line="2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Name:________________________</w:t>
      </w: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Title:_________________________</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Date: </w:t>
      </w:r>
      <w:r>
        <w:rPr>
          <w:rFonts w:ascii="Times New Roman" w:cs="Times New Roman" w:eastAsia="Times New Roman" w:hAnsi="Times New Roman"/>
          <w:sz w:val="21"/>
          <w:szCs w:val="21"/>
          <w:u w:val="single" w:color="auto"/>
          <w:color w:val="auto"/>
        </w:rPr>
        <w:t>Aug 2 2022</w:t>
      </w:r>
      <w:r>
        <w:rPr>
          <w:rFonts w:ascii="Times New Roman" w:cs="Times New Roman" w:eastAsia="Times New Roman" w:hAnsi="Times New Roman"/>
          <w:sz w:val="21"/>
          <w:szCs w:val="21"/>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119"/>
          </w:cols>
          <w:pgMar w:left="340" w:top="1432" w:right="1440" w:bottom="1440" w:gutter="0" w:footer="0" w:header="0"/>
        </w:sectPr>
      </w:pPr>
    </w:p>
    <w:bookmarkStart w:id="94" w:name="page95"/>
    <w:bookmarkEnd w:id="94"/>
    <w:p>
      <w:pPr>
        <w:ind w:left="10180"/>
        <w:spacing w:after="0"/>
        <w:rPr>
          <w:sz w:val="20"/>
          <w:szCs w:val="20"/>
          <w:color w:val="auto"/>
        </w:rPr>
      </w:pPr>
      <w:r>
        <w:rPr>
          <w:rFonts w:ascii="Times New Roman" w:cs="Times New Roman" w:eastAsia="Times New Roman" w:hAnsi="Times New Roman"/>
          <w:sz w:val="21"/>
          <w:szCs w:val="21"/>
          <w:color w:val="auto"/>
        </w:rPr>
        <w:t>Exhibit 10.2</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CERTAIN CONFIDENTIAL PORTIONS OF THIS EXHIBIT, MARKED BY BRACKETS, WERE OMITTED BECAUSE THOSE</w:t>
      </w:r>
    </w:p>
    <w:p>
      <w:pPr>
        <w:ind w:left="460"/>
        <w:spacing w:after="0" w:line="197" w:lineRule="auto"/>
        <w:rPr>
          <w:sz w:val="20"/>
          <w:szCs w:val="20"/>
          <w:color w:val="auto"/>
        </w:rPr>
      </w:pPr>
      <w:r>
        <w:rPr>
          <w:rFonts w:ascii="Arial" w:cs="Arial" w:eastAsia="Arial" w:hAnsi="Arial"/>
          <w:sz w:val="20"/>
          <w:szCs w:val="20"/>
          <w:b w:val="1"/>
          <w:bCs w:val="1"/>
          <w:color w:val="auto"/>
        </w:rPr>
        <w:t>PORTIONS ARE NOT MATERIAL AND WOULD BE COMPETITIVELY HARMFUL TO THE COMPANY IF PUBLICLY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374015</wp:posOffset>
            </wp:positionV>
            <wp:extent cx="5299075" cy="798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99075" cy="798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May 20,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212" w:lineRule="auto"/>
        <w:rPr>
          <w:sz w:val="20"/>
          <w:szCs w:val="20"/>
          <w:color w:val="auto"/>
        </w:rPr>
      </w:pPr>
      <w:r>
        <w:rPr>
          <w:rFonts w:ascii="Times New Roman" w:cs="Times New Roman" w:eastAsia="Times New Roman" w:hAnsi="Times New Roman"/>
          <w:sz w:val="21"/>
          <w:szCs w:val="21"/>
          <w:color w:val="auto"/>
        </w:rPr>
        <w:t>777 Old Saw Mill River Rd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Tarrytown, NY 10591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w:t>
      </w:r>
    </w:p>
    <w:p>
      <w:pPr>
        <w:spacing w:after="0" w:line="186" w:lineRule="exact"/>
        <w:rPr>
          <w:sz w:val="20"/>
          <w:szCs w:val="20"/>
          <w:color w:val="auto"/>
        </w:rPr>
      </w:pPr>
    </w:p>
    <w:p>
      <w:pPr>
        <w:ind w:right="4480"/>
        <w:spacing w:after="0" w:line="511" w:lineRule="auto"/>
        <w:rPr>
          <w:sz w:val="20"/>
          <w:szCs w:val="20"/>
          <w:color w:val="auto"/>
        </w:rPr>
      </w:pPr>
      <w:r>
        <w:rPr>
          <w:rFonts w:ascii="Times New Roman" w:cs="Times New Roman" w:eastAsia="Times New Roman" w:hAnsi="Times New Roman"/>
          <w:sz w:val="21"/>
          <w:szCs w:val="21"/>
          <w:color w:val="auto"/>
        </w:rPr>
        <w:t>Subject: Modification No. 03 to Project Agreement No. 01; MCDC2008-005 Reference: MCDC Base Agreement No. 2020-504 Dear Ms. :</w:t>
      </w:r>
    </w:p>
    <w:p>
      <w:pPr>
        <w:spacing w:after="0" w:line="256" w:lineRule="exact"/>
        <w:rPr>
          <w:sz w:val="20"/>
          <w:szCs w:val="20"/>
          <w:color w:val="auto"/>
        </w:rPr>
      </w:pPr>
    </w:p>
    <w:p>
      <w:pPr>
        <w:ind w:firstLine="642"/>
        <w:spacing w:after="0" w:line="249" w:lineRule="auto"/>
        <w:rPr>
          <w:sz w:val="20"/>
          <w:szCs w:val="20"/>
          <w:color w:val="auto"/>
        </w:rPr>
      </w:pPr>
      <w:r>
        <w:rPr>
          <w:rFonts w:ascii="Times New Roman" w:cs="Times New Roman" w:eastAsia="Times New Roman" w:hAnsi="Times New Roman"/>
          <w:sz w:val="21"/>
          <w:szCs w:val="21"/>
          <w:color w:val="auto"/>
        </w:rPr>
        <w:t>In accordance with the terms and conditions of the referenced MCDC Base Agreement, Modification No. 03 hereby amends Project Agreement No. 01 as follows:</w:t>
      </w:r>
    </w:p>
    <w:p>
      <w:pPr>
        <w:spacing w:after="0" w:line="13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u w:val="single" w:color="auto"/>
          <w:color w:val="auto"/>
        </w:rPr>
        <w:t>DESCRIPTION OF MODIFICATION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 Attachment A, Statement of Work, of the Project Agreement is hereby amended as attached herein.</w:t>
      </w:r>
    </w:p>
    <w:p>
      <w:pPr>
        <w:spacing w:after="0" w:line="186" w:lineRule="exact"/>
        <w:rPr>
          <w:sz w:val="20"/>
          <w:szCs w:val="20"/>
          <w:color w:val="auto"/>
        </w:rPr>
      </w:pPr>
    </w:p>
    <w:p>
      <w:pPr>
        <w:ind w:firstLine="642"/>
        <w:spacing w:after="0" w:line="249" w:lineRule="auto"/>
        <w:rPr>
          <w:sz w:val="20"/>
          <w:szCs w:val="20"/>
          <w:color w:val="auto"/>
        </w:rPr>
      </w:pPr>
      <w:r>
        <w:rPr>
          <w:rFonts w:ascii="Times New Roman" w:cs="Times New Roman" w:eastAsia="Times New Roman" w:hAnsi="Times New Roman"/>
          <w:sz w:val="21"/>
          <w:szCs w:val="21"/>
          <w:color w:val="auto"/>
        </w:rPr>
        <w:t>Except as provided herein, all Terms and Conditions of the referenced MCDC Base Agreement, Project Agreement, and preceding modifications remain unchanged and in full force and effect.</w:t>
      </w:r>
    </w:p>
    <w:p>
      <w:pPr>
        <w:spacing w:after="0" w:line="141" w:lineRule="exact"/>
        <w:rPr>
          <w:sz w:val="20"/>
          <w:szCs w:val="20"/>
          <w:color w:val="auto"/>
        </w:rPr>
      </w:pPr>
    </w:p>
    <w:p>
      <w:pPr>
        <w:ind w:right="20" w:firstLine="642"/>
        <w:spacing w:after="0" w:line="249" w:lineRule="auto"/>
        <w:rPr>
          <w:sz w:val="20"/>
          <w:szCs w:val="20"/>
          <w:color w:val="auto"/>
        </w:rPr>
      </w:pPr>
      <w:r>
        <w:rPr>
          <w:rFonts w:ascii="Times New Roman" w:cs="Times New Roman" w:eastAsia="Times New Roman" w:hAnsi="Times New Roman"/>
          <w:sz w:val="21"/>
          <w:szCs w:val="21"/>
          <w:color w:val="auto"/>
        </w:rPr>
        <w:t>The Project Agreement Holder is required to sign this document and return to Advanced Technology International to finalize this action.</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4800" w:type="dxa"/>
            <w:vAlign w:val="bottom"/>
            <w:gridSpan w:val="7"/>
          </w:tcPr>
          <w:p>
            <w:pPr>
              <w:ind w:left="60"/>
              <w:spacing w:after="0"/>
              <w:rPr>
                <w:sz w:val="20"/>
                <w:szCs w:val="20"/>
                <w:color w:val="auto"/>
              </w:rPr>
            </w:pPr>
            <w:r>
              <w:rPr>
                <w:rFonts w:ascii="Times New Roman" w:cs="Times New Roman" w:eastAsia="Times New Roman" w:hAnsi="Times New Roman"/>
                <w:sz w:val="21"/>
                <w:szCs w:val="21"/>
                <w:b w:val="1"/>
                <w:bCs w:val="1"/>
                <w:color w:val="auto"/>
              </w:rPr>
              <w:t>Regeneron Pharmaceuticals, Inc.</w:t>
            </w:r>
          </w:p>
        </w:tc>
        <w:tc>
          <w:tcPr>
            <w:tcW w:w="4660" w:type="dxa"/>
            <w:vAlign w:val="bottom"/>
            <w:gridSpan w:val="5"/>
          </w:tcPr>
          <w:p>
            <w:pPr>
              <w:ind w:left="880"/>
              <w:spacing w:after="0"/>
              <w:rPr>
                <w:sz w:val="20"/>
                <w:szCs w:val="20"/>
                <w:color w:val="auto"/>
              </w:rPr>
            </w:pPr>
            <w:r>
              <w:rPr>
                <w:rFonts w:ascii="Times New Roman" w:cs="Times New Roman" w:eastAsia="Times New Roman" w:hAnsi="Times New Roman"/>
                <w:sz w:val="21"/>
                <w:szCs w:val="21"/>
                <w:b w:val="1"/>
                <w:bCs w:val="1"/>
                <w:color w:val="auto"/>
              </w:rPr>
              <w:t>Advanced Technology International</w:t>
            </w:r>
          </w:p>
        </w:tc>
      </w:tr>
      <w:tr>
        <w:trPr>
          <w:trHeight w:val="228"/>
        </w:trPr>
        <w:tc>
          <w:tcPr>
            <w:tcW w:w="4800" w:type="dxa"/>
            <w:vAlign w:val="bottom"/>
            <w:gridSpan w:val="7"/>
          </w:tcPr>
          <w:p>
            <w:pPr>
              <w:spacing w:after="0" w:line="228" w:lineRule="exact"/>
              <w:rPr>
                <w:sz w:val="20"/>
                <w:szCs w:val="20"/>
                <w:color w:val="auto"/>
              </w:rPr>
            </w:pPr>
            <w:r>
              <w:rPr>
                <w:rFonts w:ascii="Times New Roman" w:cs="Times New Roman" w:eastAsia="Times New Roman" w:hAnsi="Times New Roman"/>
                <w:sz w:val="21"/>
                <w:szCs w:val="21"/>
                <w:color w:val="auto"/>
              </w:rPr>
              <w:t>By: /s/ Joseph J. LaRosa_________________</w:t>
            </w:r>
          </w:p>
        </w:tc>
        <w:tc>
          <w:tcPr>
            <w:tcW w:w="4660" w:type="dxa"/>
            <w:vAlign w:val="bottom"/>
            <w:gridSpan w:val="5"/>
          </w:tcPr>
          <w:p>
            <w:pPr>
              <w:ind w:left="820"/>
              <w:spacing w:after="0" w:line="228" w:lineRule="exact"/>
              <w:rPr>
                <w:sz w:val="20"/>
                <w:szCs w:val="20"/>
                <w:color w:val="auto"/>
              </w:rPr>
            </w:pPr>
            <w:r>
              <w:rPr>
                <w:rFonts w:ascii="Times New Roman" w:cs="Times New Roman" w:eastAsia="Times New Roman" w:hAnsi="Times New Roman"/>
                <w:sz w:val="21"/>
                <w:szCs w:val="21"/>
                <w:color w:val="auto"/>
              </w:rPr>
              <w:t>By: /s/______________________________</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02"/>
        </w:trPr>
        <w:tc>
          <w:tcPr>
            <w:tcW w:w="480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Name: Joseph J. LaRosa_________________</w:t>
            </w:r>
          </w:p>
        </w:tc>
        <w:tc>
          <w:tcPr>
            <w:tcW w:w="4660" w:type="dxa"/>
            <w:vAlign w:val="bottom"/>
            <w:gridSpan w:val="5"/>
          </w:tcPr>
          <w:p>
            <w:pPr>
              <w:ind w:left="820"/>
              <w:spacing w:after="0"/>
              <w:rPr>
                <w:sz w:val="20"/>
                <w:szCs w:val="20"/>
                <w:color w:val="auto"/>
              </w:rPr>
            </w:pPr>
            <w:r>
              <w:rPr>
                <w:rFonts w:ascii="Times New Roman" w:cs="Times New Roman" w:eastAsia="Times New Roman" w:hAnsi="Times New Roman"/>
                <w:sz w:val="21"/>
                <w:szCs w:val="21"/>
                <w:color w:val="auto"/>
              </w:rPr>
              <w:t>Name:______________________________</w:t>
            </w:r>
          </w:p>
        </w:tc>
      </w:tr>
      <w:tr>
        <w:trPr>
          <w:trHeight w:val="20"/>
        </w:trPr>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02"/>
        </w:trPr>
        <w:tc>
          <w:tcPr>
            <w:tcW w:w="480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Title: EVP, General Counsel &amp; Secretary____</w:t>
            </w:r>
          </w:p>
        </w:tc>
        <w:tc>
          <w:tcPr>
            <w:tcW w:w="4660" w:type="dxa"/>
            <w:vAlign w:val="bottom"/>
            <w:gridSpan w:val="5"/>
          </w:tcPr>
          <w:p>
            <w:pPr>
              <w:ind w:left="820"/>
              <w:spacing w:after="0"/>
              <w:rPr>
                <w:sz w:val="20"/>
                <w:szCs w:val="20"/>
                <w:color w:val="auto"/>
              </w:rPr>
            </w:pPr>
            <w:r>
              <w:rPr>
                <w:rFonts w:ascii="Times New Roman" w:cs="Times New Roman" w:eastAsia="Times New Roman" w:hAnsi="Times New Roman"/>
                <w:sz w:val="21"/>
                <w:szCs w:val="21"/>
                <w:color w:val="auto"/>
              </w:rPr>
              <w:t>Title: Subcontracts Administrator_________</w:t>
            </w:r>
          </w:p>
        </w:tc>
      </w:tr>
      <w:tr>
        <w:trPr>
          <w:trHeight w:val="20"/>
        </w:trPr>
        <w:tc>
          <w:tcPr>
            <w:tcW w:w="520" w:type="dxa"/>
            <w:vAlign w:val="bottom"/>
            <w:gridSpan w:val="2"/>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800" w:type="dxa"/>
            <w:vAlign w:val="bottom"/>
            <w:gridSpan w:val="2"/>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Borders>
              <w:right w:val="single" w:sz="8" w:color="auto"/>
            </w:tcBorders>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02"/>
        </w:trPr>
        <w:tc>
          <w:tcPr>
            <w:tcW w:w="480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Date: May 20, 2021_____________________</w:t>
            </w:r>
          </w:p>
        </w:tc>
        <w:tc>
          <w:tcPr>
            <w:tcW w:w="4660" w:type="dxa"/>
            <w:vAlign w:val="bottom"/>
            <w:gridSpan w:val="5"/>
          </w:tcPr>
          <w:p>
            <w:pPr>
              <w:ind w:left="820"/>
              <w:spacing w:after="0"/>
              <w:rPr>
                <w:sz w:val="20"/>
                <w:szCs w:val="20"/>
                <w:color w:val="auto"/>
              </w:rPr>
            </w:pPr>
            <w:r>
              <w:rPr>
                <w:rFonts w:ascii="Times New Roman" w:cs="Times New Roman" w:eastAsia="Times New Roman" w:hAnsi="Times New Roman"/>
                <w:sz w:val="21"/>
                <w:szCs w:val="21"/>
                <w:color w:val="auto"/>
              </w:rPr>
              <w:t>Date: 5/21/2021_______________________</w:t>
            </w: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ectPr>
          <w:pgSz w:w="11900" w:h="16838" w:orient="portrait"/>
          <w:cols w:equalWidth="0" w:num="1">
            <w:col w:w="11240"/>
          </w:cols>
          <w:pgMar w:left="320" w:top="339"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Attachment A</w:t>
      </w:r>
    </w:p>
    <w:p>
      <w:pPr>
        <w:spacing w:after="0" w:line="21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1"/>
          <w:szCs w:val="21"/>
          <w:b w:val="1"/>
          <w:bCs w:val="1"/>
          <w:color w:val="auto"/>
        </w:rPr>
        <w:t>Statement of Work</w:t>
      </w:r>
    </w:p>
    <w:p>
      <w:pPr>
        <w:spacing w:after="0" w:line="21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i w:val="1"/>
          <w:iCs w:val="1"/>
          <w:color w:val="auto"/>
        </w:rPr>
        <w:t>(Incorporated as of Modification No. 03; changes to Sections 1, 3, 4, 5, 6, and 7 are indicated in bold italics.)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w:t>
      </w:r>
    </w:p>
    <w:p>
      <w:pPr>
        <w:jc w:val="center"/>
        <w:spacing w:after="0"/>
        <w:rPr>
          <w:sz w:val="20"/>
          <w:szCs w:val="20"/>
          <w:color w:val="auto"/>
        </w:rPr>
      </w:pPr>
      <w:r>
        <w:rPr>
          <w:rFonts w:ascii="Times New Roman" w:cs="Times New Roman" w:eastAsia="Times New Roman" w:hAnsi="Times New Roman"/>
          <w:sz w:val="21"/>
          <w:szCs w:val="21"/>
          <w:b w:val="1"/>
          <w:bCs w:val="1"/>
          <w:color w:val="auto"/>
        </w:rPr>
        <w:t>Large-Scale Manufacturing of Antibodies Directed to SARS-CoV-2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RPP #: RPP-20-08</w:t>
      </w:r>
    </w:p>
    <w:p>
      <w:pPr>
        <w:spacing w:after="0" w:line="213" w:lineRule="auto"/>
        <w:rPr>
          <w:sz w:val="20"/>
          <w:szCs w:val="20"/>
          <w:color w:val="auto"/>
        </w:rPr>
      </w:pPr>
      <w:r>
        <w:rPr>
          <w:rFonts w:ascii="Times New Roman" w:cs="Times New Roman" w:eastAsia="Times New Roman" w:hAnsi="Times New Roman"/>
          <w:sz w:val="21"/>
          <w:szCs w:val="21"/>
          <w:b w:val="1"/>
          <w:bCs w:val="1"/>
          <w:color w:val="auto"/>
        </w:rPr>
        <w:t>Project Identifier: MCDC OTA 2008-005, W15QKN-16-9-1002</w:t>
      </w:r>
    </w:p>
    <w:p>
      <w:pPr>
        <w:spacing w:after="0" w:line="212" w:lineRule="auto"/>
        <w:rPr>
          <w:sz w:val="20"/>
          <w:szCs w:val="20"/>
          <w:color w:val="auto"/>
        </w:rPr>
      </w:pPr>
      <w:r>
        <w:rPr>
          <w:rFonts w:ascii="Times New Roman" w:cs="Times New Roman" w:eastAsia="Times New Roman" w:hAnsi="Times New Roman"/>
          <w:sz w:val="21"/>
          <w:szCs w:val="21"/>
          <w:b w:val="1"/>
          <w:bCs w:val="1"/>
          <w:color w:val="auto"/>
        </w:rPr>
        <w:t>Consortium Member: Regeneron Pharmaceuticals, Inc.</w:t>
      </w:r>
    </w:p>
    <w:p>
      <w:pPr>
        <w:spacing w:after="0" w:line="213" w:lineRule="auto"/>
        <w:rPr>
          <w:sz w:val="20"/>
          <w:szCs w:val="20"/>
          <w:color w:val="auto"/>
        </w:rPr>
      </w:pPr>
      <w:r>
        <w:rPr>
          <w:rFonts w:ascii="Times New Roman" w:cs="Times New Roman" w:eastAsia="Times New Roman" w:hAnsi="Times New Roman"/>
          <w:sz w:val="21"/>
          <w:szCs w:val="21"/>
          <w:b w:val="1"/>
          <w:bCs w:val="1"/>
          <w:color w:val="auto"/>
        </w:rPr>
        <w:t>Title of Proposal: Large-Scale Manufacturing of Antibodies Directed to SARS-CoV-2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Date Updated: November 10, 2020</w:t>
      </w:r>
    </w:p>
    <w:p>
      <w:pPr>
        <w:spacing w:after="0" w:line="15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1.0</w:t>
        <w:tab/>
        <w:t>INTRODUCTION, SCOPE, AND OBJECTIVES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 Preamble</w:t>
      </w:r>
    </w:p>
    <w:p>
      <w:pPr>
        <w:spacing w:after="0" w:line="190"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Regeneron Pharmaceuticals, Inc. (referred to herein as “Regeneron”, “Offeror”, “Contractor” or “Recipient”) has demonstrated experience with rapid scale-up of biopharmaceutical programs. Our excellent history of receiving development scale processes from Research and Development (R&amp;D) laboratories, and then expanding to clinical or commercial Good Manufacturing Practice (GMP) scale production, is well documented. Greater than 65 processes have been transferred since 2008 with a success rate of 100%. We have consistently demonstrated our ability to expedite the delivery of high quality, safe and efficacious products (Ebola therapeutic) in partnership with the Government (anti-MERS, anti-Ebola).</w:t>
      </w:r>
    </w:p>
    <w:p>
      <w:pPr>
        <w:spacing w:after="0" w:line="15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color w:val="auto"/>
        </w:rPr>
        <w:t>Fully human monoclonal antibodies (mAbs) are molecules with high potency, predictable Pharmacokinetics (PK), and limited off-target toxicity, and thus provide attractive types of therapeutics for emerging diseases. Importantly, we have repeatedly demonstrated that candidate mAb-based drugs to prevent and/or treat emerging infections, can be rapidly obtained from Regeneron’s proprietary VelocImmune® mice. Further, our ability to concurrently generate isogenic cell lines that are optimized for rapid antibody scale up and manufacturing using our proprietary Chemistry, Manufacturing, and Controls (CMC) platform technologies, have facilitated both testing of our mAbs in preclinical models and subsequent development of these mAbs into drugs suitable for human testing. In the process of completing many of these activities we have collaborated with other entities (including BARDA, Research Institutes, Government Laboratories and Universities). Our manufacturing has been designed to be paired with our proprietary VelocImmune® R&amp;D technology, that is a proven process to rapidly take a research concept from the bench, into large scale production, with the ability to deliver medicines to patients.</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The Government has advised Regeneron that it is appropriate for the project described in this Project Agreement to be performed through the Medical CBRN Defense Consortium (MCDC), under the authority of the MCDC Other Transaction Agreement No. W15QKN-16-9-1002. Regeneron is amenable to performing the project pursuant to such authority, based on the advice of the Government, and due to the unprecedented circumstances of the Coronavirus Disease 2019 (COVID-19) pandemic and, accordingly, the parties have entered into this Project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1240"/>
          </w:cols>
          <w:pgMar w:left="320" w:top="95"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2</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 Overall Objectives and Scope</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This project is defined by discrete work segments for the continuous manufacture of drug substance, formulated drug substance and filled, packaged and labeled drug product, in accordance with a mutually agreed schedule.</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Pursuant to this project, Regeneron will manufacture and sell drug product to the applicable United States (U.S.) Federal Government agency, for distribution in the U.S.</w:t>
      </w:r>
    </w:p>
    <w:p>
      <w:pPr>
        <w:spacing w:after="0" w:line="14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 xml:space="preserve">In addition, Regeneron, as a service to the Government, will engage one or more third party service providers (each a “Distributor”) to perform storage and distribution activities for such drug product for the Government </w:t>
      </w:r>
      <w:r>
        <w:rPr>
          <w:rFonts w:ascii="Times New Roman" w:cs="Times New Roman" w:eastAsia="Times New Roman" w:hAnsi="Times New Roman"/>
          <w:sz w:val="21"/>
          <w:szCs w:val="21"/>
          <w:b w:val="1"/>
          <w:bCs w:val="1"/>
          <w:i w:val="1"/>
          <w:iCs w:val="1"/>
          <w:color w:val="auto"/>
        </w:rPr>
        <w:t>in the United States</w:t>
      </w:r>
      <w:r>
        <w:rPr>
          <w:rFonts w:ascii="Times New Roman" w:cs="Times New Roman" w:eastAsia="Times New Roman" w:hAnsi="Times New Roman"/>
          <w:sz w:val="21"/>
          <w:szCs w:val="21"/>
          <w:color w:val="auto"/>
        </w:rPr>
        <w:t>, at the direction of the Government. The Government will be solely responsible to determine the allocation of product to end users and to communicate such allocation determinations to the Distributor. The Government agrees that Regeneron will not be involved in or responsible for any such determinations.</w:t>
      </w:r>
    </w:p>
    <w:p>
      <w:pPr>
        <w:spacing w:after="0" w:line="15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Regeneron may conduct such activities itself or through one or more of its affiliates, including Regeneron Healthcare Solutions, Inc. References to “Regeneron” will be deemed to include such affiliates. All manufacturing described herein will be compliant with Food and Drug Administration (FDA) current Good Manufacturing Practices (cGMP), as 21 CFR 210 and 211.</w:t>
      </w:r>
    </w:p>
    <w:p>
      <w:pPr>
        <w:spacing w:after="0" w:line="14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1.1</w:t>
        <w:tab/>
        <w:t>Introduction</w:t>
      </w:r>
    </w:p>
    <w:p>
      <w:pPr>
        <w:spacing w:after="0" w:line="19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The objective is to conduct the manufacturing production activities described in this proposal for prototypes consisting of novel, proprietary mAb therapeutics and prophylactics, to reduce pathology of COVID-19 disease and/or prevent development of disease when administered prophylactically. In addition, Regeneron will engage the Distributor to perform storage and distribution of the product for the Government </w:t>
      </w:r>
      <w:r>
        <w:rPr>
          <w:rFonts w:ascii="Times New Roman" w:cs="Times New Roman" w:eastAsia="Times New Roman" w:hAnsi="Times New Roman"/>
          <w:sz w:val="21"/>
          <w:szCs w:val="21"/>
          <w:b w:val="1"/>
          <w:bCs w:val="1"/>
          <w:i w:val="1"/>
          <w:iCs w:val="1"/>
          <w:color w:val="auto"/>
        </w:rPr>
        <w:t>in the United States</w:t>
      </w:r>
      <w:r>
        <w:rPr>
          <w:rFonts w:ascii="Times New Roman" w:cs="Times New Roman" w:eastAsia="Times New Roman" w:hAnsi="Times New Roman"/>
          <w:sz w:val="21"/>
          <w:szCs w:val="21"/>
          <w:color w:val="auto"/>
        </w:rPr>
        <w:t>, at the Government’s direction and control.</w:t>
      </w:r>
    </w:p>
    <w:p>
      <w:pPr>
        <w:spacing w:after="0" w:line="14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1.2</w:t>
        <w:tab/>
        <w:t>Scope</w:t>
      </w:r>
    </w:p>
    <w:p>
      <w:pPr>
        <w:spacing w:after="0" w:line="19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These manufacturing production activities will include manufacturing at-scale, filling and finishing, and storage and shipping of Severe Acute Respiratory Syndrome Coronavirus 2 (SARS-CoV-2)-specific monoclonal antibodies (referred to herein as the “prototype”, the “prototype product”, the “product” or “drug product”) for treatment and/or prophylaxis against COVID-19.</w:t>
      </w:r>
    </w:p>
    <w:p>
      <w:pPr>
        <w:spacing w:after="0" w:line="14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1.3</w:t>
        <w:tab/>
        <w:t>Definition of the Prototype Project</w:t>
      </w:r>
    </w:p>
    <w:p>
      <w:pPr>
        <w:spacing w:after="0" w:line="190"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color w:val="auto"/>
        </w:rPr>
        <w:t>Consistent with USG objectives, Regeneron will employ its proprietary manufacturing technology and processes, in a manner compliant with applicable laws and regulations, including 21 CFR 210 and 211 and, to the extent applicable, the Drug Supply Chain Security Act, to manufacture the prototype product. This effort constitutes a prototype project because it will be used to evaluate the technical feasibility of manufacturing the prototype product during the ongoing COVID-19 pandemic. In addition, this is a prototype project because Regeneron will demonstrate, and prove-out the at-scale, multi-lot proprietary manufacturing activities of Regeneron in order to assess the feasibility of these activities to support the necessary quantity of the prototype product to treat the U.S. population. Successful completion of the prototype project will demonstrate Regeneron’s capability to (i) rapidly manufacture product, which can be further scaled-up to meet mutually agreed to surge requirements with little advance notification and (ii) facilitate the Government’s ability to stockpile and distribute large quantities of the drug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1240"/>
          </w:cols>
          <w:pgMar w:left="320" w:top="95"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3</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product to respond when needed, including for use in clinical studies, under an Emergency Use Authorization (EUA), or pursuant to other approval from the U.S. FDA. For clarity, any manufacturing and supply of drug product in excess of the specific quantities set forth in Section 4.0 of this Statement of Work, shall be subject to a separate mutual agreement between Regeneron and the Government.</w:t>
      </w:r>
    </w:p>
    <w:p>
      <w:pPr>
        <w:spacing w:after="0" w:line="15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The scope of effort supported by this agreement is further clarified in Section 1.4. It is important to note that nonclinical and clinical studies for the prototype are being conducted by Regeneron outside of this agreement. The results of those studies may be used to develop use case scenarios and, in turn, inform the USG’s deployment strategy as it relates to product manufactured under this agreement; however, such results (including the degree to which the data are “positive” or “negative”) shall not be a factor in this prototype project. It is also important to note that the distribution and storage services performed for the Government by the Distributor engaged by Regeneron, are not part of the prototype project.</w:t>
      </w:r>
    </w:p>
    <w:p>
      <w:pPr>
        <w:spacing w:after="0" w:line="14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1.4</w:t>
        <w:tab/>
        <w:t>Objective</w:t>
      </w:r>
    </w:p>
    <w:p>
      <w:pPr>
        <w:spacing w:after="0" w:line="190" w:lineRule="exact"/>
        <w:rPr>
          <w:sz w:val="20"/>
          <w:szCs w:val="20"/>
          <w:color w:val="auto"/>
        </w:rPr>
      </w:pPr>
    </w:p>
    <w:p>
      <w:pPr>
        <w:jc w:val="both"/>
        <w:ind w:left="640" w:hanging="312"/>
        <w:spacing w:after="0" w:line="234" w:lineRule="auto"/>
        <w:tabs>
          <w:tab w:leader="none" w:pos="63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Conduct its proprietary manufacturing production activities described in this proposal for prototypes consisting of novel, proprietary mAb therapeutics and prophylactics, to reduce pathology of COVID-19 disease and/or prevent development of disease when administered prophylactically.</w:t>
      </w:r>
    </w:p>
    <w:p>
      <w:pPr>
        <w:spacing w:after="0" w:line="149" w:lineRule="exact"/>
        <w:rPr>
          <w:rFonts w:ascii="Times New Roman" w:cs="Times New Roman" w:eastAsia="Times New Roman" w:hAnsi="Times New Roman"/>
          <w:sz w:val="21"/>
          <w:szCs w:val="21"/>
          <w:color w:val="auto"/>
        </w:rPr>
      </w:pPr>
    </w:p>
    <w:p>
      <w:pPr>
        <w:ind w:left="640" w:hanging="312"/>
        <w:spacing w:after="0"/>
        <w:tabs>
          <w:tab w:leader="none" w:pos="6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prototypes will include one or more of the following, as mutually agreed between Offeror and the Government:</w:t>
      </w:r>
    </w:p>
    <w:p>
      <w:pPr>
        <w:spacing w:after="0" w:line="182"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Courier New" w:cs="Courier New" w:eastAsia="Courier New" w:hAnsi="Courier New"/>
          <w:sz w:val="21"/>
          <w:szCs w:val="21"/>
          <w:color w:val="auto"/>
        </w:rPr>
        <w:t xml:space="preserve">o  </w:t>
      </w:r>
      <w:r>
        <w:rPr>
          <w:rFonts w:ascii="Times New Roman" w:cs="Times New Roman" w:eastAsia="Times New Roman" w:hAnsi="Times New Roman"/>
          <w:sz w:val="21"/>
          <w:szCs w:val="21"/>
          <w:color w:val="auto"/>
        </w:rPr>
        <w:t>the mAbs known as REGN10987 and REGN10933, as a cocktail;</w:t>
      </w:r>
    </w:p>
    <w:p>
      <w:pPr>
        <w:spacing w:after="0" w:line="182" w:lineRule="exact"/>
        <w:rPr>
          <w:rFonts w:ascii="Times New Roman" w:cs="Times New Roman" w:eastAsia="Times New Roman" w:hAnsi="Times New Roman"/>
          <w:sz w:val="21"/>
          <w:szCs w:val="21"/>
          <w:color w:val="auto"/>
        </w:rPr>
      </w:pPr>
    </w:p>
    <w:p>
      <w:pPr>
        <w:ind w:left="980" w:hanging="321"/>
        <w:spacing w:after="0"/>
        <w:rPr>
          <w:rFonts w:ascii="Times New Roman" w:cs="Times New Roman" w:eastAsia="Times New Roman" w:hAnsi="Times New Roman"/>
          <w:sz w:val="21"/>
          <w:szCs w:val="21"/>
          <w:color w:val="auto"/>
        </w:rPr>
      </w:pPr>
      <w:r>
        <w:rPr>
          <w:rFonts w:ascii="Courier New" w:cs="Courier New" w:eastAsia="Courier New" w:hAnsi="Courier New"/>
          <w:sz w:val="21"/>
          <w:szCs w:val="21"/>
          <w:color w:val="auto"/>
        </w:rPr>
        <w:t xml:space="preserve">o </w:t>
      </w:r>
      <w:r>
        <w:rPr>
          <w:rFonts w:ascii="Times New Roman" w:cs="Times New Roman" w:eastAsia="Times New Roman" w:hAnsi="Times New Roman"/>
          <w:sz w:val="21"/>
          <w:szCs w:val="21"/>
          <w:color w:val="auto"/>
        </w:rPr>
        <w:t>Other mAbs (as monotherapies or a cocktail) as agreed to by bilateral modification between Offeror and the</w:t>
      </w:r>
      <w:r>
        <w:rPr>
          <w:rFonts w:ascii="Courier New" w:cs="Courier New" w:eastAsia="Courier New" w:hAnsi="Courier New"/>
          <w:sz w:val="21"/>
          <w:szCs w:val="21"/>
          <w:color w:val="auto"/>
        </w:rPr>
        <w:t xml:space="preserve"> </w:t>
      </w:r>
      <w:r>
        <w:rPr>
          <w:rFonts w:ascii="Times New Roman" w:cs="Times New Roman" w:eastAsia="Times New Roman" w:hAnsi="Times New Roman"/>
          <w:sz w:val="21"/>
          <w:szCs w:val="21"/>
          <w:color w:val="auto"/>
        </w:rPr>
        <w:t>Government.</w:t>
      </w:r>
    </w:p>
    <w:p>
      <w:pPr>
        <w:spacing w:after="0" w:line="399" w:lineRule="exact"/>
        <w:rPr>
          <w:rFonts w:ascii="Times New Roman" w:cs="Times New Roman" w:eastAsia="Times New Roman" w:hAnsi="Times New Roman"/>
          <w:sz w:val="21"/>
          <w:szCs w:val="21"/>
          <w:color w:val="auto"/>
        </w:rPr>
      </w:pPr>
    </w:p>
    <w:p>
      <w:pPr>
        <w:jc w:val="both"/>
        <w:ind w:left="640" w:hanging="312"/>
        <w:spacing w:after="0" w:line="225" w:lineRule="auto"/>
        <w:tabs>
          <w:tab w:leader="none" w:pos="63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deliverables will be the products listed above (i.e., REGN10987 and REGN10933), in the form of bulk formulated drug substance and/or filled and finished product in vials, as mutually agreed between Offeror and the Government, packaged and labeled drug product, results, reports and records associated with generation of data demonstrating quality and control. Other deliverables will include product storage and support for the Government’s distribution activities </w:t>
      </w:r>
      <w:r>
        <w:rPr>
          <w:rFonts w:ascii="Times New Roman" w:cs="Times New Roman" w:eastAsia="Times New Roman" w:hAnsi="Times New Roman"/>
          <w:sz w:val="21"/>
          <w:szCs w:val="21"/>
          <w:b w:val="1"/>
          <w:bCs w:val="1"/>
          <w:i w:val="1"/>
          <w:iCs w:val="1"/>
          <w:color w:val="auto"/>
        </w:rPr>
        <w:t>in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 xml:space="preserve">United States </w:t>
      </w:r>
      <w:r>
        <w:rPr>
          <w:rFonts w:ascii="Times New Roman" w:cs="Times New Roman" w:eastAsia="Times New Roman" w:hAnsi="Times New Roman"/>
          <w:sz w:val="21"/>
          <w:szCs w:val="21"/>
          <w:color w:val="auto"/>
        </w:rPr>
        <w:t>to be provided at the Government’s direction.</w:t>
      </w:r>
    </w:p>
    <w:p>
      <w:pPr>
        <w:spacing w:after="0" w:line="151" w:lineRule="exact"/>
        <w:rPr>
          <w:rFonts w:ascii="Times New Roman" w:cs="Times New Roman" w:eastAsia="Times New Roman" w:hAnsi="Times New Roman"/>
          <w:sz w:val="21"/>
          <w:szCs w:val="21"/>
          <w:color w:val="auto"/>
        </w:rPr>
      </w:pPr>
    </w:p>
    <w:p>
      <w:pPr>
        <w:jc w:val="both"/>
        <w:ind w:left="640" w:hanging="312"/>
        <w:spacing w:after="0" w:line="220" w:lineRule="auto"/>
        <w:tabs>
          <w:tab w:leader="none" w:pos="63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products will be delivered in the form and quantity to be agreed between Offeror and the Government. It is expected that the prototypes will be stored by Offeror until such time as (a) they can be used for pre-clinical or clinical development purposes under an Investigational New Drug application (IND), or (b) upon the FDA’s grant of an EUA under Section 564 of the Food, Drug and Cosmetic Act (FD&amp;C Act), or full marketing approval under a full Biologics License Application (BLA) under Section 351(a) of the Public Health Service Act (PHSA). In the event the FDA grants an EUA, the product will be distributed by the Distributor pursuant to direction from the Government (i.e., the Government will direct the Distributor where the product is to be distributed and in what quantities, and Regeneron will not be responsible for, or involved in, such direction).</w:t>
      </w:r>
    </w:p>
    <w:p>
      <w:pPr>
        <w:spacing w:after="0" w:line="15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1.5</w:t>
        <w:tab/>
        <w:t>Follow-on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1240"/>
          </w:cols>
          <w:pgMar w:left="320" w:top="95"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4</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color w:val="auto"/>
        </w:rPr>
        <w:t>In accordance with 10.U.S.C. 2371b(f), and upon successful demonstration of the prototype, or at the accomplishment of particularly favorable or unexpected results achieved outside of this Agreement that would justify transitioning to production (e.g., EUA or BLA), additional at-scale manufacturing of up to 800,000 treatment courses, supported by a mutually agreed upon follow-on production contract or Other Transaction Agreement, may be awarded to Regeneron, without further competition, to partially or completely meet the USG objective of supplying a safe and effective COVID-19 therapeutic or prophylactic treatment courses to ensure nationwide access. For clarity, any manufacturing and supply of drug product in excess of the specific quantities set forth in Section 4.0 of this Statement of Work shall be subject to a mutually-agreed upon separate agreement between Regeneron and the Government. For further clarity, neither party shall be obligated to negotiate or enter into such a separate agreement for follow-on production.</w:t>
      </w:r>
    </w:p>
    <w:p>
      <w:pPr>
        <w:spacing w:after="0" w:line="1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During the performance of the prototype project, the Government and contractor may negotiate the scope and price of follow-on production.</w:t>
      </w:r>
    </w:p>
    <w:p>
      <w:pPr>
        <w:spacing w:after="0" w:line="13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2.0</w:t>
        <w:tab/>
        <w:t>APPLICABLE REFERENCES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Current Good Manufacturing Practices, 21 CFR 210, 211</w:t>
      </w:r>
    </w:p>
    <w:p>
      <w:pPr>
        <w:spacing w:after="0" w:line="18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3.0</w:t>
        <w:tab/>
        <w:t>REQUIREMENTS</w:t>
      </w:r>
    </w:p>
    <w:p>
      <w:pPr>
        <w:spacing w:after="0" w:line="18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3.1</w:t>
        <w:tab/>
        <w:t>Technical</w:t>
      </w:r>
    </w:p>
    <w:p>
      <w:pPr>
        <w:spacing w:after="0" w:line="190" w:lineRule="exact"/>
        <w:rPr>
          <w:sz w:val="20"/>
          <w:szCs w:val="20"/>
          <w:color w:val="auto"/>
        </w:rPr>
      </w:pPr>
    </w:p>
    <w:p>
      <w:pPr>
        <w:jc w:val="both"/>
        <w:ind w:left="640" w:hanging="312"/>
        <w:spacing w:after="0" w:line="234" w:lineRule="auto"/>
        <w:tabs>
          <w:tab w:leader="none" w:pos="635"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Offeror’s technical approach is expected to be similar, but not duplicative, to its manufacturing activities under its current agreements with the Biomedical Advanced Research and Development Authority (BARDA), including contract # HHSO100201700016C, and will include the following:</w:t>
      </w:r>
    </w:p>
    <w:p>
      <w:pPr>
        <w:spacing w:after="0" w:line="149" w:lineRule="exact"/>
        <w:rPr>
          <w:rFonts w:ascii="Times New Roman" w:cs="Times New Roman" w:eastAsia="Times New Roman" w:hAnsi="Times New Roman"/>
          <w:sz w:val="21"/>
          <w:szCs w:val="21"/>
          <w:color w:val="auto"/>
        </w:rPr>
      </w:pPr>
    </w:p>
    <w:p>
      <w:pPr>
        <w:ind w:left="960" w:hanging="311"/>
        <w:spacing w:after="0"/>
        <w:tabs>
          <w:tab w:leader="none" w:pos="960" w:val="left"/>
        </w:tabs>
        <w:numPr>
          <w:ilvl w:val="1"/>
          <w:numId w:val="46"/>
        </w:numPr>
        <w:rPr>
          <w:rFonts w:ascii="Courier New" w:cs="Courier New" w:eastAsia="Courier New" w:hAnsi="Courier New"/>
          <w:sz w:val="21"/>
          <w:szCs w:val="21"/>
          <w:color w:val="auto"/>
        </w:rPr>
      </w:pPr>
      <w:r>
        <w:rPr>
          <w:rFonts w:ascii="Times New Roman" w:cs="Times New Roman" w:eastAsia="Times New Roman" w:hAnsi="Times New Roman"/>
          <w:sz w:val="21"/>
          <w:szCs w:val="21"/>
          <w:color w:val="auto"/>
        </w:rPr>
        <w:t>Drug Substance, Formulated Drug Substance, Drug Product (DS/FDS/DP) quality and control.</w:t>
      </w:r>
    </w:p>
    <w:p>
      <w:pPr>
        <w:spacing w:after="0" w:line="182" w:lineRule="exact"/>
        <w:rPr>
          <w:rFonts w:ascii="Courier New" w:cs="Courier New" w:eastAsia="Courier New" w:hAnsi="Courier New"/>
          <w:sz w:val="21"/>
          <w:szCs w:val="21"/>
          <w:color w:val="auto"/>
        </w:rPr>
      </w:pPr>
    </w:p>
    <w:p>
      <w:pPr>
        <w:ind w:left="1280" w:hanging="310"/>
        <w:spacing w:after="0"/>
        <w:tabs>
          <w:tab w:leader="none" w:pos="1280" w:val="left"/>
        </w:tabs>
        <w:numPr>
          <w:ilvl w:val="2"/>
          <w:numId w:val="46"/>
        </w:numPr>
        <w:rPr>
          <w:rFonts w:ascii="Arial" w:cs="Arial" w:eastAsia="Arial" w:hAnsi="Arial"/>
          <w:sz w:val="21"/>
          <w:szCs w:val="21"/>
          <w:color w:val="auto"/>
        </w:rPr>
      </w:pPr>
      <w:r>
        <w:rPr>
          <w:rFonts w:ascii="Times New Roman" w:cs="Times New Roman" w:eastAsia="Times New Roman" w:hAnsi="Times New Roman"/>
          <w:sz w:val="21"/>
          <w:szCs w:val="21"/>
          <w:color w:val="auto"/>
        </w:rPr>
        <w:t>Regeneron will apply statistical process analysis to continuously qualify in-process controls and release parameters.</w:t>
      </w:r>
    </w:p>
    <w:p>
      <w:pPr>
        <w:spacing w:after="0" w:line="185" w:lineRule="exact"/>
        <w:rPr>
          <w:rFonts w:ascii="Arial" w:cs="Arial" w:eastAsia="Arial" w:hAnsi="Arial"/>
          <w:sz w:val="21"/>
          <w:szCs w:val="21"/>
          <w:color w:val="auto"/>
        </w:rPr>
      </w:pPr>
    </w:p>
    <w:p>
      <w:pPr>
        <w:jc w:val="both"/>
        <w:ind w:left="1300" w:hanging="330"/>
        <w:spacing w:after="0"/>
        <w:tabs>
          <w:tab w:leader="none" w:pos="1295" w:val="left"/>
        </w:tabs>
        <w:numPr>
          <w:ilvl w:val="2"/>
          <w:numId w:val="46"/>
        </w:numPr>
        <w:rPr>
          <w:rFonts w:ascii="Arial" w:cs="Arial" w:eastAsia="Arial" w:hAnsi="Arial"/>
          <w:sz w:val="21"/>
          <w:szCs w:val="21"/>
          <w:color w:val="auto"/>
        </w:rPr>
      </w:pPr>
      <w:r>
        <w:rPr>
          <w:rFonts w:ascii="Times New Roman" w:cs="Times New Roman" w:eastAsia="Times New Roman" w:hAnsi="Times New Roman"/>
          <w:sz w:val="21"/>
          <w:szCs w:val="21"/>
          <w:color w:val="auto"/>
        </w:rPr>
        <w:t>The manufacturing process will be evaluated against parameters that are correlated to process performance and product quality. Ranges for the performance of each unit operation will be established through process development recommended ranges, the generation of statistical limits based on small-scale studies, and/or continuous commercial-scale manufacturing experience. These ranges will be monitored during the execution of quality and control, and are designed to ensure that the process is in a state of control and to ensure that the manufacturing process operates in a consistent and reproducible manner. The quality and control runs will also confirm that the process and product impurity profiles are within limits, demonstrate the consistent removal of impurities, and demonstrate that the process is capable of operating within acceptable microbiological control limits. Additional sampling and testing beyond that needed to assess process performance, may be completed to further process understanding.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1240"/>
          </w:cols>
          <w:pgMar w:left="320" w:top="95"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5</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30" w:hanging="330"/>
        <w:spacing w:after="0" w:line="252" w:lineRule="auto"/>
        <w:tabs>
          <w:tab w:leader="none" w:pos="325" w:val="left"/>
        </w:tabs>
        <w:numPr>
          <w:ilvl w:val="0"/>
          <w:numId w:val="47"/>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Intermediate Hold Time Validation</w:t>
      </w:r>
      <w:r>
        <w:rPr>
          <w:rFonts w:ascii="Times New Roman" w:cs="Times New Roman" w:eastAsia="Times New Roman" w:hAnsi="Times New Roman"/>
          <w:sz w:val="21"/>
          <w:szCs w:val="21"/>
          <w:color w:val="auto"/>
        </w:rPr>
        <w:t>: Intermediate hold time validation to be performed via combination of at scale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small scale executions:</w:t>
      </w:r>
    </w:p>
    <w:p>
      <w:pPr>
        <w:spacing w:after="0" w:line="137" w:lineRule="exact"/>
        <w:rPr>
          <w:rFonts w:ascii="Arial" w:cs="Arial" w:eastAsia="Arial" w:hAnsi="Arial"/>
          <w:sz w:val="21"/>
          <w:szCs w:val="21"/>
          <w:color w:val="auto"/>
        </w:rPr>
      </w:pPr>
    </w:p>
    <w:p>
      <w:pPr>
        <w:ind w:left="650" w:hanging="329"/>
        <w:spacing w:after="0" w:line="249" w:lineRule="auto"/>
        <w:tabs>
          <w:tab w:leader="none" w:pos="645"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Microbial Control: Where appropriate, microbial control data from at scale hold time studies, will be leveraged from historical validation runs with molecules which have similar equipment and sanitization procedures.</w:t>
      </w:r>
    </w:p>
    <w:p>
      <w:pPr>
        <w:spacing w:after="0" w:line="140" w:lineRule="exact"/>
        <w:rPr>
          <w:rFonts w:ascii="Times New Roman" w:cs="Times New Roman" w:eastAsia="Times New Roman" w:hAnsi="Times New Roman"/>
          <w:sz w:val="21"/>
          <w:szCs w:val="21"/>
          <w:color w:val="auto"/>
        </w:rPr>
      </w:pPr>
    </w:p>
    <w:p>
      <w:pPr>
        <w:jc w:val="both"/>
        <w:ind w:left="650" w:right="20" w:hanging="329"/>
        <w:spacing w:after="0" w:line="234" w:lineRule="auto"/>
        <w:tabs>
          <w:tab w:leader="none" w:pos="645"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Chemical Stability: Chemical stability will be demonstrated using data from laboratory scale hold time studies performed for each of the prototypes, using material obtained from in-process pools from the 10,000 L manufacturing executions.</w:t>
      </w:r>
    </w:p>
    <w:p>
      <w:pPr>
        <w:spacing w:after="0" w:line="145" w:lineRule="exact"/>
        <w:rPr>
          <w:rFonts w:ascii="Times New Roman" w:cs="Times New Roman" w:eastAsia="Times New Roman" w:hAnsi="Times New Roman"/>
          <w:sz w:val="21"/>
          <w:szCs w:val="21"/>
          <w:color w:val="auto"/>
        </w:rPr>
      </w:pPr>
    </w:p>
    <w:p>
      <w:pPr>
        <w:jc w:val="both"/>
        <w:ind w:left="330" w:hanging="330"/>
        <w:spacing w:after="0" w:line="223" w:lineRule="auto"/>
        <w:tabs>
          <w:tab w:leader="none" w:pos="325" w:val="left"/>
        </w:tabs>
        <w:numPr>
          <w:ilvl w:val="0"/>
          <w:numId w:val="47"/>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Media, Feed and Buffer Mixing Validation</w:t>
      </w:r>
      <w:r>
        <w:rPr>
          <w:rFonts w:ascii="Times New Roman" w:cs="Times New Roman" w:eastAsia="Times New Roman" w:hAnsi="Times New Roman"/>
          <w:sz w:val="21"/>
          <w:szCs w:val="21"/>
          <w:color w:val="auto"/>
        </w:rPr>
        <w:t>: Preparation of buffers and media will be validated at commercial-scale.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These validation studies will demonstrate that the preparation process consistently produces solutions meeting predefined limits for parameters indicative of homogeneity, such as pH, conductivity, osmolality, and turbidity. Where vessels of equivalent design and construction exist within the manufacturing facility, validation of media and buffer preparation will be performed on one representative vessel on at least three consecutive and successful executions.</w:t>
      </w:r>
    </w:p>
    <w:p>
      <w:pPr>
        <w:spacing w:after="0" w:line="150" w:lineRule="exact"/>
        <w:rPr>
          <w:rFonts w:ascii="Arial" w:cs="Arial" w:eastAsia="Arial" w:hAnsi="Arial"/>
          <w:sz w:val="21"/>
          <w:szCs w:val="21"/>
          <w:color w:val="auto"/>
        </w:rPr>
      </w:pPr>
    </w:p>
    <w:p>
      <w:pPr>
        <w:ind w:left="310" w:hanging="310"/>
        <w:spacing w:after="0"/>
        <w:tabs>
          <w:tab w:leader="none" w:pos="310" w:val="left"/>
        </w:tabs>
        <w:numPr>
          <w:ilvl w:val="0"/>
          <w:numId w:val="47"/>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Medium Storage Validation</w:t>
      </w:r>
      <w:r>
        <w:rPr>
          <w:rFonts w:ascii="Times New Roman" w:cs="Times New Roman" w:eastAsia="Times New Roman" w:hAnsi="Times New Roman"/>
          <w:sz w:val="21"/>
          <w:szCs w:val="21"/>
          <w:color w:val="auto"/>
        </w:rPr>
        <w:t>: Medium storage validation will be separated into preparation hold and post-filtration</w:t>
      </w:r>
    </w:p>
    <w:p>
      <w:pPr>
        <w:jc w:val="both"/>
        <w:ind w:left="330"/>
        <w:spacing w:after="0" w:line="216" w:lineRule="auto"/>
        <w:rPr>
          <w:rFonts w:ascii="Arial" w:cs="Arial" w:eastAsia="Arial" w:hAnsi="Arial"/>
          <w:sz w:val="21"/>
          <w:szCs w:val="21"/>
          <w:color w:val="auto"/>
        </w:rPr>
      </w:pPr>
      <w:r>
        <w:rPr>
          <w:rFonts w:ascii="Times New Roman" w:cs="Times New Roman" w:eastAsia="Times New Roman" w:hAnsi="Times New Roman"/>
          <w:sz w:val="21"/>
          <w:szCs w:val="21"/>
          <w:color w:val="auto"/>
        </w:rPr>
        <w:t>storage, and has two components: microbial control and chemical stability. Pre-filtration microbial control is specific to the raw materials and the environment, and post-filtration microbial control is specific to each storage container and the ability of the storage container to maintain a microbial free condition. Maximum storage times for medium solutions with respect to microbial control will be validated as necessary at commercial scale, through preparation and storage of medium for extended storage times pre- and post-filtration. Validation will be achieved by demonstrating microbial control for a number of consecutive attempts established in the relevant validation protocol. Solutions will be prepared, stored for defined periods and tested for bioburden and endotoxin. Chemical stability of medium may be performed at small-scale to demonstrate storage conditions maintain integrity of chemical components. Bracketing approaches may be used to cover the different feeds and medium used, provided the individual protocol justifies the bracket.</w:t>
      </w:r>
    </w:p>
    <w:p>
      <w:pPr>
        <w:spacing w:after="0" w:line="152" w:lineRule="exact"/>
        <w:rPr>
          <w:rFonts w:ascii="Arial" w:cs="Arial" w:eastAsia="Arial" w:hAnsi="Arial"/>
          <w:sz w:val="21"/>
          <w:szCs w:val="21"/>
          <w:color w:val="auto"/>
        </w:rPr>
      </w:pPr>
    </w:p>
    <w:p>
      <w:pPr>
        <w:ind w:left="310" w:hanging="310"/>
        <w:spacing w:after="0"/>
        <w:tabs>
          <w:tab w:leader="none" w:pos="310" w:val="left"/>
        </w:tabs>
        <w:numPr>
          <w:ilvl w:val="0"/>
          <w:numId w:val="47"/>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 xml:space="preserve">Buffer Storage Validation: </w:t>
      </w:r>
      <w:r>
        <w:rPr>
          <w:rFonts w:ascii="Times New Roman" w:cs="Times New Roman" w:eastAsia="Times New Roman" w:hAnsi="Times New Roman"/>
          <w:sz w:val="21"/>
          <w:szCs w:val="21"/>
          <w:color w:val="auto"/>
        </w:rPr>
        <w:t>Buffer storage validation is separated into preparation hold and post-filtration storage,</w:t>
      </w:r>
    </w:p>
    <w:p>
      <w:pPr>
        <w:jc w:val="both"/>
        <w:ind w:left="330"/>
        <w:spacing w:after="0" w:line="216" w:lineRule="auto"/>
        <w:rPr>
          <w:rFonts w:ascii="Arial" w:cs="Arial" w:eastAsia="Arial" w:hAnsi="Arial"/>
          <w:sz w:val="21"/>
          <w:szCs w:val="21"/>
          <w:color w:val="auto"/>
        </w:rPr>
      </w:pPr>
      <w:r>
        <w:rPr>
          <w:rFonts w:ascii="Times New Roman" w:cs="Times New Roman" w:eastAsia="Times New Roman" w:hAnsi="Times New Roman"/>
          <w:sz w:val="21"/>
          <w:szCs w:val="21"/>
          <w:color w:val="auto"/>
        </w:rPr>
        <w:t>and has two components: microbial control and chemical stability. Preparation holds are dependent on the solution composition. The worst- case solution for growth is determined using a risk-based approach, and post-filtration microbial control is specific to each vessel and the ability of a vessel to maintain a microbial free condition. Maximum storage times for buffer solutions will be validated as necessary at commercial-scale for microbial control, through preparation and storage of a non-growth inhibiting buffer for extended storage times pre- and post-filtration. Validation will be achieved by demonstrating microbial control for a number of consecutive attempts established by the protocol. Buffer hold validation in stainless steel vessels will require ongoing evaluation and monitoring; however, buffer hold validation in disposable bioprocess containers may be shortened, if appropriate, by a bracketing approach. Solutions will be prepared, held and monitored over time for bioburden, endotoxin. Chemical stability of buffers may be performed at small-scale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70"/>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0270"/>
          </w:cols>
          <w:pgMar w:left="1290" w:top="95"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6</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1"/>
          <w:szCs w:val="21"/>
          <w:color w:val="auto"/>
        </w:rPr>
        <w:t>demonstrate that storage conditions maintain integrity of chemical components. Bracketing approaches may be used to cover the large number of buffers used, provided the individual protocol justifies the bracket.</w:t>
      </w:r>
    </w:p>
    <w:p>
      <w:pPr>
        <w:spacing w:after="0" w:line="137" w:lineRule="exact"/>
        <w:rPr>
          <w:sz w:val="20"/>
          <w:szCs w:val="20"/>
          <w:color w:val="auto"/>
        </w:rPr>
      </w:pPr>
    </w:p>
    <w:p>
      <w:pPr>
        <w:jc w:val="both"/>
        <w:ind w:left="660" w:hanging="330"/>
        <w:spacing w:after="0" w:line="229" w:lineRule="auto"/>
        <w:tabs>
          <w:tab w:leader="none" w:pos="655" w:val="left"/>
        </w:tabs>
        <w:numPr>
          <w:ilvl w:val="0"/>
          <w:numId w:val="48"/>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Chromatography Column Sanitization and Storage Validation</w:t>
      </w:r>
      <w:r>
        <w:rPr>
          <w:rFonts w:ascii="Times New Roman" w:cs="Times New Roman" w:eastAsia="Times New Roman" w:hAnsi="Times New Roman"/>
          <w:sz w:val="21"/>
          <w:szCs w:val="21"/>
          <w:color w:val="auto"/>
        </w:rPr>
        <w:t>: Any newly required studies will be performed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validate the cleaning and storage procedures for [* * *] chromatography columns used in the manufacture of the prototypes. In addition, the maximum allowable storage period following cleaning will be established for each of the chromatography resins.</w:t>
      </w:r>
    </w:p>
    <w:p>
      <w:pPr>
        <w:spacing w:after="0" w:line="147" w:lineRule="exact"/>
        <w:rPr>
          <w:rFonts w:ascii="Arial" w:cs="Arial" w:eastAsia="Arial" w:hAnsi="Arial"/>
          <w:sz w:val="21"/>
          <w:szCs w:val="21"/>
          <w:color w:val="auto"/>
        </w:rPr>
      </w:pPr>
    </w:p>
    <w:p>
      <w:pPr>
        <w:jc w:val="both"/>
        <w:ind w:left="660" w:hanging="330"/>
        <w:spacing w:after="0" w:line="223" w:lineRule="auto"/>
        <w:tabs>
          <w:tab w:leader="none" w:pos="655" w:val="left"/>
        </w:tabs>
        <w:numPr>
          <w:ilvl w:val="0"/>
          <w:numId w:val="48"/>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Chromatography Column Cleaning Validation</w:t>
      </w:r>
      <w:r>
        <w:rPr>
          <w:rFonts w:ascii="Times New Roman" w:cs="Times New Roman" w:eastAsia="Times New Roman" w:hAnsi="Times New Roman"/>
          <w:sz w:val="21"/>
          <w:szCs w:val="21"/>
          <w:color w:val="auto"/>
        </w:rPr>
        <w:t>: The efficacy of the solutions used to clean the chromatography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columns will be examined as necessary over three consecutive executions during commercial scale manufacturing of each of the prototypes. The effectiveness of the cleaning procedures will be assessed by sampling the post cleaning (post-use) Water for Injection (WFI) flush effluent; at approximately [* * *] into the flush for bioburden and endotoxin levels (the purpose of which is to demonstrate microbial control). In addition, Total Organic Carbon (TOC) will be measured to verify the absence of lot to lot protein carry over.</w:t>
      </w:r>
    </w:p>
    <w:p>
      <w:pPr>
        <w:spacing w:after="0" w:line="150" w:lineRule="exact"/>
        <w:rPr>
          <w:rFonts w:ascii="Arial" w:cs="Arial" w:eastAsia="Arial" w:hAnsi="Arial"/>
          <w:sz w:val="21"/>
          <w:szCs w:val="21"/>
          <w:color w:val="auto"/>
        </w:rPr>
      </w:pPr>
    </w:p>
    <w:p>
      <w:pPr>
        <w:jc w:val="both"/>
        <w:ind w:left="660" w:hanging="330"/>
        <w:spacing w:after="0" w:line="223" w:lineRule="auto"/>
        <w:tabs>
          <w:tab w:leader="none" w:pos="655" w:val="left"/>
        </w:tabs>
        <w:numPr>
          <w:ilvl w:val="0"/>
          <w:numId w:val="48"/>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Chromatography Column Storage Validation</w:t>
      </w:r>
      <w:r>
        <w:rPr>
          <w:rFonts w:ascii="Times New Roman" w:cs="Times New Roman" w:eastAsia="Times New Roman" w:hAnsi="Times New Roman"/>
          <w:sz w:val="21"/>
          <w:szCs w:val="21"/>
          <w:color w:val="auto"/>
        </w:rPr>
        <w:t>: The efficacy of the solutions used to store the chromatography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columns will be examined, as necessary, over three consecutive executions during commercial scale manufacturing of each of the prototypes. The effectiveness of the cleaning and storage procedures will be assessed by sampling the post storage (pre-use) WFI flush effluent for bioburden, endotoxin levels and TOC. The maximum allowable storage period for each column will be established based on the shortest of the three consecutive executions for which the column remained in the storage solution.</w:t>
      </w:r>
    </w:p>
    <w:p>
      <w:pPr>
        <w:spacing w:after="0" w:line="150" w:lineRule="exact"/>
        <w:rPr>
          <w:rFonts w:ascii="Arial" w:cs="Arial" w:eastAsia="Arial" w:hAnsi="Arial"/>
          <w:sz w:val="21"/>
          <w:szCs w:val="21"/>
          <w:color w:val="auto"/>
        </w:rPr>
      </w:pPr>
    </w:p>
    <w:p>
      <w:pPr>
        <w:jc w:val="both"/>
        <w:ind w:left="660" w:hanging="330"/>
        <w:spacing w:after="0" w:line="218" w:lineRule="auto"/>
        <w:tabs>
          <w:tab w:leader="none" w:pos="655" w:val="left"/>
        </w:tabs>
        <w:numPr>
          <w:ilvl w:val="0"/>
          <w:numId w:val="48"/>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Establishment of In-Process Control (IPC) Program</w:t>
      </w:r>
      <w:r>
        <w:rPr>
          <w:rFonts w:ascii="Times New Roman" w:cs="Times New Roman" w:eastAsia="Times New Roman" w:hAnsi="Times New Roman"/>
          <w:sz w:val="21"/>
          <w:szCs w:val="21"/>
          <w:color w:val="auto"/>
        </w:rPr>
        <w:t>: The IPC program will utilize Statistical Process Control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(SPC) to monitor critical and general process parameters, and critical and general quality attributes for each lot manufactured. On completion of quality and control activities, the IPC development report will establish the set of parameters and attributes to be monitored, and justify appropriate action limits for each. Upon approval of the development report, a Process Performance Monitoring (PPM) Plan will be generated containing the list of IPCs, historical data, selection of monitoring tools and response to signal strategy, statistical summary, and visualization of the IPCs. The IPC development report and PPM Plan will be further updated as laboratory and production scale characterization and validation data is gained, once defined production milestones are achieved, and then annually afterward. The annual updates will assess the overall state of process control and include process capability analysis and assessment of evidence of special cause variation for all applicable IPCs. Process data for individual lots will be monitored through [* * *] PPM meetings, where any trend signals are identified and responded to. These meetings will be attended by subject matter experts from departments including, but not limited to, [* * *].</w:t>
      </w:r>
    </w:p>
    <w:p>
      <w:pPr>
        <w:spacing w:after="0" w:line="149" w:lineRule="exact"/>
        <w:rPr>
          <w:sz w:val="20"/>
          <w:szCs w:val="20"/>
          <w:color w:val="auto"/>
        </w:rPr>
      </w:pPr>
    </w:p>
    <w:p>
      <w:pPr>
        <w:ind w:left="320" w:hanging="311"/>
        <w:spacing w:after="0"/>
        <w:tabs>
          <w:tab w:leader="none" w:pos="320" w:val="left"/>
        </w:tabs>
        <w:numPr>
          <w:ilvl w:val="0"/>
          <w:numId w:val="49"/>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Master Cell Bank (MCB) Genetic Characterization</w:t>
      </w:r>
      <w:r>
        <w:rPr>
          <w:rFonts w:ascii="Times New Roman" w:cs="Times New Roman" w:eastAsia="Times New Roman" w:hAnsi="Times New Roman"/>
          <w:sz w:val="21"/>
          <w:szCs w:val="21"/>
          <w:color w:val="auto"/>
        </w:rPr>
        <w:t>: [* * *].</w:t>
      </w:r>
    </w:p>
    <w:p>
      <w:pPr>
        <w:spacing w:after="0" w:line="182" w:lineRule="exact"/>
        <w:rPr>
          <w:rFonts w:ascii="Courier New" w:cs="Courier New" w:eastAsia="Courier New" w:hAnsi="Courier New"/>
          <w:sz w:val="21"/>
          <w:szCs w:val="21"/>
          <w:color w:val="auto"/>
        </w:rPr>
      </w:pPr>
    </w:p>
    <w:p>
      <w:pPr>
        <w:ind w:left="320" w:hanging="311"/>
        <w:spacing w:after="0"/>
        <w:tabs>
          <w:tab w:leader="none" w:pos="320" w:val="left"/>
        </w:tabs>
        <w:numPr>
          <w:ilvl w:val="0"/>
          <w:numId w:val="49"/>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Working Cell Bank (WCB) Genetic Characterization</w:t>
      </w:r>
      <w:r>
        <w:rPr>
          <w:rFonts w:ascii="Times New Roman" w:cs="Times New Roman" w:eastAsia="Times New Roman" w:hAnsi="Times New Roman"/>
          <w:sz w:val="21"/>
          <w:szCs w:val="21"/>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0600"/>
          </w:cols>
          <w:pgMar w:left="960" w:top="95"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7</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340" w:hanging="331"/>
        <w:spacing w:after="0" w:line="220" w:lineRule="auto"/>
        <w:tabs>
          <w:tab w:leader="none" w:pos="334" w:val="left"/>
        </w:tabs>
        <w:numPr>
          <w:ilvl w:val="0"/>
          <w:numId w:val="50"/>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DS/FDS/DP Registration Stability</w:t>
      </w:r>
      <w:r>
        <w:rPr>
          <w:rFonts w:ascii="Times New Roman" w:cs="Times New Roman" w:eastAsia="Times New Roman" w:hAnsi="Times New Roman"/>
          <w:sz w:val="21"/>
          <w:szCs w:val="21"/>
          <w:color w:val="auto"/>
        </w:rPr>
        <w:t>: Stability studies for DS/FDS/DP will be initiated and executed according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stability protocols, International Council for Harmonisation (ICH) guidelines and internal procedures. Quality and control lots will be stored and monitored at the routine long term storage condition per the Specification for [* * *]. Samples will also be stored and monitored at Accelerated [* * *] condition for [* * *], and Stress [* * *] condition for [* * *] for the evaluation and identification of degradation pathways of the molecule. Stability studies performed on the quality and control lots will support the shelf life of each prototype, and confirm that the manufacturing process is suitable for commercial-scale manufacture. All testing will be conducted in a GMP Quality Control (QC) Laboratory. Any Out of Specification (OOS) or Out of Trend (OOT) results will be investigated.</w:t>
      </w:r>
    </w:p>
    <w:p>
      <w:pPr>
        <w:spacing w:after="0" w:line="152" w:lineRule="exact"/>
        <w:rPr>
          <w:rFonts w:ascii="Courier New" w:cs="Courier New" w:eastAsia="Courier New" w:hAnsi="Courier New"/>
          <w:sz w:val="21"/>
          <w:szCs w:val="21"/>
          <w:color w:val="auto"/>
        </w:rPr>
      </w:pPr>
    </w:p>
    <w:p>
      <w:pPr>
        <w:jc w:val="both"/>
        <w:ind w:left="340" w:hanging="331"/>
        <w:spacing w:after="0" w:line="228" w:lineRule="auto"/>
        <w:tabs>
          <w:tab w:leader="none" w:pos="334" w:val="left"/>
        </w:tabs>
        <w:numPr>
          <w:ilvl w:val="0"/>
          <w:numId w:val="50"/>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DS/FDS/DP Shipping Validation</w:t>
      </w:r>
      <w:r>
        <w:rPr>
          <w:rFonts w:ascii="Times New Roman" w:cs="Times New Roman" w:eastAsia="Times New Roman" w:hAnsi="Times New Roman"/>
          <w:sz w:val="21"/>
          <w:szCs w:val="21"/>
          <w:color w:val="auto"/>
        </w:rPr>
        <w:t>: Shipping Validation by actual transport will be performed on the DS/FDS/DP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prototype to cover a distance and duration that will exceed routine shipment to the intended fill site. Successful shipping validation of intended shipping lanes is based on the ability of the container to maintain the product at a specified temperature, to preserve product quality, and meet specifications.</w:t>
      </w:r>
    </w:p>
    <w:p>
      <w:pPr>
        <w:spacing w:after="0" w:line="148" w:lineRule="exact"/>
        <w:rPr>
          <w:rFonts w:ascii="Courier New" w:cs="Courier New" w:eastAsia="Courier New" w:hAnsi="Courier New"/>
          <w:sz w:val="21"/>
          <w:szCs w:val="21"/>
          <w:color w:val="auto"/>
        </w:rPr>
      </w:pPr>
    </w:p>
    <w:p>
      <w:pPr>
        <w:jc w:val="both"/>
        <w:ind w:left="340" w:hanging="331"/>
        <w:spacing w:after="0" w:line="228" w:lineRule="auto"/>
        <w:tabs>
          <w:tab w:leader="none" w:pos="334" w:val="left"/>
        </w:tabs>
        <w:numPr>
          <w:ilvl w:val="0"/>
          <w:numId w:val="50"/>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DS/FDS/DP Photostability Studies</w:t>
      </w:r>
      <w:r>
        <w:rPr>
          <w:rFonts w:ascii="Times New Roman" w:cs="Times New Roman" w:eastAsia="Times New Roman" w:hAnsi="Times New Roman"/>
          <w:sz w:val="21"/>
          <w:szCs w:val="21"/>
          <w:color w:val="auto"/>
        </w:rPr>
        <w:t>: To determine overall photosensitivity of DS/FDS/DP per ICH requirements,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study will be performed at [* * *] under [* * *] and [* * *] light. Samples will be oriented for maximum light exposure using container closures designed for direct exposure, immediate pack/marketing pack, and a foil covered control. Testing will then be performed on [* * *] sample sets for stability indicating attributes.</w:t>
      </w:r>
    </w:p>
    <w:p>
      <w:pPr>
        <w:spacing w:after="0" w:line="148" w:lineRule="exact"/>
        <w:rPr>
          <w:rFonts w:ascii="Courier New" w:cs="Courier New" w:eastAsia="Courier New" w:hAnsi="Courier New"/>
          <w:sz w:val="21"/>
          <w:szCs w:val="21"/>
          <w:color w:val="auto"/>
        </w:rPr>
      </w:pPr>
    </w:p>
    <w:p>
      <w:pPr>
        <w:jc w:val="both"/>
        <w:ind w:left="340" w:hanging="331"/>
        <w:spacing w:after="0" w:line="222" w:lineRule="auto"/>
        <w:tabs>
          <w:tab w:leader="none" w:pos="334" w:val="left"/>
        </w:tabs>
        <w:numPr>
          <w:ilvl w:val="0"/>
          <w:numId w:val="50"/>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QC Reference Standard Production and Stability</w:t>
      </w:r>
      <w:r>
        <w:rPr>
          <w:rFonts w:ascii="Times New Roman" w:cs="Times New Roman" w:eastAsia="Times New Roman" w:hAnsi="Times New Roman"/>
          <w:sz w:val="21"/>
          <w:szCs w:val="21"/>
          <w:color w:val="auto"/>
        </w:rPr>
        <w:t>: Reference standards for the individual DS/FDS/DP GMP lots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generated according to internal standard operating procedures. The DS/FDS/DP for each prototype will be filled as a product reference standard. The first manufactured lot (lead lot) will be sub-aliquoted into single use vials, stored and routinely monitored at [* * *] by Offeror’s Quality Control personnel. The reference standard will be qualified prior to use, according to specifications. A Certificate of Qualification (CofQ) will be issued for each individual reference standard at the time of initial qualification and following recertification testing. A stability study to monitor the critical quality attributes of each reference standard will also be conducted.</w:t>
      </w:r>
    </w:p>
    <w:p>
      <w:pPr>
        <w:spacing w:after="0" w:line="145" w:lineRule="exact"/>
        <w:rPr>
          <w:rFonts w:ascii="Courier New" w:cs="Courier New" w:eastAsia="Courier New" w:hAnsi="Courier New"/>
          <w:sz w:val="21"/>
          <w:szCs w:val="21"/>
          <w:color w:val="auto"/>
        </w:rPr>
      </w:pPr>
    </w:p>
    <w:p>
      <w:pPr>
        <w:ind w:left="320" w:hanging="311"/>
        <w:spacing w:after="0"/>
        <w:tabs>
          <w:tab w:leader="none" w:pos="320" w:val="left"/>
        </w:tabs>
        <w:numPr>
          <w:ilvl w:val="0"/>
          <w:numId w:val="50"/>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Assay Validation</w:t>
      </w:r>
      <w:r>
        <w:rPr>
          <w:rFonts w:ascii="Times New Roman" w:cs="Times New Roman" w:eastAsia="Times New Roman" w:hAnsi="Times New Roman"/>
          <w:sz w:val="21"/>
          <w:szCs w:val="21"/>
          <w:color w:val="auto"/>
        </w:rPr>
        <w:t>: Will be performed as necessary to support any applicable EUA or other regulatory requirements.</w:t>
      </w:r>
    </w:p>
    <w:p>
      <w:pPr>
        <w:spacing w:after="0" w:line="182" w:lineRule="exact"/>
        <w:rPr>
          <w:rFonts w:ascii="Courier New" w:cs="Courier New" w:eastAsia="Courier New" w:hAnsi="Courier New"/>
          <w:sz w:val="21"/>
          <w:szCs w:val="21"/>
          <w:color w:val="auto"/>
        </w:rPr>
      </w:pPr>
    </w:p>
    <w:p>
      <w:pPr>
        <w:ind w:left="340" w:right="20" w:hanging="331"/>
        <w:spacing w:after="0" w:line="249" w:lineRule="auto"/>
        <w:tabs>
          <w:tab w:leader="none" w:pos="334" w:val="left"/>
        </w:tabs>
        <w:numPr>
          <w:ilvl w:val="0"/>
          <w:numId w:val="50"/>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Manufacturing</w:t>
      </w:r>
      <w:r>
        <w:rPr>
          <w:rFonts w:ascii="Times New Roman" w:cs="Times New Roman" w:eastAsia="Times New Roman" w:hAnsi="Times New Roman"/>
          <w:sz w:val="21"/>
          <w:szCs w:val="21"/>
          <w:color w:val="auto"/>
        </w:rPr>
        <w:t>: Following the completion of the activities described above, Offeror will manufacture prototypes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scale in order to achieve the intended scope of the contract.</w:t>
      </w:r>
    </w:p>
    <w:p>
      <w:pPr>
        <w:spacing w:after="0" w:line="135" w:lineRule="exact"/>
        <w:rPr>
          <w:rFonts w:ascii="Courier New" w:cs="Courier New" w:eastAsia="Courier New" w:hAnsi="Courier New"/>
          <w:sz w:val="21"/>
          <w:szCs w:val="21"/>
          <w:color w:val="auto"/>
        </w:rPr>
      </w:pPr>
    </w:p>
    <w:p>
      <w:pPr>
        <w:jc w:val="both"/>
        <w:ind w:left="340" w:hanging="331"/>
        <w:spacing w:after="0"/>
        <w:tabs>
          <w:tab w:leader="none" w:pos="334" w:val="left"/>
        </w:tabs>
        <w:numPr>
          <w:ilvl w:val="0"/>
          <w:numId w:val="50"/>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Label/Pack</w:t>
      </w:r>
      <w:r>
        <w:rPr>
          <w:rFonts w:ascii="Times New Roman" w:cs="Times New Roman" w:eastAsia="Times New Roman" w:hAnsi="Times New Roman"/>
          <w:sz w:val="21"/>
          <w:szCs w:val="21"/>
          <w:color w:val="auto"/>
        </w:rPr>
        <w:t>: Labeling and packaging of investigational product for clinical studies or for use under an EUA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approval, will be completed at a GMP contract manufacturing organization managed by Offeror’s External Manufacturing group.</w:t>
      </w:r>
    </w:p>
    <w:p>
      <w:pPr>
        <w:spacing w:after="0" w:line="368" w:lineRule="exact"/>
        <w:rPr>
          <w:rFonts w:ascii="Courier New" w:cs="Courier New" w:eastAsia="Courier New" w:hAnsi="Courier New"/>
          <w:sz w:val="21"/>
          <w:szCs w:val="21"/>
          <w:color w:val="auto"/>
        </w:rPr>
      </w:pPr>
    </w:p>
    <w:p>
      <w:pPr>
        <w:jc w:val="both"/>
        <w:ind w:left="340" w:hanging="331"/>
        <w:spacing w:after="0" w:line="234" w:lineRule="auto"/>
        <w:tabs>
          <w:tab w:leader="none" w:pos="334" w:val="left"/>
        </w:tabs>
        <w:numPr>
          <w:ilvl w:val="0"/>
          <w:numId w:val="50"/>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 xml:space="preserve">Storage </w:t>
      </w:r>
      <w:r>
        <w:rPr>
          <w:rFonts w:ascii="Times New Roman" w:cs="Times New Roman" w:eastAsia="Times New Roman" w:hAnsi="Times New Roman"/>
          <w:sz w:val="21"/>
          <w:szCs w:val="21"/>
          <w:color w:val="auto"/>
        </w:rPr>
        <w:t>and Distribution: Packaged and labeled material storage will be managed by Offeror’s External Manufacturing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group and, if an EUA is granted, the Distributor will store and distribute the product </w:t>
      </w:r>
      <w:r>
        <w:rPr>
          <w:rFonts w:ascii="Times New Roman" w:cs="Times New Roman" w:eastAsia="Times New Roman" w:hAnsi="Times New Roman"/>
          <w:sz w:val="21"/>
          <w:szCs w:val="21"/>
          <w:b w:val="1"/>
          <w:bCs w:val="1"/>
          <w:i w:val="1"/>
          <w:iCs w:val="1"/>
          <w:color w:val="auto"/>
        </w:rPr>
        <w:t>in the U.S.</w:t>
      </w:r>
      <w:r>
        <w:rPr>
          <w:rFonts w:ascii="Times New Roman" w:cs="Times New Roman" w:eastAsia="Times New Roman" w:hAnsi="Times New Roman"/>
          <w:sz w:val="21"/>
          <w:szCs w:val="21"/>
          <w:color w:val="auto"/>
        </w:rPr>
        <w:t xml:space="preserve"> at the direction of the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0600"/>
          </w:cols>
          <w:pgMar w:left="960" w:top="95"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8</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980"/>
        <w:spacing w:after="0" w:line="234" w:lineRule="auto"/>
        <w:rPr>
          <w:sz w:val="20"/>
          <w:szCs w:val="20"/>
          <w:color w:val="auto"/>
        </w:rPr>
      </w:pPr>
      <w:r>
        <w:rPr>
          <w:rFonts w:ascii="Times New Roman" w:cs="Times New Roman" w:eastAsia="Times New Roman" w:hAnsi="Times New Roman"/>
          <w:sz w:val="21"/>
          <w:szCs w:val="21"/>
          <w:color w:val="auto"/>
        </w:rPr>
        <w:t>(i.e., the Government will direct the Distributor as to where the product is to be distributed and in what quantities, and Regeneron will not be responsible for, or involved in, such direction). The process and obligations are illustrated in Figure 1 below.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Figure 1 – Distribution Process: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3.2</w:t>
        <w:tab/>
        <w:t>Management and Reporting</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3.2.1</w:t>
        <w:tab/>
        <w:t>Program Management</w:t>
      </w:r>
    </w:p>
    <w:p>
      <w:pPr>
        <w:spacing w:after="0" w:line="19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Below are the individuals currently assigned to key roles on the project team. Regeneron reserves the right to make personnel changes which will be communicated accordingly.</w:t>
      </w:r>
    </w:p>
    <w:p>
      <w:pPr>
        <w:spacing w:after="0" w:line="141" w:lineRule="exact"/>
        <w:rPr>
          <w:sz w:val="20"/>
          <w:szCs w:val="20"/>
          <w:color w:val="auto"/>
        </w:rPr>
      </w:pPr>
    </w:p>
    <w:p>
      <w:pPr>
        <w:ind w:left="320" w:right="20" w:hanging="313"/>
        <w:spacing w:after="0" w:line="249" w:lineRule="auto"/>
        <w:tabs>
          <w:tab w:leader="none" w:pos="41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will manage, integrate and coordinate all activities, including utilizing Regeneron’s state-of-the-art technical and administrative infrastructure to ensure efficient planning, initiation, implementation and direction of contracted activities.</w:t>
      </w:r>
    </w:p>
    <w:p>
      <w:pPr>
        <w:spacing w:after="0" w:line="140" w:lineRule="exact"/>
        <w:rPr>
          <w:rFonts w:ascii="Times New Roman" w:cs="Times New Roman" w:eastAsia="Times New Roman" w:hAnsi="Times New Roman"/>
          <w:sz w:val="21"/>
          <w:szCs w:val="21"/>
          <w:color w:val="auto"/>
        </w:rPr>
      </w:pPr>
    </w:p>
    <w:p>
      <w:pPr>
        <w:ind w:left="380" w:hanging="373"/>
        <w:spacing w:after="0"/>
        <w:tabs>
          <w:tab w:leader="none" w:pos="38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 * *] is responsible for guiding the project approach and scope of this Program.</w:t>
      </w:r>
    </w:p>
    <w:p>
      <w:pPr>
        <w:spacing w:after="0" w:line="186" w:lineRule="exact"/>
        <w:rPr>
          <w:rFonts w:ascii="Times New Roman" w:cs="Times New Roman" w:eastAsia="Times New Roman" w:hAnsi="Times New Roman"/>
          <w:sz w:val="21"/>
          <w:szCs w:val="21"/>
          <w:color w:val="auto"/>
        </w:rPr>
      </w:pPr>
    </w:p>
    <w:p>
      <w:pPr>
        <w:jc w:val="both"/>
        <w:ind w:left="320" w:hanging="313"/>
        <w:spacing w:after="0" w:line="234" w:lineRule="auto"/>
        <w:tabs>
          <w:tab w:leader="none" w:pos="402"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will serve as Lead PI for this Program. The PI will be responsible for project management, communication, tracking, monitoring and reporting on status and progress, and modification to the project requirements and timelines, including any projects undertaken by subcontractors.</w:t>
      </w:r>
    </w:p>
    <w:p>
      <w:pPr>
        <w:spacing w:after="0" w:line="149" w:lineRule="exact"/>
        <w:rPr>
          <w:rFonts w:ascii="Times New Roman" w:cs="Times New Roman" w:eastAsia="Times New Roman" w:hAnsi="Times New Roman"/>
          <w:sz w:val="21"/>
          <w:szCs w:val="21"/>
          <w:color w:val="auto"/>
        </w:rPr>
      </w:pPr>
    </w:p>
    <w:p>
      <w:pPr>
        <w:jc w:val="both"/>
        <w:ind w:left="320" w:hanging="313"/>
        <w:spacing w:after="0" w:line="234" w:lineRule="auto"/>
        <w:tabs>
          <w:tab w:leader="none" w:pos="379"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 * *] will be responsible for monitoring and tracking day-to-day progress and timelines, coordinating communication and project activities, costs incurred, and program management for this Program. The contract deliverables list identifies all contract deliverables and reporting requirements for this contract.</w:t>
      </w:r>
    </w:p>
    <w:p>
      <w:pPr>
        <w:spacing w:after="0" w:line="149" w:lineRule="exact"/>
        <w:rPr>
          <w:rFonts w:ascii="Times New Roman" w:cs="Times New Roman" w:eastAsia="Times New Roman" w:hAnsi="Times New Roman"/>
          <w:sz w:val="21"/>
          <w:szCs w:val="21"/>
          <w:color w:val="auto"/>
        </w:rPr>
      </w:pPr>
    </w:p>
    <w:p>
      <w:pPr>
        <w:ind w:left="360" w:hanging="353"/>
        <w:spacing w:after="0"/>
        <w:tabs>
          <w:tab w:leader="none" w:pos="36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will provide development of compliant subcontracts, consulting, and other legal agreements.</w:t>
      </w:r>
    </w:p>
    <w:p>
      <w:pPr>
        <w:spacing w:after="0" w:line="186" w:lineRule="exact"/>
        <w:rPr>
          <w:rFonts w:ascii="Times New Roman" w:cs="Times New Roman" w:eastAsia="Times New Roman" w:hAnsi="Times New Roman"/>
          <w:sz w:val="21"/>
          <w:szCs w:val="21"/>
          <w:color w:val="auto"/>
        </w:rPr>
      </w:pPr>
    </w:p>
    <w:p>
      <w:pPr>
        <w:ind w:left="320" w:hanging="313"/>
        <w:spacing w:after="0" w:line="249" w:lineRule="auto"/>
        <w:tabs>
          <w:tab w:leader="none" w:pos="50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will be responsible for financial management and reporting on all activities conducted by Regeneron and any subcontractors.</w:t>
      </w:r>
    </w:p>
    <w:p>
      <w:pPr>
        <w:spacing w:after="0" w:line="140" w:lineRule="exact"/>
        <w:rPr>
          <w:rFonts w:ascii="Times New Roman" w:cs="Times New Roman" w:eastAsia="Times New Roman" w:hAnsi="Times New Roman"/>
          <w:sz w:val="21"/>
          <w:szCs w:val="21"/>
          <w:color w:val="auto"/>
        </w:rPr>
      </w:pPr>
    </w:p>
    <w:p>
      <w:pPr>
        <w:ind w:left="320" w:hanging="313"/>
        <w:spacing w:after="0" w:line="249" w:lineRule="auto"/>
        <w:tabs>
          <w:tab w:leader="none" w:pos="42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 * *] will be responsible for facilitating the development of integrated CMC plans and for monitoring and tracking the progress of the CMC milestones.</w:t>
      </w:r>
    </w:p>
    <w:p>
      <w:pPr>
        <w:spacing w:after="0" w:line="140" w:lineRule="exact"/>
        <w:rPr>
          <w:rFonts w:ascii="Times New Roman" w:cs="Times New Roman" w:eastAsia="Times New Roman" w:hAnsi="Times New Roman"/>
          <w:sz w:val="21"/>
          <w:szCs w:val="21"/>
          <w:color w:val="auto"/>
        </w:rPr>
      </w:pPr>
    </w:p>
    <w:p>
      <w:pPr>
        <w:ind w:left="320" w:hanging="313"/>
        <w:spacing w:after="0" w:line="249" w:lineRule="auto"/>
        <w:tabs>
          <w:tab w:leader="none" w:pos="40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 * *] will be responsible for management of batch disposition, oversight of discrepancy investigations, and to ensure all released product conforms to GMP standards.</w:t>
      </w:r>
    </w:p>
    <w:p>
      <w:pPr>
        <w:spacing w:after="0" w:line="140" w:lineRule="exact"/>
        <w:rPr>
          <w:rFonts w:ascii="Times New Roman" w:cs="Times New Roman" w:eastAsia="Times New Roman" w:hAnsi="Times New Roman"/>
          <w:sz w:val="21"/>
          <w:szCs w:val="21"/>
          <w:color w:val="auto"/>
        </w:rPr>
      </w:pPr>
    </w:p>
    <w:p>
      <w:pPr>
        <w:ind w:left="320" w:hanging="313"/>
        <w:spacing w:after="0"/>
        <w:tabs>
          <w:tab w:leader="none" w:pos="32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 * *] will be responsible for analytical method development, method transfer and specification development.</w:t>
      </w:r>
    </w:p>
    <w:p>
      <w:pPr>
        <w:spacing w:after="0" w:line="186" w:lineRule="exact"/>
        <w:rPr>
          <w:rFonts w:ascii="Times New Roman" w:cs="Times New Roman" w:eastAsia="Times New Roman" w:hAnsi="Times New Roman"/>
          <w:sz w:val="21"/>
          <w:szCs w:val="21"/>
          <w:color w:val="auto"/>
        </w:rPr>
      </w:pPr>
    </w:p>
    <w:p>
      <w:pPr>
        <w:jc w:val="both"/>
        <w:ind w:left="320" w:hanging="313"/>
        <w:spacing w:after="0" w:line="234" w:lineRule="auto"/>
        <w:tabs>
          <w:tab w:leader="none" w:pos="48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 * *] will be responsible for ensuring Regeneron quality, preclinical, and clinical drug development programs are conducted in compliance with regulations governing pharmaceutical drug development, and with project specific regulatory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1240"/>
          </w:cols>
          <w:pgMar w:left="320" w:top="95"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9</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requirements, and will serve as the liaison for communications with the US Food and Drug Administration.</w:t>
      </w:r>
    </w:p>
    <w:p>
      <w:pPr>
        <w:spacing w:after="0" w:line="186" w:lineRule="exact"/>
        <w:rPr>
          <w:sz w:val="20"/>
          <w:szCs w:val="20"/>
          <w:color w:val="auto"/>
        </w:rPr>
      </w:pPr>
    </w:p>
    <w:p>
      <w:pPr>
        <w:ind w:left="320" w:hanging="313"/>
        <w:spacing w:after="0" w:line="249" w:lineRule="auto"/>
        <w:tabs>
          <w:tab w:leader="none" w:pos="43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provide Quarterly Progress Reports, which shall include a description of the activities during the reporting period and the activities planned for the ensuing reporting period.</w:t>
      </w:r>
    </w:p>
    <w:p>
      <w:pPr>
        <w:spacing w:after="0" w:line="140" w:lineRule="exact"/>
        <w:rPr>
          <w:rFonts w:ascii="Times New Roman" w:cs="Times New Roman" w:eastAsia="Times New Roman" w:hAnsi="Times New Roman"/>
          <w:sz w:val="21"/>
          <w:szCs w:val="21"/>
          <w:color w:val="auto"/>
        </w:rPr>
      </w:pPr>
    </w:p>
    <w:p>
      <w:pPr>
        <w:ind w:left="320" w:right="20" w:hanging="313"/>
        <w:spacing w:after="0" w:line="249" w:lineRule="auto"/>
        <w:tabs>
          <w:tab w:leader="none" w:pos="43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provide Annual Progress Reports, which shall include a summation of the activities during the reporting period, and the activities planned for the ensuing reporting period.</w:t>
      </w:r>
    </w:p>
    <w:p>
      <w:pPr>
        <w:spacing w:after="0" w:line="140" w:lineRule="exact"/>
        <w:rPr>
          <w:rFonts w:ascii="Times New Roman" w:cs="Times New Roman" w:eastAsia="Times New Roman" w:hAnsi="Times New Roman"/>
          <w:sz w:val="21"/>
          <w:szCs w:val="21"/>
          <w:color w:val="auto"/>
        </w:rPr>
      </w:pPr>
    </w:p>
    <w:p>
      <w:pPr>
        <w:jc w:val="both"/>
        <w:ind w:left="320" w:hanging="313"/>
        <w:spacing w:after="0" w:line="234" w:lineRule="auto"/>
        <w:tabs>
          <w:tab w:leader="none" w:pos="573"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provide Draft and Final Reports, which shall include a summation of the work performed and results obtained for execution of various studies or technical work packages during the entire contract period of performance. This report shall describe the results achieved.</w:t>
      </w:r>
    </w:p>
    <w:p>
      <w:pPr>
        <w:spacing w:after="0" w:line="149" w:lineRule="exact"/>
        <w:rPr>
          <w:rFonts w:ascii="Times New Roman" w:cs="Times New Roman" w:eastAsia="Times New Roman" w:hAnsi="Times New Roman"/>
          <w:sz w:val="21"/>
          <w:szCs w:val="21"/>
          <w:color w:val="auto"/>
        </w:rPr>
      </w:pPr>
    </w:p>
    <w:p>
      <w:pPr>
        <w:jc w:val="both"/>
        <w:ind w:left="320" w:hanging="313"/>
        <w:spacing w:after="0" w:line="219" w:lineRule="auto"/>
        <w:tabs>
          <w:tab w:leader="none" w:pos="415"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participate in regular meetings to coordinate and oversee the contract effort, as directed by a single point of contact established by the Government. Such meetings may include, but are not limited to, meetings of Regeneron and subcontractors to discuss clinical manufacturing progress, product development, scale-up manufacturing development, preclinical/clinical study designs and regulatory issues, meetings with individual contractors and other Health and Human Services (HHS) officials to discuss the technical, regulatory, and ethical aspects of the program, and meetings with technical consultants to discuss technical data provided by Regeneron. Regeneron shall also consult with the Government as required in connection with meetings and submissions to regulatory agencies, including the FDA. The Government will establish a single point of contact for regular meetings and coordinate all requests for information through such point of contact, such that Regeneron shall not be required to attend multiple meetings with different Government agencies for the same (or similar) subject matter, or respond to multiple requests for information or materials concerning the same (or similar) subject matter.</w:t>
      </w:r>
    </w:p>
    <w:p>
      <w:pPr>
        <w:spacing w:after="0" w:line="150" w:lineRule="exact"/>
        <w:rPr>
          <w:rFonts w:ascii="Times New Roman" w:cs="Times New Roman" w:eastAsia="Times New Roman" w:hAnsi="Times New Roman"/>
          <w:sz w:val="21"/>
          <w:szCs w:val="21"/>
          <w:color w:val="auto"/>
        </w:rPr>
      </w:pPr>
    </w:p>
    <w:p>
      <w:pPr>
        <w:ind w:left="320" w:hanging="313"/>
        <w:spacing w:after="0" w:line="249" w:lineRule="auto"/>
        <w:tabs>
          <w:tab w:leader="none" w:pos="379"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participate in teleconferences at an agreed upon frequency between Regeneron and the Government to review technical progress.</w:t>
      </w:r>
    </w:p>
    <w:p>
      <w:pPr>
        <w:spacing w:after="0" w:line="1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3.2.2</w:t>
        <w:tab/>
        <w:t>Integrated Master Schedule (IMS)</w:t>
      </w:r>
    </w:p>
    <w:p>
      <w:pPr>
        <w:spacing w:after="0" w:line="190"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Regeneron will provide an Integrated Master Schedule within [* * *] of the award, and shall update such schedule to reflect any material changes. Within an agreed upon timeframe of the effective date of the contract, Regeneron will make any agreed upon changes between Regeneron and Agreements Officer and/or Project Officer at the Government. The IMS shall be incorporated into the contract and will be used to monitor performance of the contract. Regeneron shall include the key milestones and Go/No-Go decision gates. The IMS for the period of performance will be accepted by the Government [* * *] of the Government’s receipt of such IMS.</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3.2.3</w:t>
        <w:tab/>
        <w:t>Reporting</w:t>
      </w:r>
    </w:p>
    <w:p>
      <w:pPr>
        <w:spacing w:after="0" w:line="190" w:lineRule="exact"/>
        <w:rPr>
          <w:sz w:val="20"/>
          <w:szCs w:val="20"/>
          <w:color w:val="auto"/>
        </w:rPr>
      </w:pPr>
    </w:p>
    <w:p>
      <w:pPr>
        <w:jc w:val="both"/>
        <w:ind w:left="640"/>
        <w:spacing w:after="0" w:line="228" w:lineRule="auto"/>
        <w:rPr>
          <w:sz w:val="20"/>
          <w:szCs w:val="20"/>
          <w:color w:val="auto"/>
        </w:rPr>
      </w:pPr>
      <w:r>
        <w:rPr>
          <w:rFonts w:ascii="Times New Roman" w:cs="Times New Roman" w:eastAsia="Times New Roman" w:hAnsi="Times New Roman"/>
          <w:sz w:val="21"/>
          <w:szCs w:val="21"/>
          <w:color w:val="auto"/>
        </w:rPr>
        <w:t>On completion of a stage of the product development, as defined in the agreed upon IMS and Integrated Master Plan, Regeneron shall prepare and submit to the Project Officer and the Agreements Officer, reports from time to time that contain (i) reasonable detail, documentation and analysis to support successful completion of the stage according to the predetermined qualitative and quantitative criteria, and (ii) a description of the next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1240"/>
          </w:cols>
          <w:pgMar w:left="320" w:top="95" w:right="339" w:bottom="1440" w:gutter="0" w:footer="0" w:header="0"/>
        </w:sectPr>
      </w:pPr>
    </w:p>
    <w:bookmarkStart w:id="104" w:name="page105"/>
    <w:bookmarkEnd w:id="104"/>
    <w:p>
      <w:pPr>
        <w:jc w:val="right"/>
        <w:ind w:right="20"/>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10</w:t>
      </w:r>
      <w:r>
        <w:rPr>
          <w:rFonts w:ascii="Times New Roman" w:cs="Times New Roman" w:eastAsia="Times New Roman" w:hAnsi="Times New Roman"/>
          <w:sz w:val="21"/>
          <w:szCs w:val="21"/>
          <w:color w:val="auto"/>
        </w:rPr>
        <w:t xml:space="preserve"> of 24</w:t>
      </w:r>
    </w:p>
    <w:p>
      <w:pPr>
        <w:jc w:val="right"/>
        <w:ind w:right="20"/>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40" w:right="20"/>
        <w:spacing w:after="0" w:line="244" w:lineRule="auto"/>
        <w:rPr>
          <w:sz w:val="20"/>
          <w:szCs w:val="20"/>
          <w:color w:val="auto"/>
        </w:rPr>
      </w:pPr>
      <w:r>
        <w:rPr>
          <w:rFonts w:ascii="Times New Roman" w:cs="Times New Roman" w:eastAsia="Times New Roman" w:hAnsi="Times New Roman"/>
          <w:sz w:val="21"/>
          <w:szCs w:val="21"/>
          <w:color w:val="auto"/>
        </w:rPr>
        <w:t>stage of product development to be initiated, and a request for approval to proceed to the next stage of product development.</w:t>
      </w:r>
    </w:p>
    <w:p>
      <w:pPr>
        <w:spacing w:after="0" w:line="3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3.2.4</w:t>
        <w:tab/>
        <w:t>Data Management</w:t>
      </w:r>
    </w:p>
    <w:p>
      <w:pPr>
        <w:spacing w:after="0" w:line="190" w:lineRule="exact"/>
        <w:rPr>
          <w:sz w:val="20"/>
          <w:szCs w:val="20"/>
          <w:color w:val="auto"/>
        </w:rPr>
      </w:pPr>
    </w:p>
    <w:p>
      <w:pPr>
        <w:jc w:val="both"/>
        <w:ind w:left="640" w:right="20"/>
        <w:spacing w:after="0" w:line="234" w:lineRule="auto"/>
        <w:rPr>
          <w:sz w:val="20"/>
          <w:szCs w:val="20"/>
          <w:color w:val="auto"/>
        </w:rPr>
      </w:pPr>
      <w:r>
        <w:rPr>
          <w:rFonts w:ascii="Times New Roman" w:cs="Times New Roman" w:eastAsia="Times New Roman" w:hAnsi="Times New Roman"/>
          <w:sz w:val="21"/>
          <w:szCs w:val="21"/>
          <w:color w:val="auto"/>
        </w:rPr>
        <w:t>Regeneron will utilize existing systems to implement data management and quality control systems/procedures, including transmission, storage, confidentiality, and retrieval of contract data. Provide analysis of data generated with contract funding to the Project Officer or Agreements Officer, upon request.</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3.2.5</w:t>
        <w:tab/>
        <w:t>Technical and Financial Reporting</w:t>
      </w:r>
    </w:p>
    <w:p>
      <w:pPr>
        <w:spacing w:after="0" w:line="190" w:lineRule="exact"/>
        <w:rPr>
          <w:sz w:val="20"/>
          <w:szCs w:val="20"/>
          <w:color w:val="auto"/>
        </w:rPr>
      </w:pPr>
    </w:p>
    <w:p>
      <w:pPr>
        <w:jc w:val="both"/>
        <w:ind w:left="640" w:right="40"/>
        <w:spacing w:after="0" w:line="249" w:lineRule="auto"/>
        <w:rPr>
          <w:sz w:val="20"/>
          <w:szCs w:val="20"/>
          <w:color w:val="auto"/>
        </w:rPr>
      </w:pPr>
      <w:r>
        <w:rPr>
          <w:rFonts w:ascii="Times New Roman" w:cs="Times New Roman" w:eastAsia="Times New Roman" w:hAnsi="Times New Roman"/>
          <w:sz w:val="21"/>
          <w:szCs w:val="21"/>
          <w:color w:val="auto"/>
        </w:rPr>
        <w:t>Technical Reports are described in Section 3.3.1 k., l. and m. They are also listed in the milestone schedule and deliverables table in Section 5 of this Statement of Work.</w:t>
      </w:r>
    </w:p>
    <w:p>
      <w:pPr>
        <w:spacing w:after="0" w:line="141" w:lineRule="exact"/>
        <w:rPr>
          <w:sz w:val="20"/>
          <w:szCs w:val="20"/>
          <w:color w:val="auto"/>
        </w:rPr>
      </w:pPr>
    </w:p>
    <w:p>
      <w:pPr>
        <w:jc w:val="both"/>
        <w:ind w:left="640" w:right="20"/>
        <w:spacing w:after="0" w:line="228" w:lineRule="auto"/>
        <w:rPr>
          <w:sz w:val="20"/>
          <w:szCs w:val="20"/>
          <w:color w:val="auto"/>
        </w:rPr>
      </w:pPr>
      <w:r>
        <w:rPr>
          <w:rFonts w:ascii="Times New Roman" w:cs="Times New Roman" w:eastAsia="Times New Roman" w:hAnsi="Times New Roman"/>
          <w:sz w:val="21"/>
          <w:szCs w:val="21"/>
          <w:color w:val="auto"/>
        </w:rPr>
        <w:t>For Financial Reporting, firm fixed price or cost-reimbursement invoices will be submitted on a quarterly or monthly basis, as described in Section 5 below. Invoices will include data and technical reports sufficient to support the accomplishment of each milestone, as appropriate, during the invoicing period. Regeneron will provide quarterly Financial Status Reports outlining billed vs. budgeted activity for each period, and in aggregate for the contract.</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3.2.6</w:t>
        <w:tab/>
        <w:t>Product Development Manufacturing Reports and Projections</w:t>
      </w:r>
    </w:p>
    <w:p>
      <w:pPr>
        <w:spacing w:after="0" w:line="190" w:lineRule="exact"/>
        <w:rPr>
          <w:sz w:val="20"/>
          <w:szCs w:val="20"/>
          <w:color w:val="auto"/>
        </w:rPr>
      </w:pPr>
    </w:p>
    <w:p>
      <w:pPr>
        <w:jc w:val="both"/>
        <w:ind w:left="640" w:right="20"/>
        <w:spacing w:after="0"/>
        <w:rPr>
          <w:sz w:val="20"/>
          <w:szCs w:val="20"/>
          <w:color w:val="auto"/>
        </w:rPr>
      </w:pPr>
      <w:r>
        <w:rPr>
          <w:rFonts w:ascii="Times New Roman" w:cs="Times New Roman" w:eastAsia="Times New Roman" w:hAnsi="Times New Roman"/>
          <w:sz w:val="21"/>
          <w:szCs w:val="21"/>
          <w:color w:val="auto"/>
        </w:rPr>
        <w:t>Regeneron will provide manufacturing reports and manufacturing dose tracking projections/actuals, in the format and having the content mutually agreed upon by the Government and Regeneron. Regeneron will update the reports [* * *] during manufacturing campaigns and upon manufacturing deliverable submission during COVID-19 response operations (where a Public Health Emergency has been declared), with the first deliverable submission within [* * *] of award/modification. For clarity, the reports described in this Section 3.2.6 apply to Formulated Drug Substance and Drug Product prior to delivery and acceptance by the Government. Tracking reports for product following delivery and acceptance, shall be set forth in the Memorandum of Understanding between Regeneron, the Distributor, and the Government.</w:t>
      </w:r>
    </w:p>
    <w:p>
      <w:pPr>
        <w:spacing w:after="0" w:line="23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4.0</w:t>
        <w:tab/>
        <w:t>DELIVERABLES</w:t>
      </w:r>
    </w:p>
    <w:p>
      <w:pPr>
        <w:spacing w:after="0" w:line="19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1"/>
          <w:szCs w:val="21"/>
          <w:color w:val="auto"/>
        </w:rPr>
        <w:t>Offeror assumed [* * *]; Filled/Finished Drug Product Deliveries [* * *]. Regeneron shall have the right to provide deliverables directly to the Government and not to the Consortium Management Firm (CMF).</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Deliverable Table (June 2020 - November 2021)</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3840" w:type="dxa"/>
            <w:vAlign w:val="bottom"/>
            <w:tcBorders>
              <w:top w:val="single" w:sz="8" w:color="auto"/>
              <w:left w:val="single" w:sz="8" w:color="auto"/>
              <w:bottom w:val="single" w:sz="8" w:color="auto"/>
              <w:right w:val="single" w:sz="8" w:color="auto"/>
            </w:tcBorders>
            <w:shd w:val="clear" w:color="auto" w:fill="D9CBA7"/>
          </w:tcPr>
          <w:p>
            <w:pPr>
              <w:ind w:left="1400"/>
              <w:spacing w:after="0"/>
              <w:rPr>
                <w:sz w:val="20"/>
                <w:szCs w:val="20"/>
                <w:color w:val="auto"/>
              </w:rPr>
            </w:pPr>
            <w:r>
              <w:rPr>
                <w:rFonts w:ascii="Times New Roman" w:cs="Times New Roman" w:eastAsia="Times New Roman" w:hAnsi="Times New Roman"/>
                <w:sz w:val="21"/>
                <w:szCs w:val="21"/>
                <w:b w:val="1"/>
                <w:bCs w:val="1"/>
                <w:color w:val="auto"/>
              </w:rPr>
              <w:t>Deliverable</w:t>
            </w:r>
          </w:p>
        </w:tc>
        <w:tc>
          <w:tcPr>
            <w:tcW w:w="2480" w:type="dxa"/>
            <w:vAlign w:val="bottom"/>
            <w:tcBorders>
              <w:top w:val="single" w:sz="8" w:color="auto"/>
              <w:bottom w:val="single" w:sz="8" w:color="auto"/>
              <w:right w:val="single" w:sz="8" w:color="auto"/>
            </w:tcBorders>
            <w:shd w:val="clear" w:color="auto" w:fill="D9CBA7"/>
          </w:tcPr>
          <w:p>
            <w:pPr>
              <w:jc w:val="center"/>
              <w:spacing w:after="0"/>
              <w:rPr>
                <w:sz w:val="20"/>
                <w:szCs w:val="20"/>
                <w:color w:val="auto"/>
              </w:rPr>
            </w:pPr>
            <w:r>
              <w:rPr>
                <w:rFonts w:ascii="Times New Roman" w:cs="Times New Roman" w:eastAsia="Times New Roman" w:hAnsi="Times New Roman"/>
                <w:sz w:val="21"/>
                <w:szCs w:val="21"/>
                <w:b w:val="1"/>
                <w:bCs w:val="1"/>
                <w:color w:val="auto"/>
              </w:rPr>
              <w:t>Due Date</w:t>
            </w:r>
          </w:p>
        </w:tc>
        <w:tc>
          <w:tcPr>
            <w:tcW w:w="2980" w:type="dxa"/>
            <w:vAlign w:val="bottom"/>
            <w:tcBorders>
              <w:top w:val="single" w:sz="8" w:color="auto"/>
              <w:bottom w:val="single" w:sz="8" w:color="auto"/>
              <w:right w:val="single" w:sz="8" w:color="auto"/>
            </w:tcBorders>
            <w:shd w:val="clear" w:color="auto" w:fill="D9CBA7"/>
          </w:tcPr>
          <w:p>
            <w:pPr>
              <w:jc w:val="center"/>
              <w:spacing w:after="0"/>
              <w:rPr>
                <w:sz w:val="20"/>
                <w:szCs w:val="20"/>
                <w:color w:val="auto"/>
              </w:rPr>
            </w:pPr>
            <w:r>
              <w:rPr>
                <w:rFonts w:ascii="Times New Roman" w:cs="Times New Roman" w:eastAsia="Times New Roman" w:hAnsi="Times New Roman"/>
                <w:sz w:val="21"/>
                <w:szCs w:val="21"/>
                <w:b w:val="1"/>
                <w:bCs w:val="1"/>
                <w:color w:val="auto"/>
              </w:rPr>
              <w:t>Total Program Funds</w:t>
            </w:r>
          </w:p>
        </w:tc>
        <w:tc>
          <w:tcPr>
            <w:tcW w:w="1960" w:type="dxa"/>
            <w:vAlign w:val="bottom"/>
            <w:tcBorders>
              <w:top w:val="single" w:sz="8" w:color="auto"/>
              <w:bottom w:val="single" w:sz="8" w:color="auto"/>
              <w:right w:val="single" w:sz="8" w:color="auto"/>
            </w:tcBorders>
            <w:shd w:val="clear" w:color="auto" w:fill="D9CBA7"/>
          </w:tcPr>
          <w:p>
            <w:pPr>
              <w:jc w:val="center"/>
              <w:spacing w:after="0"/>
              <w:rPr>
                <w:sz w:val="20"/>
                <w:szCs w:val="20"/>
                <w:color w:val="auto"/>
              </w:rPr>
            </w:pPr>
            <w:r>
              <w:rPr>
                <w:rFonts w:ascii="Times New Roman" w:cs="Times New Roman" w:eastAsia="Times New Roman" w:hAnsi="Times New Roman"/>
                <w:sz w:val="21"/>
                <w:szCs w:val="21"/>
                <w:b w:val="1"/>
                <w:bCs w:val="1"/>
                <w:color w:val="auto"/>
              </w:rPr>
              <w:t>Data Rights</w:t>
            </w:r>
          </w:p>
        </w:tc>
      </w:tr>
      <w:tr>
        <w:trPr>
          <w:trHeight w:val="261"/>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Project Kick-Off; Deliverable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 *]</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*Specially Negotiated</w:t>
            </w:r>
          </w:p>
        </w:tc>
      </w:tr>
      <w:tr>
        <w:trPr>
          <w:trHeight w:val="261"/>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DS/FDS Bulk GMP Lot [* * *]</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 *]</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*Specially Negotiated</w:t>
            </w:r>
          </w:p>
        </w:tc>
      </w:tr>
      <w:tr>
        <w:trPr>
          <w:trHeight w:val="261"/>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DS/FDS Bulk GMP Lot [* * *]</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 *]</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*Specially Negotiated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1260"/>
          </w:cols>
          <w:pgMar w:left="320" w:top="95" w:right="319" w:bottom="1440" w:gutter="0" w:footer="0" w:header="0"/>
        </w:sectPr>
      </w:pPr>
    </w:p>
    <w:bookmarkStart w:id="105" w:name="page106"/>
    <w:bookmarkEnd w:id="105"/>
    <w:p>
      <w:pPr>
        <w:jc w:val="right"/>
        <w:ind w:right="20"/>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11</w:t>
      </w:r>
      <w:r>
        <w:rPr>
          <w:rFonts w:ascii="Times New Roman" w:cs="Times New Roman" w:eastAsia="Times New Roman" w:hAnsi="Times New Roman"/>
          <w:sz w:val="21"/>
          <w:szCs w:val="21"/>
          <w:color w:val="auto"/>
        </w:rPr>
        <w:t xml:space="preserve"> of 24</w:t>
      </w:r>
    </w:p>
    <w:p>
      <w:pPr>
        <w:jc w:val="right"/>
        <w:ind w:right="20"/>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38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DS/FDS Bulk GMP Lot [* * *]</w:t>
            </w:r>
          </w:p>
        </w:tc>
        <w:tc>
          <w:tcPr>
            <w:tcW w:w="2480" w:type="dxa"/>
            <w:vAlign w:val="bottom"/>
            <w:tcBorders>
              <w:top w:val="single" w:sz="8" w:color="auto"/>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*Specially Negotiated</w:t>
            </w:r>
          </w:p>
        </w:tc>
      </w:tr>
      <w:tr>
        <w:trPr>
          <w:trHeight w:val="261"/>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DS/FDS Bulk GMP Lot [* * *]</w:t>
            </w:r>
          </w:p>
        </w:tc>
        <w:tc>
          <w:tcPr>
            <w:tcW w:w="248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*Specially Negotiated</w:t>
            </w:r>
          </w:p>
        </w:tc>
      </w:tr>
      <w:tr>
        <w:trPr>
          <w:trHeight w:val="261"/>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DS/FDS Bulk GMP Lot [* * *]</w:t>
            </w:r>
          </w:p>
        </w:tc>
        <w:tc>
          <w:tcPr>
            <w:tcW w:w="248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*Specially Negotiated</w:t>
            </w:r>
          </w:p>
        </w:tc>
      </w:tr>
      <w:tr>
        <w:trPr>
          <w:trHeight w:val="261"/>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8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*Specially Negotiated</w:t>
            </w:r>
          </w:p>
        </w:tc>
      </w:tr>
      <w:tr>
        <w:trPr>
          <w:trHeight w:val="261"/>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8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*Specially Negotiated</w:t>
            </w:r>
          </w:p>
        </w:tc>
      </w:tr>
      <w:tr>
        <w:trPr>
          <w:trHeight w:val="261"/>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8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*Specially Negotiated</w:t>
            </w:r>
          </w:p>
        </w:tc>
      </w:tr>
      <w:tr>
        <w:trPr>
          <w:trHeight w:val="261"/>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8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*Specially Negotiated</w:t>
            </w:r>
          </w:p>
        </w:tc>
      </w:tr>
      <w:tr>
        <w:trPr>
          <w:trHeight w:val="261"/>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8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*Specially Negotiated</w:t>
            </w:r>
          </w:p>
        </w:tc>
      </w:tr>
      <w:tr>
        <w:trPr>
          <w:trHeight w:val="261"/>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8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*Specially Negotiated</w:t>
            </w:r>
          </w:p>
        </w:tc>
      </w:tr>
      <w:tr>
        <w:trPr>
          <w:trHeight w:val="261"/>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Package/Label Product</w:t>
            </w:r>
          </w:p>
        </w:tc>
        <w:tc>
          <w:tcPr>
            <w:tcW w:w="248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*Specially Negotiated</w:t>
            </w:r>
          </w:p>
        </w:tc>
      </w:tr>
      <w:tr>
        <w:trPr>
          <w:trHeight w:val="261"/>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248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*Specially Negotiated</w:t>
            </w:r>
          </w:p>
        </w:tc>
      </w:tr>
      <w:tr>
        <w:trPr>
          <w:trHeight w:val="261"/>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248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*Specially Negotiated</w:t>
            </w:r>
          </w:p>
        </w:tc>
      </w:tr>
      <w:tr>
        <w:trPr>
          <w:trHeight w:val="261"/>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248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*Specially Negotiated</w:t>
            </w:r>
          </w:p>
        </w:tc>
      </w:tr>
      <w:tr>
        <w:trPr>
          <w:trHeight w:val="261"/>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248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*Specially Negotiated</w:t>
            </w:r>
          </w:p>
        </w:tc>
      </w:tr>
      <w:tr>
        <w:trPr>
          <w:trHeight w:val="194"/>
        </w:trPr>
        <w:tc>
          <w:tcPr>
            <w:tcW w:w="384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color w:val="auto"/>
              </w:rPr>
              <w:t>Support Distribution of Drug Product [* *</w:t>
            </w:r>
          </w:p>
        </w:tc>
        <w:tc>
          <w:tcPr>
            <w:tcW w:w="2480" w:type="dxa"/>
            <w:vAlign w:val="bottom"/>
            <w:tcBorders>
              <w:right w:val="single" w:sz="8" w:color="auto"/>
            </w:tcBorders>
          </w:tcPr>
          <w:p>
            <w:pPr>
              <w:jc w:val="right"/>
              <w:ind w:right="873"/>
              <w:spacing w:after="0" w:line="194" w:lineRule="exact"/>
              <w:rPr>
                <w:sz w:val="20"/>
                <w:szCs w:val="20"/>
                <w:color w:val="auto"/>
              </w:rPr>
            </w:pPr>
            <w:r>
              <w:rPr>
                <w:rFonts w:ascii="Times New Roman" w:cs="Times New Roman" w:eastAsia="Times New Roman" w:hAnsi="Times New Roman"/>
                <w:sz w:val="21"/>
                <w:szCs w:val="21"/>
                <w:color w:val="auto"/>
              </w:rPr>
              <w:t>[* * *]</w:t>
            </w:r>
          </w:p>
        </w:tc>
        <w:tc>
          <w:tcPr>
            <w:tcW w:w="298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21"/>
                <w:szCs w:val="21"/>
                <w:color w:val="auto"/>
              </w:rPr>
              <w:t>*Specially Negotiated</w:t>
            </w:r>
          </w:p>
        </w:tc>
      </w:tr>
      <w:tr>
        <w:trPr>
          <w:trHeight w:val="280"/>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48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r>
      <w:tr>
        <w:trPr>
          <w:trHeight w:val="195"/>
        </w:trPr>
        <w:tc>
          <w:tcPr>
            <w:tcW w:w="38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Quarterly Technical and Business Status</w:t>
            </w:r>
          </w:p>
        </w:tc>
        <w:tc>
          <w:tcPr>
            <w:tcW w:w="2480" w:type="dxa"/>
            <w:vAlign w:val="bottom"/>
            <w:tcBorders>
              <w:right w:val="single" w:sz="8" w:color="auto"/>
            </w:tcBorders>
          </w:tcPr>
          <w:p>
            <w:pPr>
              <w:jc w:val="right"/>
              <w:ind w:right="87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98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 Negotiated</w:t>
            </w:r>
          </w:p>
        </w:tc>
      </w:tr>
      <w:tr>
        <w:trPr>
          <w:trHeight w:val="280"/>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Report, see above for submission schedule</w:t>
            </w:r>
          </w:p>
        </w:tc>
        <w:tc>
          <w:tcPr>
            <w:tcW w:w="248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r>
      <w:tr>
        <w:trPr>
          <w:trHeight w:val="195"/>
        </w:trPr>
        <w:tc>
          <w:tcPr>
            <w:tcW w:w="38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Annual Technical and Business Status</w:t>
            </w:r>
          </w:p>
        </w:tc>
        <w:tc>
          <w:tcPr>
            <w:tcW w:w="2480" w:type="dxa"/>
            <w:vAlign w:val="bottom"/>
            <w:tcBorders>
              <w:right w:val="single" w:sz="8" w:color="auto"/>
            </w:tcBorders>
          </w:tcPr>
          <w:p>
            <w:pPr>
              <w:jc w:val="right"/>
              <w:ind w:right="87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98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 Negotiated</w:t>
            </w:r>
          </w:p>
        </w:tc>
      </w:tr>
      <w:tr>
        <w:trPr>
          <w:trHeight w:val="280"/>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Report, see above for submission schedule</w:t>
            </w:r>
          </w:p>
        </w:tc>
        <w:tc>
          <w:tcPr>
            <w:tcW w:w="248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r>
      <w:tr>
        <w:trPr>
          <w:trHeight w:val="195"/>
        </w:trPr>
        <w:tc>
          <w:tcPr>
            <w:tcW w:w="38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Quarterly Technical and Business Status</w:t>
            </w:r>
          </w:p>
        </w:tc>
        <w:tc>
          <w:tcPr>
            <w:tcW w:w="2480" w:type="dxa"/>
            <w:vAlign w:val="bottom"/>
            <w:tcBorders>
              <w:right w:val="single" w:sz="8" w:color="auto"/>
            </w:tcBorders>
          </w:tcPr>
          <w:p>
            <w:pPr>
              <w:jc w:val="right"/>
              <w:ind w:right="87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98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 Negotiated</w:t>
            </w:r>
          </w:p>
        </w:tc>
      </w:tr>
      <w:tr>
        <w:trPr>
          <w:trHeight w:val="280"/>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Report, see above for submission schedule</w:t>
            </w:r>
          </w:p>
        </w:tc>
        <w:tc>
          <w:tcPr>
            <w:tcW w:w="248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r>
      <w:tr>
        <w:trPr>
          <w:trHeight w:val="262"/>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 * *]</w:t>
            </w:r>
          </w:p>
        </w:tc>
        <w:tc>
          <w:tcPr>
            <w:tcW w:w="248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 *]</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Limited Rights</w:t>
            </w:r>
          </w:p>
        </w:tc>
      </w:tr>
      <w:tr>
        <w:trPr>
          <w:trHeight w:val="194"/>
        </w:trPr>
        <w:tc>
          <w:tcPr>
            <w:tcW w:w="3840" w:type="dxa"/>
            <w:vAlign w:val="bottom"/>
            <w:tcBorders>
              <w:left w:val="single" w:sz="8" w:color="auto"/>
              <w:right w:val="single" w:sz="8" w:color="auto"/>
            </w:tcBorders>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298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21"/>
                <w:szCs w:val="21"/>
                <w:color w:val="auto"/>
              </w:rPr>
              <w:t xml:space="preserve">$465,861,635 </w:t>
            </w:r>
            <w:r>
              <w:rPr>
                <w:rFonts w:ascii="Times New Roman" w:cs="Times New Roman" w:eastAsia="Times New Roman" w:hAnsi="Times New Roman"/>
                <w:sz w:val="21"/>
                <w:szCs w:val="21"/>
                <w:b w:val="1"/>
                <w:bCs w:val="1"/>
                <w:color w:val="auto"/>
              </w:rPr>
              <w:t>(FFP</w:t>
            </w:r>
            <w:r>
              <w:rPr>
                <w:rFonts w:ascii="Times New Roman" w:cs="Times New Roman" w:eastAsia="Times New Roman" w:hAnsi="Times New Roman"/>
                <w:sz w:val="21"/>
                <w:szCs w:val="21"/>
                <w:color w:val="auto"/>
              </w:rPr>
              <w:t xml:space="preserve"> and Cost</w:t>
            </w:r>
          </w:p>
        </w:tc>
        <w:tc>
          <w:tcPr>
            <w:tcW w:w="1960" w:type="dxa"/>
            <w:vAlign w:val="bottom"/>
            <w:tcBorders>
              <w:right w:val="single" w:sz="8" w:color="auto"/>
            </w:tcBorders>
          </w:tcPr>
          <w:p>
            <w:pPr>
              <w:spacing w:after="0"/>
              <w:rPr>
                <w:sz w:val="16"/>
                <w:szCs w:val="16"/>
                <w:color w:val="auto"/>
              </w:rPr>
            </w:pPr>
          </w:p>
        </w:tc>
      </w:tr>
      <w:tr>
        <w:trPr>
          <w:trHeight w:val="280"/>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Reimbursement)</w:t>
            </w:r>
          </w:p>
        </w:tc>
        <w:tc>
          <w:tcPr>
            <w:tcW w:w="1960" w:type="dxa"/>
            <w:vAlign w:val="bottom"/>
            <w:tcBorders>
              <w:bottom w:val="single" w:sz="8" w:color="auto"/>
              <w:right w:val="single" w:sz="8" w:color="auto"/>
            </w:tcBorders>
          </w:tcPr>
          <w:p>
            <w:pPr>
              <w:spacing w:after="0"/>
              <w:rPr>
                <w:sz w:val="24"/>
                <w:szCs w:val="24"/>
                <w:color w:val="auto"/>
              </w:rPr>
            </w:pPr>
          </w:p>
        </w:tc>
      </w:tr>
    </w:tbl>
    <w:p>
      <w:pPr>
        <w:spacing w:after="0" w:line="53"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1"/>
          <w:szCs w:val="21"/>
          <w:color w:val="auto"/>
        </w:rPr>
        <w:t>*Upon payment, delivery and acceptance in accordance with the terms of this Project Agreement, the Government will have title to the product produced under this Statement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1260"/>
          </w:cols>
          <w:pgMar w:left="320" w:top="95" w:right="31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12</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Work. The Government will have the rights described below in Section 7.3 to technical data disclosed under this Statement of Work.</w:t>
      </w:r>
    </w:p>
    <w:p>
      <w:pPr>
        <w:spacing w:after="0" w:line="3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**Packaging and labeling of product will be performed following the determination of the use of the applicable drug product (e.g., for clinical trials or for distribution under an EUA or BLA).</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***Total Program Funds for distribution [* * *] is a not-to-exceed amount, and shall be invoiced as described in Section 5.0 below.</w:t>
      </w:r>
    </w:p>
    <w:p>
      <w:pPr>
        <w:spacing w:after="0" w:line="39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1"/>
          <w:szCs w:val="21"/>
          <w:color w:val="auto"/>
        </w:rPr>
        <w:t xml:space="preserve">****If an EUA is granted, then the product shall be transferred from VMI to the Distributor for distribution </w:t>
      </w:r>
      <w:r>
        <w:rPr>
          <w:rFonts w:ascii="Times New Roman" w:cs="Times New Roman" w:eastAsia="Times New Roman" w:hAnsi="Times New Roman"/>
          <w:sz w:val="21"/>
          <w:szCs w:val="21"/>
          <w:b w:val="1"/>
          <w:bCs w:val="1"/>
          <w:i w:val="1"/>
          <w:iCs w:val="1"/>
          <w:color w:val="auto"/>
        </w:rPr>
        <w:t>in the United States</w:t>
      </w:r>
      <w:r>
        <w:rPr>
          <w:rFonts w:ascii="Times New Roman" w:cs="Times New Roman" w:eastAsia="Times New Roman" w:hAnsi="Times New Roman"/>
          <w:sz w:val="21"/>
          <w:szCs w:val="21"/>
          <w:color w:val="auto"/>
        </w:rPr>
        <w:t>, as directed by the Government, and the VMI storage milestones shall be equitably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1240"/>
          </w:cols>
          <w:pgMar w:left="320" w:top="95"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13</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5.0</w:t>
        <w:tab/>
        <w:t>MILESTONE PAYMENT SCHEDULE; TERMINATION COSTS</w:t>
      </w:r>
    </w:p>
    <w:p>
      <w:pPr>
        <w:spacing w:after="0" w:line="238" w:lineRule="exact"/>
        <w:rPr>
          <w:sz w:val="20"/>
          <w:szCs w:val="20"/>
          <w:color w:val="auto"/>
        </w:rPr>
      </w:pPr>
    </w:p>
    <w:tbl>
      <w:tblPr>
        <w:tblLayout w:type="fixed"/>
        <w:tblInd w:w="170" w:type="dxa"/>
        <w:tblCellMar>
          <w:top w:w="0" w:type="dxa"/>
          <w:left w:w="0" w:type="dxa"/>
          <w:bottom w:w="0" w:type="dxa"/>
          <w:right w:w="0" w:type="dxa"/>
        </w:tblCellMar>
      </w:tblPr>
      <w:tr>
        <w:trPr>
          <w:trHeight w:val="214"/>
        </w:trPr>
        <w:tc>
          <w:tcPr>
            <w:tcW w:w="1500" w:type="dxa"/>
            <w:vAlign w:val="bottom"/>
            <w:tcBorders>
              <w:top w:val="single" w:sz="8" w:color="auto"/>
              <w:left w:val="single" w:sz="8" w:color="auto"/>
              <w:right w:val="single" w:sz="8" w:color="auto"/>
            </w:tcBorders>
            <w:shd w:val="clear" w:color="auto" w:fill="D9CBA7"/>
          </w:tcPr>
          <w:p>
            <w:pPr>
              <w:spacing w:after="0"/>
              <w:rPr>
                <w:sz w:val="18"/>
                <w:szCs w:val="18"/>
                <w:color w:val="auto"/>
              </w:rPr>
            </w:pPr>
          </w:p>
        </w:tc>
        <w:tc>
          <w:tcPr>
            <w:tcW w:w="5240" w:type="dxa"/>
            <w:vAlign w:val="bottom"/>
            <w:tcBorders>
              <w:top w:val="single" w:sz="8" w:color="auto"/>
              <w:right w:val="single" w:sz="8" w:color="auto"/>
            </w:tcBorders>
            <w:shd w:val="clear" w:color="auto" w:fill="D9CBA7"/>
          </w:tcPr>
          <w:p>
            <w:pPr>
              <w:ind w:left="1600"/>
              <w:spacing w:after="0" w:line="214" w:lineRule="exact"/>
              <w:rPr>
                <w:sz w:val="20"/>
                <w:szCs w:val="20"/>
                <w:color w:val="auto"/>
              </w:rPr>
            </w:pPr>
            <w:r>
              <w:rPr>
                <w:rFonts w:ascii="Times New Roman" w:cs="Times New Roman" w:eastAsia="Times New Roman" w:hAnsi="Times New Roman"/>
                <w:sz w:val="21"/>
                <w:szCs w:val="21"/>
                <w:b w:val="1"/>
                <w:bCs w:val="1"/>
                <w:color w:val="auto"/>
              </w:rPr>
              <w:t>Milestone Description</w:t>
            </w:r>
          </w:p>
        </w:tc>
        <w:tc>
          <w:tcPr>
            <w:tcW w:w="1600" w:type="dxa"/>
            <w:vAlign w:val="bottom"/>
            <w:tcBorders>
              <w:top w:val="single" w:sz="8" w:color="auto"/>
              <w:right w:val="single" w:sz="8" w:color="auto"/>
            </w:tcBorders>
            <w:vMerge w:val="restart"/>
            <w:shd w:val="clear" w:color="auto" w:fill="D9CBA7"/>
          </w:tcPr>
          <w:p>
            <w:pPr>
              <w:jc w:val="right"/>
              <w:ind w:right="273"/>
              <w:spacing w:after="0"/>
              <w:rPr>
                <w:sz w:val="20"/>
                <w:szCs w:val="20"/>
                <w:color w:val="auto"/>
              </w:rPr>
            </w:pPr>
            <w:r>
              <w:rPr>
                <w:rFonts w:ascii="Times New Roman" w:cs="Times New Roman" w:eastAsia="Times New Roman" w:hAnsi="Times New Roman"/>
                <w:sz w:val="21"/>
                <w:szCs w:val="21"/>
                <w:b w:val="1"/>
                <w:bCs w:val="1"/>
                <w:color w:val="auto"/>
              </w:rPr>
              <w:t>Due Date</w:t>
            </w:r>
          </w:p>
        </w:tc>
        <w:tc>
          <w:tcPr>
            <w:tcW w:w="2360" w:type="dxa"/>
            <w:vAlign w:val="bottom"/>
            <w:tcBorders>
              <w:top w:val="single" w:sz="8" w:color="auto"/>
              <w:right w:val="single" w:sz="8" w:color="auto"/>
            </w:tcBorders>
            <w:vMerge w:val="restart"/>
            <w:shd w:val="clear" w:color="auto" w:fill="D9CBA7"/>
          </w:tcPr>
          <w:p>
            <w:pPr>
              <w:ind w:left="200"/>
              <w:spacing w:after="0"/>
              <w:rPr>
                <w:sz w:val="20"/>
                <w:szCs w:val="20"/>
                <w:color w:val="auto"/>
              </w:rPr>
            </w:pPr>
            <w:r>
              <w:rPr>
                <w:rFonts w:ascii="Times New Roman" w:cs="Times New Roman" w:eastAsia="Times New Roman" w:hAnsi="Times New Roman"/>
                <w:sz w:val="21"/>
                <w:szCs w:val="21"/>
                <w:b w:val="1"/>
                <w:bCs w:val="1"/>
                <w:color w:val="auto"/>
              </w:rPr>
              <w:t>Total Program Funds</w:t>
            </w:r>
          </w:p>
        </w:tc>
        <w:tc>
          <w:tcPr>
            <w:tcW w:w="0" w:type="dxa"/>
            <w:vAlign w:val="bottom"/>
          </w:tcPr>
          <w:p>
            <w:pPr>
              <w:spacing w:after="0"/>
              <w:rPr>
                <w:sz w:val="1"/>
                <w:szCs w:val="1"/>
                <w:color w:val="auto"/>
              </w:rPr>
            </w:pPr>
          </w:p>
        </w:tc>
      </w:tr>
      <w:tr>
        <w:trPr>
          <w:trHeight w:val="171"/>
        </w:trPr>
        <w:tc>
          <w:tcPr>
            <w:tcW w:w="1500" w:type="dxa"/>
            <w:vAlign w:val="bottom"/>
            <w:tcBorders>
              <w:left w:val="single" w:sz="8" w:color="auto"/>
              <w:right w:val="single" w:sz="8" w:color="auto"/>
            </w:tcBorders>
            <w:vMerge w:val="restart"/>
            <w:shd w:val="clear" w:color="auto" w:fill="D9CBA7"/>
          </w:tcPr>
          <w:p>
            <w:pPr>
              <w:ind w:left="120"/>
              <w:spacing w:after="0"/>
              <w:rPr>
                <w:sz w:val="20"/>
                <w:szCs w:val="20"/>
                <w:color w:val="auto"/>
              </w:rPr>
            </w:pPr>
            <w:r>
              <w:rPr>
                <w:rFonts w:ascii="Times New Roman" w:cs="Times New Roman" w:eastAsia="Times New Roman" w:hAnsi="Times New Roman"/>
                <w:sz w:val="21"/>
                <w:szCs w:val="21"/>
                <w:b w:val="1"/>
                <w:bCs w:val="1"/>
                <w:color w:val="auto"/>
              </w:rPr>
              <w:t xml:space="preserve">Milestone </w:t>
            </w:r>
            <w:r>
              <w:rPr>
                <w:rFonts w:ascii="Times New Roman" w:cs="Times New Roman" w:eastAsia="Times New Roman" w:hAnsi="Times New Roman"/>
                <w:sz w:val="21"/>
                <w:szCs w:val="21"/>
                <w:color w:val="auto"/>
              </w:rPr>
              <w:t>No.</w:t>
            </w:r>
          </w:p>
        </w:tc>
        <w:tc>
          <w:tcPr>
            <w:tcW w:w="5240" w:type="dxa"/>
            <w:vAlign w:val="bottom"/>
            <w:tcBorders>
              <w:right w:val="single" w:sz="8" w:color="auto"/>
            </w:tcBorders>
            <w:vMerge w:val="restart"/>
            <w:shd w:val="clear" w:color="auto" w:fill="D9CBA7"/>
          </w:tcPr>
          <w:p>
            <w:pPr>
              <w:ind w:left="1540"/>
              <w:spacing w:after="0"/>
              <w:rPr>
                <w:sz w:val="20"/>
                <w:szCs w:val="20"/>
                <w:color w:val="auto"/>
              </w:rPr>
            </w:pPr>
            <w:r>
              <w:rPr>
                <w:rFonts w:ascii="Times New Roman" w:cs="Times New Roman" w:eastAsia="Times New Roman" w:hAnsi="Times New Roman"/>
                <w:sz w:val="21"/>
                <w:szCs w:val="21"/>
                <w:b w:val="1"/>
                <w:bCs w:val="1"/>
                <w:color w:val="auto"/>
              </w:rPr>
              <w:t>(Deliverable Reference)</w:t>
            </w:r>
          </w:p>
        </w:tc>
        <w:tc>
          <w:tcPr>
            <w:tcW w:w="1600" w:type="dxa"/>
            <w:vAlign w:val="bottom"/>
            <w:tcBorders>
              <w:right w:val="single" w:sz="8" w:color="auto"/>
            </w:tcBorders>
            <w:vMerge w:val="continue"/>
            <w:shd w:val="clear" w:color="auto" w:fill="D9CBA7"/>
          </w:tcPr>
          <w:p>
            <w:pPr>
              <w:spacing w:after="0"/>
              <w:rPr>
                <w:sz w:val="14"/>
                <w:szCs w:val="14"/>
                <w:color w:val="auto"/>
              </w:rPr>
            </w:pPr>
          </w:p>
        </w:tc>
        <w:tc>
          <w:tcPr>
            <w:tcW w:w="2360" w:type="dxa"/>
            <w:vAlign w:val="bottom"/>
            <w:tcBorders>
              <w:right w:val="single" w:sz="8" w:color="auto"/>
            </w:tcBorders>
            <w:vMerge w:val="continue"/>
            <w:shd w:val="clear" w:color="auto" w:fill="D9CBA7"/>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500" w:type="dxa"/>
            <w:vAlign w:val="bottom"/>
            <w:tcBorders>
              <w:left w:val="single" w:sz="8" w:color="auto"/>
              <w:bottom w:val="single" w:sz="8" w:color="auto"/>
              <w:right w:val="single" w:sz="8" w:color="auto"/>
            </w:tcBorders>
            <w:vMerge w:val="continue"/>
            <w:shd w:val="clear" w:color="auto" w:fill="D9CBA7"/>
          </w:tcPr>
          <w:p>
            <w:pPr>
              <w:spacing w:after="0"/>
              <w:rPr>
                <w:sz w:val="9"/>
                <w:szCs w:val="9"/>
                <w:color w:val="auto"/>
              </w:rPr>
            </w:pPr>
          </w:p>
        </w:tc>
        <w:tc>
          <w:tcPr>
            <w:tcW w:w="5240" w:type="dxa"/>
            <w:vAlign w:val="bottom"/>
            <w:tcBorders>
              <w:bottom w:val="single" w:sz="8" w:color="auto"/>
              <w:right w:val="single" w:sz="8" w:color="auto"/>
            </w:tcBorders>
            <w:vMerge w:val="continue"/>
            <w:shd w:val="clear" w:color="auto" w:fill="D9CBA7"/>
          </w:tcPr>
          <w:p>
            <w:pPr>
              <w:spacing w:after="0"/>
              <w:rPr>
                <w:sz w:val="9"/>
                <w:szCs w:val="9"/>
                <w:color w:val="auto"/>
              </w:rPr>
            </w:pPr>
          </w:p>
        </w:tc>
        <w:tc>
          <w:tcPr>
            <w:tcW w:w="1600" w:type="dxa"/>
            <w:vAlign w:val="bottom"/>
            <w:tcBorders>
              <w:bottom w:val="single" w:sz="8" w:color="auto"/>
              <w:right w:val="single" w:sz="8" w:color="auto"/>
            </w:tcBorders>
            <w:shd w:val="clear" w:color="auto" w:fill="D9CBA7"/>
          </w:tcPr>
          <w:p>
            <w:pPr>
              <w:spacing w:after="0"/>
              <w:rPr>
                <w:sz w:val="9"/>
                <w:szCs w:val="9"/>
                <w:color w:val="auto"/>
              </w:rPr>
            </w:pPr>
          </w:p>
        </w:tc>
        <w:tc>
          <w:tcPr>
            <w:tcW w:w="2360" w:type="dxa"/>
            <w:vAlign w:val="bottom"/>
            <w:tcBorders>
              <w:bottom w:val="single" w:sz="8" w:color="auto"/>
              <w:right w:val="single" w:sz="8" w:color="auto"/>
            </w:tcBorders>
            <w:shd w:val="clear" w:color="auto" w:fill="D9CBA7"/>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50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color w:val="auto"/>
              </w:rPr>
              <w:t>5.1</w:t>
            </w:r>
          </w:p>
        </w:tc>
        <w:tc>
          <w:tcPr>
            <w:tcW w:w="5240" w:type="dxa"/>
            <w:vAlign w:val="bottom"/>
            <w:tcBorders>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21"/>
                <w:szCs w:val="21"/>
                <w:color w:val="auto"/>
              </w:rPr>
              <w:t>[* * *] Drug Substance Deliverables ([* * *] of Drug</w:t>
            </w:r>
          </w:p>
        </w:tc>
        <w:tc>
          <w:tcPr>
            <w:tcW w:w="1600" w:type="dxa"/>
            <w:vAlign w:val="bottom"/>
            <w:tcBorders>
              <w:right w:val="single" w:sz="8" w:color="auto"/>
            </w:tcBorders>
          </w:tcPr>
          <w:p>
            <w:pPr>
              <w:jc w:val="right"/>
              <w:ind w:right="853"/>
              <w:spacing w:after="0" w:line="194" w:lineRule="exact"/>
              <w:rPr>
                <w:sz w:val="20"/>
                <w:szCs w:val="20"/>
                <w:color w:val="auto"/>
              </w:rPr>
            </w:pPr>
            <w:r>
              <w:rPr>
                <w:rFonts w:ascii="Times New Roman" w:cs="Times New Roman" w:eastAsia="Times New Roman" w:hAnsi="Times New Roman"/>
                <w:sz w:val="21"/>
                <w:szCs w:val="21"/>
                <w:color w:val="auto"/>
              </w:rPr>
              <w:t>[* * *]</w:t>
            </w:r>
          </w:p>
        </w:tc>
        <w:tc>
          <w:tcPr>
            <w:tcW w:w="2360" w:type="dxa"/>
            <w:vAlign w:val="bottom"/>
            <w:tcBorders>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Substance)</w:t>
            </w:r>
          </w:p>
        </w:tc>
        <w:tc>
          <w:tcPr>
            <w:tcW w:w="16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0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5.2</w:t>
            </w:r>
          </w:p>
        </w:tc>
        <w:tc>
          <w:tcPr>
            <w:tcW w:w="524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Substance Deliverables ([* * *] of Drug</w:t>
            </w:r>
          </w:p>
        </w:tc>
        <w:tc>
          <w:tcPr>
            <w:tcW w:w="1600" w:type="dxa"/>
            <w:vAlign w:val="bottom"/>
            <w:tcBorders>
              <w:right w:val="single" w:sz="8" w:color="auto"/>
            </w:tcBorders>
          </w:tcPr>
          <w:p>
            <w:pPr>
              <w:jc w:val="right"/>
              <w:ind w:right="85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36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Substance)</w:t>
            </w:r>
          </w:p>
        </w:tc>
        <w:tc>
          <w:tcPr>
            <w:tcW w:w="16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0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5.3</w:t>
            </w:r>
          </w:p>
        </w:tc>
        <w:tc>
          <w:tcPr>
            <w:tcW w:w="524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Product Deliverables (Fill/Finish for [* * *] of</w:t>
            </w:r>
          </w:p>
        </w:tc>
        <w:tc>
          <w:tcPr>
            <w:tcW w:w="1600" w:type="dxa"/>
            <w:vAlign w:val="bottom"/>
            <w:tcBorders>
              <w:right w:val="single" w:sz="8" w:color="auto"/>
            </w:tcBorders>
          </w:tcPr>
          <w:p>
            <w:pPr>
              <w:jc w:val="right"/>
              <w:ind w:right="85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36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Drug Substance)</w:t>
            </w:r>
          </w:p>
        </w:tc>
        <w:tc>
          <w:tcPr>
            <w:tcW w:w="16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0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5.4</w:t>
            </w:r>
          </w:p>
        </w:tc>
        <w:tc>
          <w:tcPr>
            <w:tcW w:w="524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Substance Deliverables ([* * *] of Drug</w:t>
            </w:r>
          </w:p>
        </w:tc>
        <w:tc>
          <w:tcPr>
            <w:tcW w:w="1600" w:type="dxa"/>
            <w:vAlign w:val="bottom"/>
            <w:tcBorders>
              <w:right w:val="single" w:sz="8" w:color="auto"/>
            </w:tcBorders>
          </w:tcPr>
          <w:p>
            <w:pPr>
              <w:jc w:val="right"/>
              <w:ind w:right="85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36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Substance)</w:t>
            </w:r>
          </w:p>
        </w:tc>
        <w:tc>
          <w:tcPr>
            <w:tcW w:w="16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0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5.5</w:t>
            </w:r>
          </w:p>
        </w:tc>
        <w:tc>
          <w:tcPr>
            <w:tcW w:w="524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Product Deliverables (Fill/Finish for [* * *] of</w:t>
            </w:r>
          </w:p>
        </w:tc>
        <w:tc>
          <w:tcPr>
            <w:tcW w:w="1600" w:type="dxa"/>
            <w:vAlign w:val="bottom"/>
            <w:tcBorders>
              <w:right w:val="single" w:sz="8" w:color="auto"/>
            </w:tcBorders>
          </w:tcPr>
          <w:p>
            <w:pPr>
              <w:jc w:val="right"/>
              <w:ind w:right="85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36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Drug Substance)</w:t>
            </w:r>
          </w:p>
        </w:tc>
        <w:tc>
          <w:tcPr>
            <w:tcW w:w="16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0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5.6</w:t>
            </w:r>
          </w:p>
        </w:tc>
        <w:tc>
          <w:tcPr>
            <w:tcW w:w="524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Substance Deliverables ([* * *] of Drug</w:t>
            </w:r>
          </w:p>
        </w:tc>
        <w:tc>
          <w:tcPr>
            <w:tcW w:w="1600" w:type="dxa"/>
            <w:vAlign w:val="bottom"/>
            <w:tcBorders>
              <w:right w:val="single" w:sz="8" w:color="auto"/>
            </w:tcBorders>
          </w:tcPr>
          <w:p>
            <w:pPr>
              <w:jc w:val="right"/>
              <w:ind w:right="85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36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Substance)</w:t>
            </w:r>
          </w:p>
        </w:tc>
        <w:tc>
          <w:tcPr>
            <w:tcW w:w="16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0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5.7</w:t>
            </w:r>
          </w:p>
        </w:tc>
        <w:tc>
          <w:tcPr>
            <w:tcW w:w="524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Product Deliverables (Fill/Finish for [* * *] of</w:t>
            </w:r>
          </w:p>
        </w:tc>
        <w:tc>
          <w:tcPr>
            <w:tcW w:w="1600" w:type="dxa"/>
            <w:vAlign w:val="bottom"/>
            <w:tcBorders>
              <w:right w:val="single" w:sz="8" w:color="auto"/>
            </w:tcBorders>
          </w:tcPr>
          <w:p>
            <w:pPr>
              <w:jc w:val="right"/>
              <w:ind w:right="85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36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Drug Substance)</w:t>
            </w:r>
          </w:p>
        </w:tc>
        <w:tc>
          <w:tcPr>
            <w:tcW w:w="16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0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5.8</w:t>
            </w:r>
          </w:p>
        </w:tc>
        <w:tc>
          <w:tcPr>
            <w:tcW w:w="524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Substance Deliverables ([* * *]of Drug</w:t>
            </w:r>
          </w:p>
        </w:tc>
        <w:tc>
          <w:tcPr>
            <w:tcW w:w="1600" w:type="dxa"/>
            <w:vAlign w:val="bottom"/>
            <w:tcBorders>
              <w:right w:val="single" w:sz="8" w:color="auto"/>
            </w:tcBorders>
          </w:tcPr>
          <w:p>
            <w:pPr>
              <w:jc w:val="right"/>
              <w:ind w:right="85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36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Substance)</w:t>
            </w:r>
          </w:p>
        </w:tc>
        <w:tc>
          <w:tcPr>
            <w:tcW w:w="16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0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5.9</w:t>
            </w:r>
          </w:p>
        </w:tc>
        <w:tc>
          <w:tcPr>
            <w:tcW w:w="524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Product Deliverables (Fill/Finish for [* * *] of</w:t>
            </w:r>
          </w:p>
        </w:tc>
        <w:tc>
          <w:tcPr>
            <w:tcW w:w="1600" w:type="dxa"/>
            <w:vAlign w:val="bottom"/>
            <w:tcBorders>
              <w:right w:val="single" w:sz="8" w:color="auto"/>
            </w:tcBorders>
          </w:tcPr>
          <w:p>
            <w:pPr>
              <w:jc w:val="right"/>
              <w:ind w:right="85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36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Drug Substance)</w:t>
            </w:r>
          </w:p>
        </w:tc>
        <w:tc>
          <w:tcPr>
            <w:tcW w:w="16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0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5.10</w:t>
            </w:r>
          </w:p>
        </w:tc>
        <w:tc>
          <w:tcPr>
            <w:tcW w:w="524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Product Deliverables (Fill/Finish for [* * *] of</w:t>
            </w:r>
          </w:p>
        </w:tc>
        <w:tc>
          <w:tcPr>
            <w:tcW w:w="1600" w:type="dxa"/>
            <w:vAlign w:val="bottom"/>
            <w:tcBorders>
              <w:right w:val="single" w:sz="8" w:color="auto"/>
            </w:tcBorders>
          </w:tcPr>
          <w:p>
            <w:pPr>
              <w:jc w:val="right"/>
              <w:ind w:right="85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36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Drug Substance)</w:t>
            </w:r>
          </w:p>
        </w:tc>
        <w:tc>
          <w:tcPr>
            <w:tcW w:w="16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0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5.11</w:t>
            </w:r>
          </w:p>
        </w:tc>
        <w:tc>
          <w:tcPr>
            <w:tcW w:w="524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Quarterly Technical and Business Status Report, Reference</w:t>
            </w:r>
          </w:p>
        </w:tc>
        <w:tc>
          <w:tcPr>
            <w:tcW w:w="1600" w:type="dxa"/>
            <w:vAlign w:val="bottom"/>
            <w:tcBorders>
              <w:right w:val="single" w:sz="8" w:color="auto"/>
            </w:tcBorders>
          </w:tcPr>
          <w:p>
            <w:pPr>
              <w:jc w:val="right"/>
              <w:ind w:right="85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36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3.3.1.k</w:t>
            </w:r>
          </w:p>
        </w:tc>
        <w:tc>
          <w:tcPr>
            <w:tcW w:w="16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0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5.12</w:t>
            </w:r>
          </w:p>
        </w:tc>
        <w:tc>
          <w:tcPr>
            <w:tcW w:w="524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Annual Technical and Business Status Report, Reference</w:t>
            </w:r>
          </w:p>
        </w:tc>
        <w:tc>
          <w:tcPr>
            <w:tcW w:w="1600" w:type="dxa"/>
            <w:vAlign w:val="bottom"/>
            <w:tcBorders>
              <w:right w:val="single" w:sz="8" w:color="auto"/>
            </w:tcBorders>
          </w:tcPr>
          <w:p>
            <w:pPr>
              <w:jc w:val="right"/>
              <w:ind w:right="85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36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3.3.1.l</w:t>
            </w:r>
          </w:p>
        </w:tc>
        <w:tc>
          <w:tcPr>
            <w:tcW w:w="16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5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5.13</w:t>
            </w:r>
          </w:p>
        </w:tc>
        <w:tc>
          <w:tcPr>
            <w:tcW w:w="5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1600" w:type="dxa"/>
            <w:vAlign w:val="bottom"/>
            <w:tcBorders>
              <w:bottom w:val="single" w:sz="8" w:color="auto"/>
              <w:right w:val="single" w:sz="8" w:color="auto"/>
            </w:tcBorders>
          </w:tcPr>
          <w:p>
            <w:pPr>
              <w:jc w:val="right"/>
              <w:ind w:right="853"/>
              <w:spacing w:after="0"/>
              <w:rPr>
                <w:sz w:val="20"/>
                <w:szCs w:val="20"/>
                <w:color w:val="auto"/>
              </w:rPr>
            </w:pPr>
            <w:r>
              <w:rPr>
                <w:rFonts w:ascii="Times New Roman" w:cs="Times New Roman" w:eastAsia="Times New Roman" w:hAnsi="Times New Roman"/>
                <w:sz w:val="21"/>
                <w:szCs w:val="21"/>
                <w:color w:val="auto"/>
              </w:rPr>
              <w:t>[* * *]</w:t>
            </w:r>
          </w:p>
        </w:tc>
        <w:tc>
          <w:tcPr>
            <w:tcW w:w="2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61"/>
        </w:trPr>
        <w:tc>
          <w:tcPr>
            <w:tcW w:w="15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5.14</w:t>
            </w:r>
          </w:p>
        </w:tc>
        <w:tc>
          <w:tcPr>
            <w:tcW w:w="5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1600" w:type="dxa"/>
            <w:vAlign w:val="bottom"/>
            <w:tcBorders>
              <w:bottom w:val="single" w:sz="8" w:color="auto"/>
              <w:right w:val="single" w:sz="8" w:color="auto"/>
            </w:tcBorders>
          </w:tcPr>
          <w:p>
            <w:pPr>
              <w:jc w:val="right"/>
              <w:ind w:right="853"/>
              <w:spacing w:after="0"/>
              <w:rPr>
                <w:sz w:val="20"/>
                <w:szCs w:val="20"/>
                <w:color w:val="auto"/>
              </w:rPr>
            </w:pPr>
            <w:r>
              <w:rPr>
                <w:rFonts w:ascii="Times New Roman" w:cs="Times New Roman" w:eastAsia="Times New Roman" w:hAnsi="Times New Roman"/>
                <w:sz w:val="21"/>
                <w:szCs w:val="21"/>
                <w:color w:val="auto"/>
              </w:rPr>
              <w:t>[* * *]</w:t>
            </w:r>
          </w:p>
        </w:tc>
        <w:tc>
          <w:tcPr>
            <w:tcW w:w="2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61"/>
        </w:trPr>
        <w:tc>
          <w:tcPr>
            <w:tcW w:w="15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5.15</w:t>
            </w:r>
          </w:p>
        </w:tc>
        <w:tc>
          <w:tcPr>
            <w:tcW w:w="5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1600" w:type="dxa"/>
            <w:vAlign w:val="bottom"/>
            <w:tcBorders>
              <w:bottom w:val="single" w:sz="8" w:color="auto"/>
              <w:right w:val="single" w:sz="8" w:color="auto"/>
            </w:tcBorders>
          </w:tcPr>
          <w:p>
            <w:pPr>
              <w:jc w:val="right"/>
              <w:ind w:right="853"/>
              <w:spacing w:after="0"/>
              <w:rPr>
                <w:sz w:val="20"/>
                <w:szCs w:val="20"/>
                <w:color w:val="auto"/>
              </w:rPr>
            </w:pPr>
            <w:r>
              <w:rPr>
                <w:rFonts w:ascii="Times New Roman" w:cs="Times New Roman" w:eastAsia="Times New Roman" w:hAnsi="Times New Roman"/>
                <w:sz w:val="21"/>
                <w:szCs w:val="21"/>
                <w:color w:val="auto"/>
              </w:rPr>
              <w:t>[* * *]</w:t>
            </w:r>
          </w:p>
        </w:tc>
        <w:tc>
          <w:tcPr>
            <w:tcW w:w="2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61"/>
        </w:trPr>
        <w:tc>
          <w:tcPr>
            <w:tcW w:w="15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5.16</w:t>
            </w:r>
          </w:p>
        </w:tc>
        <w:tc>
          <w:tcPr>
            <w:tcW w:w="5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1600" w:type="dxa"/>
            <w:vAlign w:val="bottom"/>
            <w:tcBorders>
              <w:bottom w:val="single" w:sz="8" w:color="auto"/>
              <w:right w:val="single" w:sz="8" w:color="auto"/>
            </w:tcBorders>
          </w:tcPr>
          <w:p>
            <w:pPr>
              <w:jc w:val="right"/>
              <w:ind w:right="853"/>
              <w:spacing w:after="0"/>
              <w:rPr>
                <w:sz w:val="20"/>
                <w:szCs w:val="20"/>
                <w:color w:val="auto"/>
              </w:rPr>
            </w:pPr>
            <w:r>
              <w:rPr>
                <w:rFonts w:ascii="Times New Roman" w:cs="Times New Roman" w:eastAsia="Times New Roman" w:hAnsi="Times New Roman"/>
                <w:sz w:val="21"/>
                <w:szCs w:val="21"/>
                <w:color w:val="auto"/>
              </w:rPr>
              <w:t>[* * *]</w:t>
            </w:r>
          </w:p>
        </w:tc>
        <w:tc>
          <w:tcPr>
            <w:tcW w:w="2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61"/>
        </w:trPr>
        <w:tc>
          <w:tcPr>
            <w:tcW w:w="15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5.17</w:t>
            </w:r>
          </w:p>
        </w:tc>
        <w:tc>
          <w:tcPr>
            <w:tcW w:w="5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Support of Distribution of Drug Product [* * *]</w:t>
            </w:r>
          </w:p>
        </w:tc>
        <w:tc>
          <w:tcPr>
            <w:tcW w:w="1600" w:type="dxa"/>
            <w:vAlign w:val="bottom"/>
            <w:tcBorders>
              <w:bottom w:val="single" w:sz="8" w:color="auto"/>
              <w:right w:val="single" w:sz="8" w:color="auto"/>
            </w:tcBorders>
          </w:tcPr>
          <w:p>
            <w:pPr>
              <w:jc w:val="right"/>
              <w:ind w:right="853"/>
              <w:spacing w:after="0"/>
              <w:rPr>
                <w:sz w:val="20"/>
                <w:szCs w:val="20"/>
                <w:color w:val="auto"/>
              </w:rPr>
            </w:pPr>
            <w:r>
              <w:rPr>
                <w:rFonts w:ascii="Times New Roman" w:cs="Times New Roman" w:eastAsia="Times New Roman" w:hAnsi="Times New Roman"/>
                <w:sz w:val="21"/>
                <w:szCs w:val="21"/>
                <w:color w:val="auto"/>
              </w:rPr>
              <w:t>[* * *]</w:t>
            </w:r>
          </w:p>
        </w:tc>
        <w:tc>
          <w:tcPr>
            <w:tcW w:w="2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61"/>
        </w:trPr>
        <w:tc>
          <w:tcPr>
            <w:tcW w:w="1500" w:type="dxa"/>
            <w:vAlign w:val="bottom"/>
            <w:tcBorders>
              <w:left w:val="single" w:sz="8" w:color="auto"/>
              <w:bottom w:val="single" w:sz="8" w:color="auto"/>
            </w:tcBorders>
          </w:tcPr>
          <w:p>
            <w:pPr>
              <w:spacing w:after="0"/>
              <w:rPr>
                <w:sz w:val="22"/>
                <w:szCs w:val="22"/>
                <w:color w:val="auto"/>
              </w:rPr>
            </w:pPr>
          </w:p>
        </w:tc>
        <w:tc>
          <w:tcPr>
            <w:tcW w:w="68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auto"/>
              </w:rPr>
              <w:t>Total (Include Payment Type; FFP</w:t>
            </w:r>
            <w:r>
              <w:rPr>
                <w:rFonts w:ascii="Times New Roman" w:cs="Times New Roman" w:eastAsia="Times New Roman" w:hAnsi="Times New Roman"/>
                <w:sz w:val="21"/>
                <w:szCs w:val="21"/>
                <w:color w:val="auto"/>
              </w:rPr>
              <w:t>/CR</w:t>
            </w:r>
            <w:r>
              <w:rPr>
                <w:rFonts w:ascii="Times New Roman" w:cs="Times New Roman" w:eastAsia="Times New Roman" w:hAnsi="Times New Roman"/>
                <w:sz w:val="21"/>
                <w:szCs w:val="21"/>
                <w:b w:val="1"/>
                <w:bCs w:val="1"/>
                <w:color w:val="auto"/>
              </w:rPr>
              <w:t>):</w:t>
            </w:r>
          </w:p>
        </w:tc>
        <w:tc>
          <w:tcPr>
            <w:tcW w:w="2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$465,861,635</w:t>
            </w:r>
          </w:p>
        </w:tc>
        <w:tc>
          <w:tcPr>
            <w:tcW w:w="0" w:type="dxa"/>
            <w:vAlign w:val="bottom"/>
          </w:tcPr>
          <w:p>
            <w:pPr>
              <w:spacing w:after="0"/>
              <w:rPr>
                <w:sz w:val="1"/>
                <w:szCs w:val="1"/>
                <w:color w:val="auto"/>
              </w:rPr>
            </w:pPr>
          </w:p>
        </w:tc>
      </w:tr>
      <w:tr>
        <w:trPr>
          <w:trHeight w:val="194"/>
        </w:trPr>
        <w:tc>
          <w:tcPr>
            <w:tcW w:w="1500" w:type="dxa"/>
            <w:vAlign w:val="bottom"/>
            <w:tcBorders>
              <w:left w:val="single" w:sz="8" w:color="auto"/>
            </w:tcBorders>
          </w:tcPr>
          <w:p>
            <w:pPr>
              <w:spacing w:after="0"/>
              <w:rPr>
                <w:sz w:val="16"/>
                <w:szCs w:val="16"/>
                <w:color w:val="auto"/>
              </w:rPr>
            </w:pPr>
          </w:p>
        </w:tc>
        <w:tc>
          <w:tcPr>
            <w:tcW w:w="6840" w:type="dxa"/>
            <w:vAlign w:val="bottom"/>
            <w:tcBorders>
              <w:right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21"/>
                <w:szCs w:val="21"/>
                <w:b w:val="1"/>
                <w:bCs w:val="1"/>
                <w:color w:val="auto"/>
              </w:rPr>
              <w:t>Period of Performance:</w:t>
            </w:r>
          </w:p>
        </w:tc>
        <w:tc>
          <w:tcPr>
            <w:tcW w:w="2360" w:type="dxa"/>
            <w:vAlign w:val="bottom"/>
            <w:tcBorders>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21"/>
                <w:szCs w:val="21"/>
                <w:b w:val="1"/>
                <w:bCs w:val="1"/>
                <w:color w:val="auto"/>
              </w:rPr>
              <w:t>June 2020 – November</w:t>
            </w:r>
          </w:p>
        </w:tc>
        <w:tc>
          <w:tcPr>
            <w:tcW w:w="0" w:type="dxa"/>
            <w:vAlign w:val="bottom"/>
          </w:tcPr>
          <w:p>
            <w:pPr>
              <w:spacing w:after="0"/>
              <w:rPr>
                <w:sz w:val="1"/>
                <w:szCs w:val="1"/>
                <w:color w:val="auto"/>
              </w:rPr>
            </w:pPr>
          </w:p>
        </w:tc>
      </w:tr>
      <w:tr>
        <w:trPr>
          <w:trHeight w:val="281"/>
        </w:trPr>
        <w:tc>
          <w:tcPr>
            <w:tcW w:w="1500" w:type="dxa"/>
            <w:vAlign w:val="bottom"/>
            <w:tcBorders>
              <w:left w:val="single" w:sz="8" w:color="auto"/>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2021</w:t>
            </w:r>
          </w:p>
        </w:tc>
        <w:tc>
          <w:tcPr>
            <w:tcW w:w="0" w:type="dxa"/>
            <w:vAlign w:val="bottom"/>
          </w:tcPr>
          <w:p>
            <w:pPr>
              <w:spacing w:after="0"/>
              <w:rPr>
                <w:sz w:val="1"/>
                <w:szCs w:val="1"/>
                <w:color w:val="auto"/>
              </w:rPr>
            </w:pPr>
          </w:p>
        </w:tc>
      </w:tr>
    </w:tbl>
    <w:p>
      <w:pPr>
        <w:spacing w:after="0" w:line="294"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The overall price is a not-to-exceed price of $465,861,635, structured as a firm fixed price of [* * *] and a cost reimbursement budget (for support of distribution and [* * *]costs only) of [* * *]. Milestone payments will be made monthly or quarterly. The Parties acknowledge that deliverables for a given month or quarter may not correspond to the table above. In the event the deliverables in a given month or quarter are less than or exceed the projected quantity for such month or quarter, or in the event of a monthly invoice against an amount designated for a quarter in the table above, the milestone payment will be equitably adjusted based on the shortfall,</w:t>
      </w:r>
    </w:p>
    <w:p>
      <w:pPr>
        <w:sectPr>
          <w:pgSz w:w="11900" w:h="16838" w:orient="portrait"/>
          <w:cols w:equalWidth="0" w:num="1">
            <w:col w:w="11240"/>
          </w:cols>
          <w:pgMar w:left="320" w:top="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CONFIDENTIAL/PROPRIETARY</w:t>
      </w:r>
    </w:p>
    <w:p>
      <w:pPr>
        <w:sectPr>
          <w:pgSz w:w="11900" w:h="16838" w:orient="portrait"/>
          <w:cols w:equalWidth="0" w:num="1">
            <w:col w:w="11240"/>
          </w:cols>
          <w:pgMar w:left="320" w:top="95" w:right="339" w:bottom="1440" w:gutter="0" w:footer="0" w:header="0"/>
          <w:type w:val="continuous"/>
        </w:sectPr>
      </w:pPr>
    </w:p>
    <w:bookmarkStart w:id="108" w:name="page109"/>
    <w:bookmarkEnd w:id="108"/>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14</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excess or monthly amount, as applicable. With respect to the Distribution and [* * *] Costs milestone (5.17), Regeneron shall invoice against such milestone based on actual, external costs incurred by Regeneron during the applicable period, plus an allowance for Regeneron’s general and administrative expense. Milestone payment terms will be net 30 days.</w:t>
      </w:r>
    </w:p>
    <w:p>
      <w:pPr>
        <w:spacing w:after="0" w:line="1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 xml:space="preserve">Total pricing for Drug Substance and Drug Product is a firm fixed price per lot, [* * *]. Regeneron will deliver [* * *] of filled/finished drug product. Regeneron will be entitled to full payment for drug product upon delivery/acceptance (as described herein) of filled/finished drug product, prior to packaging and labeling. However, Regeneron shall be responsible for the packaging and labeling of product at no additional cost following the determination of the use of such drug product (e.g., for clinical trials or for distribution under an EUA or BLA). Drug product will comply with the Drug Supply Chain Security Act serialization and tracking requirements, unless waived or otherwise not applicable. Drug product will not be co-formulated, except as otherwise mutually agreed upon by the parties. Unless and until otherwise mutually agreed upon, approximately [* * *] of the drug product produced under this Statement of Work will be filled in [* * *]. In order to change this allocation, Regeneron will require at least [* * *] prior written notice, in order to meet Regeneron’s notification requirements to its fill/finish subcontractor. </w:t>
      </w:r>
      <w:r>
        <w:rPr>
          <w:rFonts w:ascii="Times New Roman" w:cs="Times New Roman" w:eastAsia="Times New Roman" w:hAnsi="Times New Roman"/>
          <w:sz w:val="21"/>
          <w:szCs w:val="21"/>
          <w:color w:val="auto"/>
          <w:strike w:val="1"/>
        </w:rPr>
        <w:t>Regeneron will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provide the Government with the timeline for fill/finish activities, including the dates by which the parties must determine the allocation of fill/finish activities. Notwithstanding the foregoing, as part of this Project Agreement, Regeneron will have the right to utilize material and capacity supported by this agreement of up to [* * *], as well as any additional drug product for such uses, as mutually agreed upon by Regeneron and the Government (with respect to which use the Government will not unreasonably withhold consent).</w:t>
      </w:r>
    </w:p>
    <w:p>
      <w:pPr>
        <w:spacing w:after="0" w:line="16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In the event this Statement of Work is terminated prior to completion, termination costs recoverable by Regeneron under Section 2.04 of the MCDC Base Agreement, shall include the following: the full contract price for any drug product manufactured and not yet paid for; a pro-rated portion of the contract price for drug substance or drug product that is in process, based on the stage of production; [* * *]; raw materials that Regeneron purchased (or is obligated to purchase) that cannot be allocated to other products; and [* * *].</w:t>
      </w:r>
    </w:p>
    <w:p>
      <w:pPr>
        <w:spacing w:after="0" w:line="14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6.0</w:t>
        <w:tab/>
        <w:t>SALE, STORAGE, AND SHIPPING PROVISIONS</w:t>
      </w:r>
    </w:p>
    <w:p>
      <w:pPr>
        <w:spacing w:after="0" w:line="19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 xml:space="preserve">Upon acceptance by the Agreements Officer Representative of any lot of antibodies under this contract, title to such antibodies will transfer as follows: upon delivery of drug product to vendor-managed inventory and the Government’s corresponding written acceptance of the delivery of each such lot of drug product. The Government shall accept product that conforms to contract requirements based on a Certificate of Analysis (COA) provided by Regeneron, and the parties shall perform their obligations relating to product delivery set forth in the applicable Quality Agreement for the product. The Government's acceptance of product will be [* * *] provide written notice of acceptance or rejection [* * *]. In the event of an EUA, Regeneron will transfer product from VMI to the Distributor for distribution directed by the Government; provided that, product shall not be provided to the Distributor until it is accepted by the Government. Unless otherwise mutually agreed upon by the parties, drug product shall be shipped to the Government or distributed, as applicable, within the continental United States. Regeneron will [* * *] for all product stored as vendor-managed inventory, and while such product is in the possession of the Distributor and being distributed for the Government </w:t>
      </w:r>
      <w:r>
        <w:rPr>
          <w:rFonts w:ascii="Times New Roman" w:cs="Times New Roman" w:eastAsia="Times New Roman" w:hAnsi="Times New Roman"/>
          <w:sz w:val="21"/>
          <w:szCs w:val="21"/>
          <w:b w:val="1"/>
          <w:bCs w:val="1"/>
          <w:i w:val="1"/>
          <w:iCs w:val="1"/>
          <w:color w:val="auto"/>
        </w:rPr>
        <w:t>in the United States.</w:t>
      </w:r>
      <w:r>
        <w:rPr>
          <w:rFonts w:ascii="Times New Roman" w:cs="Times New Roman" w:eastAsia="Times New Roman" w:hAnsi="Times New Roman"/>
          <w:sz w:val="21"/>
          <w:szCs w:val="21"/>
          <w:color w:val="auto"/>
        </w:rPr>
        <w:t xml:space="preserve"> With respect to product being distributed </w:t>
      </w:r>
      <w:r>
        <w:rPr>
          <w:rFonts w:ascii="Times New Roman" w:cs="Times New Roman" w:eastAsia="Times New Roman" w:hAnsi="Times New Roman"/>
          <w:sz w:val="21"/>
          <w:szCs w:val="21"/>
          <w:b w:val="1"/>
          <w:bCs w:val="1"/>
          <w:i w:val="1"/>
          <w:iCs w:val="1"/>
          <w:color w:val="auto"/>
        </w:rPr>
        <w:t>in the United States</w:t>
      </w:r>
      <w:r>
        <w:rPr>
          <w:rFonts w:ascii="Times New Roman" w:cs="Times New Roman" w:eastAsia="Times New Roman" w:hAnsi="Times New Roman"/>
          <w:sz w:val="21"/>
          <w:szCs w:val="21"/>
          <w:color w:val="auto"/>
        </w:rPr>
        <w:t>, [* * *] Government upon delivery from the Distributor to the end-user (e.g., the hospital, infusion center or other end-user). To the extent that Regeneron is responsible for the correction, repair or replacement of Government property held in vendor-managed inventory or in distribution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1240"/>
          </w:cols>
          <w:pgMar w:left="320" w:top="95"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15</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the possession of the Distributor, [* * *], the Government will [* * *] of such property. Vendor-managed storage of product manufactured under this agreement is supported through June 30, 2021 or, if an EUA is granted, for the 12-month period following an EUA. As such, if an EUA is not granted, the Government must either (a) take possession on or before June 30, 2021 and provide Regeneron with disposition instructions in sufficient time to transfer physical material from Regeneron by this date, or (b) bilaterally modify this agreement to extend the period of vendor management of storage prior to this date. If an EUA is granted prior to June 30, 2021, then storage and distribution activities under the EUA shall be supported under this agreement for up to 12 months following the grant of an EUA, except that additional costs may apply (and the storage milestones shall be equitably adjusted) if storage of product as VMI is required following the end of June 30, 2021.</w:t>
      </w:r>
    </w:p>
    <w:p>
      <w:pPr>
        <w:spacing w:after="0" w:line="15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The Government understands that prices identified in this contract include [* * *] applicable to material that will become Government property, including product stored as vendor-managed inventory or in the possession of the Distributor, and being distributed for the Government.</w:t>
      </w:r>
    </w:p>
    <w:p>
      <w:pPr>
        <w:spacing w:after="0" w:line="14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7.0</w:t>
        <w:tab/>
        <w:t>PATENT RIGHTS; DATA RIGHTS; PREP ACT AND TRANSPARENCY</w:t>
      </w:r>
    </w:p>
    <w:p>
      <w:pPr>
        <w:spacing w:after="0" w:line="19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Article X, (“PATENT RIGHTS”) and Article XI. (“DATA RIGHTS”) of Other Transaction Agreement number W15QKN-16-9-1002 shall not apply to this Project Agreement and are hereby replaced for the purpose of this Project Agreement, with this Section 7.0 (including Sections 7.1-7.4 and the Definitions Appendix).</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Definitions:</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Capitalized terms used in this Section 7.0 (including Sections 7.1-7.4) shall have the meanings ascribed to such terms in the Definitions Appendix to this Project Agreement.</w:t>
      </w:r>
    </w:p>
    <w:p>
      <w:pPr>
        <w:spacing w:after="0" w:line="14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For purposes of this Project Agreement, all rights of the Government in and to Data or Subject Inventions are granted solely to The United States of America, as represented by the Department of Health &amp; Human Services, Office of the Assistant Secretary for Preparedness &amp; Response (“ASPR”), Office of Biomedical Advanced Research and Development (“BARDA”) (represented by Office of Acquisition Management, Contracts and Grants (AMCG)) and to no other agency of the United States of America (including JPEO) or representative of any such other agency (including the CMF). The parties acknowledge that Regeneron is permitted to communicate solely with BARDA regarding the matters described in this Section 7.0 (including Sections 7.1-7.4) and is not obligated to communicate with any other Government agency or representative regarding such matters.</w:t>
      </w:r>
    </w:p>
    <w:p>
      <w:pPr>
        <w:spacing w:after="0" w:line="15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7.1</w:t>
        <w:tab/>
        <w:t>BACKGROUND INTELLECTUAL PROPERTY</w:t>
      </w:r>
    </w:p>
    <w:p>
      <w:pPr>
        <w:spacing w:after="0" w:line="19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Each party acknowledges that it has no rights to the other party’s inventions, discoveries, know-how, Data, technology or intellectual property generated, discovered, conceived or reduced to practice prior to or otherwise outside of this Statement of Work (also referred to herein as, this “Project Agreement” or this “Agreement”), and any improvements or modifications thereto, including, without limitation, the background intellectual property (and improvements/modifications) for the Government and Regeneron described below, as follows: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Government Background Intellectual Property. None.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 xml:space="preserve">Contractor Background Intellectual Property: </w:t>
      </w:r>
      <w:r>
        <w:rPr>
          <w:rFonts w:ascii="Times New Roman" w:cs="Times New Roman" w:eastAsia="Times New Roman" w:hAnsi="Times New Roman"/>
          <w:sz w:val="21"/>
          <w:szCs w:val="21"/>
          <w:color w:val="auto"/>
        </w:rPr>
        <w:t>Includes, but is not limited to,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1240"/>
          </w:cols>
          <w:pgMar w:left="320" w:top="95"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16</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140"/>
        <w:spacing w:after="0" w:line="425" w:lineRule="auto"/>
        <w:rPr>
          <w:sz w:val="20"/>
          <w:szCs w:val="20"/>
          <w:color w:val="auto"/>
        </w:rPr>
      </w:pPr>
      <w:r>
        <w:rPr>
          <w:rFonts w:ascii="Times New Roman" w:cs="Times New Roman" w:eastAsia="Times New Roman" w:hAnsi="Times New Roman"/>
          <w:sz w:val="21"/>
          <w:szCs w:val="21"/>
          <w:color w:val="auto"/>
        </w:rPr>
        <w:t>63/004,312, filed April 2, 2020 “Anti-SARS-CoV-2-Spike Glycoprotein Antibodies and Antigen-Binding Fragments” [* * *]</w:t>
      </w:r>
    </w:p>
    <w:p>
      <w:pPr>
        <w:spacing w:after="0" w:line="1" w:lineRule="exact"/>
        <w:rPr>
          <w:sz w:val="20"/>
          <w:szCs w:val="20"/>
          <w:color w:val="auto"/>
        </w:rPr>
      </w:pPr>
    </w:p>
    <w:p>
      <w:pPr>
        <w:ind w:right="1040"/>
        <w:spacing w:after="0" w:line="425" w:lineRule="auto"/>
        <w:rPr>
          <w:sz w:val="20"/>
          <w:szCs w:val="20"/>
          <w:color w:val="auto"/>
        </w:rPr>
      </w:pPr>
      <w:r>
        <w:rPr>
          <w:rFonts w:ascii="Times New Roman" w:cs="Times New Roman" w:eastAsia="Times New Roman" w:hAnsi="Times New Roman"/>
          <w:sz w:val="21"/>
          <w:szCs w:val="21"/>
          <w:color w:val="auto"/>
        </w:rPr>
        <w:t>63/014,687, filed April 23, 2020 “Anti-SARS-CoV-2-Spike Glycoprotein Antibodies and Antigen-Binding Fragments” [* * *]</w:t>
      </w:r>
    </w:p>
    <w:p>
      <w:pPr>
        <w:spacing w:after="0" w:line="1" w:lineRule="exact"/>
        <w:rPr>
          <w:sz w:val="20"/>
          <w:szCs w:val="20"/>
          <w:color w:val="auto"/>
        </w:rPr>
      </w:pPr>
    </w:p>
    <w:p>
      <w:pPr>
        <w:ind w:right="1100"/>
        <w:spacing w:after="0" w:line="425" w:lineRule="auto"/>
        <w:rPr>
          <w:sz w:val="20"/>
          <w:szCs w:val="20"/>
          <w:color w:val="auto"/>
        </w:rPr>
      </w:pPr>
      <w:r>
        <w:rPr>
          <w:rFonts w:ascii="Times New Roman" w:cs="Times New Roman" w:eastAsia="Times New Roman" w:hAnsi="Times New Roman"/>
          <w:sz w:val="21"/>
          <w:szCs w:val="21"/>
          <w:color w:val="auto"/>
        </w:rPr>
        <w:t>63/025,949, filed May 15, 2020 “Anti-SARS-CoV-2-Spike Glycoprotein Antibodies and Antigen-Binding Fragments” 63/030,260, filed May 26, 2020 “Anti-SARS-CoV-2-Spike Glycoprotein Antibodies and Antigen-Binding Fragments” 63/033,198, filed June 1, 2020 “Anti-SARS-CoV-2-Spike Glycoprotein Antibodies and Antigen-Binding Fragments” 63/034,865, filed June 4, 2020 “Anti-SARS-CoV-2-Spike Glycoprotein Antibodies and Antigen-Binding Fragments”</w:t>
      </w:r>
    </w:p>
    <w:p>
      <w:pPr>
        <w:spacing w:after="0" w:line="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63/034,348, filed June 3, 2020, “Methods for Treating or Preventing SARS-CoV-2 Infections and COVID-19 with Anti-SARS-CoV-2-Spike Glycoprotein Antibodies”</w:t>
      </w:r>
    </w:p>
    <w:p>
      <w:pPr>
        <w:spacing w:after="0" w:line="14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63/036,956, filed June 9, 2020, “Methods for Treating or Preventing SARS-CoV-2 Infections and COVID-19 with Anti-SARS-CoV-2-Spike Glycoprotein Antibodies”</w:t>
      </w:r>
    </w:p>
    <w:p>
      <w:pPr>
        <w:spacing w:after="0" w:line="14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63/038,274, filed June 12, 2020, “Methods for Treating or Preventing SARS-CoV-2 Infections and COVID-19 with Anti-SARS-CoV-2-Spike Glycoprotein Antibodies”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 *]</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 *]</w:t>
      </w:r>
    </w:p>
    <w:p>
      <w:pPr>
        <w:spacing w:after="0" w:line="186" w:lineRule="exact"/>
        <w:rPr>
          <w:sz w:val="20"/>
          <w:szCs w:val="20"/>
          <w:color w:val="auto"/>
        </w:rPr>
      </w:pPr>
    </w:p>
    <w:p>
      <w:pPr>
        <w:ind w:right="3140"/>
        <w:spacing w:after="0" w:line="425" w:lineRule="auto"/>
        <w:rPr>
          <w:sz w:val="20"/>
          <w:szCs w:val="20"/>
          <w:color w:val="auto"/>
        </w:rPr>
      </w:pPr>
      <w:r>
        <w:rPr>
          <w:rFonts w:ascii="Times New Roman" w:cs="Times New Roman" w:eastAsia="Times New Roman" w:hAnsi="Times New Roman"/>
          <w:sz w:val="21"/>
          <w:szCs w:val="21"/>
          <w:color w:val="auto"/>
        </w:rPr>
        <w:t>63/012,074, filed April 17, 2020, “Detection Assays for Coronavirus Neutralizing Antibodies” 63/020,445, filed May 5, 2020, “Detection Assays for Coronavirus Neutralizing Antibodies” 63/029,267, filed May 22, 2020, “Detection Assays for Coronavirus Neutralizing Antibodies”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 party relinquishes rights in any of its background intellectual property to any other party under this contract.</w:t>
      </w:r>
    </w:p>
    <w:p>
      <w:pPr>
        <w:spacing w:after="0" w:line="18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1"/>
          <w:szCs w:val="21"/>
          <w:color w:val="auto"/>
        </w:rPr>
        <w:t>Either Party may update its disclosure of background intellectual property under this Section 7.1 upon written notice to the other Party.</w:t>
      </w:r>
    </w:p>
    <w:p>
      <w:pPr>
        <w:spacing w:after="0" w:line="13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7.2</w:t>
      </w:r>
      <w:r>
        <w:rPr>
          <w:sz w:val="20"/>
          <w:szCs w:val="20"/>
          <w:color w:val="auto"/>
        </w:rPr>
        <w:tab/>
      </w:r>
      <w:r>
        <w:rPr>
          <w:rFonts w:ascii="Times New Roman" w:cs="Times New Roman" w:eastAsia="Times New Roman" w:hAnsi="Times New Roman"/>
          <w:sz w:val="20"/>
          <w:szCs w:val="20"/>
          <w:b w:val="1"/>
          <w:bCs w:val="1"/>
          <w:color w:val="auto"/>
        </w:rPr>
        <w:t>PATENT RIGHTS</w:t>
      </w:r>
    </w:p>
    <w:p>
      <w:pPr>
        <w:spacing w:after="0" w:line="186"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21"/>
          <w:szCs w:val="21"/>
          <w:b w:val="1"/>
          <w:bCs w:val="1"/>
          <w:color w:val="auto"/>
        </w:rPr>
        <w:t>a.</w:t>
        <w:tab/>
        <w:t>Allocation of Principal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1240"/>
          </w:cols>
          <w:pgMar w:left="320" w:top="95"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17</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2"/>
        <w:spacing w:after="0" w:line="219" w:lineRule="auto"/>
        <w:rPr>
          <w:sz w:val="20"/>
          <w:szCs w:val="20"/>
          <w:color w:val="auto"/>
        </w:rPr>
      </w:pPr>
      <w:r>
        <w:rPr>
          <w:rFonts w:ascii="Times New Roman" w:cs="Times New Roman" w:eastAsia="Times New Roman" w:hAnsi="Times New Roman"/>
          <w:sz w:val="21"/>
          <w:szCs w:val="21"/>
          <w:color w:val="auto"/>
        </w:rPr>
        <w:t>The parties agree that the Bayh-Dole statute does not apply to this Project Agreement. Ownership of inventions Made in the performance of this Project Agreement shall follow inventorship, and inventorship shall be determined in accordance with United States patent laws. With respect to any Subject Invention Made (in whole or in part) by or on behalf of Regeneron, unless Regeneron shall have notified the Government (in accordance with Subparagraph b. below) that Regeneron does not intend to properly disclose and elect title to a Subject Invention, Regeneron shall retain the entire right, title, and interest throughout the world to such Subject Invention, and the Government shall have a nonexclusive, nontransferable, irrevocable, paid-up license to practice or have practiced on behalf of the United States the Subject Invention throughout the world. This license does not include the right to use or allow others to use the Subject Invention for commercial purposes. If Regeneron does not properly disclose and elect title to any such Subject Invention (in accordance with Subparagraph b. below), then the Government may exercise its rights to seek ownership of such Subject Invention, pursuant to clause 7.2.c. below.</w:t>
      </w:r>
    </w:p>
    <w:p>
      <w:pPr>
        <w:spacing w:after="0" w:line="146" w:lineRule="exact"/>
        <w:rPr>
          <w:sz w:val="20"/>
          <w:szCs w:val="20"/>
          <w:color w:val="auto"/>
        </w:rPr>
      </w:pPr>
    </w:p>
    <w:p>
      <w:pPr>
        <w:ind w:left="1040" w:hanging="391"/>
        <w:spacing w:after="0"/>
        <w:tabs>
          <w:tab w:leader="none" w:pos="1040" w:val="left"/>
        </w:tabs>
        <w:numPr>
          <w:ilvl w:val="0"/>
          <w:numId w:val="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Invention Disclosure, Election of Title, and Filing of Patent Application</w:t>
      </w:r>
    </w:p>
    <w:p>
      <w:pPr>
        <w:spacing w:after="0" w:line="190" w:lineRule="exact"/>
        <w:rPr>
          <w:rFonts w:ascii="Times New Roman" w:cs="Times New Roman" w:eastAsia="Times New Roman" w:hAnsi="Times New Roman"/>
          <w:sz w:val="21"/>
          <w:szCs w:val="21"/>
          <w:b w:val="1"/>
          <w:bCs w:val="1"/>
          <w:color w:val="auto"/>
        </w:rPr>
      </w:pPr>
    </w:p>
    <w:p>
      <w:pPr>
        <w:jc w:val="both"/>
        <w:ind w:left="1300" w:hanging="9"/>
        <w:spacing w:after="0" w:line="219" w:lineRule="auto"/>
        <w:tabs>
          <w:tab w:leader="none" w:pos="1699"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disclose in writing each Subject Invention to the OTTR within 12 months after the inventor discloses it in writing to Regeneron personnel responsible for patent matters. The disclosure shall identify the inventor(s) and this Project Agreement under which the Subject Invention was made. It shall be sufficiently complete in technical detail to convey a clear understanding of the Subject Invention. The disclosure shall also identify any publication, on sale (i.e., sale or offer for sale), or public use of the Subject Invention, or whether a manuscript describing the Subject Invention has been submitted for publication and, if so, whether it has been accepted for publication. In addition, after disclosure to the Government funding agency (HHS/BARDA), Regeneron shall promptly notify the OTTR of the acceptance of any manuscript describing the Subject Invention for publication and any on sale or public use.</w:t>
      </w:r>
    </w:p>
    <w:p>
      <w:pPr>
        <w:spacing w:after="0" w:line="156" w:lineRule="exact"/>
        <w:rPr>
          <w:rFonts w:ascii="Times New Roman" w:cs="Times New Roman" w:eastAsia="Times New Roman" w:hAnsi="Times New Roman"/>
          <w:sz w:val="21"/>
          <w:szCs w:val="21"/>
          <w:color w:val="auto"/>
        </w:rPr>
      </w:pPr>
    </w:p>
    <w:p>
      <w:pPr>
        <w:jc w:val="both"/>
        <w:ind w:left="1300" w:hanging="9"/>
        <w:spacing w:after="0" w:line="225" w:lineRule="auto"/>
        <w:tabs>
          <w:tab w:leader="none" w:pos="1730"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elect in writing whether or not to retain ownership of any Subject Invention by notifying the OTTR within 2 years of disclosure to the Government funding agency. However, in any case where publication, on sale, or public use has initiated the 1-year statutory period during which valid patent protection can be obtained in the United States, the period for election of title may be shortened by the agency to a date that is no more than 60 calendar days prior to the end of the statutory period.</w:t>
      </w:r>
    </w:p>
    <w:p>
      <w:pPr>
        <w:spacing w:after="0" w:line="151" w:lineRule="exact"/>
        <w:rPr>
          <w:rFonts w:ascii="Times New Roman" w:cs="Times New Roman" w:eastAsia="Times New Roman" w:hAnsi="Times New Roman"/>
          <w:sz w:val="21"/>
          <w:szCs w:val="21"/>
          <w:color w:val="auto"/>
        </w:rPr>
      </w:pPr>
    </w:p>
    <w:p>
      <w:pPr>
        <w:jc w:val="both"/>
        <w:ind w:left="1300" w:hanging="9"/>
        <w:spacing w:after="0" w:line="221" w:lineRule="auto"/>
        <w:tabs>
          <w:tab w:leader="none" w:pos="1921"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file either a provisional or a non-provisional patent application for an elected Subject Invention within 1 year after election of title. However, in any case where a publication, on sale, or public use has initiated the 1-year statutory period during which valid patent protection can be obtained in the United States, Regeneron shall file the application prior to the end of that statutory period. If Regeneron files an initial provisional application, it shall file a non-provisional application within 10 months of the filing of the initial provisional application. Regeneron shall include a Government Support Clause (GSC) within the specification of any United States patent applications and any patent issuing thereon covering a subject invention.</w:t>
      </w:r>
    </w:p>
    <w:p>
      <w:pPr>
        <w:spacing w:after="0" w:line="155" w:lineRule="exact"/>
        <w:rPr>
          <w:rFonts w:ascii="Times New Roman" w:cs="Times New Roman" w:eastAsia="Times New Roman" w:hAnsi="Times New Roman"/>
          <w:sz w:val="21"/>
          <w:szCs w:val="21"/>
          <w:color w:val="auto"/>
        </w:rPr>
      </w:pPr>
    </w:p>
    <w:p>
      <w:pPr>
        <w:ind w:left="1300" w:hanging="9"/>
        <w:spacing w:after="0" w:line="249" w:lineRule="auto"/>
        <w:tabs>
          <w:tab w:leader="none" w:pos="1747"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may request extensions of time for disclosure, election, or filing under subparagraphs (b)(i), (b)(ii) and (b)(iii) of this clause. An extension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1240"/>
          </w:cols>
          <w:pgMar w:left="320" w:top="95"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18</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time for each deadline, may be granted at the discretion of the Government funding agency.</w:t>
      </w:r>
    </w:p>
    <w:p>
      <w:pPr>
        <w:spacing w:after="0" w:line="186" w:lineRule="exact"/>
        <w:rPr>
          <w:sz w:val="20"/>
          <w:szCs w:val="20"/>
          <w:color w:val="auto"/>
        </w:rPr>
      </w:pPr>
    </w:p>
    <w:p>
      <w:pPr>
        <w:jc w:val="both"/>
        <w:ind w:left="1300" w:hanging="9"/>
        <w:spacing w:after="0" w:line="225" w:lineRule="auto"/>
        <w:tabs>
          <w:tab w:leader="none" w:pos="1680"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Regeneron determines that it does not intend to elect to retain title to any such Subject Invention, Regeneron shall notify the Government, in writing, within two (2) years of disclosure to the Government. However, in any case where publication, sale, or public use has initiated the one (1)-year statutory period wherein valid patent protection can still be obtained in the United States, the period for such notice may be shortened by the Government to a date that is no more than sixty (60) calendar days prior to the end of the statutory period.</w:t>
      </w:r>
    </w:p>
    <w:p>
      <w:pPr>
        <w:spacing w:after="0" w:line="147" w:lineRule="exact"/>
        <w:rPr>
          <w:rFonts w:ascii="Times New Roman" w:cs="Times New Roman" w:eastAsia="Times New Roman" w:hAnsi="Times New Roman"/>
          <w:sz w:val="21"/>
          <w:szCs w:val="21"/>
          <w:color w:val="auto"/>
        </w:rPr>
      </w:pPr>
    </w:p>
    <w:p>
      <w:pPr>
        <w:ind w:left="1020" w:hanging="371"/>
        <w:spacing w:after="0"/>
        <w:tabs>
          <w:tab w:leader="none" w:pos="1020" w:val="left"/>
        </w:tabs>
        <w:numPr>
          <w:ilvl w:val="0"/>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Conditions When the Government May Obtain Title</w:t>
      </w:r>
    </w:p>
    <w:p>
      <w:pPr>
        <w:spacing w:after="0" w:line="190" w:lineRule="exact"/>
        <w:rPr>
          <w:sz w:val="20"/>
          <w:szCs w:val="20"/>
          <w:color w:val="auto"/>
        </w:rPr>
      </w:pPr>
    </w:p>
    <w:p>
      <w:pPr>
        <w:jc w:val="both"/>
        <w:ind w:firstLine="642"/>
        <w:spacing w:after="0" w:line="223" w:lineRule="auto"/>
        <w:rPr>
          <w:sz w:val="20"/>
          <w:szCs w:val="20"/>
          <w:color w:val="auto"/>
        </w:rPr>
      </w:pPr>
      <w:r>
        <w:rPr>
          <w:rFonts w:ascii="Times New Roman" w:cs="Times New Roman" w:eastAsia="Times New Roman" w:hAnsi="Times New Roman"/>
          <w:sz w:val="21"/>
          <w:szCs w:val="21"/>
          <w:color w:val="auto"/>
        </w:rPr>
        <w:t>Upon the Government’s written request, Regeneron shall convey title to any Subject Invention to the Government funding agency if Regeneron fails to disclose the Subject Invention or elects not to retain title to the Subject Invention within the times specified in Subparagraph b of Section 7.2. The Government may request title after learning of the failure of Regeneron to disclose or elect within the specified times for an unlimited time. The Government funding agency may request title upon Regeneron’s omission to timely file patent applications in any country. The Government funding agency may request title in any country in which Regeneron decides to discontinue prosecution.</w:t>
      </w:r>
    </w:p>
    <w:p>
      <w:pPr>
        <w:spacing w:after="0" w:line="148" w:lineRule="exact"/>
        <w:rPr>
          <w:sz w:val="20"/>
          <w:szCs w:val="20"/>
          <w:color w:val="auto"/>
        </w:rPr>
      </w:pPr>
    </w:p>
    <w:p>
      <w:pPr>
        <w:ind w:left="1040" w:hanging="391"/>
        <w:spacing w:after="0"/>
        <w:tabs>
          <w:tab w:leader="none" w:pos="1040" w:val="left"/>
        </w:tabs>
        <w:numPr>
          <w:ilvl w:val="0"/>
          <w:numId w:val="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Rights to Regeneron and Protection of Regeneron’s Right to File</w:t>
      </w:r>
    </w:p>
    <w:p>
      <w:pPr>
        <w:spacing w:after="0" w:line="190" w:lineRule="exact"/>
        <w:rPr>
          <w:sz w:val="20"/>
          <w:szCs w:val="20"/>
          <w:color w:val="auto"/>
        </w:rPr>
      </w:pPr>
    </w:p>
    <w:p>
      <w:pPr>
        <w:jc w:val="both"/>
        <w:ind w:firstLine="642"/>
        <w:spacing w:after="0" w:line="220" w:lineRule="auto"/>
        <w:rPr>
          <w:sz w:val="20"/>
          <w:szCs w:val="20"/>
          <w:color w:val="auto"/>
        </w:rPr>
      </w:pPr>
      <w:r>
        <w:rPr>
          <w:rFonts w:ascii="Times New Roman" w:cs="Times New Roman" w:eastAsia="Times New Roman" w:hAnsi="Times New Roman"/>
          <w:sz w:val="21"/>
          <w:szCs w:val="21"/>
          <w:color w:val="auto"/>
        </w:rPr>
        <w:t>Regeneron shall retain a fully paid up, sub-licensable, nonexclusive, royalty-free license throughout the world in each Subject Invention to which the Government obtains title. Regeneron license extends to Regeneron’s subsidiaries and other affiliates (outside this Agreement), if any, within the corporate structure of which Regeneron is a party and includes the right to grant licenses of the same scope to the extent that Regeneron was legally obligated or permitted to do so at the time the Project Agreement was executed. The license is otherwise transferable only with the approval of the Government, except when transferred to an Affiliate or successor of that part of Regeneron’s business to which the Subject Invention pertains. The Government approval for license transfer shall be provided on a timely basis (and in no event later than 90 calendar days following Regeneron’s request) and shall not be unreasonably withheld.</w:t>
      </w:r>
    </w:p>
    <w:p>
      <w:pPr>
        <w:spacing w:after="0" w:line="155" w:lineRule="exact"/>
        <w:rPr>
          <w:sz w:val="20"/>
          <w:szCs w:val="20"/>
          <w:color w:val="auto"/>
        </w:rPr>
      </w:pPr>
    </w:p>
    <w:p>
      <w:pPr>
        <w:ind w:left="1940" w:hanging="649"/>
        <w:spacing w:after="0" w:line="223" w:lineRule="auto"/>
        <w:tabs>
          <w:tab w:leader="none" w:pos="1731"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Regeneron license may be revoked or modified by the Government to the extent necessary to achieve expeditious Practical Application of the Subject Invention pursuant to an application for an exclusive or nonexclusive license submitted consistent with appropriate provisions at 37 CFR Part 404. Regeneron’s license shall not be revoked in that field of use or the geographical areas in which Regeneron has achieved Practical Application of the Subject Invention and continues to make the benefits of the Subject Invention accessible to the public.</w:t>
      </w:r>
    </w:p>
    <w:p>
      <w:pPr>
        <w:spacing w:after="0" w:line="151" w:lineRule="exact"/>
        <w:rPr>
          <w:rFonts w:ascii="Times New Roman" w:cs="Times New Roman" w:eastAsia="Times New Roman" w:hAnsi="Times New Roman"/>
          <w:sz w:val="21"/>
          <w:szCs w:val="21"/>
          <w:color w:val="auto"/>
        </w:rPr>
      </w:pPr>
    </w:p>
    <w:p>
      <w:pPr>
        <w:ind w:left="1940" w:hanging="649"/>
        <w:spacing w:after="0" w:line="225" w:lineRule="auto"/>
        <w:tabs>
          <w:tab w:leader="none" w:pos="1795"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Before revocation or modification of Regeneron’s license, the Government shall furnish Regeneron with a written notice of its intention to revoke or modify the license, which notice shall include a detailed explanation of the reasons for such revocation or modification, and Regeneron shall be allowed thirty (30) calendar days (or such other time as may be authorized for good cause shown) after the notice to show cause why the license should not be revoked or modified.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1240"/>
          </w:cols>
          <w:pgMar w:left="320" w:top="95"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19</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40"/>
        <w:spacing w:after="0"/>
        <w:tabs>
          <w:tab w:leader="none" w:pos="980" w:val="left"/>
        </w:tabs>
        <w:rPr>
          <w:sz w:val="20"/>
          <w:szCs w:val="20"/>
          <w:color w:val="auto"/>
        </w:rPr>
      </w:pPr>
      <w:r>
        <w:rPr>
          <w:rFonts w:ascii="Times New Roman" w:cs="Times New Roman" w:eastAsia="Times New Roman" w:hAnsi="Times New Roman"/>
          <w:sz w:val="21"/>
          <w:szCs w:val="21"/>
          <w:b w:val="1"/>
          <w:bCs w:val="1"/>
          <w:color w:val="auto"/>
        </w:rPr>
        <w:t>e.</w:t>
        <w:tab/>
        <w:t>Action to Protect the Government’s Interest</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Regeneron agrees to execute or to have executed and promptly deliver to the Government all instruments necessary to</w:t>
      </w:r>
    </w:p>
    <w:p>
      <w:pPr>
        <w:jc w:val="both"/>
        <w:ind w:right="20" w:firstLine="7"/>
        <w:spacing w:after="0" w:line="226" w:lineRule="auto"/>
        <w:tabs>
          <w:tab w:leader="none" w:pos="259"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establish or confirm the rights the Government has throughout the world in those Subject Inventions to which Regeneron elects to retain title, and (ii) convey title to the Government when requested under Subparagraph c of this Section 7.2 and to enable the Government to obtain patent protection throughout the world in that Subject Invention.</w:t>
      </w:r>
    </w:p>
    <w:p>
      <w:pPr>
        <w:spacing w:after="0" w:line="149" w:lineRule="exact"/>
        <w:rPr>
          <w:rFonts w:ascii="Times New Roman" w:cs="Times New Roman" w:eastAsia="Times New Roman" w:hAnsi="Times New Roman"/>
          <w:sz w:val="21"/>
          <w:szCs w:val="21"/>
          <w:color w:val="auto"/>
        </w:rPr>
      </w:pPr>
    </w:p>
    <w:p>
      <w:pPr>
        <w:ind w:left="1940" w:hanging="649"/>
        <w:spacing w:after="0" w:line="221" w:lineRule="auto"/>
        <w:tabs>
          <w:tab w:leader="none" w:pos="1808"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agrees to require, by written agreement, its employees, other than clerical and non-technical employees, to disclose promptly in writing to personnel identified as responsible for the administration of patent matters and in a format suggested by Regeneron, each Subject Invention made under this Agreement so Regeneron can comply with the disclosure provisions of this Section 7.2. Regeneron shall use reasonable efforts to instruct employees, through employee agreements or other suitable educational programs, on the importance of reporting inventions in sufficient time to permit the filing of patent applications prior to U.S. or foreign statutory bars.</w:t>
      </w:r>
    </w:p>
    <w:p>
      <w:pPr>
        <w:spacing w:after="0" w:line="155" w:lineRule="exact"/>
        <w:rPr>
          <w:rFonts w:ascii="Times New Roman" w:cs="Times New Roman" w:eastAsia="Times New Roman" w:hAnsi="Times New Roman"/>
          <w:sz w:val="21"/>
          <w:szCs w:val="21"/>
          <w:color w:val="auto"/>
        </w:rPr>
      </w:pPr>
    </w:p>
    <w:p>
      <w:pPr>
        <w:ind w:left="1940" w:hanging="649"/>
        <w:spacing w:after="0" w:line="228" w:lineRule="auto"/>
        <w:tabs>
          <w:tab w:leader="none" w:pos="1698"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notify the Government of any decisions not to continue the prosecution of a patent application for a Subject Invention, pay maintenance fees, or defend in a reexamination or opposition proceedings on a patent of a Subject Invention, in any country, not less than thirty (30) calendar days before the expiration of the response period required by the relevant patent office.</w:t>
      </w:r>
    </w:p>
    <w:p>
      <w:pPr>
        <w:spacing w:after="0" w:line="152" w:lineRule="exact"/>
        <w:rPr>
          <w:sz w:val="20"/>
          <w:szCs w:val="20"/>
          <w:color w:val="auto"/>
        </w:rPr>
      </w:pPr>
    </w:p>
    <w:p>
      <w:pPr>
        <w:jc w:val="both"/>
        <w:ind w:firstLine="642"/>
        <w:spacing w:after="0" w:line="228" w:lineRule="auto"/>
        <w:rPr>
          <w:sz w:val="20"/>
          <w:szCs w:val="20"/>
          <w:color w:val="auto"/>
        </w:rPr>
      </w:pPr>
      <w:r>
        <w:rPr>
          <w:rFonts w:ascii="Times New Roman" w:cs="Times New Roman" w:eastAsia="Times New Roman" w:hAnsi="Times New Roman"/>
          <w:sz w:val="21"/>
          <w:szCs w:val="21"/>
          <w:color w:val="auto"/>
        </w:rPr>
        <w:t xml:space="preserve">Regeneron shall include, within the specification of any United States patent application and any patent issuing thereon covering a Subject Invention, the following statement: “This invention was made with Government support under Agreement </w:t>
      </w:r>
      <w:r>
        <w:rPr>
          <w:rFonts w:ascii="Times New Roman" w:cs="Times New Roman" w:eastAsia="Times New Roman" w:hAnsi="Times New Roman"/>
          <w:sz w:val="21"/>
          <w:szCs w:val="21"/>
          <w:b w:val="1"/>
          <w:bCs w:val="1"/>
          <w:color w:val="auto"/>
        </w:rPr>
        <w:t>MCDC2020-504</w:t>
      </w:r>
      <w:r>
        <w:rPr>
          <w:rFonts w:ascii="Times New Roman" w:cs="Times New Roman" w:eastAsia="Times New Roman" w:hAnsi="Times New Roman"/>
          <w:sz w:val="21"/>
          <w:szCs w:val="21"/>
          <w:color w:val="auto"/>
        </w:rPr>
        <w:t>, awarded by the U.S. Department of Health and Human Services. The Government has certain rights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invention.”</w:t>
      </w:r>
    </w:p>
    <w:p>
      <w:pPr>
        <w:spacing w:after="0" w:line="148" w:lineRule="exact"/>
        <w:rPr>
          <w:sz w:val="20"/>
          <w:szCs w:val="20"/>
          <w:color w:val="auto"/>
        </w:rPr>
      </w:pPr>
    </w:p>
    <w:p>
      <w:pPr>
        <w:ind w:left="980" w:hanging="331"/>
        <w:spacing w:after="0"/>
        <w:tabs>
          <w:tab w:leader="none" w:pos="980" w:val="left"/>
        </w:tabs>
        <w:numPr>
          <w:ilvl w:val="0"/>
          <w:numId w:val="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Lower Tier Agreements</w:t>
      </w:r>
    </w:p>
    <w:p>
      <w:pPr>
        <w:spacing w:after="0" w:line="190" w:lineRule="exact"/>
        <w:rPr>
          <w:sz w:val="20"/>
          <w:szCs w:val="20"/>
          <w:color w:val="auto"/>
        </w:rPr>
      </w:pPr>
    </w:p>
    <w:p>
      <w:pPr>
        <w:jc w:val="both"/>
        <w:ind w:firstLine="642"/>
        <w:spacing w:after="0" w:line="234" w:lineRule="auto"/>
        <w:rPr>
          <w:sz w:val="20"/>
          <w:szCs w:val="20"/>
          <w:color w:val="auto"/>
        </w:rPr>
      </w:pPr>
      <w:r>
        <w:rPr>
          <w:rFonts w:ascii="Times New Roman" w:cs="Times New Roman" w:eastAsia="Times New Roman" w:hAnsi="Times New Roman"/>
          <w:sz w:val="21"/>
          <w:szCs w:val="21"/>
          <w:color w:val="auto"/>
        </w:rPr>
        <w:t>Regeneron shall ensure that its Affiliate agreements and Sub-Recipient Agreements regardless of tier, for experimental, developmental, or research work entered into after the Effective Date and submitted for reimbursement under this Agreement, contain invention reporting and assignment requirements sufficient to permit Regeneron to comply with this Section 7.2.</w:t>
      </w:r>
    </w:p>
    <w:p>
      <w:pPr>
        <w:spacing w:after="0" w:line="146" w:lineRule="exact"/>
        <w:rPr>
          <w:sz w:val="20"/>
          <w:szCs w:val="20"/>
          <w:color w:val="auto"/>
        </w:rPr>
      </w:pPr>
    </w:p>
    <w:p>
      <w:pPr>
        <w:ind w:left="1020" w:hanging="371"/>
        <w:spacing w:after="0"/>
        <w:tabs>
          <w:tab w:leader="none" w:pos="1020"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Reporting on Utilization of Subject Inventions</w:t>
      </w:r>
    </w:p>
    <w:p>
      <w:pPr>
        <w:spacing w:after="0" w:line="190" w:lineRule="exact"/>
        <w:rPr>
          <w:rFonts w:ascii="Times New Roman" w:cs="Times New Roman" w:eastAsia="Times New Roman" w:hAnsi="Times New Roman"/>
          <w:sz w:val="21"/>
          <w:szCs w:val="21"/>
          <w:b w:val="1"/>
          <w:bCs w:val="1"/>
          <w:color w:val="auto"/>
        </w:rPr>
      </w:pPr>
    </w:p>
    <w:p>
      <w:pPr>
        <w:ind w:left="1940" w:hanging="642"/>
        <w:spacing w:after="0" w:line="221"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 Regeneron agrees to submit, during the term of this Project Agreement, an annual report on the utilization of a Subject Invention or on efforts at obtaining such utilization that is being made by Regeneron or its licensees or assignees. Such reports shall include information regarding the status of development, date of first commercial sale or use, and such other data and information as the agency may reasonably specify. Regeneron also agrees to provide additional reports as may be requested by the Government in connection with any march-in proceedings undertaken by the Government in accordance with Subparagraph h of this Section 7.2. Consistent with 35 U.S.C. § 202(c)(5), the Government agrees it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1240"/>
          </w:cols>
          <w:pgMar w:left="320" w:top="95"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20</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disclose such information to persons outside the Government without permission of Regeneron.</w:t>
      </w:r>
    </w:p>
    <w:p>
      <w:pPr>
        <w:spacing w:after="0" w:line="186" w:lineRule="exact"/>
        <w:rPr>
          <w:sz w:val="20"/>
          <w:szCs w:val="20"/>
          <w:color w:val="auto"/>
        </w:rPr>
      </w:pPr>
    </w:p>
    <w:p>
      <w:pPr>
        <w:ind w:left="640" w:right="2660" w:firstLine="651"/>
        <w:spacing w:after="0" w:line="425" w:lineRule="auto"/>
        <w:tabs>
          <w:tab w:leader="none" w:pos="1656"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required reports shall be submitted to the e-room, OTAS, OTAO, and OTTR. </w:t>
      </w:r>
      <w:r>
        <w:rPr>
          <w:rFonts w:ascii="Times New Roman" w:cs="Times New Roman" w:eastAsia="Times New Roman" w:hAnsi="Times New Roman"/>
          <w:sz w:val="21"/>
          <w:szCs w:val="21"/>
          <w:b w:val="1"/>
          <w:bCs w:val="1"/>
          <w:color w:val="auto"/>
        </w:rPr>
        <w:t>h. Compulsory Licensing Rights</w:t>
      </w:r>
    </w:p>
    <w:p>
      <w:pPr>
        <w:spacing w:after="0" w:line="1" w:lineRule="exact"/>
        <w:rPr>
          <w:sz w:val="20"/>
          <w:szCs w:val="20"/>
          <w:color w:val="auto"/>
        </w:rPr>
      </w:pPr>
    </w:p>
    <w:p>
      <w:pPr>
        <w:jc w:val="both"/>
        <w:ind w:firstLine="642"/>
        <w:spacing w:after="0" w:line="225" w:lineRule="auto"/>
        <w:rPr>
          <w:sz w:val="20"/>
          <w:szCs w:val="20"/>
          <w:color w:val="auto"/>
        </w:rPr>
      </w:pPr>
      <w:r>
        <w:rPr>
          <w:rFonts w:ascii="Times New Roman" w:cs="Times New Roman" w:eastAsia="Times New Roman" w:hAnsi="Times New Roman"/>
          <w:sz w:val="21"/>
          <w:szCs w:val="21"/>
          <w:color w:val="auto"/>
        </w:rPr>
        <w:t xml:space="preserve">Regeneron agrees that, with respect to any Subject Invention in which it has retained title, the Government has the right to require Regeneron, an assignee, or exclusive licensee of a Subject Invention to grant a non-exclusive license to a responsible applicant or applicants, upon terms that are reasonable under the circumstances, and if Regeneron, assignee, or exclusive licensee refuses such a request, the Government has the right to grant such a license within the Field itself </w:t>
      </w:r>
      <w:r>
        <w:rPr>
          <w:rFonts w:ascii="Times New Roman" w:cs="Times New Roman" w:eastAsia="Times New Roman" w:hAnsi="Times New Roman"/>
          <w:sz w:val="21"/>
          <w:szCs w:val="21"/>
          <w:i w:val="1"/>
          <w:iCs w:val="1"/>
          <w:color w:val="auto"/>
        </w:rPr>
        <w:t>only</w:t>
      </w:r>
      <w:r>
        <w:rPr>
          <w:rFonts w:ascii="Times New Roman" w:cs="Times New Roman" w:eastAsia="Times New Roman" w:hAnsi="Times New Roman"/>
          <w:sz w:val="21"/>
          <w:szCs w:val="21"/>
          <w:color w:val="auto"/>
        </w:rPr>
        <w:t xml:space="preserve"> if the Government determines that:</w:t>
      </w:r>
    </w:p>
    <w:p>
      <w:pPr>
        <w:spacing w:after="0" w:line="152" w:lineRule="exact"/>
        <w:rPr>
          <w:sz w:val="20"/>
          <w:szCs w:val="20"/>
          <w:color w:val="auto"/>
        </w:rPr>
      </w:pPr>
    </w:p>
    <w:p>
      <w:pPr>
        <w:ind w:left="1940" w:hanging="649"/>
        <w:spacing w:after="0" w:line="234" w:lineRule="auto"/>
        <w:tabs>
          <w:tab w:leader="none" w:pos="1735"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Action is necessary to alleviate the following health or safety needs that may affect the United States and Regeneron (itself or through its assignee, subcontractor or licensee) is unwilling or unable to manufacture or supply the Subject Invention to address such needs:</w:t>
      </w:r>
    </w:p>
    <w:p>
      <w:pPr>
        <w:spacing w:after="0" w:line="149" w:lineRule="exact"/>
        <w:rPr>
          <w:rFonts w:ascii="Times New Roman" w:cs="Times New Roman" w:eastAsia="Times New Roman" w:hAnsi="Times New Roman"/>
          <w:sz w:val="21"/>
          <w:szCs w:val="21"/>
          <w:color w:val="auto"/>
        </w:rPr>
      </w:pPr>
    </w:p>
    <w:p>
      <w:pPr>
        <w:ind w:left="2300" w:hanging="367"/>
        <w:spacing w:after="0"/>
        <w:tabs>
          <w:tab w:leader="none" w:pos="2300"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Declaration for Public Health Emergency by the Secretary of HHS;</w:t>
      </w:r>
    </w:p>
    <w:p>
      <w:pPr>
        <w:spacing w:after="0" w:line="186" w:lineRule="exact"/>
        <w:rPr>
          <w:rFonts w:ascii="Times New Roman" w:cs="Times New Roman" w:eastAsia="Times New Roman" w:hAnsi="Times New Roman"/>
          <w:sz w:val="21"/>
          <w:szCs w:val="21"/>
          <w:color w:val="auto"/>
        </w:rPr>
      </w:pPr>
    </w:p>
    <w:p>
      <w:pPr>
        <w:ind w:left="2580" w:hanging="647"/>
        <w:spacing w:after="0" w:line="234" w:lineRule="auto"/>
        <w:tabs>
          <w:tab w:leader="none" w:pos="2369"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Determination that there is a significant potential for a public Health emergency that has a significant potential to affect a national or health security of U.S. citizens as determined by the Secretary of HHS; or</w:t>
      </w:r>
    </w:p>
    <w:p>
      <w:pPr>
        <w:spacing w:after="0" w:line="149" w:lineRule="exact"/>
        <w:rPr>
          <w:rFonts w:ascii="Times New Roman" w:cs="Times New Roman" w:eastAsia="Times New Roman" w:hAnsi="Times New Roman"/>
          <w:sz w:val="21"/>
          <w:szCs w:val="21"/>
          <w:color w:val="auto"/>
        </w:rPr>
      </w:pPr>
    </w:p>
    <w:p>
      <w:pPr>
        <w:ind w:left="2300" w:hanging="367"/>
        <w:spacing w:after="0"/>
        <w:tabs>
          <w:tab w:leader="none" w:pos="2300"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Declaration by WHO Director General of a public health emergency of international concern.</w:t>
      </w:r>
    </w:p>
    <w:p>
      <w:pPr>
        <w:spacing w:after="0" w:line="18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7.3</w:t>
      </w:r>
      <w:r>
        <w:rPr>
          <w:sz w:val="20"/>
          <w:szCs w:val="20"/>
          <w:color w:val="auto"/>
        </w:rPr>
        <w:tab/>
      </w:r>
      <w:r>
        <w:rPr>
          <w:rFonts w:ascii="Times New Roman" w:cs="Times New Roman" w:eastAsia="Times New Roman" w:hAnsi="Times New Roman"/>
          <w:sz w:val="20"/>
          <w:szCs w:val="20"/>
          <w:b w:val="1"/>
          <w:bCs w:val="1"/>
          <w:color w:val="auto"/>
        </w:rPr>
        <w:t>DATA RIGHTS</w:t>
      </w:r>
    </w:p>
    <w:p>
      <w:pPr>
        <w:spacing w:after="0" w:line="186" w:lineRule="exact"/>
        <w:rPr>
          <w:sz w:val="20"/>
          <w:szCs w:val="20"/>
          <w:color w:val="auto"/>
        </w:rPr>
      </w:pPr>
    </w:p>
    <w:p>
      <w:pPr>
        <w:ind w:left="1020" w:hanging="371"/>
        <w:spacing w:after="0"/>
        <w:tabs>
          <w:tab w:leader="none" w:pos="1020" w:val="left"/>
        </w:tabs>
        <w:numPr>
          <w:ilvl w:val="0"/>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Allocation of Principal Rights</w:t>
      </w:r>
    </w:p>
    <w:p>
      <w:pPr>
        <w:spacing w:after="0" w:line="190" w:lineRule="exact"/>
        <w:rPr>
          <w:rFonts w:ascii="Times New Roman" w:cs="Times New Roman" w:eastAsia="Times New Roman" w:hAnsi="Times New Roman"/>
          <w:sz w:val="21"/>
          <w:szCs w:val="21"/>
          <w:b w:val="1"/>
          <w:bCs w:val="1"/>
          <w:color w:val="auto"/>
        </w:rPr>
      </w:pPr>
    </w:p>
    <w:p>
      <w:pPr>
        <w:ind w:left="1940" w:hanging="642"/>
        <w:spacing w:after="0" w:line="21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 For Data produced under this SOW including Computer Software, to the extent developed with Government funds provided under this SOW, except as expressly provided elsewhere in this Project Agreement (including Section 7.3.b.), Regeneron grants to the Government a paid-up, nonexclusive, nontransferable, irrevocable, worldwide license in such Data (a) to exercise Government Purpose Rights for a period of ten (10) years following the production of such Data, (b) to exercise Unlimited Rights following the expiration of such ten (10)- year period. For Data produced under this Project Agreement, excluding Computer Software, to the extent developed with private funds and for other Data designated by Regeneron as “Limited Rights Data”, Regeneron grants to the Government a paid-up, nonexclusive, nontransferable, irrevocable, worldwide license in such Data to exercise Limited Rights. The Government will not obtain any rights in Computer Software produced under this Project Agreement to the extent developed with private funds. For certificates of analysis and batch records pertaining to drug product purchased under this Project Agreement, the Government shall have Unlimited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1240"/>
          </w:cols>
          <w:pgMar w:left="320" w:top="95"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21</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940" w:hanging="649"/>
        <w:spacing w:after="0" w:line="221" w:lineRule="auto"/>
        <w:tabs>
          <w:tab w:leader="none" w:pos="1692"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agrees to retain and maintain in good condition all Data produced under this Project Agreement and necessary to achieve Practical Application of any Subject Invention in accordance with Regeneron’s established record retention practices. In the event of an exercise of the Government’s compulsory licensing rights as set forth under Section 7.2.h., Regeneron agrees, upon written request from the Government, to deliver at no additional cost to the Government, all existing Data produced under this Project Agreement necessary to achieve Practical Application of the relevant Subject Invention within sixty (60) calendar days from the date of the written request.</w:t>
      </w:r>
    </w:p>
    <w:p>
      <w:pPr>
        <w:spacing w:after="0" w:line="155" w:lineRule="exact"/>
        <w:rPr>
          <w:rFonts w:ascii="Times New Roman" w:cs="Times New Roman" w:eastAsia="Times New Roman" w:hAnsi="Times New Roman"/>
          <w:sz w:val="21"/>
          <w:szCs w:val="21"/>
          <w:color w:val="auto"/>
        </w:rPr>
      </w:pPr>
    </w:p>
    <w:p>
      <w:pPr>
        <w:ind w:left="1940" w:hanging="649"/>
        <w:spacing w:after="0" w:line="228" w:lineRule="auto"/>
        <w:tabs>
          <w:tab w:leader="none" w:pos="1792"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Regeneron’s right to use Data is not restricted and includes the right under Regeneron’s established business policies to make public research Data (especially human research Data) by publication in the scientific literature, by making trial protocols, trial results summaries, and clinical studies reports publicly available, and by making trial patient-level data available for third-party analysis.</w:t>
      </w:r>
    </w:p>
    <w:p>
      <w:pPr>
        <w:spacing w:after="0" w:line="148" w:lineRule="exact"/>
        <w:rPr>
          <w:rFonts w:ascii="Times New Roman" w:cs="Times New Roman" w:eastAsia="Times New Roman" w:hAnsi="Times New Roman"/>
          <w:sz w:val="21"/>
          <w:szCs w:val="21"/>
          <w:color w:val="auto"/>
        </w:rPr>
      </w:pPr>
    </w:p>
    <w:p>
      <w:pPr>
        <w:ind w:left="1040" w:hanging="391"/>
        <w:spacing w:after="0"/>
        <w:tabs>
          <w:tab w:leader="none" w:pos="1040" w:val="left"/>
        </w:tabs>
        <w:numPr>
          <w:ilvl w:val="0"/>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Proprietary Manufacturing Data</w:t>
      </w:r>
    </w:p>
    <w:p>
      <w:pPr>
        <w:spacing w:after="0" w:line="190" w:lineRule="exact"/>
        <w:rPr>
          <w:sz w:val="20"/>
          <w:szCs w:val="20"/>
          <w:color w:val="auto"/>
        </w:rPr>
      </w:pPr>
    </w:p>
    <w:p>
      <w:pPr>
        <w:jc w:val="both"/>
        <w:ind w:firstLine="642"/>
        <w:spacing w:after="0" w:line="219" w:lineRule="auto"/>
        <w:rPr>
          <w:sz w:val="20"/>
          <w:szCs w:val="20"/>
          <w:color w:val="auto"/>
        </w:rPr>
      </w:pPr>
      <w:r>
        <w:rPr>
          <w:rFonts w:ascii="Times New Roman" w:cs="Times New Roman" w:eastAsia="Times New Roman" w:hAnsi="Times New Roman"/>
          <w:sz w:val="21"/>
          <w:szCs w:val="21"/>
          <w:color w:val="auto"/>
        </w:rPr>
        <w:t>Notwithstanding anything to the contrary in this Project Agreement, Regeneron retains all rights in and to Data relating to or comprising Regeneron’s proprietary manufacturing technology and processes, including any trade secrets, Chemistry, Manufacturing and Controls information (CMC Data), and Data concerning or arising from test method development, device or delivery system development, assay development, formulation, quality assurance/quality control development, technology transfer, process development and scale-up and cell-line development, and the Government shall have no rights to use such Data independently from this Agreement or to disclose such Data to any third party. Regeneron may designate certain Data concerning its manufacturing activities as Limited Rights Data, in which case the Government shall have Limited Rights in and to such Data. Regeneron will use reasonable efforts to mark any Limited Rights Data delivered under this Project Agreement with appropriate Limited Rights markings.</w:t>
      </w:r>
    </w:p>
    <w:p>
      <w:pPr>
        <w:spacing w:after="0" w:line="153" w:lineRule="exact"/>
        <w:rPr>
          <w:sz w:val="20"/>
          <w:szCs w:val="20"/>
          <w:color w:val="auto"/>
        </w:rPr>
      </w:pPr>
    </w:p>
    <w:p>
      <w:pPr>
        <w:ind w:left="1020" w:hanging="371"/>
        <w:spacing w:after="0"/>
        <w:tabs>
          <w:tab w:leader="none" w:pos="1020"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Identification and Disposition of Data</w:t>
      </w:r>
    </w:p>
    <w:p>
      <w:pPr>
        <w:spacing w:after="0" w:line="190" w:lineRule="exact"/>
        <w:rPr>
          <w:sz w:val="20"/>
          <w:szCs w:val="20"/>
          <w:color w:val="auto"/>
        </w:rPr>
      </w:pPr>
    </w:p>
    <w:p>
      <w:pPr>
        <w:jc w:val="both"/>
        <w:ind w:firstLine="642"/>
        <w:spacing w:after="0"/>
        <w:rPr>
          <w:sz w:val="20"/>
          <w:szCs w:val="20"/>
          <w:color w:val="auto"/>
        </w:rPr>
      </w:pPr>
      <w:r>
        <w:rPr>
          <w:rFonts w:ascii="Times New Roman" w:cs="Times New Roman" w:eastAsia="Times New Roman" w:hAnsi="Times New Roman"/>
          <w:sz w:val="21"/>
          <w:szCs w:val="21"/>
          <w:color w:val="auto"/>
        </w:rPr>
        <w:t>Regeneron shall keep copies of all Data relevant to this Project Agreement as required by the Food and Drug Administration (FDA) for the time specified by the FDA. The Government reserves the right to review any other data determined by the Government to be relevant to this Agreement. The Government further acknowledges that Regeneron holds the commercialization rights for all products developed under this Agreement in the U.S. and will be responsible for their registration with the FDA. This provision is subject to any applicable limitations on the Government’s rights under Article VIII.B.a-b of the BARDA OTA.</w:t>
      </w:r>
    </w:p>
    <w:p>
      <w:pPr>
        <w:spacing w:after="0" w:line="28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7.4</w:t>
        <w:tab/>
        <w:t>REGULATORY RIGHTS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Contractor agrees to the following:</w:t>
      </w:r>
    </w:p>
    <w:p>
      <w:pPr>
        <w:spacing w:after="0" w:line="186" w:lineRule="exact"/>
        <w:rPr>
          <w:sz w:val="20"/>
          <w:szCs w:val="20"/>
          <w:color w:val="auto"/>
        </w:rPr>
      </w:pPr>
    </w:p>
    <w:p>
      <w:pPr>
        <w:jc w:val="both"/>
        <w:ind w:left="640"/>
        <w:spacing w:after="0" w:line="234" w:lineRule="auto"/>
        <w:rPr>
          <w:sz w:val="20"/>
          <w:szCs w:val="20"/>
          <w:color w:val="auto"/>
        </w:rPr>
      </w:pPr>
      <w:r>
        <w:rPr>
          <w:rFonts w:ascii="Times New Roman" w:cs="Times New Roman" w:eastAsia="Times New Roman" w:hAnsi="Times New Roman"/>
          <w:sz w:val="21"/>
          <w:szCs w:val="21"/>
          <w:color w:val="auto"/>
        </w:rPr>
        <w:t>a. Regulatory Data. Regeneron shall provide to the OTTR and OTAS copies of formal FDA submissions pertaining to the scope of the project, no later than 10 business days before submission to the FDA. For clarity, CMC Data included in such submissions shall be subject to Section 7.3.b.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1240"/>
          </w:cols>
          <w:pgMar w:left="320" w:top="95"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22</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40"/>
        <w:spacing w:after="0" w:line="223" w:lineRule="auto"/>
        <w:rPr>
          <w:sz w:val="20"/>
          <w:szCs w:val="20"/>
          <w:color w:val="auto"/>
        </w:rPr>
      </w:pPr>
      <w:r>
        <w:rPr>
          <w:rFonts w:ascii="Times New Roman" w:cs="Times New Roman" w:eastAsia="Times New Roman" w:hAnsi="Times New Roman"/>
          <w:sz w:val="21"/>
          <w:szCs w:val="21"/>
          <w:color w:val="auto"/>
        </w:rPr>
        <w:t>b. Rights of Reference. Upon mutual agreement, Regeneron will grant to the Government a right of reference to any Regulatory Application submitted in support of this Project Agreement, solely for the purpose of the Government conducting a clinical trial with the drug product supplied under this Project Agreement under a protocol approved by Regeneron for performance by the Government. In such a case, Regeneron agrees to provide a letter of cross-reference to the Government and file such letter with the appropriate FDA office. Nothing in this paragraph reduces the Government’s data rights as articulated in other provisions of this award.</w:t>
      </w:r>
    </w:p>
    <w:p>
      <w:pPr>
        <w:spacing w:after="0" w:line="152"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1"/>
          <w:szCs w:val="21"/>
          <w:color w:val="auto"/>
        </w:rPr>
        <w:t>c. Clause 7.4.b. will survive the acquisition or merger of the Contractor by or with a third party. This clause will survive the expiration of this contract.</w:t>
      </w:r>
    </w:p>
    <w:p>
      <w:pPr>
        <w:spacing w:after="0" w:line="13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7.5 PREP Act Coverage. </w:t>
      </w:r>
      <w:r>
        <w:rPr>
          <w:rFonts w:ascii="Times New Roman" w:cs="Times New Roman" w:eastAsia="Times New Roman" w:hAnsi="Times New Roman"/>
          <w:sz w:val="21"/>
          <w:szCs w:val="21"/>
          <w:color w:val="auto"/>
        </w:rPr>
        <w:t>It is the intent of the Parties that the drug product provided pursuant to this Agreement be covered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March 10, 2020 declaration under the Public Readiness and Emergency Preparedness Act (PREP Act), 42 U.S.C. § 247d-6d, 85 Fed Reg. 15,198 (March 17, 2020), or any amendments thereto that provides liability protection for such use. Based on an independent review by each of the Parties of the PREP Act Declaration issued by DHHS on March 10, 2020, pursuant to section 319F-3 of the Public Health Service Act (42 U.S.C. 247d-6d), and a related advisory opinion issued by the DHHS Office of General Counsel on April 14, 2020, the Parties believe that Regeneron is a covered person eligible for immunity under the PREP Act for activities related to medical countermeasures against COVID-19. To the extent DoD or BARDA is authorized to do so as an Authority Having Jurisdiction, the Government designates Regeneron as a covered person eligible for immunity under the PREP Act Declaration issued by DHHS on March 10, 2020, pursuant to section 319F-3 of the Public Health Service Act (42 U.S.C. 247d-6d), for activities related to medical countermeasures against COVID-19. The Government further warrants that</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 xml:space="preserve">except as set forth in Section 7.6, </w:t>
      </w:r>
      <w:r>
        <w:rPr>
          <w:rFonts w:ascii="Times New Roman" w:cs="Times New Roman" w:eastAsia="Times New Roman" w:hAnsi="Times New Roman"/>
          <w:sz w:val="21"/>
          <w:szCs w:val="21"/>
          <w:color w:val="auto"/>
        </w:rPr>
        <w:t>the drug product provided pursuant to this Project Agreement will not be (a) sold to any entity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nor will it be returned after acceptance under the terms of this contract or (b) distributed or used, or authorized for distribution or use, outside the United States or to the extent such activities are not protected from liability under an active PREP Act declaration.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7.6 Donation of Excess Product</w:t>
      </w:r>
    </w:p>
    <w:p>
      <w:pPr>
        <w:spacing w:after="0" w:line="1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b w:val="1"/>
          <w:bCs w:val="1"/>
          <w:i w:val="1"/>
          <w:iCs w:val="1"/>
          <w:color w:val="auto"/>
        </w:rPr>
        <w:t>A. In the event the Government determines that doses of REGN10987 and REGN10933 (casirivimab and imdevimab) funded under the agreement are no longer needed by the Government, the Government may donate remaining doses to any foreign government to the extent mutually agreed to by the Government and Contractor; provided that:</w:t>
      </w:r>
    </w:p>
    <w:p>
      <w:pPr>
        <w:spacing w:after="0" w:line="144" w:lineRule="exact"/>
        <w:rPr>
          <w:sz w:val="20"/>
          <w:szCs w:val="20"/>
          <w:color w:val="auto"/>
        </w:rPr>
      </w:pPr>
    </w:p>
    <w:p>
      <w:pPr>
        <w:ind w:left="640" w:firstLine="9"/>
        <w:spacing w:after="0" w:line="255" w:lineRule="auto"/>
        <w:tabs>
          <w:tab w:leader="none" w:pos="951" w:val="left"/>
        </w:tabs>
        <w:numPr>
          <w:ilvl w:val="1"/>
          <w:numId w:val="67"/>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the Contractor secures any necessary approvals that are contractually required under existing licensing agreements for REGN10987 and REGN10933 (casirivimab and imdevimab);</w:t>
      </w:r>
    </w:p>
    <w:p>
      <w:pPr>
        <w:spacing w:after="0" w:line="128" w:lineRule="exact"/>
        <w:rPr>
          <w:rFonts w:ascii="Times New Roman" w:cs="Times New Roman" w:eastAsia="Times New Roman" w:hAnsi="Times New Roman"/>
          <w:sz w:val="21"/>
          <w:szCs w:val="21"/>
          <w:b w:val="1"/>
          <w:bCs w:val="1"/>
          <w:i w:val="1"/>
          <w:iCs w:val="1"/>
          <w:color w:val="auto"/>
        </w:rPr>
      </w:pPr>
    </w:p>
    <w:p>
      <w:pPr>
        <w:jc w:val="both"/>
        <w:ind w:left="640" w:firstLine="9"/>
        <w:spacing w:after="0"/>
        <w:tabs>
          <w:tab w:leader="none" w:pos="942" w:val="left"/>
        </w:tabs>
        <w:numPr>
          <w:ilvl w:val="1"/>
          <w:numId w:val="67"/>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the foreign nation has an active commercial marketing approval or active regulatory authorization in place for use of REGN10987 and REGN10933 (casirivimab and imdevimab) combined (and not individually) at the time of donation; and</w:t>
      </w:r>
    </w:p>
    <w:p>
      <w:pPr>
        <w:spacing w:after="0" w:line="372" w:lineRule="exact"/>
        <w:rPr>
          <w:rFonts w:ascii="Times New Roman" w:cs="Times New Roman" w:eastAsia="Times New Roman" w:hAnsi="Times New Roman"/>
          <w:sz w:val="21"/>
          <w:szCs w:val="21"/>
          <w:b w:val="1"/>
          <w:bCs w:val="1"/>
          <w:i w:val="1"/>
          <w:iCs w:val="1"/>
          <w:color w:val="auto"/>
        </w:rPr>
      </w:pPr>
    </w:p>
    <w:p>
      <w:pPr>
        <w:ind w:left="640" w:firstLine="9"/>
        <w:spacing w:after="0" w:line="255" w:lineRule="auto"/>
        <w:tabs>
          <w:tab w:leader="none" w:pos="966" w:val="left"/>
        </w:tabs>
        <w:numPr>
          <w:ilvl w:val="1"/>
          <w:numId w:val="67"/>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the Contractor has the option to establish an indemnification agreement with the applicable recipient foreign government.</w:t>
      </w:r>
    </w:p>
    <w:p>
      <w:pPr>
        <w:spacing w:after="0" w:line="128" w:lineRule="exact"/>
        <w:rPr>
          <w:rFonts w:ascii="Times New Roman" w:cs="Times New Roman" w:eastAsia="Times New Roman" w:hAnsi="Times New Roman"/>
          <w:sz w:val="21"/>
          <w:szCs w:val="21"/>
          <w:b w:val="1"/>
          <w:bCs w:val="1"/>
          <w:i w:val="1"/>
          <w:iCs w:val="1"/>
          <w:color w:val="auto"/>
        </w:rPr>
      </w:pPr>
    </w:p>
    <w:p>
      <w:pPr>
        <w:jc w:val="both"/>
        <w:ind w:firstLine="7"/>
        <w:spacing w:after="0" w:line="236" w:lineRule="auto"/>
        <w:tabs>
          <w:tab w:leader="none" w:pos="267" w:val="left"/>
        </w:tabs>
        <w:numPr>
          <w:ilvl w:val="0"/>
          <w:numId w:val="6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The Government shall notify the Contractor in writing prior to any planned donation to a foreign nation. The Contractor (itself or through its collaborators) agrees to work with the Government in good faith with respect to applicable regulatory submissions, import/export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1240"/>
          </w:cols>
          <w:pgMar w:left="320" w:top="95"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23</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b w:val="1"/>
          <w:bCs w:val="1"/>
          <w:i w:val="1"/>
          <w:iCs w:val="1"/>
          <w:color w:val="auto"/>
        </w:rPr>
        <w:t>permits, and other reasonable requirements for donation to the extent that donation is authorized under paragraph A above. For clarity, the Contractor’s obligations under this paragraph shall not include any requirement to grant licenses to intellectual property or to provide sensitive manufacturing information to any such foreign government nor any obligation to ship product outside the United States.</w:t>
      </w:r>
    </w:p>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b w:val="1"/>
          <w:bCs w:val="1"/>
          <w:i w:val="1"/>
          <w:iCs w:val="1"/>
          <w:color w:val="auto"/>
        </w:rPr>
        <w:t>C. The Government will be responsible for shipment of REGN10987 and REGN10933 (casirivimab and imdevimab) to the receiving foreign nation in accordance with applicable shipping specifications, and the Contractor’s obligations regarding distribution and risk of loss in Section 6.0 shall not apply.</w:t>
      </w:r>
    </w:p>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b w:val="1"/>
          <w:bCs w:val="1"/>
          <w:i w:val="1"/>
          <w:iCs w:val="1"/>
          <w:color w:val="auto"/>
        </w:rPr>
        <w:t>D. The parties acknowledge that PREP Act coverage may not apply to the provision of any doses under this Section 7.6 to a foreign nation. The USG makes no representations as to PREP Act coverage thereto. Any immunity or indemnity arrangements in a foreign jurisdiction are the responsibility of the Contractor.</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b w:val="1"/>
          <w:bCs w:val="1"/>
          <w:i w:val="1"/>
          <w:iCs w:val="1"/>
          <w:color w:val="auto"/>
        </w:rPr>
        <w:t>E. The Government agrees that the Contractor’s collaborators may perform the Contractor’s activities described in this Section 7.6 and that the Government shall cooperate with any such collaborators.</w:t>
      </w:r>
    </w:p>
    <w:p>
      <w:pPr>
        <w:spacing w:after="0" w:line="1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b w:val="1"/>
          <w:bCs w:val="1"/>
          <w:color w:val="auto"/>
        </w:rPr>
        <w:t xml:space="preserve">7.7 Transparency. </w:t>
      </w:r>
      <w:r>
        <w:rPr>
          <w:rFonts w:ascii="Times New Roman" w:cs="Times New Roman" w:eastAsia="Times New Roman" w:hAnsi="Times New Roman"/>
          <w:sz w:val="21"/>
          <w:szCs w:val="21"/>
          <w:color w:val="auto"/>
        </w:rPr>
        <w:t>To the extent permitted under applicable laws, the Government will provide Regeneron in a timely manner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copies of reports concerning this Project Agreement that are provided to other Government agencies or legislative or executive branches of the government.</w:t>
      </w:r>
    </w:p>
    <w:p>
      <w:pPr>
        <w:spacing w:after="0" w:line="14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8.0</w:t>
        <w:tab/>
        <w:t>SECURITY AND SUPPLY CHAIN RESILIENCY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security classification level for this effort is UNCLASSIFIED.</w:t>
      </w:r>
    </w:p>
    <w:p>
      <w:pPr>
        <w:spacing w:after="0" w:line="18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9.0</w:t>
        <w:tab/>
        <w:t>MISCELLANEOUS REQUIREMENTS (SAFETY, ENVIRONMENTAL, ETC.)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w:t>
      </w:r>
    </w:p>
    <w:p>
      <w:pPr>
        <w:spacing w:after="0" w:line="18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10.0</w:t>
        <w:tab/>
        <w:t>GOVERNMENT FURNISHED PROPERTY/MATERIAL/INFORMATION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p>
    <w:p>
      <w:pPr>
        <w:spacing w:after="0" w:line="182" w:lineRule="exact"/>
        <w:rPr>
          <w:sz w:val="20"/>
          <w:szCs w:val="20"/>
          <w:color w:val="auto"/>
        </w:rPr>
      </w:pPr>
    </w:p>
    <w:p>
      <w:pPr>
        <w:ind w:right="160"/>
        <w:spacing w:after="0" w:line="427" w:lineRule="auto"/>
        <w:rPr>
          <w:sz w:val="20"/>
          <w:szCs w:val="20"/>
          <w:color w:val="auto"/>
        </w:rPr>
      </w:pPr>
      <w:r>
        <w:rPr>
          <w:rFonts w:ascii="Times New Roman" w:cs="Times New Roman" w:eastAsia="Times New Roman" w:hAnsi="Times New Roman"/>
          <w:sz w:val="21"/>
          <w:szCs w:val="21"/>
          <w:b w:val="1"/>
          <w:bCs w:val="1"/>
          <w:color w:val="auto"/>
        </w:rPr>
        <w:t xml:space="preserve">11.0 AGREEMENTS OFFICER’S REPRESENTATIVE (AOR) AND ALTERNATE AOR CONTACT INFORMATION </w:t>
      </w:r>
      <w:r>
        <w:rPr>
          <w:rFonts w:ascii="Times New Roman" w:cs="Times New Roman" w:eastAsia="Times New Roman" w:hAnsi="Times New Roman"/>
          <w:sz w:val="21"/>
          <w:szCs w:val="21"/>
          <w:b w:val="1"/>
          <w:bCs w:val="1"/>
          <w:u w:val="single" w:color="auto"/>
          <w:color w:val="auto"/>
        </w:rPr>
        <w:t>AOR</w:t>
      </w:r>
    </w:p>
    <w:p>
      <w:pPr>
        <w:spacing w:after="0" w:line="237" w:lineRule="auto"/>
        <w:rPr>
          <w:sz w:val="20"/>
          <w:szCs w:val="20"/>
          <w:color w:val="auto"/>
        </w:rPr>
      </w:pPr>
      <w:r>
        <w:rPr>
          <w:rFonts w:ascii="Times New Roman" w:cs="Times New Roman" w:eastAsia="Times New Roman" w:hAnsi="Times New Roman"/>
          <w:sz w:val="21"/>
          <w:szCs w:val="21"/>
          <w:color w:val="auto"/>
        </w:rPr>
        <w:t>NAME:</w:t>
      </w:r>
    </w:p>
    <w:p>
      <w:pPr>
        <w:spacing w:after="0" w:line="212" w:lineRule="auto"/>
        <w:rPr>
          <w:sz w:val="20"/>
          <w:szCs w:val="20"/>
          <w:color w:val="auto"/>
        </w:rPr>
      </w:pPr>
      <w:r>
        <w:rPr>
          <w:rFonts w:ascii="Times New Roman" w:cs="Times New Roman" w:eastAsia="Times New Roman" w:hAnsi="Times New Roman"/>
          <w:sz w:val="21"/>
          <w:szCs w:val="21"/>
          <w:color w:val="auto"/>
        </w:rPr>
        <w:t>EMAIL:</w:t>
      </w:r>
    </w:p>
    <w:p>
      <w:pPr>
        <w:spacing w:after="0" w:line="213" w:lineRule="auto"/>
        <w:rPr>
          <w:sz w:val="20"/>
          <w:szCs w:val="20"/>
          <w:color w:val="auto"/>
        </w:rPr>
      </w:pPr>
      <w:r>
        <w:rPr>
          <w:rFonts w:ascii="Times New Roman" w:cs="Times New Roman" w:eastAsia="Times New Roman" w:hAnsi="Times New Roman"/>
          <w:sz w:val="21"/>
          <w:szCs w:val="21"/>
          <w:color w:val="auto"/>
        </w:rPr>
        <w:t>PHONE: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AGENCY NAME/DIVISION/SECTION: HHS/ASPR/BARDA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Alternate AOR</w:t>
      </w:r>
    </w:p>
    <w:p>
      <w:pPr>
        <w:spacing w:after="0" w:line="213" w:lineRule="auto"/>
        <w:rPr>
          <w:sz w:val="20"/>
          <w:szCs w:val="20"/>
          <w:color w:val="auto"/>
        </w:rPr>
      </w:pPr>
      <w:r>
        <w:rPr>
          <w:rFonts w:ascii="Times New Roman" w:cs="Times New Roman" w:eastAsia="Times New Roman" w:hAnsi="Times New Roman"/>
          <w:sz w:val="21"/>
          <w:szCs w:val="21"/>
          <w:color w:val="auto"/>
        </w:rPr>
        <w:t>NAME:</w:t>
      </w:r>
    </w:p>
    <w:p>
      <w:pPr>
        <w:spacing w:after="0" w:line="212" w:lineRule="auto"/>
        <w:rPr>
          <w:sz w:val="20"/>
          <w:szCs w:val="20"/>
          <w:color w:val="auto"/>
        </w:rPr>
      </w:pPr>
      <w:r>
        <w:rPr>
          <w:rFonts w:ascii="Times New Roman" w:cs="Times New Roman" w:eastAsia="Times New Roman" w:hAnsi="Times New Roman"/>
          <w:sz w:val="21"/>
          <w:szCs w:val="21"/>
          <w:color w:val="auto"/>
        </w:rPr>
        <w:t>EMAIL:</w:t>
      </w:r>
    </w:p>
    <w:p>
      <w:pPr>
        <w:spacing w:after="0" w:line="213" w:lineRule="auto"/>
        <w:rPr>
          <w:sz w:val="20"/>
          <w:szCs w:val="20"/>
          <w:color w:val="auto"/>
        </w:rPr>
      </w:pPr>
      <w:r>
        <w:rPr>
          <w:rFonts w:ascii="Times New Roman" w:cs="Times New Roman" w:eastAsia="Times New Roman" w:hAnsi="Times New Roman"/>
          <w:sz w:val="21"/>
          <w:szCs w:val="21"/>
          <w:color w:val="auto"/>
        </w:rPr>
        <w:t>PHONE: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AGENCY NAME/DIVISION/SECTION: HHS/ASPR/BARDA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1240"/>
          </w:cols>
          <w:pgMar w:left="320" w:top="95"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24</w:t>
      </w:r>
      <w:r>
        <w:rPr>
          <w:rFonts w:ascii="Times New Roman" w:cs="Times New Roman" w:eastAsia="Times New Roman" w:hAnsi="Times New Roman"/>
          <w:sz w:val="21"/>
          <w:szCs w:val="21"/>
          <w:color w:val="auto"/>
        </w:rPr>
        <w:t xml:space="preserve"> of 24</w:t>
      </w:r>
    </w:p>
    <w:p>
      <w:pPr>
        <w:jc w:val="right"/>
        <w:spacing w:after="0" w:line="212" w:lineRule="auto"/>
        <w:rPr>
          <w:sz w:val="20"/>
          <w:szCs w:val="20"/>
          <w:color w:val="auto"/>
        </w:rPr>
      </w:pPr>
      <w:r>
        <w:rPr>
          <w:rFonts w:ascii="Times New Roman" w:cs="Times New Roman" w:eastAsia="Times New Roman" w:hAnsi="Times New Roman"/>
          <w:sz w:val="21"/>
          <w:szCs w:val="21"/>
          <w:color w:val="auto"/>
        </w:rPr>
        <w:t>Regeneron Pharmaceuticals, Inc.</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Requiring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-149860</wp:posOffset>
            </wp:positionV>
            <wp:extent cx="71335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ind w:right="360"/>
        <w:spacing w:after="0" w:line="232" w:lineRule="auto"/>
        <w:rPr>
          <w:sz w:val="20"/>
          <w:szCs w:val="20"/>
          <w:color w:val="auto"/>
        </w:rPr>
      </w:pPr>
      <w:r>
        <w:rPr>
          <w:rFonts w:ascii="Times New Roman" w:cs="Times New Roman" w:eastAsia="Times New Roman" w:hAnsi="Times New Roman"/>
          <w:sz w:val="21"/>
          <w:szCs w:val="21"/>
          <w:color w:val="auto"/>
        </w:rPr>
        <w:t>US Department of Health &amp; Human Services (HHS), Assistant Secretary for Preparedness and Response (ASPR), Biomedical Advanced Research and Development Authority (BARDA)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3175</wp:posOffset>
            </wp:positionV>
            <wp:extent cx="71335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CONFIDENTIAL/PROPRIETARY</w:t>
      </w:r>
    </w:p>
    <w:p>
      <w:pPr>
        <w:sectPr>
          <w:pgSz w:w="11900" w:h="16838" w:orient="portrait"/>
          <w:cols w:equalWidth="0" w:num="1">
            <w:col w:w="11160"/>
          </w:cols>
          <w:pgMar w:left="400" w:top="95"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1"/>
          <w:szCs w:val="21"/>
          <w:color w:val="auto"/>
        </w:rPr>
        <w:t>Definitions Appendix</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Computer Software: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perform and further this Project Agreement:</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Computer programs that comprise a series of instructions, rules, routines, or statements, regardless of the media in which recorded, that allow or cause a computer to perform a specific operation or series of operations; and</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Recorded information comprising source code listings, design details, algorithms, processes, flow charts, formulas, and related material that would enable the computer program to be produced, created, or compiled.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Does not include computer databases or computer software documentation.</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b w:val="1"/>
          <w:bCs w:val="1"/>
          <w:color w:val="auto"/>
        </w:rPr>
        <w:t xml:space="preserve">Data: </w:t>
      </w:r>
      <w:r>
        <w:rPr>
          <w:rFonts w:ascii="Times New Roman" w:cs="Times New Roman" w:eastAsia="Times New Roman" w:hAnsi="Times New Roman"/>
          <w:sz w:val="21"/>
          <w:szCs w:val="21"/>
          <w:color w:val="auto"/>
        </w:rPr>
        <w:t>Means recorded information, regardless of form or the media on which it may be recorded. The term includes technical data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Computer Software. The term does not include information incidental to contract administration, such as financial, administrative, cost or pricing, or management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Field: </w:t>
      </w:r>
      <w:r>
        <w:rPr>
          <w:rFonts w:ascii="Times New Roman" w:cs="Times New Roman" w:eastAsia="Times New Roman" w:hAnsi="Times New Roman"/>
          <w:sz w:val="21"/>
          <w:szCs w:val="21"/>
          <w:color w:val="auto"/>
        </w:rPr>
        <w:t>The development of anti-pathogen assets to treat, diagnose or prevent emerging infectious diseases.</w:t>
      </w:r>
    </w:p>
    <w:p>
      <w:pPr>
        <w:spacing w:after="0" w:line="18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b w:val="1"/>
          <w:bCs w:val="1"/>
          <w:color w:val="auto"/>
        </w:rPr>
        <w:t xml:space="preserve">Government: </w:t>
      </w:r>
      <w:r>
        <w:rPr>
          <w:rFonts w:ascii="Times New Roman" w:cs="Times New Roman" w:eastAsia="Times New Roman" w:hAnsi="Times New Roman"/>
          <w:sz w:val="21"/>
          <w:szCs w:val="21"/>
          <w:color w:val="auto"/>
        </w:rPr>
        <w:t>The United States of America, as represented by the Department of Health &amp; Human Services (“Government”),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Office of the Assistant Secretary for Preparedness &amp; Response (“ASPR”), Office of Biomedical Advanced Research and Development (“BARDA”) (represented by Office of Acquisition Management, Contracts and Grants (AMCG)).</w:t>
      </w:r>
    </w:p>
    <w:p>
      <w:pPr>
        <w:spacing w:after="0" w:line="14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1"/>
          <w:szCs w:val="21"/>
          <w:b w:val="1"/>
          <w:bCs w:val="1"/>
          <w:color w:val="auto"/>
        </w:rPr>
        <w:t xml:space="preserve">Government Purpose: </w:t>
      </w:r>
      <w:r>
        <w:rPr>
          <w:rFonts w:ascii="Times New Roman" w:cs="Times New Roman" w:eastAsia="Times New Roman" w:hAnsi="Times New Roman"/>
          <w:sz w:val="21"/>
          <w:szCs w:val="21"/>
          <w:color w:val="auto"/>
        </w:rPr>
        <w:t>Any activity in which the United States Government is a party, including cooperative agreements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international or multi-national defense organizations, or sales or transfers by the United States Government to foreign governments or international organizations. Government purposes include competitive procurement, but do not include the rights to use, modify, reproduce, release, perform, display, or disclose technical data for commercial purposes or authorize others to do so.</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Government Purpose Rights: </w:t>
      </w:r>
      <w:r>
        <w:rPr>
          <w:rFonts w:ascii="Times New Roman" w:cs="Times New Roman" w:eastAsia="Times New Roman" w:hAnsi="Times New Roman"/>
          <w:sz w:val="21"/>
          <w:szCs w:val="21"/>
          <w:color w:val="auto"/>
        </w:rPr>
        <w:t>The rights by Government to—</w:t>
      </w:r>
    </w:p>
    <w:p>
      <w:pPr>
        <w:spacing w:after="0" w:line="190" w:lineRule="exact"/>
        <w:rPr>
          <w:sz w:val="20"/>
          <w:szCs w:val="20"/>
          <w:color w:val="auto"/>
        </w:rPr>
      </w:pPr>
    </w:p>
    <w:p>
      <w:pPr>
        <w:ind w:left="380" w:hanging="373"/>
        <w:spacing w:after="0"/>
        <w:tabs>
          <w:tab w:leader="none" w:pos="38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modify, reproduce, release, perform, display, or disclose technical data within the Government without restriction; and</w:t>
      </w:r>
    </w:p>
    <w:p>
      <w:pPr>
        <w:spacing w:after="0" w:line="186" w:lineRule="exact"/>
        <w:rPr>
          <w:rFonts w:ascii="Times New Roman" w:cs="Times New Roman" w:eastAsia="Times New Roman" w:hAnsi="Times New Roman"/>
          <w:sz w:val="21"/>
          <w:szCs w:val="21"/>
          <w:color w:val="auto"/>
        </w:rPr>
      </w:pPr>
    </w:p>
    <w:p>
      <w:pPr>
        <w:ind w:firstLine="7"/>
        <w:spacing w:after="0" w:line="249" w:lineRule="auto"/>
        <w:tabs>
          <w:tab w:leader="none" w:pos="379"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Release or disclose technical data outside the Government and authorize persons to whom release or disclosure has been made to use, modify, reproduce, release, perform, display, or disclose that data for United States Government Purpose.</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Invention: </w:t>
      </w:r>
      <w:r>
        <w:rPr>
          <w:rFonts w:ascii="Times New Roman" w:cs="Times New Roman" w:eastAsia="Times New Roman" w:hAnsi="Times New Roman"/>
          <w:sz w:val="21"/>
          <w:szCs w:val="21"/>
          <w:color w:val="auto"/>
        </w:rPr>
        <w:t>Any invention or discovery that is or may be patentable or otherwise protectable under Title 35 of the United States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Code.</w:t>
      </w:r>
    </w:p>
    <w:p>
      <w:pPr>
        <w:spacing w:after="0" w:line="13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Limited Rights: </w:t>
      </w:r>
      <w:r>
        <w:rPr>
          <w:rFonts w:ascii="Times New Roman" w:cs="Times New Roman" w:eastAsia="Times New Roman" w:hAnsi="Times New Roman"/>
          <w:sz w:val="21"/>
          <w:szCs w:val="21"/>
          <w:color w:val="auto"/>
        </w:rPr>
        <w:t>The rights to use, modify, reproduce, perform, display, or disclose Data, in whole or in part, within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Government solely for research purposes for the Field. Government will ensure that disclosed information is safeguarded in accordance with the restrictions of this Agreement. The Government may not, without the prior written permission of Recipient, release or disclose the Data outside the Government, use the Data for competitive procurement or manufacture, release or disclose the data for commercial purposes, or authorize the Data to be</w:t>
      </w:r>
    </w:p>
    <w:p>
      <w:pPr>
        <w:sectPr>
          <w:pgSz w:w="11900" w:h="16838" w:orient="portrait"/>
          <w:cols w:equalWidth="0" w:num="1">
            <w:col w:w="11240"/>
          </w:cols>
          <w:pgMar w:left="320" w:top="1382" w:right="339" w:bottom="1440" w:gutter="0" w:footer="0" w:header="0"/>
        </w:sectPr>
      </w:pPr>
    </w:p>
    <w:bookmarkStart w:id="120" w:name="page121"/>
    <w:bookmarkEnd w:id="120"/>
    <w:p>
      <w:pPr>
        <w:jc w:val="both"/>
        <w:spacing w:after="0" w:line="249" w:lineRule="auto"/>
        <w:rPr>
          <w:sz w:val="20"/>
          <w:szCs w:val="20"/>
          <w:color w:val="auto"/>
        </w:rPr>
      </w:pPr>
      <w:r>
        <w:rPr>
          <w:rFonts w:ascii="Times New Roman" w:cs="Times New Roman" w:eastAsia="Times New Roman" w:hAnsi="Times New Roman"/>
          <w:sz w:val="21"/>
          <w:szCs w:val="21"/>
          <w:color w:val="auto"/>
        </w:rPr>
        <w:t>used by another party. The Parties shall maintain the confidentiality of all Data subject to or designated as falling within Limited Rights.</w:t>
      </w:r>
    </w:p>
    <w:p>
      <w:pPr>
        <w:spacing w:after="0" w:line="1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b w:val="1"/>
          <w:bCs w:val="1"/>
          <w:color w:val="auto"/>
        </w:rPr>
        <w:t xml:space="preserve">Limited Rights Data: </w:t>
      </w:r>
      <w:r>
        <w:rPr>
          <w:rFonts w:ascii="Times New Roman" w:cs="Times New Roman" w:eastAsia="Times New Roman" w:hAnsi="Times New Roman"/>
          <w:sz w:val="21"/>
          <w:szCs w:val="21"/>
          <w:color w:val="auto"/>
        </w:rPr>
        <w:t>Data, other than Computer Software, that embody trade secrets or are commercial or financial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confidential or privileged, to the extent that such Data pertain to items, components, or processes developed at private expense, including minor modifications.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Made: </w:t>
      </w:r>
      <w:r>
        <w:rPr>
          <w:rFonts w:ascii="Times New Roman" w:cs="Times New Roman" w:eastAsia="Times New Roman" w:hAnsi="Times New Roman"/>
          <w:sz w:val="21"/>
          <w:szCs w:val="21"/>
          <w:color w:val="auto"/>
        </w:rPr>
        <w:t>The conception or first actual reduction to practice of the invention as defined in this Agreement.</w:t>
      </w:r>
    </w:p>
    <w:p>
      <w:pPr>
        <w:spacing w:after="0" w:line="18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Option: </w:t>
      </w:r>
      <w:r>
        <w:rPr>
          <w:rFonts w:ascii="Times New Roman" w:cs="Times New Roman" w:eastAsia="Times New Roman" w:hAnsi="Times New Roman"/>
          <w:sz w:val="21"/>
          <w:szCs w:val="21"/>
          <w:color w:val="auto"/>
        </w:rPr>
        <w:t>An option, entered into by bilateral agreement pursuant to a Statement of Work and budget, by which, for a specified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the Government may elect to purchase additional supplies or services called for by the Agreement.</w:t>
      </w:r>
    </w:p>
    <w:p>
      <w:pPr>
        <w:spacing w:after="0" w:line="13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1"/>
          <w:szCs w:val="21"/>
          <w:b w:val="1"/>
          <w:bCs w:val="1"/>
          <w:color w:val="auto"/>
        </w:rPr>
        <w:t>Other Transaction Agreement Officer (“OTAO”</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the responsible Government official authorized to bind the Government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signing this Agreement and bilateral modifications.</w:t>
      </w:r>
    </w:p>
    <w:p>
      <w:pPr>
        <w:spacing w:after="0" w:line="13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Other Transaction Agreement Specialist (“OTAS”): </w:t>
      </w:r>
      <w:r>
        <w:rPr>
          <w:rFonts w:ascii="Times New Roman" w:cs="Times New Roman" w:eastAsia="Times New Roman" w:hAnsi="Times New Roman"/>
          <w:sz w:val="21"/>
          <w:szCs w:val="21"/>
          <w:color w:val="auto"/>
        </w:rPr>
        <w:t>Is a supporting official that assists and represents the OTAO. The OTAO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only official who can bind the Government.</w:t>
      </w:r>
    </w:p>
    <w:p>
      <w:pPr>
        <w:spacing w:after="0" w:line="13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1"/>
          <w:szCs w:val="21"/>
          <w:b w:val="1"/>
          <w:bCs w:val="1"/>
          <w:color w:val="auto"/>
        </w:rPr>
        <w:t>Other Transaction Agreement Technical Representative (“OTTR”</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the primary Government official for all technical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matters on the Agreement.</w:t>
      </w:r>
    </w:p>
    <w:p>
      <w:pPr>
        <w:spacing w:after="0" w:line="13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1"/>
          <w:szCs w:val="21"/>
          <w:b w:val="1"/>
          <w:bCs w:val="1"/>
          <w:color w:val="auto"/>
        </w:rPr>
        <w:t xml:space="preserve">Practical Application: </w:t>
      </w:r>
      <w:r>
        <w:rPr>
          <w:rFonts w:ascii="Times New Roman" w:cs="Times New Roman" w:eastAsia="Times New Roman" w:hAnsi="Times New Roman"/>
          <w:sz w:val="21"/>
          <w:szCs w:val="21"/>
          <w:color w:val="auto"/>
        </w:rPr>
        <w:t>With respect to a Subject Invention, to manufacture, in the case of a composition or product; to practice,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case of a process or method; or to operate, in the case of a machine or system; and, in each case, under such conditions as to establish that the Subject Invention is capable of being utilized and that its benefits are, to the extent permitted by law or Government regulations, available to the public for a regulatory approved product.</w:t>
      </w:r>
    </w:p>
    <w:p>
      <w:pPr>
        <w:spacing w:after="0" w:line="14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Subject Invention: </w:t>
      </w:r>
      <w:r>
        <w:rPr>
          <w:rFonts w:ascii="Times New Roman" w:cs="Times New Roman" w:eastAsia="Times New Roman" w:hAnsi="Times New Roman"/>
          <w:sz w:val="21"/>
          <w:szCs w:val="21"/>
          <w:color w:val="auto"/>
        </w:rPr>
        <w:t>Any Invention Made in the performance of work under this Agreement within the Field for which Recipient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pursues a patent.</w:t>
      </w:r>
    </w:p>
    <w:p>
      <w:pPr>
        <w:spacing w:after="0" w:line="1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b w:val="1"/>
          <w:bCs w:val="1"/>
          <w:color w:val="auto"/>
        </w:rPr>
        <w:t xml:space="preserve">Sub-Recipient: </w:t>
      </w:r>
      <w:r>
        <w:rPr>
          <w:rFonts w:ascii="Times New Roman" w:cs="Times New Roman" w:eastAsia="Times New Roman" w:hAnsi="Times New Roman"/>
          <w:sz w:val="21"/>
          <w:szCs w:val="21"/>
          <w:color w:val="auto"/>
        </w:rPr>
        <w:t>Akin to a subcontractor. Any supplier, distributor, vendor, or firm that furnishes supplies or services to or for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Recipient, an Affiliate, or a Sub-Recipient. A Sub-Recipient differs from an Affiliate in that Sub-Recipients are not listed as an Affiliate in Attachment 3 and may be used to execute tasks under the SOW by Recipient or Affiliate.</w:t>
      </w:r>
    </w:p>
    <w:p>
      <w:pPr>
        <w:spacing w:after="0" w:line="14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1"/>
          <w:szCs w:val="21"/>
          <w:b w:val="1"/>
          <w:bCs w:val="1"/>
          <w:color w:val="auto"/>
        </w:rPr>
        <w:t xml:space="preserve">Sub-Recipient Agreement: </w:t>
      </w:r>
      <w:r>
        <w:rPr>
          <w:rFonts w:ascii="Times New Roman" w:cs="Times New Roman" w:eastAsia="Times New Roman" w:hAnsi="Times New Roman"/>
          <w:sz w:val="21"/>
          <w:szCs w:val="21"/>
          <w:color w:val="auto"/>
        </w:rPr>
        <w:t>Any contract entered into by a Sub-Recipient to furnish supplies or services for performance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This term describes an agreement with a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-Tier Sub-Recipient, except as expressly noted in this Agreement.</w:t>
      </w:r>
    </w:p>
    <w:p>
      <w:pPr>
        <w:sectPr>
          <w:pgSz w:w="11900" w:h="16838" w:orient="portrait"/>
          <w:cols w:equalWidth="0" w:num="1">
            <w:col w:w="11240"/>
          </w:cols>
          <w:pgMar w:left="320" w:top="1383"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1"/>
          <w:szCs w:val="2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535305</wp:posOffset>
            </wp:positionV>
            <wp:extent cx="5299075" cy="798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99075" cy="798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23,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212" w:lineRule="auto"/>
        <w:rPr>
          <w:sz w:val="20"/>
          <w:szCs w:val="20"/>
          <w:color w:val="auto"/>
        </w:rPr>
      </w:pPr>
      <w:r>
        <w:rPr>
          <w:rFonts w:ascii="Times New Roman" w:cs="Times New Roman" w:eastAsia="Times New Roman" w:hAnsi="Times New Roman"/>
          <w:sz w:val="21"/>
          <w:szCs w:val="21"/>
          <w:color w:val="auto"/>
        </w:rPr>
        <w:t>777 Old Saw Mill River Road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Tarrytown, NY 10591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w:t>
      </w:r>
    </w:p>
    <w:p>
      <w:pPr>
        <w:spacing w:after="0" w:line="186" w:lineRule="exact"/>
        <w:rPr>
          <w:sz w:val="20"/>
          <w:szCs w:val="20"/>
          <w:color w:val="auto"/>
        </w:rPr>
      </w:pPr>
    </w:p>
    <w:p>
      <w:pPr>
        <w:ind w:right="4480"/>
        <w:spacing w:after="0" w:line="511" w:lineRule="auto"/>
        <w:rPr>
          <w:sz w:val="20"/>
          <w:szCs w:val="20"/>
          <w:color w:val="auto"/>
        </w:rPr>
      </w:pPr>
      <w:r>
        <w:rPr>
          <w:rFonts w:ascii="Times New Roman" w:cs="Times New Roman" w:eastAsia="Times New Roman" w:hAnsi="Times New Roman"/>
          <w:sz w:val="21"/>
          <w:szCs w:val="21"/>
          <w:color w:val="auto"/>
        </w:rPr>
        <w:t>Subject: Modification No. 04 to Project Agreement No. 01; MCDC2008-005 Reference: MCDC Base Agreement No. 2020-504 Dear :</w:t>
      </w:r>
    </w:p>
    <w:p>
      <w:pPr>
        <w:spacing w:after="0" w:line="256" w:lineRule="exact"/>
        <w:rPr>
          <w:sz w:val="20"/>
          <w:szCs w:val="20"/>
          <w:color w:val="auto"/>
        </w:rPr>
      </w:pPr>
    </w:p>
    <w:p>
      <w:pPr>
        <w:ind w:firstLine="642"/>
        <w:spacing w:after="0" w:line="249" w:lineRule="auto"/>
        <w:rPr>
          <w:sz w:val="20"/>
          <w:szCs w:val="20"/>
          <w:color w:val="auto"/>
        </w:rPr>
      </w:pPr>
      <w:r>
        <w:rPr>
          <w:rFonts w:ascii="Times New Roman" w:cs="Times New Roman" w:eastAsia="Times New Roman" w:hAnsi="Times New Roman"/>
          <w:sz w:val="21"/>
          <w:szCs w:val="21"/>
          <w:color w:val="auto"/>
        </w:rPr>
        <w:t>This purpose of this modification is to memorialize the Department of Health and Human Services' rescission of the Health Resources Priority and Allocations System (HRPAS) rating for the subject Project Agreement.</w:t>
      </w:r>
    </w:p>
    <w:p>
      <w:pPr>
        <w:spacing w:after="0" w:line="141" w:lineRule="exact"/>
        <w:rPr>
          <w:sz w:val="20"/>
          <w:szCs w:val="20"/>
          <w:color w:val="auto"/>
        </w:rPr>
      </w:pPr>
    </w:p>
    <w:p>
      <w:pPr>
        <w:ind w:firstLine="642"/>
        <w:spacing w:after="0" w:line="249" w:lineRule="auto"/>
        <w:rPr>
          <w:sz w:val="20"/>
          <w:szCs w:val="20"/>
          <w:color w:val="auto"/>
        </w:rPr>
      </w:pPr>
      <w:r>
        <w:rPr>
          <w:rFonts w:ascii="Times New Roman" w:cs="Times New Roman" w:eastAsia="Times New Roman" w:hAnsi="Times New Roman"/>
          <w:sz w:val="21"/>
          <w:szCs w:val="21"/>
          <w:color w:val="auto"/>
        </w:rPr>
        <w:t>In accordance with the terms and conditions of the referenced MCDC Base Agreement, Modification No. 04 hereby amends Project Agreement No. 01 as follows: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DESCRIPTION OF MODIFICATION</w:t>
      </w:r>
    </w:p>
    <w:p>
      <w:pPr>
        <w:spacing w:after="0" w:line="186" w:lineRule="exact"/>
        <w:rPr>
          <w:sz w:val="20"/>
          <w:szCs w:val="20"/>
          <w:color w:val="auto"/>
        </w:rPr>
      </w:pPr>
    </w:p>
    <w:p>
      <w:pPr>
        <w:ind w:left="320" w:hanging="313"/>
        <w:spacing w:after="0" w:line="253" w:lineRule="auto"/>
        <w:tabs>
          <w:tab w:leader="none" w:pos="449" w:val="left"/>
        </w:tabs>
        <w:numPr>
          <w:ilvl w:val="0"/>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The Health Resource Priority and Allocations Systems (HRPAS) clause of the Project Agreement is hereby removed and RESERVED as indicated below:</w:t>
      </w:r>
    </w:p>
    <w:p>
      <w:pPr>
        <w:spacing w:after="0" w:line="132" w:lineRule="exact"/>
        <w:rPr>
          <w:rFonts w:ascii="Times New Roman" w:cs="Times New Roman" w:eastAsia="Times New Roman" w:hAnsi="Times New Roman"/>
          <w:sz w:val="21"/>
          <w:szCs w:val="21"/>
          <w:b w:val="1"/>
          <w:bCs w:val="1"/>
          <w:color w:val="auto"/>
        </w:rPr>
      </w:pPr>
    </w:p>
    <w:p>
      <w:pPr>
        <w:ind w:left="3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18. RESERVED</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strike w:val="1"/>
        </w:rPr>
        <w:t>Health Resource Priority and Allocations systems (HRPAS)</w:t>
      </w:r>
    </w:p>
    <w:p>
      <w:pPr>
        <w:spacing w:after="0" w:line="190" w:lineRule="exact"/>
        <w:rPr>
          <w:sz w:val="20"/>
          <w:szCs w:val="20"/>
          <w:color w:val="auto"/>
        </w:rPr>
      </w:pPr>
    </w:p>
    <w:p>
      <w:pPr>
        <w:jc w:val="both"/>
        <w:ind w:left="320"/>
        <w:spacing w:after="0" w:line="234" w:lineRule="auto"/>
        <w:rPr>
          <w:sz w:val="20"/>
          <w:szCs w:val="20"/>
          <w:color w:val="auto"/>
        </w:rPr>
      </w:pPr>
      <w:r>
        <w:rPr>
          <w:rFonts w:ascii="Times New Roman" w:cs="Times New Roman" w:eastAsia="Times New Roman" w:hAnsi="Times New Roman"/>
          <w:sz w:val="21"/>
          <w:szCs w:val="21"/>
          <w:color w:val="auto"/>
          <w:strike w:val="1"/>
        </w:rPr>
        <w:t>In order to ensure the success of the Project Agreement Holder’s efforts, a priority rating is incorporated into the project agreement for the procurement of raw materials, consumables, repair parts, and major end item assemblies by the Project Agreement Holder under Title I of the HRPAS: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strike w:val="1"/>
        </w:rPr>
        <w:t>Priority Rating: Defense Production Act (DPA) Title I –“DO HR”</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strike w:val="1"/>
        </w:rPr>
        <w:t>Each rated order executed by the Project Agreement Holder must include the following:</w:t>
      </w:r>
    </w:p>
    <w:p>
      <w:pPr>
        <w:spacing w:after="0" w:line="183" w:lineRule="exact"/>
        <w:rPr>
          <w:sz w:val="20"/>
          <w:szCs w:val="20"/>
          <w:color w:val="auto"/>
        </w:rPr>
      </w:pPr>
    </w:p>
    <w:p>
      <w:pPr>
        <w:ind w:left="620" w:hanging="292"/>
        <w:spacing w:after="0"/>
        <w:tabs>
          <w:tab w:leader="none" w:pos="620" w:val="left"/>
        </w:tabs>
        <w:numPr>
          <w:ilvl w:val="0"/>
          <w:numId w:val="71"/>
        </w:numPr>
        <w:rPr>
          <w:rFonts w:ascii="Times New Roman" w:cs="Times New Roman" w:eastAsia="Times New Roman" w:hAnsi="Times New Roman"/>
          <w:sz w:val="21"/>
          <w:szCs w:val="21"/>
          <w:color w:val="auto"/>
          <w:strike w:val="1"/>
        </w:rPr>
      </w:pPr>
      <w:r>
        <w:rPr>
          <w:rFonts w:ascii="Times New Roman" w:cs="Times New Roman" w:eastAsia="Times New Roman" w:hAnsi="Times New Roman"/>
          <w:sz w:val="21"/>
          <w:szCs w:val="21"/>
          <w:color w:val="auto"/>
          <w:strike w:val="1"/>
        </w:rPr>
        <w:t>The priority rating: DPA Title I – “DO HR”;</w:t>
      </w:r>
    </w:p>
    <w:p>
      <w:pPr>
        <w:ind w:left="640" w:hanging="312"/>
        <w:spacing w:after="0" w:line="212" w:lineRule="auto"/>
        <w:tabs>
          <w:tab w:leader="none" w:pos="640" w:val="left"/>
        </w:tabs>
        <w:numPr>
          <w:ilvl w:val="0"/>
          <w:numId w:val="71"/>
        </w:numPr>
        <w:rPr>
          <w:rFonts w:ascii="Times New Roman" w:cs="Times New Roman" w:eastAsia="Times New Roman" w:hAnsi="Times New Roman"/>
          <w:sz w:val="21"/>
          <w:szCs w:val="21"/>
          <w:color w:val="auto"/>
          <w:strike w:val="1"/>
        </w:rPr>
      </w:pPr>
      <w:r>
        <w:rPr>
          <w:rFonts w:ascii="Times New Roman" w:cs="Times New Roman" w:eastAsia="Times New Roman" w:hAnsi="Times New Roman"/>
          <w:sz w:val="21"/>
          <w:szCs w:val="21"/>
          <w:color w:val="auto"/>
          <w:strike w:val="1"/>
        </w:rPr>
        <w:t>A required delivery date or dates. The words “immediately” or “as soon as possible” do not constitute a delivery date;</w:t>
      </w:r>
    </w:p>
    <w:p>
      <w:pPr>
        <w:ind w:left="320" w:firstLine="8"/>
        <w:spacing w:after="0" w:line="212" w:lineRule="auto"/>
        <w:tabs>
          <w:tab w:leader="none" w:pos="622" w:val="left"/>
        </w:tabs>
        <w:numPr>
          <w:ilvl w:val="0"/>
          <w:numId w:val="71"/>
        </w:numPr>
        <w:rPr>
          <w:rFonts w:ascii="Times New Roman" w:cs="Times New Roman" w:eastAsia="Times New Roman" w:hAnsi="Times New Roman"/>
          <w:sz w:val="21"/>
          <w:szCs w:val="21"/>
          <w:color w:val="auto"/>
          <w:strike w:val="1"/>
        </w:rPr>
      </w:pPr>
      <w:r>
        <w:rPr>
          <w:rFonts w:ascii="Times New Roman" w:cs="Times New Roman" w:eastAsia="Times New Roman" w:hAnsi="Times New Roman"/>
          <w:sz w:val="21"/>
          <w:szCs w:val="21"/>
          <w:color w:val="auto"/>
          <w:strike w:val="1"/>
        </w:rPr>
        <w:t>The written signature on a manually placed order, or the digital signature or name on an electronically placed order, of an individual authorized to sign rated orders for the person placing the order; and</w:t>
      </w:r>
    </w:p>
    <w:p>
      <w:pPr>
        <w:spacing w:after="0" w:line="1" w:lineRule="exact"/>
        <w:rPr>
          <w:rFonts w:ascii="Times New Roman" w:cs="Times New Roman" w:eastAsia="Times New Roman" w:hAnsi="Times New Roman"/>
          <w:sz w:val="21"/>
          <w:szCs w:val="21"/>
          <w:color w:val="auto"/>
          <w:strike w:val="1"/>
        </w:rPr>
      </w:pPr>
    </w:p>
    <w:p>
      <w:pPr>
        <w:ind w:left="640" w:hanging="312"/>
        <w:spacing w:after="0"/>
        <w:tabs>
          <w:tab w:leader="none" w:pos="640" w:val="left"/>
        </w:tabs>
        <w:numPr>
          <w:ilvl w:val="0"/>
          <w:numId w:val="71"/>
        </w:numPr>
        <w:rPr>
          <w:rFonts w:ascii="Times New Roman" w:cs="Times New Roman" w:eastAsia="Times New Roman" w:hAnsi="Times New Roman"/>
          <w:sz w:val="21"/>
          <w:szCs w:val="21"/>
          <w:color w:val="auto"/>
          <w:strike w:val="1"/>
        </w:rPr>
      </w:pPr>
      <w:r>
        <w:rPr>
          <w:rFonts w:ascii="Times New Roman" w:cs="Times New Roman" w:eastAsia="Times New Roman" w:hAnsi="Times New Roman"/>
          <w:sz w:val="21"/>
          <w:szCs w:val="21"/>
          <w:color w:val="auto"/>
          <w:strike w:val="1"/>
        </w:rPr>
        <w:t>A statement that reads in substance</w:t>
      </w:r>
    </w:p>
    <w:p>
      <w:pPr>
        <w:sectPr>
          <w:pgSz w:w="11900" w:h="16838" w:orient="portrait"/>
          <w:cols w:equalWidth="0" w:num="1">
            <w:col w:w="11240"/>
          </w:cols>
          <w:pgMar w:left="320" w:top="339" w:right="339" w:bottom="1440" w:gutter="0" w:footer="0" w:header="0"/>
        </w:sectPr>
      </w:pPr>
    </w:p>
    <w:bookmarkStart w:id="122" w:name="page123"/>
    <w:bookmarkEnd w:id="122"/>
    <w:p>
      <w:pPr>
        <w:ind w:left="640" w:firstLine="9"/>
        <w:spacing w:after="0" w:line="249" w:lineRule="auto"/>
        <w:tabs>
          <w:tab w:leader="none" w:pos="957" w:val="left"/>
        </w:tabs>
        <w:numPr>
          <w:ilvl w:val="0"/>
          <w:numId w:val="72"/>
        </w:numPr>
        <w:rPr>
          <w:rFonts w:ascii="Times New Roman" w:cs="Times New Roman" w:eastAsia="Times New Roman" w:hAnsi="Times New Roman"/>
          <w:sz w:val="21"/>
          <w:szCs w:val="21"/>
          <w:color w:val="auto"/>
          <w:strike w:val="1"/>
        </w:rPr>
      </w:pPr>
      <w:r>
        <w:rPr>
          <w:rFonts w:ascii="Times New Roman" w:cs="Times New Roman" w:eastAsia="Times New Roman" w:hAnsi="Times New Roman"/>
          <w:sz w:val="21"/>
          <w:szCs w:val="21"/>
          <w:color w:val="auto"/>
          <w:strike w:val="1"/>
        </w:rPr>
        <w:t>This is a rated order certified for national defense use, and you are required to follow all the provisions of the Health Resources Priorities and Allocations System regulation at 45 CFR part 101.</w:t>
      </w:r>
    </w:p>
    <w:p>
      <w:pPr>
        <w:spacing w:after="0" w:line="140" w:lineRule="exact"/>
        <w:rPr>
          <w:rFonts w:ascii="Times New Roman" w:cs="Times New Roman" w:eastAsia="Times New Roman" w:hAnsi="Times New Roman"/>
          <w:sz w:val="21"/>
          <w:szCs w:val="21"/>
          <w:color w:val="auto"/>
          <w:strike w:val="1"/>
        </w:rPr>
      </w:pPr>
    </w:p>
    <w:p>
      <w:pPr>
        <w:jc w:val="both"/>
        <w:ind w:left="640" w:firstLine="9"/>
        <w:spacing w:after="0" w:line="234" w:lineRule="auto"/>
        <w:tabs>
          <w:tab w:leader="none" w:pos="959" w:val="left"/>
        </w:tabs>
        <w:numPr>
          <w:ilvl w:val="0"/>
          <w:numId w:val="72"/>
        </w:numPr>
        <w:rPr>
          <w:rFonts w:ascii="Times New Roman" w:cs="Times New Roman" w:eastAsia="Times New Roman" w:hAnsi="Times New Roman"/>
          <w:sz w:val="21"/>
          <w:szCs w:val="21"/>
          <w:color w:val="auto"/>
          <w:strike w:val="1"/>
        </w:rPr>
      </w:pPr>
      <w:r>
        <w:rPr>
          <w:rFonts w:ascii="Times New Roman" w:cs="Times New Roman" w:eastAsia="Times New Roman" w:hAnsi="Times New Roman"/>
          <w:sz w:val="21"/>
          <w:szCs w:val="21"/>
          <w:color w:val="auto"/>
          <w:strike w:val="1"/>
        </w:rPr>
        <w:t>If the rated order is placed in support of emergency preparedness requirements and expedited action is necessary and appropriate to meet these requirements, the following sentences should be added following the statement set forth in paragraph (d)(1) of this section:</w:t>
      </w:r>
    </w:p>
    <w:p>
      <w:pPr>
        <w:spacing w:after="0" w:line="146" w:lineRule="exact"/>
        <w:rPr>
          <w:rFonts w:ascii="Times New Roman" w:cs="Times New Roman" w:eastAsia="Times New Roman" w:hAnsi="Times New Roman"/>
          <w:sz w:val="21"/>
          <w:szCs w:val="21"/>
          <w:color w:val="auto"/>
          <w:strike w:val="1"/>
        </w:rPr>
      </w:pPr>
    </w:p>
    <w:p>
      <w:pPr>
        <w:ind w:left="1480" w:hanging="189"/>
        <w:spacing w:after="0"/>
        <w:tabs>
          <w:tab w:leader="none" w:pos="1480" w:val="left"/>
        </w:tabs>
        <w:numPr>
          <w:ilvl w:val="1"/>
          <w:numId w:val="72"/>
        </w:numPr>
        <w:rPr>
          <w:rFonts w:ascii="Times New Roman" w:cs="Times New Roman" w:eastAsia="Times New Roman" w:hAnsi="Times New Roman"/>
          <w:sz w:val="21"/>
          <w:szCs w:val="21"/>
          <w:color w:val="auto"/>
          <w:strike w:val="1"/>
        </w:rPr>
      </w:pPr>
      <w:r>
        <w:rPr>
          <w:rFonts w:ascii="Times New Roman" w:cs="Times New Roman" w:eastAsia="Times New Roman" w:hAnsi="Times New Roman"/>
          <w:sz w:val="21"/>
          <w:szCs w:val="21"/>
          <w:color w:val="auto"/>
          <w:strike w:val="1"/>
        </w:rPr>
        <w:t>This rate order is placed for the purpose of emergency preparedness. It must be accepted or rejected within two</w:t>
      </w:r>
    </w:p>
    <w:p>
      <w:pPr>
        <w:ind w:left="1300"/>
        <w:spacing w:after="0" w:line="212" w:lineRule="auto"/>
        <w:rPr>
          <w:rFonts w:ascii="Times New Roman" w:cs="Times New Roman" w:eastAsia="Times New Roman" w:hAnsi="Times New Roman"/>
          <w:sz w:val="21"/>
          <w:szCs w:val="21"/>
          <w:color w:val="auto"/>
          <w:strike w:val="1"/>
        </w:rPr>
      </w:pPr>
      <w:r>
        <w:rPr>
          <w:rFonts w:ascii="Times New Roman" w:cs="Times New Roman" w:eastAsia="Times New Roman" w:hAnsi="Times New Roman"/>
          <w:sz w:val="21"/>
          <w:szCs w:val="21"/>
          <w:color w:val="auto"/>
          <w:strike w:val="1"/>
        </w:rPr>
        <w:t>(2) days after receipt of the order if:</w:t>
      </w:r>
    </w:p>
    <w:p>
      <w:pPr>
        <w:ind w:left="2200" w:hanging="267"/>
        <w:spacing w:after="0" w:line="212" w:lineRule="auto"/>
        <w:tabs>
          <w:tab w:leader="none" w:pos="2200" w:val="left"/>
        </w:tabs>
        <w:numPr>
          <w:ilvl w:val="2"/>
          <w:numId w:val="72"/>
        </w:numPr>
        <w:rPr>
          <w:rFonts w:ascii="Times New Roman" w:cs="Times New Roman" w:eastAsia="Times New Roman" w:hAnsi="Times New Roman"/>
          <w:sz w:val="21"/>
          <w:szCs w:val="21"/>
          <w:color w:val="auto"/>
          <w:strike w:val="1"/>
        </w:rPr>
      </w:pPr>
      <w:r>
        <w:rPr>
          <w:rFonts w:ascii="Times New Roman" w:cs="Times New Roman" w:eastAsia="Times New Roman" w:hAnsi="Times New Roman"/>
          <w:sz w:val="21"/>
          <w:szCs w:val="21"/>
          <w:color w:val="auto"/>
          <w:strike w:val="1"/>
        </w:rPr>
        <w:t>The order is issued in response to a hazard that has occurred; or</w:t>
      </w:r>
    </w:p>
    <w:p>
      <w:pPr>
        <w:ind w:left="2180" w:hanging="247"/>
        <w:spacing w:after="0"/>
        <w:tabs>
          <w:tab w:leader="none" w:pos="2180" w:val="left"/>
        </w:tabs>
        <w:numPr>
          <w:ilvl w:val="2"/>
          <w:numId w:val="72"/>
        </w:numPr>
        <w:rPr>
          <w:rFonts w:ascii="Times New Roman" w:cs="Times New Roman" w:eastAsia="Times New Roman" w:hAnsi="Times New Roman"/>
          <w:sz w:val="21"/>
          <w:szCs w:val="21"/>
          <w:color w:val="auto"/>
          <w:strike w:val="1"/>
        </w:rPr>
      </w:pPr>
      <w:r>
        <w:rPr>
          <w:rFonts w:ascii="Times New Roman" w:cs="Times New Roman" w:eastAsia="Times New Roman" w:hAnsi="Times New Roman"/>
          <w:sz w:val="21"/>
          <w:szCs w:val="21"/>
          <w:color w:val="auto"/>
          <w:strike w:val="1"/>
        </w:rPr>
        <w:t>If the order is issued to prepare for an imminent hazard, as specified in HRPAS § 101.33(c).</w:t>
      </w:r>
    </w:p>
    <w:p>
      <w:pPr>
        <w:spacing w:after="0" w:line="162" w:lineRule="exact"/>
        <w:rPr>
          <w:sz w:val="20"/>
          <w:szCs w:val="20"/>
          <w:color w:val="auto"/>
        </w:rPr>
      </w:pPr>
    </w:p>
    <w:p>
      <w:pPr>
        <w:ind w:firstLine="642"/>
        <w:spacing w:after="0" w:line="249" w:lineRule="auto"/>
        <w:rPr>
          <w:sz w:val="20"/>
          <w:szCs w:val="20"/>
          <w:color w:val="auto"/>
        </w:rPr>
      </w:pPr>
      <w:r>
        <w:rPr>
          <w:rFonts w:ascii="Times New Roman" w:cs="Times New Roman" w:eastAsia="Times New Roman" w:hAnsi="Times New Roman"/>
          <w:sz w:val="21"/>
          <w:szCs w:val="21"/>
          <w:color w:val="auto"/>
        </w:rPr>
        <w:t>Except as provided herein, all Terms and Conditions of the referenced MCDC Base Agreement, Project Agreement, and preceding modifications remain unchanged and in full force and effect.</w:t>
      </w:r>
    </w:p>
    <w:p>
      <w:pPr>
        <w:spacing w:after="0" w:line="141" w:lineRule="exact"/>
        <w:rPr>
          <w:sz w:val="20"/>
          <w:szCs w:val="20"/>
          <w:color w:val="auto"/>
        </w:rPr>
      </w:pPr>
    </w:p>
    <w:p>
      <w:pPr>
        <w:ind w:right="20" w:firstLine="642"/>
        <w:spacing w:after="0" w:line="249" w:lineRule="auto"/>
        <w:rPr>
          <w:sz w:val="20"/>
          <w:szCs w:val="20"/>
          <w:color w:val="auto"/>
        </w:rPr>
      </w:pPr>
      <w:r>
        <w:rPr>
          <w:rFonts w:ascii="Times New Roman" w:cs="Times New Roman" w:eastAsia="Times New Roman" w:hAnsi="Times New Roman"/>
          <w:sz w:val="21"/>
          <w:szCs w:val="21"/>
          <w:color w:val="auto"/>
        </w:rPr>
        <w:t>The Project Agreement Holder is required to sign this document and return to Advanced Technology International to finalize this action.</w:t>
      </w: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4940" w:type="dxa"/>
            <w:vAlign w:val="bottom"/>
            <w:gridSpan w:val="7"/>
          </w:tcPr>
          <w:p>
            <w:pPr>
              <w:ind w:left="60"/>
              <w:spacing w:after="0"/>
              <w:rPr>
                <w:sz w:val="20"/>
                <w:szCs w:val="20"/>
                <w:color w:val="auto"/>
              </w:rPr>
            </w:pPr>
            <w:r>
              <w:rPr>
                <w:rFonts w:ascii="Times New Roman" w:cs="Times New Roman" w:eastAsia="Times New Roman" w:hAnsi="Times New Roman"/>
                <w:sz w:val="21"/>
                <w:szCs w:val="21"/>
                <w:b w:val="1"/>
                <w:bCs w:val="1"/>
                <w:color w:val="auto"/>
              </w:rPr>
              <w:t>Regeneron Pharmaceuticals, Inc.</w:t>
            </w:r>
          </w:p>
        </w:tc>
        <w:tc>
          <w:tcPr>
            <w:tcW w:w="4540" w:type="dxa"/>
            <w:vAlign w:val="bottom"/>
            <w:gridSpan w:val="4"/>
          </w:tcPr>
          <w:p>
            <w:pPr>
              <w:ind w:left="920"/>
              <w:spacing w:after="0"/>
              <w:rPr>
                <w:sz w:val="20"/>
                <w:szCs w:val="20"/>
                <w:color w:val="auto"/>
              </w:rPr>
            </w:pPr>
            <w:r>
              <w:rPr>
                <w:rFonts w:ascii="Times New Roman" w:cs="Times New Roman" w:eastAsia="Times New Roman" w:hAnsi="Times New Roman"/>
                <w:sz w:val="21"/>
                <w:szCs w:val="21"/>
                <w:b w:val="1"/>
                <w:bCs w:val="1"/>
                <w:color w:val="auto"/>
              </w:rPr>
              <w:t>Advanced Technology International</w:t>
            </w:r>
          </w:p>
        </w:tc>
      </w:tr>
      <w:tr>
        <w:trPr>
          <w:trHeight w:val="228"/>
        </w:trPr>
        <w:tc>
          <w:tcPr>
            <w:tcW w:w="4940" w:type="dxa"/>
            <w:vAlign w:val="bottom"/>
            <w:gridSpan w:val="7"/>
          </w:tcPr>
          <w:p>
            <w:pPr>
              <w:spacing w:after="0" w:line="228" w:lineRule="exact"/>
              <w:rPr>
                <w:sz w:val="20"/>
                <w:szCs w:val="20"/>
                <w:color w:val="auto"/>
              </w:rPr>
            </w:pPr>
            <w:r>
              <w:rPr>
                <w:rFonts w:ascii="Times New Roman" w:cs="Times New Roman" w:eastAsia="Times New Roman" w:hAnsi="Times New Roman"/>
                <w:sz w:val="21"/>
                <w:szCs w:val="21"/>
                <w:color w:val="auto"/>
              </w:rPr>
              <w:t>By: /s/ Robert E. Landry__________________</w:t>
            </w:r>
          </w:p>
        </w:tc>
        <w:tc>
          <w:tcPr>
            <w:tcW w:w="4540" w:type="dxa"/>
            <w:vAlign w:val="bottom"/>
            <w:gridSpan w:val="4"/>
          </w:tcPr>
          <w:p>
            <w:pPr>
              <w:ind w:left="860"/>
              <w:spacing w:after="0" w:line="228" w:lineRule="exact"/>
              <w:rPr>
                <w:sz w:val="20"/>
                <w:szCs w:val="20"/>
                <w:color w:val="auto"/>
              </w:rPr>
            </w:pPr>
            <w:r>
              <w:rPr>
                <w:rFonts w:ascii="Times New Roman" w:cs="Times New Roman" w:eastAsia="Times New Roman" w:hAnsi="Times New Roman"/>
                <w:sz w:val="21"/>
                <w:szCs w:val="21"/>
                <w:color w:val="auto"/>
              </w:rPr>
              <w:t>By: /s/_____________________________</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502"/>
        </w:trPr>
        <w:tc>
          <w:tcPr>
            <w:tcW w:w="494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Name: Robert E. Landry__________________</w:t>
            </w:r>
          </w:p>
        </w:tc>
        <w:tc>
          <w:tcPr>
            <w:tcW w:w="4540" w:type="dxa"/>
            <w:vAlign w:val="bottom"/>
            <w:gridSpan w:val="4"/>
          </w:tcPr>
          <w:p>
            <w:pPr>
              <w:ind w:left="860"/>
              <w:spacing w:after="0"/>
              <w:rPr>
                <w:sz w:val="20"/>
                <w:szCs w:val="20"/>
                <w:color w:val="auto"/>
              </w:rPr>
            </w:pPr>
            <w:r>
              <w:rPr>
                <w:rFonts w:ascii="Times New Roman" w:cs="Times New Roman" w:eastAsia="Times New Roman" w:hAnsi="Times New Roman"/>
                <w:sz w:val="21"/>
                <w:szCs w:val="21"/>
                <w:color w:val="auto"/>
              </w:rPr>
              <w:t>Name:_____________________________</w:t>
            </w:r>
          </w:p>
        </w:tc>
      </w:tr>
      <w:tr>
        <w:trPr>
          <w:trHeight w:val="20"/>
        </w:trPr>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502"/>
        </w:trPr>
        <w:tc>
          <w:tcPr>
            <w:tcW w:w="494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Title: Executive Vice President_____________</w:t>
            </w:r>
          </w:p>
        </w:tc>
        <w:tc>
          <w:tcPr>
            <w:tcW w:w="4540" w:type="dxa"/>
            <w:vAlign w:val="bottom"/>
            <w:gridSpan w:val="4"/>
          </w:tcPr>
          <w:p>
            <w:pPr>
              <w:ind w:left="860"/>
              <w:spacing w:after="0"/>
              <w:rPr>
                <w:sz w:val="20"/>
                <w:szCs w:val="20"/>
                <w:color w:val="auto"/>
              </w:rPr>
            </w:pPr>
            <w:r>
              <w:rPr>
                <w:rFonts w:ascii="Times New Roman" w:cs="Times New Roman" w:eastAsia="Times New Roman" w:hAnsi="Times New Roman"/>
                <w:sz w:val="21"/>
                <w:szCs w:val="21"/>
                <w:color w:val="auto"/>
              </w:rPr>
              <w:t>Title:______________________________</w:t>
            </w:r>
          </w:p>
        </w:tc>
      </w:tr>
      <w:tr>
        <w:trPr>
          <w:trHeight w:val="20"/>
        </w:trPr>
        <w:tc>
          <w:tcPr>
            <w:tcW w:w="520" w:type="dxa"/>
            <w:vAlign w:val="bottom"/>
            <w:gridSpan w:val="2"/>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502"/>
        </w:trPr>
        <w:tc>
          <w:tcPr>
            <w:tcW w:w="494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Date: July 9, 2021_______________________</w:t>
            </w:r>
          </w:p>
        </w:tc>
        <w:tc>
          <w:tcPr>
            <w:tcW w:w="4540" w:type="dxa"/>
            <w:vAlign w:val="bottom"/>
            <w:gridSpan w:val="4"/>
          </w:tcPr>
          <w:p>
            <w:pPr>
              <w:ind w:left="860"/>
              <w:spacing w:after="0"/>
              <w:rPr>
                <w:sz w:val="20"/>
                <w:szCs w:val="20"/>
                <w:color w:val="auto"/>
              </w:rPr>
            </w:pPr>
            <w:r>
              <w:rPr>
                <w:rFonts w:ascii="Times New Roman" w:cs="Times New Roman" w:eastAsia="Times New Roman" w:hAnsi="Times New Roman"/>
                <w:sz w:val="21"/>
                <w:szCs w:val="21"/>
                <w:color w:val="auto"/>
              </w:rPr>
              <w:t>Date: Jul 12 2021____________________</w:t>
            </w: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83" w:right="339" w:bottom="1440" w:gutter="0" w:footer="0" w:header="0"/>
        </w:sectPr>
      </w:pPr>
    </w:p>
    <w:bookmarkStart w:id="123" w:name="page124"/>
    <w:bookmarkEnd w:id="123"/>
    <w:p>
      <w:pPr>
        <w:ind w:left="10180"/>
        <w:spacing w:after="0"/>
        <w:rPr>
          <w:sz w:val="20"/>
          <w:szCs w:val="20"/>
          <w:color w:val="auto"/>
        </w:rPr>
      </w:pPr>
      <w:r>
        <w:rPr>
          <w:rFonts w:ascii="Times New Roman" w:cs="Times New Roman" w:eastAsia="Times New Roman" w:hAnsi="Times New Roman"/>
          <w:sz w:val="21"/>
          <w:szCs w:val="21"/>
          <w:color w:val="auto"/>
        </w:rPr>
        <w:t>Exhibit 10.4</w:t>
      </w:r>
    </w:p>
    <w:p>
      <w:pPr>
        <w:spacing w:after="0" w:line="244" w:lineRule="exact"/>
        <w:rPr>
          <w:sz w:val="20"/>
          <w:szCs w:val="20"/>
          <w:color w:val="auto"/>
        </w:rPr>
      </w:pPr>
    </w:p>
    <w:p>
      <w:pPr>
        <w:jc w:val="center"/>
        <w:ind w:left="340" w:right="160"/>
        <w:spacing w:after="0" w:line="223" w:lineRule="auto"/>
        <w:rPr>
          <w:sz w:val="20"/>
          <w:szCs w:val="20"/>
          <w:color w:val="auto"/>
        </w:rPr>
      </w:pPr>
      <w:r>
        <w:rPr>
          <w:rFonts w:ascii="Arial" w:cs="Arial" w:eastAsia="Arial" w:hAnsi="Arial"/>
          <w:sz w:val="19"/>
          <w:szCs w:val="19"/>
          <w:b w:val="1"/>
          <w:bCs w:val="1"/>
          <w:color w:val="auto"/>
        </w:rPr>
        <w:t>CERTAIN CONFIDENTIAL PORTIONS OF THIS EXHIBIT, MARKED BY BRACKETS, WERE OMITTED BECAUSE THOSE PORTIONS ARE NOT MATERIAL AND WOULD BE COMPETITIVELY HARMFUL TO THE COMPANY IF PUBLICLY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196215</wp:posOffset>
            </wp:positionV>
            <wp:extent cx="5299075" cy="7556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99075" cy="75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30, 2022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Regeneron Pharmaceuticals, Inc.</w:t>
      </w:r>
    </w:p>
    <w:p>
      <w:pPr>
        <w:spacing w:after="0" w:line="209" w:lineRule="auto"/>
        <w:rPr>
          <w:sz w:val="20"/>
          <w:szCs w:val="20"/>
          <w:color w:val="auto"/>
        </w:rPr>
      </w:pPr>
      <w:r>
        <w:rPr>
          <w:rFonts w:ascii="Times New Roman" w:cs="Times New Roman" w:eastAsia="Times New Roman" w:hAnsi="Times New Roman"/>
          <w:sz w:val="20"/>
          <w:szCs w:val="20"/>
          <w:color w:val="auto"/>
        </w:rPr>
        <w:t>777 Old Saw Mill River Rd</w:t>
      </w:r>
    </w:p>
    <w:p>
      <w:pPr>
        <w:spacing w:after="0"/>
        <w:rPr>
          <w:sz w:val="20"/>
          <w:szCs w:val="20"/>
          <w:color w:val="auto"/>
        </w:rPr>
      </w:pPr>
      <w:r>
        <w:rPr>
          <w:rFonts w:ascii="Times New Roman" w:cs="Times New Roman" w:eastAsia="Times New Roman" w:hAnsi="Times New Roman"/>
          <w:sz w:val="20"/>
          <w:szCs w:val="20"/>
          <w:color w:val="auto"/>
        </w:rPr>
        <w:t>Tarrytown, NY 10591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w:t>
      </w:r>
    </w:p>
    <w:p>
      <w:pPr>
        <w:spacing w:after="0" w:line="21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Subject:</w:t>
      </w:r>
      <w:r>
        <w:rPr>
          <w:sz w:val="20"/>
          <w:szCs w:val="20"/>
          <w:color w:val="auto"/>
        </w:rPr>
        <w:tab/>
      </w:r>
      <w:r>
        <w:rPr>
          <w:rFonts w:ascii="Times New Roman" w:cs="Times New Roman" w:eastAsia="Times New Roman" w:hAnsi="Times New Roman"/>
          <w:sz w:val="19"/>
          <w:szCs w:val="19"/>
          <w:color w:val="auto"/>
        </w:rPr>
        <w:t>Modification No. 06 to Project Agreement No. 01; MCDC2008-005</w:t>
      </w:r>
    </w:p>
    <w:p>
      <w:pPr>
        <w:spacing w:after="0" w:line="19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color w:val="auto"/>
        </w:rPr>
        <w:t>Reference:</w:t>
      </w:r>
      <w:r>
        <w:rPr>
          <w:sz w:val="20"/>
          <w:szCs w:val="20"/>
          <w:color w:val="auto"/>
        </w:rPr>
        <w:tab/>
      </w:r>
      <w:r>
        <w:rPr>
          <w:rFonts w:ascii="Times New Roman" w:cs="Times New Roman" w:eastAsia="Times New Roman" w:hAnsi="Times New Roman"/>
          <w:sz w:val="19"/>
          <w:szCs w:val="19"/>
          <w:color w:val="auto"/>
        </w:rPr>
        <w:t>MCDC Base Agreement No. 2020-504</w:t>
      </w:r>
    </w:p>
    <w:p>
      <w:pPr>
        <w:spacing w:after="0" w:line="21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Dear</w:t>
      </w:r>
      <w:r>
        <w:rPr>
          <w:sz w:val="20"/>
          <w:szCs w:val="20"/>
          <w:color w:val="auto"/>
        </w:rPr>
        <w:tab/>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right="240" w:firstLine="642"/>
        <w:spacing w:after="0" w:line="230" w:lineRule="auto"/>
        <w:rPr>
          <w:sz w:val="20"/>
          <w:szCs w:val="20"/>
          <w:color w:val="auto"/>
        </w:rPr>
      </w:pPr>
      <w:r>
        <w:rPr>
          <w:rFonts w:ascii="Times New Roman" w:cs="Times New Roman" w:eastAsia="Times New Roman" w:hAnsi="Times New Roman"/>
          <w:sz w:val="20"/>
          <w:szCs w:val="20"/>
          <w:color w:val="auto"/>
        </w:rPr>
        <w:t>In accordance with the terms and conditions of the referenced MCDC Base Agreement, Modification No. 06 hereby amends Project Agreement No. 01 as follows: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DESCRIPTION OF MODIFICATION</w:t>
      </w:r>
    </w:p>
    <w:p>
      <w:pPr>
        <w:spacing w:after="0" w:line="20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The Term of the Project Agreement clause of the Project Agreement is hereby amended as indicated in bold below:</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2. TERM OF THE PROJECT AGREEMENT</w:t>
      </w:r>
    </w:p>
    <w:p>
      <w:pPr>
        <w:ind w:left="640" w:right="180"/>
        <w:spacing w:after="0" w:line="226" w:lineRule="auto"/>
        <w:rPr>
          <w:sz w:val="20"/>
          <w:szCs w:val="20"/>
          <w:color w:val="auto"/>
        </w:rPr>
      </w:pPr>
      <w:r>
        <w:rPr>
          <w:rFonts w:ascii="Times New Roman" w:cs="Times New Roman" w:eastAsia="Times New Roman" w:hAnsi="Times New Roman"/>
          <w:sz w:val="20"/>
          <w:szCs w:val="20"/>
          <w:color w:val="auto"/>
        </w:rPr>
        <w:t xml:space="preserve">The period of performance for this Project Agreement is from </w:t>
      </w:r>
      <w:r>
        <w:rPr>
          <w:rFonts w:ascii="Times New Roman" w:cs="Times New Roman" w:eastAsia="Times New Roman" w:hAnsi="Times New Roman"/>
          <w:sz w:val="20"/>
          <w:szCs w:val="20"/>
          <w:u w:val="single" w:color="auto"/>
          <w:color w:val="auto"/>
        </w:rPr>
        <w:t>July 6, 2020</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b w:val="1"/>
          <w:bCs w:val="1"/>
          <w:u w:val="single" w:color="auto"/>
          <w:color w:val="auto"/>
        </w:rPr>
        <w:t>March 31, 2023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this is a nine (9) month no-cost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extension</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right="20" w:firstLine="7"/>
        <w:spacing w:after="0" w:line="239" w:lineRule="auto"/>
        <w:tabs>
          <w:tab w:leader="none" w:pos="356"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Technical and Administrative Representatives clause of the Project Agreement is hereby amended to read as indicated in bold below:</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9. TECHNICAL AND ADMINISTRATIVE REPRESENTATIVES</w:t>
      </w:r>
    </w:p>
    <w:p>
      <w:pPr>
        <w:ind w:left="640" w:right="240"/>
        <w:spacing w:after="0" w:line="226" w:lineRule="auto"/>
        <w:rPr>
          <w:sz w:val="20"/>
          <w:szCs w:val="20"/>
          <w:color w:val="auto"/>
        </w:rPr>
      </w:pPr>
      <w:r>
        <w:rPr>
          <w:rFonts w:ascii="Times New Roman" w:cs="Times New Roman" w:eastAsia="Times New Roman" w:hAnsi="Times New Roman"/>
          <w:sz w:val="20"/>
          <w:szCs w:val="20"/>
          <w:color w:val="auto"/>
        </w:rPr>
        <w:t>The following technical and contractual representatives of the Parties are hereby designated for this Project Agreement. Either party may change their designated representatives by written notification to the other.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auto"/>
        </w:rPr>
        <w:t>MCDC CMF Contractual Representative</w:t>
      </w:r>
      <w:r>
        <w:rPr>
          <w:rFonts w:ascii="Times New Roman" w:cs="Times New Roman" w:eastAsia="Times New Roman" w:hAnsi="Times New Roman"/>
          <w:sz w:val="20"/>
          <w:szCs w:val="20"/>
          <w:color w:val="auto"/>
        </w:rPr>
        <w:t>:</w:t>
      </w:r>
    </w:p>
    <w:p>
      <w:pPr>
        <w:ind w:left="1300"/>
        <w:spacing w:after="0" w:line="209" w:lineRule="auto"/>
        <w:rPr>
          <w:sz w:val="20"/>
          <w:szCs w:val="20"/>
          <w:color w:val="auto"/>
        </w:rPr>
      </w:pPr>
      <w:r>
        <w:rPr>
          <w:rFonts w:ascii="Times New Roman" w:cs="Times New Roman" w:eastAsia="Times New Roman" w:hAnsi="Times New Roman"/>
          <w:sz w:val="20"/>
          <w:szCs w:val="20"/>
          <w:color w:val="auto"/>
        </w:rPr>
        <w:t>MCDC Contracts</w:t>
      </w:r>
    </w:p>
    <w:p>
      <w:pPr>
        <w:ind w:left="1300"/>
        <w:spacing w:after="0" w:line="209" w:lineRule="auto"/>
        <w:rPr>
          <w:sz w:val="20"/>
          <w:szCs w:val="20"/>
          <w:color w:val="auto"/>
        </w:rPr>
      </w:pPr>
      <w:r>
        <w:rPr>
          <w:rFonts w:ascii="Times New Roman" w:cs="Times New Roman" w:eastAsia="Times New Roman" w:hAnsi="Times New Roman"/>
          <w:sz w:val="20"/>
          <w:szCs w:val="20"/>
          <w:color w:val="auto"/>
        </w:rPr>
        <w:t>Advanced Technology International</w:t>
      </w:r>
    </w:p>
    <w:p>
      <w:pPr>
        <w:ind w:left="1300"/>
        <w:spacing w:after="0" w:line="196" w:lineRule="auto"/>
        <w:rPr>
          <w:sz w:val="20"/>
          <w:szCs w:val="20"/>
          <w:color w:val="auto"/>
        </w:rPr>
      </w:pPr>
      <w:r>
        <w:rPr>
          <w:rFonts w:ascii="Times New Roman" w:cs="Times New Roman" w:eastAsia="Times New Roman" w:hAnsi="Times New Roman"/>
          <w:sz w:val="20"/>
          <w:szCs w:val="20"/>
          <w:color w:val="auto"/>
        </w:rPr>
        <w:t>315 Sigma Drive</w:t>
      </w:r>
    </w:p>
    <w:p>
      <w:pPr>
        <w:ind w:left="1300"/>
        <w:spacing w:after="0" w:line="209" w:lineRule="auto"/>
        <w:rPr>
          <w:sz w:val="20"/>
          <w:szCs w:val="20"/>
          <w:color w:val="auto"/>
        </w:rPr>
      </w:pPr>
      <w:r>
        <w:rPr>
          <w:rFonts w:ascii="Times New Roman" w:cs="Times New Roman" w:eastAsia="Times New Roman" w:hAnsi="Times New Roman"/>
          <w:sz w:val="20"/>
          <w:szCs w:val="20"/>
          <w:color w:val="auto"/>
        </w:rPr>
        <w:t>Summerville, SC 29486</w:t>
      </w:r>
    </w:p>
    <w:p>
      <w:pPr>
        <w:ind w:left="1300"/>
        <w:spacing w:after="0" w:line="209" w:lineRule="auto"/>
        <w:rPr>
          <w:sz w:val="20"/>
          <w:szCs w:val="20"/>
          <w:color w:val="auto"/>
        </w:rPr>
      </w:pPr>
      <w:r>
        <w:rPr>
          <w:rFonts w:ascii="Times New Roman" w:cs="Times New Roman" w:eastAsia="Times New Roman" w:hAnsi="Times New Roman"/>
          <w:sz w:val="20"/>
          <w:szCs w:val="20"/>
          <w:color w:val="auto"/>
        </w:rPr>
        <w:t>Email: contracts.mcdc@ati.org</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Phone: (843) 760-3374</w:t>
      </w:r>
    </w:p>
    <w:tbl>
      <w:tblPr>
        <w:tblLayout w:type="fixed"/>
        <w:tblInd w:w="1300" w:type="dxa"/>
        <w:tblCellMar>
          <w:top w:w="0" w:type="dxa"/>
          <w:left w:w="0" w:type="dxa"/>
          <w:bottom w:w="0" w:type="dxa"/>
          <w:right w:w="0" w:type="dxa"/>
        </w:tblCellMar>
      </w:tblPr>
      <w:tr>
        <w:trPr>
          <w:trHeight w:val="212"/>
        </w:trPr>
        <w:tc>
          <w:tcPr>
            <w:tcW w:w="380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Government Technical Representatives:</w:t>
            </w:r>
          </w:p>
        </w:tc>
        <w:tc>
          <w:tcPr>
            <w:tcW w:w="162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auto"/>
                <w:w w:val="95"/>
              </w:rPr>
              <w:t>Alternate AOR:</w:t>
            </w:r>
          </w:p>
        </w:tc>
        <w:tc>
          <w:tcPr>
            <w:tcW w:w="0" w:type="dxa"/>
            <w:vAlign w:val="bottom"/>
          </w:tcPr>
          <w:p>
            <w:pPr>
              <w:spacing w:after="0"/>
              <w:rPr>
                <w:sz w:val="1"/>
                <w:szCs w:val="1"/>
                <w:color w:val="auto"/>
              </w:rPr>
            </w:pPr>
          </w:p>
        </w:tc>
      </w:tr>
      <w:tr>
        <w:trPr>
          <w:trHeight w:val="20"/>
        </w:trPr>
        <w:tc>
          <w:tcPr>
            <w:tcW w:w="30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Agreements Officer Representative (AOR):</w:t>
            </w:r>
          </w:p>
        </w:tc>
        <w:tc>
          <w:tcPr>
            <w:tcW w:w="1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3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Email:</w:t>
            </w:r>
          </w:p>
        </w:tc>
        <w:tc>
          <w:tcPr>
            <w:tcW w:w="16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Email:</w:t>
            </w:r>
          </w:p>
        </w:tc>
        <w:tc>
          <w:tcPr>
            <w:tcW w:w="0" w:type="dxa"/>
            <w:vAlign w:val="bottom"/>
          </w:tcPr>
          <w:p>
            <w:pPr>
              <w:spacing w:after="0"/>
              <w:rPr>
                <w:sz w:val="1"/>
                <w:szCs w:val="1"/>
                <w:color w:val="auto"/>
              </w:rPr>
            </w:pPr>
          </w:p>
        </w:tc>
      </w:tr>
      <w:tr>
        <w:trPr>
          <w:trHeight w:val="255"/>
        </w:trPr>
        <w:tc>
          <w:tcPr>
            <w:tcW w:w="3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Phone:</w:t>
            </w:r>
          </w:p>
        </w:tc>
        <w:tc>
          <w:tcPr>
            <w:tcW w:w="16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Phone:</w:t>
            </w:r>
          </w:p>
        </w:tc>
        <w:tc>
          <w:tcPr>
            <w:tcW w:w="0" w:type="dxa"/>
            <w:vAlign w:val="bottom"/>
          </w:tcPr>
          <w:p>
            <w:pPr>
              <w:spacing w:after="0"/>
              <w:rPr>
                <w:sz w:val="1"/>
                <w:szCs w:val="1"/>
                <w:color w:val="auto"/>
              </w:rPr>
            </w:pPr>
          </w:p>
        </w:tc>
      </w:tr>
    </w:tbl>
    <w:p>
      <w:pPr>
        <w:sectPr>
          <w:pgSz w:w="11900" w:h="16838" w:orient="portrait"/>
          <w:cols w:equalWidth="0" w:num="1">
            <w:col w:w="11240"/>
          </w:cols>
          <w:pgMar w:left="320" w:top="353" w:right="339"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3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Project Agreement Holder's Representatives:</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rPr>
              <w:t>Contractual Representative:</w:t>
            </w:r>
          </w:p>
        </w:tc>
        <w:tc>
          <w:tcPr>
            <w:tcW w:w="0" w:type="dxa"/>
            <w:vAlign w:val="bottom"/>
          </w:tcPr>
          <w:p>
            <w:pPr>
              <w:spacing w:after="0"/>
              <w:rPr>
                <w:sz w:val="1"/>
                <w:szCs w:val="1"/>
                <w:color w:val="auto"/>
              </w:rPr>
            </w:pPr>
          </w:p>
        </w:tc>
      </w:tr>
      <w:tr>
        <w:trPr>
          <w:trHeight w:val="248"/>
        </w:trPr>
        <w:tc>
          <w:tcPr>
            <w:tcW w:w="3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Technical Representative:</w:t>
            </w:r>
          </w:p>
        </w:tc>
        <w:tc>
          <w:tcPr>
            <w:tcW w:w="360" w:type="dxa"/>
            <w:vAlign w:val="bottom"/>
          </w:tcPr>
          <w:p>
            <w:pPr>
              <w:spacing w:after="0"/>
              <w:rPr>
                <w:sz w:val="21"/>
                <w:szCs w:val="21"/>
                <w:color w:val="auto"/>
              </w:rPr>
            </w:pPr>
          </w:p>
        </w:tc>
        <w:tc>
          <w:tcPr>
            <w:tcW w:w="2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3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Regeneron Pharmaceuticals, Inc.</w:t>
            </w:r>
          </w:p>
        </w:tc>
        <w:tc>
          <w:tcPr>
            <w:tcW w:w="290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7"/>
              </w:rPr>
              <w:t>Regeneron Pharmaceuticals, Inc.</w:t>
            </w:r>
          </w:p>
        </w:tc>
        <w:tc>
          <w:tcPr>
            <w:tcW w:w="0" w:type="dxa"/>
            <w:vAlign w:val="bottom"/>
          </w:tcPr>
          <w:p>
            <w:pPr>
              <w:spacing w:after="0"/>
              <w:rPr>
                <w:sz w:val="1"/>
                <w:szCs w:val="1"/>
                <w:color w:val="auto"/>
              </w:rPr>
            </w:pPr>
          </w:p>
        </w:tc>
      </w:tr>
      <w:tr>
        <w:trPr>
          <w:trHeight w:val="201"/>
        </w:trPr>
        <w:tc>
          <w:tcPr>
            <w:tcW w:w="3840" w:type="dxa"/>
            <w:vAlign w:val="bottom"/>
            <w:gridSpan w:val="2"/>
          </w:tcPr>
          <w:p>
            <w:pPr>
              <w:spacing w:after="0" w:line="201" w:lineRule="exact"/>
              <w:rPr>
                <w:sz w:val="20"/>
                <w:szCs w:val="20"/>
                <w:color w:val="auto"/>
              </w:rPr>
            </w:pPr>
            <w:r>
              <w:rPr>
                <w:rFonts w:ascii="Times New Roman" w:cs="Times New Roman" w:eastAsia="Times New Roman" w:hAnsi="Times New Roman"/>
                <w:sz w:val="20"/>
                <w:szCs w:val="20"/>
                <w:color w:val="auto"/>
              </w:rPr>
              <w:t>777 Old Saw Mill River Rd</w:t>
            </w:r>
          </w:p>
        </w:tc>
        <w:tc>
          <w:tcPr>
            <w:tcW w:w="2900" w:type="dxa"/>
            <w:vAlign w:val="bottom"/>
          </w:tcPr>
          <w:p>
            <w:pPr>
              <w:ind w:left="320"/>
              <w:spacing w:after="0" w:line="201" w:lineRule="exact"/>
              <w:rPr>
                <w:sz w:val="20"/>
                <w:szCs w:val="20"/>
                <w:color w:val="auto"/>
              </w:rPr>
            </w:pPr>
            <w:r>
              <w:rPr>
                <w:rFonts w:ascii="Times New Roman" w:cs="Times New Roman" w:eastAsia="Times New Roman" w:hAnsi="Times New Roman"/>
                <w:sz w:val="20"/>
                <w:szCs w:val="20"/>
                <w:color w:val="auto"/>
              </w:rPr>
              <w:t>777 Old Saw Mill River Rd</w:t>
            </w:r>
          </w:p>
        </w:tc>
        <w:tc>
          <w:tcPr>
            <w:tcW w:w="0" w:type="dxa"/>
            <w:vAlign w:val="bottom"/>
          </w:tcPr>
          <w:p>
            <w:pPr>
              <w:spacing w:after="0"/>
              <w:rPr>
                <w:sz w:val="1"/>
                <w:szCs w:val="1"/>
                <w:color w:val="auto"/>
              </w:rPr>
            </w:pPr>
          </w:p>
        </w:tc>
      </w:tr>
      <w:tr>
        <w:trPr>
          <w:trHeight w:val="201"/>
        </w:trPr>
        <w:tc>
          <w:tcPr>
            <w:tcW w:w="3840" w:type="dxa"/>
            <w:vAlign w:val="bottom"/>
            <w:gridSpan w:val="2"/>
          </w:tcPr>
          <w:p>
            <w:pPr>
              <w:spacing w:after="0" w:line="201" w:lineRule="exact"/>
              <w:rPr>
                <w:sz w:val="20"/>
                <w:szCs w:val="20"/>
                <w:color w:val="auto"/>
              </w:rPr>
            </w:pPr>
            <w:r>
              <w:rPr>
                <w:rFonts w:ascii="Times New Roman" w:cs="Times New Roman" w:eastAsia="Times New Roman" w:hAnsi="Times New Roman"/>
                <w:sz w:val="20"/>
                <w:szCs w:val="20"/>
                <w:color w:val="auto"/>
              </w:rPr>
              <w:t>Tarrytown, NY 10591</w:t>
            </w:r>
          </w:p>
        </w:tc>
        <w:tc>
          <w:tcPr>
            <w:tcW w:w="2900" w:type="dxa"/>
            <w:vAlign w:val="bottom"/>
          </w:tcPr>
          <w:p>
            <w:pPr>
              <w:ind w:left="320"/>
              <w:spacing w:after="0" w:line="201" w:lineRule="exact"/>
              <w:rPr>
                <w:sz w:val="20"/>
                <w:szCs w:val="20"/>
                <w:color w:val="auto"/>
              </w:rPr>
            </w:pPr>
            <w:r>
              <w:rPr>
                <w:rFonts w:ascii="Times New Roman" w:cs="Times New Roman" w:eastAsia="Times New Roman" w:hAnsi="Times New Roman"/>
                <w:sz w:val="20"/>
                <w:szCs w:val="20"/>
                <w:color w:val="auto"/>
              </w:rPr>
              <w:t>Tarrytown, NY 10591</w:t>
            </w:r>
          </w:p>
        </w:tc>
        <w:tc>
          <w:tcPr>
            <w:tcW w:w="0" w:type="dxa"/>
            <w:vAlign w:val="bottom"/>
          </w:tcPr>
          <w:p>
            <w:pPr>
              <w:spacing w:after="0"/>
              <w:rPr>
                <w:sz w:val="1"/>
                <w:szCs w:val="1"/>
                <w:color w:val="auto"/>
              </w:rPr>
            </w:pPr>
          </w:p>
        </w:tc>
      </w:tr>
      <w:tr>
        <w:trPr>
          <w:trHeight w:val="187"/>
        </w:trPr>
        <w:tc>
          <w:tcPr>
            <w:tcW w:w="3840" w:type="dxa"/>
            <w:vAlign w:val="bottom"/>
            <w:gridSpan w:val="2"/>
          </w:tcPr>
          <w:p>
            <w:pPr>
              <w:spacing w:after="0" w:line="187" w:lineRule="exact"/>
              <w:rPr>
                <w:sz w:val="20"/>
                <w:szCs w:val="20"/>
                <w:color w:val="auto"/>
              </w:rPr>
            </w:pPr>
            <w:r>
              <w:rPr>
                <w:rFonts w:ascii="Times New Roman" w:cs="Times New Roman" w:eastAsia="Times New Roman" w:hAnsi="Times New Roman"/>
                <w:sz w:val="20"/>
                <w:szCs w:val="20"/>
                <w:color w:val="auto"/>
              </w:rPr>
              <w:t>Email:</w:t>
            </w:r>
          </w:p>
        </w:tc>
        <w:tc>
          <w:tcPr>
            <w:tcW w:w="2900" w:type="dxa"/>
            <w:vAlign w:val="bottom"/>
          </w:tcPr>
          <w:p>
            <w:pPr>
              <w:ind w:left="320"/>
              <w:spacing w:after="0" w:line="187" w:lineRule="exact"/>
              <w:rPr>
                <w:sz w:val="20"/>
                <w:szCs w:val="20"/>
                <w:color w:val="auto"/>
              </w:rPr>
            </w:pPr>
            <w:r>
              <w:rPr>
                <w:rFonts w:ascii="Times New Roman" w:cs="Times New Roman" w:eastAsia="Times New Roman" w:hAnsi="Times New Roman"/>
                <w:sz w:val="20"/>
                <w:szCs w:val="20"/>
                <w:color w:val="auto"/>
              </w:rPr>
              <w:t>Email:</w:t>
            </w:r>
          </w:p>
        </w:tc>
        <w:tc>
          <w:tcPr>
            <w:tcW w:w="0" w:type="dxa"/>
            <w:vAlign w:val="bottom"/>
          </w:tcPr>
          <w:p>
            <w:pPr>
              <w:spacing w:after="0"/>
              <w:rPr>
                <w:sz w:val="1"/>
                <w:szCs w:val="1"/>
                <w:color w:val="auto"/>
              </w:rPr>
            </w:pPr>
          </w:p>
        </w:tc>
      </w:tr>
      <w:tr>
        <w:trPr>
          <w:trHeight w:val="201"/>
        </w:trPr>
        <w:tc>
          <w:tcPr>
            <w:tcW w:w="3840" w:type="dxa"/>
            <w:vAlign w:val="bottom"/>
            <w:gridSpan w:val="2"/>
          </w:tcPr>
          <w:p>
            <w:pPr>
              <w:spacing w:after="0" w:line="201" w:lineRule="exact"/>
              <w:rPr>
                <w:sz w:val="20"/>
                <w:szCs w:val="20"/>
                <w:color w:val="auto"/>
              </w:rPr>
            </w:pPr>
            <w:r>
              <w:rPr>
                <w:rFonts w:ascii="Times New Roman" w:cs="Times New Roman" w:eastAsia="Times New Roman" w:hAnsi="Times New Roman"/>
                <w:sz w:val="20"/>
                <w:szCs w:val="20"/>
                <w:color w:val="auto"/>
              </w:rPr>
              <w:t>Phone:</w:t>
            </w:r>
          </w:p>
        </w:tc>
        <w:tc>
          <w:tcPr>
            <w:tcW w:w="2900" w:type="dxa"/>
            <w:vAlign w:val="bottom"/>
          </w:tcPr>
          <w:p>
            <w:pPr>
              <w:ind w:left="320"/>
              <w:spacing w:after="0" w:line="201" w:lineRule="exact"/>
              <w:rPr>
                <w:sz w:val="20"/>
                <w:szCs w:val="20"/>
                <w:color w:val="auto"/>
              </w:rPr>
            </w:pPr>
            <w:r>
              <w:rPr>
                <w:rFonts w:ascii="Times New Roman" w:cs="Times New Roman" w:eastAsia="Times New Roman" w:hAnsi="Times New Roman"/>
                <w:sz w:val="20"/>
                <w:szCs w:val="20"/>
                <w:color w:val="auto"/>
              </w:rPr>
              <w:t>Phone:</w:t>
            </w:r>
          </w:p>
        </w:tc>
        <w:tc>
          <w:tcPr>
            <w:tcW w:w="0" w:type="dxa"/>
            <w:vAlign w:val="bottom"/>
          </w:tcPr>
          <w:p>
            <w:pPr>
              <w:spacing w:after="0"/>
              <w:rPr>
                <w:sz w:val="1"/>
                <w:szCs w:val="1"/>
                <w:color w:val="auto"/>
              </w:rPr>
            </w:pPr>
          </w:p>
        </w:tc>
      </w:tr>
      <w:tr>
        <w:trPr>
          <w:trHeight w:val="255"/>
        </w:trPr>
        <w:tc>
          <w:tcPr>
            <w:tcW w:w="3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Mobile:</w:t>
            </w:r>
          </w:p>
        </w:tc>
        <w:tc>
          <w:tcPr>
            <w:tcW w:w="29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Mobile:</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Attachment A, Statement of Work, of the Project Agreement is hereby amended as attached herein.</w:t>
      </w:r>
    </w:p>
    <w:p>
      <w:pPr>
        <w:spacing w:after="0" w:line="202" w:lineRule="exact"/>
        <w:rPr>
          <w:sz w:val="20"/>
          <w:szCs w:val="20"/>
          <w:color w:val="auto"/>
        </w:rPr>
      </w:pPr>
    </w:p>
    <w:p>
      <w:pPr>
        <w:ind w:firstLine="642"/>
        <w:spacing w:after="0" w:line="237" w:lineRule="auto"/>
        <w:rPr>
          <w:sz w:val="20"/>
          <w:szCs w:val="20"/>
          <w:color w:val="auto"/>
        </w:rPr>
      </w:pPr>
      <w:r>
        <w:rPr>
          <w:rFonts w:ascii="Times New Roman" w:cs="Times New Roman" w:eastAsia="Times New Roman" w:hAnsi="Times New Roman"/>
          <w:sz w:val="20"/>
          <w:szCs w:val="20"/>
          <w:color w:val="auto"/>
        </w:rPr>
        <w:t>Except as provided herein, all Terms and Conditions of the referenced MCDC Base Agreement, Project Agreement, and preceding modifications remain unchanged and in full force and effect.</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Project Agreement Holder is required to sign this document and return to Advanced Technology International to finalize this</w:t>
      </w:r>
    </w:p>
    <w:p>
      <w:pPr>
        <w:spacing w:after="0"/>
        <w:rPr>
          <w:sz w:val="20"/>
          <w:szCs w:val="20"/>
          <w:color w:val="auto"/>
        </w:rPr>
      </w:pPr>
      <w:r>
        <w:rPr>
          <w:rFonts w:ascii="Times New Roman" w:cs="Times New Roman" w:eastAsia="Times New Roman" w:hAnsi="Times New Roman"/>
          <w:sz w:val="20"/>
          <w:szCs w:val="20"/>
          <w:color w:val="auto"/>
        </w:rPr>
        <w:t>action.</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85"/>
        </w:trPr>
        <w:tc>
          <w:tcPr>
            <w:tcW w:w="468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Regeneron Pharmaceuticals, Inc.</w:t>
            </w:r>
          </w:p>
        </w:tc>
        <w:tc>
          <w:tcPr>
            <w:tcW w:w="3860" w:type="dxa"/>
            <w:vAlign w:val="bottom"/>
            <w:gridSpan w:val="4"/>
          </w:tcPr>
          <w:p>
            <w:pPr>
              <w:ind w:left="720"/>
              <w:spacing w:after="0"/>
              <w:rPr>
                <w:sz w:val="20"/>
                <w:szCs w:val="20"/>
                <w:color w:val="auto"/>
              </w:rPr>
            </w:pPr>
            <w:r>
              <w:rPr>
                <w:rFonts w:ascii="Times New Roman" w:cs="Times New Roman" w:eastAsia="Times New Roman" w:hAnsi="Times New Roman"/>
                <w:sz w:val="20"/>
                <w:szCs w:val="20"/>
                <w:b w:val="1"/>
                <w:bCs w:val="1"/>
                <w:color w:val="auto"/>
              </w:rPr>
              <w:t>Advanced Technology International</w:t>
            </w:r>
          </w:p>
        </w:tc>
        <w:tc>
          <w:tcPr>
            <w:tcW w:w="0" w:type="dxa"/>
            <w:vAlign w:val="bottom"/>
          </w:tcPr>
          <w:p>
            <w:pPr>
              <w:spacing w:after="0"/>
              <w:rPr>
                <w:sz w:val="1"/>
                <w:szCs w:val="1"/>
                <w:color w:val="auto"/>
              </w:rPr>
            </w:pPr>
          </w:p>
        </w:tc>
      </w:tr>
      <w:tr>
        <w:trPr>
          <w:trHeight w:val="370"/>
        </w:trPr>
        <w:tc>
          <w:tcPr>
            <w:tcW w:w="46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color w:val="auto"/>
              </w:rPr>
              <w:t>___</w:t>
            </w:r>
            <w:r>
              <w:rPr>
                <w:rFonts w:ascii="Times New Roman" w:cs="Times New Roman" w:eastAsia="Times New Roman" w:hAnsi="Times New Roman"/>
                <w:sz w:val="20"/>
                <w:szCs w:val="20"/>
                <w:color w:val="auto"/>
              </w:rPr>
              <w:t>/s/ Robert Landry</w:t>
            </w:r>
            <w:r>
              <w:rPr>
                <w:rFonts w:ascii="Times New Roman" w:cs="Times New Roman" w:eastAsia="Times New Roman" w:hAnsi="Times New Roman"/>
                <w:sz w:val="21"/>
                <w:szCs w:val="21"/>
                <w:color w:val="auto"/>
              </w:rPr>
              <w:t>_________________</w:t>
            </w:r>
          </w:p>
        </w:tc>
        <w:tc>
          <w:tcPr>
            <w:tcW w:w="110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1"/>
              </w:rPr>
              <w:t>By:</w:t>
            </w:r>
            <w:r>
              <w:rPr>
                <w:rFonts w:ascii="Times New Roman" w:cs="Times New Roman" w:eastAsia="Times New Roman" w:hAnsi="Times New Roman"/>
                <w:sz w:val="21"/>
                <w:szCs w:val="21"/>
                <w:color w:val="auto"/>
                <w:w w:val="91"/>
              </w:rPr>
              <w:t>_</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4"/>
              </w:rPr>
              <w:t>/s/</w:t>
            </w:r>
          </w:p>
        </w:tc>
        <w:tc>
          <w:tcPr>
            <w:tcW w:w="2560" w:type="dxa"/>
            <w:vAlign w:val="bottom"/>
            <w:gridSpan w:val="2"/>
          </w:tcPr>
          <w:p>
            <w:pPr>
              <w:jc w:val="right"/>
              <w:ind w:right="420"/>
              <w:spacing w:after="0"/>
              <w:rPr>
                <w:sz w:val="20"/>
                <w:szCs w:val="20"/>
                <w:color w:val="auto"/>
              </w:rPr>
            </w:pPr>
            <w:r>
              <w:rPr>
                <w:rFonts w:ascii="Times New Roman" w:cs="Times New Roman" w:eastAsia="Times New Roman" w:hAnsi="Times New Roman"/>
                <w:sz w:val="21"/>
                <w:szCs w:val="21"/>
                <w:color w:val="auto"/>
              </w:rPr>
              <w:t>____________________</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60" w:type="dxa"/>
            <w:vAlign w:val="bottom"/>
            <w:gridSpan w:val="4"/>
            <w:vMerge w:val="restart"/>
          </w:tcPr>
          <w:p>
            <w:pPr>
              <w:ind w:left="72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1"/>
                <w:szCs w:val="21"/>
                <w:color w:val="auto"/>
              </w:rPr>
              <w:t>_____________________</w:t>
            </w:r>
          </w:p>
        </w:tc>
        <w:tc>
          <w:tcPr>
            <w:tcW w:w="0" w:type="dxa"/>
            <w:vAlign w:val="bottom"/>
          </w:tcPr>
          <w:p>
            <w:pPr>
              <w:spacing w:after="0" w:line="20" w:lineRule="exact"/>
              <w:rPr>
                <w:sz w:val="1"/>
                <w:szCs w:val="1"/>
                <w:color w:val="auto"/>
              </w:rPr>
            </w:pPr>
          </w:p>
        </w:tc>
      </w:tr>
      <w:tr>
        <w:trPr>
          <w:trHeight w:val="421"/>
        </w:trPr>
        <w:tc>
          <w:tcPr>
            <w:tcW w:w="46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Name:   Robert Landry</w:t>
            </w:r>
            <w:r>
              <w:rPr>
                <w:rFonts w:ascii="Times New Roman" w:cs="Times New Roman" w:eastAsia="Times New Roman" w:hAnsi="Times New Roman"/>
                <w:sz w:val="21"/>
                <w:szCs w:val="21"/>
                <w:color w:val="auto"/>
              </w:rPr>
              <w:t>___________________</w:t>
            </w:r>
          </w:p>
        </w:tc>
        <w:tc>
          <w:tcPr>
            <w:tcW w:w="386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60" w:type="dxa"/>
            <w:vAlign w:val="bottom"/>
            <w:gridSpan w:val="4"/>
            <w:vMerge w:val="restart"/>
          </w:tcPr>
          <w:p>
            <w:pPr>
              <w:ind w:left="720"/>
              <w:spacing w:after="0"/>
              <w:rPr>
                <w:sz w:val="20"/>
                <w:szCs w:val="20"/>
                <w:color w:val="auto"/>
              </w:rPr>
            </w:pPr>
            <w:r>
              <w:rPr>
                <w:rFonts w:ascii="Times New Roman" w:cs="Times New Roman" w:eastAsia="Times New Roman" w:hAnsi="Times New Roman"/>
                <w:sz w:val="20"/>
                <w:szCs w:val="20"/>
                <w:color w:val="auto"/>
              </w:rPr>
              <w:t>Title:</w:t>
            </w:r>
            <w:r>
              <w:rPr>
                <w:rFonts w:ascii="Times New Roman" w:cs="Times New Roman" w:eastAsia="Times New Roman" w:hAnsi="Times New Roman"/>
                <w:sz w:val="21"/>
                <w:szCs w:val="21"/>
                <w:color w:val="auto"/>
              </w:rPr>
              <w:t>______________________</w:t>
            </w:r>
          </w:p>
        </w:tc>
        <w:tc>
          <w:tcPr>
            <w:tcW w:w="0" w:type="dxa"/>
            <w:vAlign w:val="bottom"/>
          </w:tcPr>
          <w:p>
            <w:pPr>
              <w:spacing w:after="0" w:line="20" w:lineRule="exact"/>
              <w:rPr>
                <w:sz w:val="1"/>
                <w:szCs w:val="1"/>
                <w:color w:val="auto"/>
              </w:rPr>
            </w:pPr>
          </w:p>
        </w:tc>
      </w:tr>
      <w:tr>
        <w:trPr>
          <w:trHeight w:val="421"/>
        </w:trPr>
        <w:tc>
          <w:tcPr>
            <w:tcW w:w="46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Title: Executive Vice President - Finance &amp; CFO</w:t>
            </w:r>
          </w:p>
        </w:tc>
        <w:tc>
          <w:tcPr>
            <w:tcW w:w="386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120" w:type="dxa"/>
            <w:vAlign w:val="bottom"/>
            <w:gridSpan w:val="3"/>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60" w:type="dxa"/>
            <w:vAlign w:val="bottom"/>
            <w:gridSpan w:val="4"/>
            <w:vMerge w:val="restart"/>
          </w:tcPr>
          <w:p>
            <w:pPr>
              <w:ind w:left="720"/>
              <w:spacing w:after="0"/>
              <w:rPr>
                <w:sz w:val="20"/>
                <w:szCs w:val="20"/>
                <w:color w:val="auto"/>
              </w:rPr>
            </w:pPr>
            <w:r>
              <w:rPr>
                <w:rFonts w:ascii="Times New Roman" w:cs="Times New Roman" w:eastAsia="Times New Roman" w:hAnsi="Times New Roman"/>
                <w:sz w:val="20"/>
                <w:szCs w:val="20"/>
                <w:color w:val="auto"/>
                <w:w w:val="99"/>
              </w:rPr>
              <w:t xml:space="preserve">Date: </w:t>
            </w:r>
            <w:r>
              <w:rPr>
                <w:rFonts w:ascii="Times New Roman" w:cs="Times New Roman" w:eastAsia="Times New Roman" w:hAnsi="Times New Roman"/>
                <w:sz w:val="21"/>
                <w:szCs w:val="21"/>
                <w:color w:val="auto"/>
                <w:w w:val="99"/>
              </w:rPr>
              <w:t>_</w:t>
            </w:r>
            <w:r>
              <w:rPr>
                <w:rFonts w:ascii="Times New Roman" w:cs="Times New Roman" w:eastAsia="Times New Roman" w:hAnsi="Times New Roman"/>
                <w:sz w:val="20"/>
                <w:szCs w:val="20"/>
                <w:color w:val="auto"/>
                <w:w w:val="99"/>
              </w:rPr>
              <w:t>July 12, 2022</w:t>
            </w:r>
            <w:r>
              <w:rPr>
                <w:rFonts w:ascii="Times New Roman" w:cs="Times New Roman" w:eastAsia="Times New Roman" w:hAnsi="Times New Roman"/>
                <w:sz w:val="21"/>
                <w:szCs w:val="21"/>
                <w:color w:val="auto"/>
                <w:w w:val="99"/>
              </w:rPr>
              <w:t>______________</w:t>
            </w:r>
          </w:p>
        </w:tc>
        <w:tc>
          <w:tcPr>
            <w:tcW w:w="0" w:type="dxa"/>
            <w:vAlign w:val="bottom"/>
          </w:tcPr>
          <w:p>
            <w:pPr>
              <w:spacing w:after="0" w:line="20" w:lineRule="exact"/>
              <w:rPr>
                <w:sz w:val="1"/>
                <w:szCs w:val="1"/>
                <w:color w:val="auto"/>
              </w:rPr>
            </w:pPr>
          </w:p>
        </w:tc>
      </w:tr>
      <w:tr>
        <w:trPr>
          <w:trHeight w:val="421"/>
        </w:trPr>
        <w:tc>
          <w:tcPr>
            <w:tcW w:w="46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1"/>
                <w:szCs w:val="21"/>
                <w:color w:val="auto"/>
              </w:rPr>
              <w:t>__</w:t>
            </w:r>
            <w:r>
              <w:rPr>
                <w:rFonts w:ascii="Times New Roman" w:cs="Times New Roman" w:eastAsia="Times New Roman" w:hAnsi="Times New Roman"/>
                <w:sz w:val="20"/>
                <w:szCs w:val="20"/>
                <w:color w:val="auto"/>
              </w:rPr>
              <w:t>July 11, 2022</w:t>
            </w:r>
            <w:r>
              <w:rPr>
                <w:rFonts w:ascii="Times New Roman" w:cs="Times New Roman" w:eastAsia="Times New Roman" w:hAnsi="Times New Roman"/>
                <w:sz w:val="21"/>
                <w:szCs w:val="21"/>
                <w:color w:val="auto"/>
              </w:rPr>
              <w:t>____________________</w:t>
            </w:r>
          </w:p>
        </w:tc>
        <w:tc>
          <w:tcPr>
            <w:tcW w:w="386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80"/>
          </w:cols>
          <w:pgMar w:left="320" w:top="1440" w:right="699" w:bottom="1440" w:gutter="0" w:footer="0" w:header="0"/>
        </w:sectPr>
      </w:pPr>
    </w:p>
    <w:bookmarkStart w:id="125" w:name="page126"/>
    <w:bookmarkEnd w:id="125"/>
    <w:p>
      <w:pPr>
        <w:spacing w:after="0" w:line="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Attachment A</w:t>
      </w:r>
    </w:p>
    <w:p>
      <w:pPr>
        <w:spacing w:after="0" w:line="7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1"/>
          <w:szCs w:val="21"/>
          <w:b w:val="1"/>
          <w:bCs w:val="1"/>
          <w:color w:val="auto"/>
        </w:rPr>
        <w:t>Statement of Work</w:t>
      </w:r>
    </w:p>
    <w:p>
      <w:pPr>
        <w:jc w:val="center"/>
        <w:spacing w:after="0" w:line="213" w:lineRule="auto"/>
        <w:rPr>
          <w:sz w:val="20"/>
          <w:szCs w:val="20"/>
          <w:color w:val="auto"/>
        </w:rPr>
      </w:pPr>
      <w:r>
        <w:rPr>
          <w:rFonts w:ascii="Times New Roman" w:cs="Times New Roman" w:eastAsia="Times New Roman" w:hAnsi="Times New Roman"/>
          <w:sz w:val="21"/>
          <w:szCs w:val="21"/>
          <w:i w:val="1"/>
          <w:iCs w:val="1"/>
          <w:color w:val="auto"/>
        </w:rPr>
        <w:t>(Incorporated as of Modification No. 06; changes to Sections 1, 3, 4, 5 &amp; 6 are indicated in bold italics.)</w:t>
      </w:r>
    </w:p>
    <w:p>
      <w:pPr>
        <w:jc w:val="center"/>
        <w:spacing w:after="0" w:line="212" w:lineRule="auto"/>
        <w:rPr>
          <w:sz w:val="20"/>
          <w:szCs w:val="20"/>
          <w:color w:val="auto"/>
        </w:rPr>
      </w:pPr>
      <w:r>
        <w:rPr>
          <w:rFonts w:ascii="Times New Roman" w:cs="Times New Roman" w:eastAsia="Times New Roman" w:hAnsi="Times New Roman"/>
          <w:sz w:val="21"/>
          <w:szCs w:val="21"/>
          <w:b w:val="1"/>
          <w:bCs w:val="1"/>
          <w:color w:val="auto"/>
        </w:rPr>
        <w:t>For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Large-Scale Manufacturing of Antibodies Directed to SARS-CoV-2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RPP #: RPP-20-08</w:t>
      </w:r>
    </w:p>
    <w:p>
      <w:pPr>
        <w:spacing w:after="0" w:line="213" w:lineRule="auto"/>
        <w:rPr>
          <w:sz w:val="20"/>
          <w:szCs w:val="20"/>
          <w:color w:val="auto"/>
        </w:rPr>
      </w:pPr>
      <w:r>
        <w:rPr>
          <w:rFonts w:ascii="Times New Roman" w:cs="Times New Roman" w:eastAsia="Times New Roman" w:hAnsi="Times New Roman"/>
          <w:sz w:val="21"/>
          <w:szCs w:val="21"/>
          <w:b w:val="1"/>
          <w:bCs w:val="1"/>
          <w:color w:val="auto"/>
        </w:rPr>
        <w:t>Project Identifier: MCDC OTA 2008-005, W15QKN-16-9-1002</w:t>
      </w:r>
    </w:p>
    <w:p>
      <w:pPr>
        <w:spacing w:after="0" w:line="212" w:lineRule="auto"/>
        <w:rPr>
          <w:sz w:val="20"/>
          <w:szCs w:val="20"/>
          <w:color w:val="auto"/>
        </w:rPr>
      </w:pPr>
      <w:r>
        <w:rPr>
          <w:rFonts w:ascii="Times New Roman" w:cs="Times New Roman" w:eastAsia="Times New Roman" w:hAnsi="Times New Roman"/>
          <w:sz w:val="21"/>
          <w:szCs w:val="21"/>
          <w:b w:val="1"/>
          <w:bCs w:val="1"/>
          <w:color w:val="auto"/>
        </w:rPr>
        <w:t>Consortium Member: Regeneron Pharmaceuticals, Inc.</w:t>
      </w:r>
    </w:p>
    <w:p>
      <w:pPr>
        <w:spacing w:after="0" w:line="213" w:lineRule="auto"/>
        <w:rPr>
          <w:sz w:val="20"/>
          <w:szCs w:val="20"/>
          <w:color w:val="auto"/>
        </w:rPr>
      </w:pPr>
      <w:r>
        <w:rPr>
          <w:rFonts w:ascii="Times New Roman" w:cs="Times New Roman" w:eastAsia="Times New Roman" w:hAnsi="Times New Roman"/>
          <w:sz w:val="21"/>
          <w:szCs w:val="21"/>
          <w:b w:val="1"/>
          <w:bCs w:val="1"/>
          <w:color w:val="auto"/>
        </w:rPr>
        <w:t>Title of Proposal: Large-Scale Manufacturing of Antibodies Directed to SARS-CoV-2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Date Updated: June 29, 2022</w:t>
      </w:r>
    </w:p>
    <w:p>
      <w:pPr>
        <w:spacing w:after="0" w:line="18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1.0</w:t>
        <w:tab/>
        <w:t>INTRODUCTION, SCOPE, AND OBJECTIVES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 Preamble</w:t>
      </w:r>
    </w:p>
    <w:p>
      <w:pPr>
        <w:spacing w:after="0" w:line="217"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color w:val="auto"/>
        </w:rPr>
        <w:t>Regeneron Pharmaceuticals, Inc. (referred to herein as “Regeneron”, “Offeror”, “Contractor” or “Recipient”) has demonstrated experience with rapid scale-up of biopharmaceutical programs. Our excellent history of receiving development scale processes from Research and Development (R&amp;D) laboratories, and then expanding to clinical or commercial Good Manufacturing Practice (GMP) scale production, is well documented. Greater than 65 processes have been transferred since 2008 with a success rate of 100%. We have consistently demonstrated our ability to expedite the delivery of high quality, safe and efficacious products (Ebola therapeutic) in partnership with the Government (anti-MERS, anti-Ebola).</w:t>
      </w:r>
    </w:p>
    <w:p>
      <w:pPr>
        <w:spacing w:after="0" w:line="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color w:val="auto"/>
        </w:rPr>
        <w:t>Fully human monoclonal antibodies (mAbs) are molecules with high potency, predictable Pharmacokinetics (PK), and limited off-target toxicity, and thus provide attractive types of therapeutics for emerging diseases. Importantly, we have repeatedly demonstrated that candidate mAb-based drugs to prevent and/or treat emerging infections, can be rapidly obtained from Regeneron’s proprietary VelocImmune® mice. Further, our ability to concurrently generate isogenic cell lines that are optimized for rapid antibody scale up and manufacturing using our proprietary Chemistry, Manufacturing, and Controls (CMC) platform technologies, have facilitated both testing of our mAbs in preclinical models and subsequent development of these mAbs into drugs suitable for human testing. In the process of completing many of these activities we have collaborated with other entities (including BARDA, Research Institutes, Government Laboratories and Universities). Our manufacturing has been designed to be paired with our proprietary VelocImmune® R&amp;D technology, that is a proven process to rapidly take a research concept from the bench, into large scale production, with the ability to deliver medicines to patients.</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The Government has advised Regeneron that it is appropriate for the project described in this Project Agreement to be performed through the Medical CBRN Defense Consortium (MCDC), under the authority of the MCDC Other Transaction Agreement No. W15QKN-16-9-1002. Regeneron is amenable to performing the project pursuant to such authority, based on the advice of the Government, and due to the unprecedented circumstances of the Coronavirus Disease 2019 (COVID-19) pandemic and, accordingly, the parties have entered into this Project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jc w:val="center"/>
        <w:spacing w:after="0"/>
        <w:rPr>
          <w:sz w:val="20"/>
          <w:szCs w:val="20"/>
          <w:color w:val="auto"/>
        </w:rPr>
      </w:pPr>
      <w:r>
        <w:rPr>
          <w:rFonts w:ascii="Times New Roman" w:cs="Times New Roman" w:eastAsia="Times New Roman" w:hAnsi="Times New Roman"/>
          <w:sz w:val="21"/>
          <w:szCs w:val="21"/>
          <w:color w:val="auto"/>
        </w:rPr>
        <w:t>FOR OFFICIAL USE ONLY/ PROCUREMENT SENSITIVE</w:t>
      </w:r>
    </w:p>
    <w:p>
      <w:pPr>
        <w:sectPr>
          <w:pgSz w:w="11900" w:h="16838" w:orient="portrait"/>
          <w:cols w:equalWidth="0" w:num="1">
            <w:col w:w="11240"/>
          </w:cols>
          <w:pgMar w:left="320" w:top="144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1"/>
          <w:szCs w:val="21"/>
          <w:b w:val="1"/>
          <w:bCs w:val="1"/>
          <w:color w:val="auto"/>
        </w:rPr>
        <w:t>B. Overall Objectives and Scope</w:t>
      </w:r>
    </w:p>
    <w:p>
      <w:pPr>
        <w:spacing w:after="0" w:line="2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This project is defined by discrete work segments for the continuous manufacture of drug substance, formulated drug substance and filled, packaged and labeled drug product, in accordance with a mutually agreed schedule.</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Pursuant to this project, Regeneron will manufacture and sell drug product to the applicable United States (U.S.) Federal Government agency, for distribution in the U.S.</w:t>
      </w:r>
    </w:p>
    <w:p>
      <w:pPr>
        <w:spacing w:after="0" w:line="16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In addition, Regeneron, as a service to the Government, will engage one or more third party service providers (each a “Distributor”) to perform storage and distribution activities for such drug product for the Government in the United States, at the direction of the Government. </w:t>
      </w:r>
      <w:r>
        <w:rPr>
          <w:rFonts w:ascii="Times New Roman" w:cs="Times New Roman" w:eastAsia="Times New Roman" w:hAnsi="Times New Roman"/>
          <w:sz w:val="21"/>
          <w:szCs w:val="21"/>
          <w:b w:val="1"/>
          <w:bCs w:val="1"/>
          <w:i w:val="1"/>
          <w:iCs w:val="1"/>
          <w:color w:val="auto"/>
        </w:rPr>
        <w:t>From and after August 1, 2022, Regeneron will also perform such storage and distribution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 xml:space="preserve">activities for additional quantities of drug product purchased by the Government under Contract W15QKN-21-C-0014 (such drug product “FAR Product”). In addition, Regeneron will conduct regulatory activities for shelf-life extension for the drug product purchased under this Agreement and FAR Product. </w:t>
      </w:r>
      <w:r>
        <w:rPr>
          <w:rFonts w:ascii="Times New Roman" w:cs="Times New Roman" w:eastAsia="Times New Roman" w:hAnsi="Times New Roman"/>
          <w:sz w:val="21"/>
          <w:szCs w:val="21"/>
          <w:color w:val="auto"/>
        </w:rPr>
        <w:t>The Government will be solely responsible to determine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allocation of product to end users and to communicate such allocation determinations to the Distributor. The Government agrees that Regeneron will not be involved in or responsible for any such determinations.</w:t>
      </w:r>
    </w:p>
    <w:p>
      <w:pPr>
        <w:spacing w:after="0" w:line="18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Regeneron may conduct such activities itself or through one or more of its affiliates, including Regeneron Healthcare Solutions, Inc. References to “Regeneron” will be deemed to include such affiliates. All manufacturing described herein will be compliant with Food and Drug Administration (FDA) current Good Manufacturing Practices (cGMP), as 21 CFR 210 and 211.</w:t>
      </w:r>
    </w:p>
    <w:p>
      <w:pPr>
        <w:spacing w:after="0" w:line="17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1.1</w:t>
        <w:tab/>
        <w:t>Introduction</w:t>
      </w:r>
    </w:p>
    <w:p>
      <w:pPr>
        <w:spacing w:after="0" w:line="21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 xml:space="preserve">The objective is to conduct the manufacturing production activities described in this proposal for prototypes consisting of novel, proprietary mAb therapeutics and prophylactics, to reduce pathology of COVID-19 disease and/or prevent development of disease when administered prophylactically. In addition, Regeneron will engage the Distributor to perform storage and distribution of the product </w:t>
      </w:r>
      <w:r>
        <w:rPr>
          <w:rFonts w:ascii="Times New Roman" w:cs="Times New Roman" w:eastAsia="Times New Roman" w:hAnsi="Times New Roman"/>
          <w:sz w:val="21"/>
          <w:szCs w:val="21"/>
          <w:b w:val="1"/>
          <w:bCs w:val="1"/>
          <w:i w:val="1"/>
          <w:iCs w:val="1"/>
          <w:color w:val="auto"/>
        </w:rPr>
        <w:t>and, from and after</w:t>
      </w:r>
      <w:r>
        <w:rPr>
          <w:rFonts w:ascii="Times New Roman" w:cs="Times New Roman" w:eastAsia="Times New Roman" w:hAnsi="Times New Roman"/>
          <w:sz w:val="21"/>
          <w:szCs w:val="21"/>
          <w:color w:val="auto"/>
        </w:rPr>
        <w:t xml:space="preserve"> [* * *]</w:t>
      </w:r>
      <w:r>
        <w:rPr>
          <w:rFonts w:ascii="Times New Roman" w:cs="Times New Roman" w:eastAsia="Times New Roman" w:hAnsi="Times New Roman"/>
          <w:sz w:val="21"/>
          <w:szCs w:val="21"/>
          <w:b w:val="1"/>
          <w:bCs w:val="1"/>
          <w:i w:val="1"/>
          <w:iCs w:val="1"/>
          <w:color w:val="auto"/>
        </w:rPr>
        <w:t>, FAR Product</w:t>
      </w:r>
      <w:r>
        <w:rPr>
          <w:rFonts w:ascii="Times New Roman" w:cs="Times New Roman" w:eastAsia="Times New Roman" w:hAnsi="Times New Roman"/>
          <w:sz w:val="21"/>
          <w:szCs w:val="21"/>
          <w:color w:val="auto"/>
        </w:rPr>
        <w:t>, for the Government in the United States, at the Government’s direction and control.</w:t>
      </w:r>
    </w:p>
    <w:p>
      <w:pPr>
        <w:spacing w:after="0" w:line="17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1.2</w:t>
        <w:tab/>
        <w:t>Scope</w:t>
      </w:r>
    </w:p>
    <w:p>
      <w:pPr>
        <w:spacing w:after="0" w:line="21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These manufacturing production activities will include manufacturing at-scale, filling and finishing, and storage and shipping of Severe Acute Respiratory Syndrome Coronavirus 2 (SARS-CoV-2)-specific monoclonal antibodies (referred to herein as the “prototype”, the “prototype product”, the “product” or “drug product”) for treatment and/or prophylaxis against COVID-19.</w:t>
      </w:r>
    </w:p>
    <w:p>
      <w:pPr>
        <w:spacing w:after="0" w:line="17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1.3</w:t>
        <w:tab/>
        <w:t>Definition of the Prototype Project</w:t>
      </w:r>
    </w:p>
    <w:p>
      <w:pPr>
        <w:spacing w:after="0" w:line="2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Consistent with USG objectives, Regeneron will employ its proprietary manufacturing technology and processes, in a manner compliant with applicable laws and regulations, including 21 CFR 210 and 211 and, to the extent applicable, the Drug Supply Chain Security Act, to manufacture the prototype product. This effort constitutes a prototype project because it will be used to evaluate the technical feasibility of manufacturing the prototype product during the ongoing COVID-19 pandemic. In addition, this is a prototype project because Regeneron will demonstrate, and prove-out the at-scale, multi-lot proprietary manufacturing activities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jc w:val="center"/>
        <w:spacing w:after="0" w:line="191" w:lineRule="auto"/>
        <w:rPr>
          <w:sz w:val="20"/>
          <w:szCs w:val="20"/>
          <w:color w:val="auto"/>
        </w:rPr>
      </w:pPr>
      <w:r>
        <w:rPr>
          <w:rFonts w:ascii="Calibri" w:cs="Calibri" w:eastAsia="Calibri" w:hAnsi="Calibri"/>
          <w:sz w:val="20"/>
          <w:szCs w:val="20"/>
          <w:i w:val="1"/>
          <w:iCs w:val="1"/>
          <w:color w:val="auto"/>
        </w:rPr>
        <w:t>CONFIDENTIAL/PROPRIETARY</w:t>
      </w:r>
    </w:p>
    <w:p>
      <w:pPr>
        <w:sectPr>
          <w:pgSz w:w="11900" w:h="16838" w:orient="portrait"/>
          <w:cols w:equalWidth="0" w:num="1">
            <w:col w:w="11240"/>
          </w:cols>
          <w:pgMar w:left="320" w:top="1379" w:right="339" w:bottom="1440" w:gutter="0" w:footer="0" w:header="0"/>
        </w:sectPr>
      </w:pPr>
    </w:p>
    <w:bookmarkStart w:id="127" w:name="page128"/>
    <w:bookmarkEnd w:id="127"/>
    <w:p>
      <w:pPr>
        <w:jc w:val="both"/>
        <w:spacing w:after="0" w:line="221" w:lineRule="auto"/>
        <w:rPr>
          <w:sz w:val="20"/>
          <w:szCs w:val="20"/>
          <w:color w:val="auto"/>
        </w:rPr>
      </w:pPr>
      <w:r>
        <w:rPr>
          <w:rFonts w:ascii="Times New Roman" w:cs="Times New Roman" w:eastAsia="Times New Roman" w:hAnsi="Times New Roman"/>
          <w:sz w:val="21"/>
          <w:szCs w:val="21"/>
          <w:color w:val="auto"/>
        </w:rPr>
        <w:t>Regeneron in order to assess the feasibility of these activities to support the necessary quantity of the prototype product to treat the U.S. population. Successful completion of the prototype project will demonstrate Regeneron’s capability to (i) rapidly manufacture product, which can be further scaled-up to meet mutually agreed to surge requirements with little advance notification and (ii) facilitate the Government’s ability to stockpile and distribute large quantities of the drug product to respond when needed, including for use in clinical studies, under an Emergency Use Authorization (EUA), or pursuant to other approval from the U.S. FDA. For clarity, any manufacturing and supply of drug product in excess of the specific quantities set forth in Section 4.0 of this Statement of Work, shall be subject to a separate mutual agreement between Regeneron and the Government.</w:t>
      </w:r>
    </w:p>
    <w:p>
      <w:pPr>
        <w:spacing w:after="0" w:line="18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 xml:space="preserve">The scope of effort supported by this agreement is further clarified in Section 1.4. It is important to note that nonclinical and clinical studies for the prototype are being conducted by Regeneron outside of this agreement. The results of those studies may be used to develop use case scenarios and, in turn, inform the USG’s deployment strategy as it relates to product manufactured under this agreement; however, such results (including the degree to which the data are “positive” or “negative”) shall not be a factor in this prototype project. It is also important to note that the distribution and storage services performed for the Government by the Distributor engaged by Regeneron, </w:t>
      </w:r>
      <w:r>
        <w:rPr>
          <w:rFonts w:ascii="Times New Roman" w:cs="Times New Roman" w:eastAsia="Times New Roman" w:hAnsi="Times New Roman"/>
          <w:sz w:val="21"/>
          <w:szCs w:val="21"/>
          <w:b w:val="1"/>
          <w:bCs w:val="1"/>
          <w:i w:val="1"/>
          <w:iCs w:val="1"/>
          <w:color w:val="auto"/>
        </w:rPr>
        <w:t>as well as regulatory activities</w:t>
      </w:r>
      <w:r>
        <w:rPr>
          <w:rFonts w:ascii="Times New Roman" w:cs="Times New Roman" w:eastAsia="Times New Roman" w:hAnsi="Times New Roman"/>
          <w:sz w:val="21"/>
          <w:szCs w:val="21"/>
          <w:color w:val="auto"/>
        </w:rPr>
        <w:t>, are not part of the prototype project.</w:t>
      </w:r>
    </w:p>
    <w:p>
      <w:pPr>
        <w:spacing w:after="0" w:line="17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1.4</w:t>
        <w:tab/>
        <w:t>Objective</w:t>
      </w:r>
    </w:p>
    <w:p>
      <w:pPr>
        <w:spacing w:after="0" w:line="217" w:lineRule="exact"/>
        <w:rPr>
          <w:sz w:val="20"/>
          <w:szCs w:val="20"/>
          <w:color w:val="auto"/>
        </w:rPr>
      </w:pPr>
    </w:p>
    <w:p>
      <w:pPr>
        <w:jc w:val="both"/>
        <w:ind w:left="640" w:hanging="312"/>
        <w:spacing w:after="0" w:line="234" w:lineRule="auto"/>
        <w:tabs>
          <w:tab w:leader="none" w:pos="635"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Conduct its proprietary manufacturing production activities described in this proposal for prototypes consisting of novel, proprietary mAb therapeutics and prophylactics, to reduce pathology of COVID-19 disease and/or prevent development of disease when administered prophylactically.</w:t>
      </w:r>
    </w:p>
    <w:p>
      <w:pPr>
        <w:spacing w:after="0" w:line="39" w:lineRule="exact"/>
        <w:rPr>
          <w:rFonts w:ascii="Times New Roman" w:cs="Times New Roman" w:eastAsia="Times New Roman" w:hAnsi="Times New Roman"/>
          <w:sz w:val="21"/>
          <w:szCs w:val="21"/>
          <w:color w:val="auto"/>
        </w:rPr>
      </w:pPr>
    </w:p>
    <w:p>
      <w:pPr>
        <w:ind w:left="640" w:hanging="312"/>
        <w:spacing w:after="0"/>
        <w:tabs>
          <w:tab w:leader="none" w:pos="64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prototypes will include one or more of the following, as mutually agreed between Offeror and the Government:</w:t>
      </w:r>
    </w:p>
    <w:p>
      <w:pPr>
        <w:ind w:left="1280" w:hanging="310"/>
        <w:spacing w:after="0" w:line="210" w:lineRule="auto"/>
        <w:tabs>
          <w:tab w:leader="none" w:pos="1280" w:val="left"/>
        </w:tabs>
        <w:numPr>
          <w:ilvl w:val="1"/>
          <w:numId w:val="75"/>
        </w:numPr>
        <w:rPr>
          <w:rFonts w:ascii="Courier New" w:cs="Courier New" w:eastAsia="Courier New" w:hAnsi="Courier New"/>
          <w:sz w:val="21"/>
          <w:szCs w:val="21"/>
          <w:color w:val="auto"/>
        </w:rPr>
      </w:pPr>
      <w:r>
        <w:rPr>
          <w:rFonts w:ascii="Times New Roman" w:cs="Times New Roman" w:eastAsia="Times New Roman" w:hAnsi="Times New Roman"/>
          <w:sz w:val="21"/>
          <w:szCs w:val="21"/>
          <w:color w:val="auto"/>
        </w:rPr>
        <w:t>the mAbs known as REGN10987 and REGN10933, as a cocktail;</w:t>
      </w:r>
    </w:p>
    <w:p>
      <w:pPr>
        <w:ind w:left="1300" w:hanging="330"/>
        <w:spacing w:after="0" w:line="231" w:lineRule="auto"/>
        <w:tabs>
          <w:tab w:leader="none" w:pos="1295" w:val="left"/>
        </w:tabs>
        <w:numPr>
          <w:ilvl w:val="1"/>
          <w:numId w:val="75"/>
        </w:numPr>
        <w:rPr>
          <w:rFonts w:ascii="Courier New" w:cs="Courier New" w:eastAsia="Courier New" w:hAnsi="Courier New"/>
          <w:sz w:val="21"/>
          <w:szCs w:val="21"/>
          <w:color w:val="auto"/>
        </w:rPr>
      </w:pPr>
      <w:r>
        <w:rPr>
          <w:rFonts w:ascii="Times New Roman" w:cs="Times New Roman" w:eastAsia="Times New Roman" w:hAnsi="Times New Roman"/>
          <w:sz w:val="21"/>
          <w:szCs w:val="21"/>
          <w:color w:val="auto"/>
        </w:rPr>
        <w:t>Other mAbs (as monotherapies or a cocktail) as agreed to by bilateral modification between Offeror and the Government.</w:t>
      </w:r>
    </w:p>
    <w:p>
      <w:pPr>
        <w:spacing w:after="0" w:line="42" w:lineRule="exact"/>
        <w:rPr>
          <w:rFonts w:ascii="Courier New" w:cs="Courier New" w:eastAsia="Courier New" w:hAnsi="Courier New"/>
          <w:sz w:val="21"/>
          <w:szCs w:val="21"/>
          <w:color w:val="auto"/>
        </w:rPr>
      </w:pPr>
    </w:p>
    <w:p>
      <w:pPr>
        <w:jc w:val="both"/>
        <w:ind w:left="640" w:hanging="312"/>
        <w:spacing w:after="0" w:line="225" w:lineRule="auto"/>
        <w:tabs>
          <w:tab w:leader="none" w:pos="63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deliverables will be the products listed above (i.e., REGN10987 and REGN10933), in the form of bulk formulated drug substance and/or filled and finished product in vials, as mutually agreed between Offeror and the Government, packaged and labeled drug product, results, reports and records associated with generation of data demonstrating quality and control. Other deliverables will include product storage and support for the Government’s distribution activities in the United States, to be provided at the Government’s direction, as well as </w:t>
      </w:r>
      <w:r>
        <w:rPr>
          <w:rFonts w:ascii="Times New Roman" w:cs="Times New Roman" w:eastAsia="Times New Roman" w:hAnsi="Times New Roman"/>
          <w:sz w:val="21"/>
          <w:szCs w:val="21"/>
          <w:b w:val="1"/>
          <w:bCs w:val="1"/>
          <w:i w:val="1"/>
          <w:iCs w:val="1"/>
          <w:color w:val="auto"/>
        </w:rPr>
        <w:t>regulatory activities for shelf-life extension</w:t>
      </w:r>
      <w:r>
        <w:rPr>
          <w:rFonts w:ascii="Times New Roman" w:cs="Times New Roman" w:eastAsia="Times New Roman" w:hAnsi="Times New Roman"/>
          <w:sz w:val="21"/>
          <w:szCs w:val="21"/>
          <w:color w:val="auto"/>
        </w:rPr>
        <w:t>.</w:t>
      </w:r>
    </w:p>
    <w:p>
      <w:pPr>
        <w:spacing w:after="0" w:line="44" w:lineRule="exact"/>
        <w:rPr>
          <w:rFonts w:ascii="Times New Roman" w:cs="Times New Roman" w:eastAsia="Times New Roman" w:hAnsi="Times New Roman"/>
          <w:sz w:val="21"/>
          <w:szCs w:val="21"/>
          <w:color w:val="auto"/>
        </w:rPr>
      </w:pPr>
    </w:p>
    <w:p>
      <w:pPr>
        <w:jc w:val="both"/>
        <w:ind w:left="640" w:hanging="312"/>
        <w:spacing w:after="0" w:line="220" w:lineRule="auto"/>
        <w:tabs>
          <w:tab w:leader="none" w:pos="63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products will be delivered in the form and quantity to be agreed between Offeror and the Government. It is expected that the prototypes will be stored by Offeror until such time as (a) they can be used for pre-clinical or clinical development purposes under an Investigational New Drug application (IND), or (b) upon the FDA’s grant of an EUA under Section 564 of the Food, Drug and Cosmetic Act (FD&amp;C Act), or full marketing approval under a full Biologics License Application (BLA) under Section 351(a) of the Public Health Service Act (PHSA). In the event the FDA grants an EUA, the product will be distributed by the Distributor pursuant to direction from the Government (i.e., the Government will direct the Distributor where the product is to be distributed and in what quantities, and Regeneron will not be responsible for, or involved in, such direction).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jc w:val="center"/>
        <w:spacing w:after="0" w:line="191" w:lineRule="auto"/>
        <w:rPr>
          <w:sz w:val="20"/>
          <w:szCs w:val="20"/>
          <w:color w:val="auto"/>
        </w:rPr>
      </w:pPr>
      <w:r>
        <w:rPr>
          <w:rFonts w:ascii="Calibri" w:cs="Calibri" w:eastAsia="Calibri" w:hAnsi="Calibri"/>
          <w:sz w:val="20"/>
          <w:szCs w:val="20"/>
          <w:i w:val="1"/>
          <w:iCs w:val="1"/>
          <w:color w:val="auto"/>
        </w:rPr>
        <w:t>CONFIDENTIAL/PROPRIETARY</w:t>
      </w:r>
    </w:p>
    <w:p>
      <w:pPr>
        <w:sectPr>
          <w:pgSz w:w="11900" w:h="16838" w:orient="portrait"/>
          <w:cols w:equalWidth="0" w:num="1">
            <w:col w:w="11240"/>
          </w:cols>
          <w:pgMar w:left="320" w:top="1382" w:right="339" w:bottom="1440" w:gutter="0" w:footer="0" w:header="0"/>
        </w:sectPr>
      </w:pPr>
    </w:p>
    <w:bookmarkStart w:id="128" w:name="page129"/>
    <w:bookmarkEnd w:id="128"/>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1.5</w:t>
        <w:tab/>
        <w:t>Follow-on Activity</w:t>
      </w:r>
    </w:p>
    <w:p>
      <w:pPr>
        <w:spacing w:after="0" w:line="21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In accordance with 10.U.S.C. </w:t>
      </w:r>
      <w:r>
        <w:rPr>
          <w:rFonts w:ascii="Times New Roman" w:cs="Times New Roman" w:eastAsia="Times New Roman" w:hAnsi="Times New Roman"/>
          <w:sz w:val="21"/>
          <w:szCs w:val="21"/>
          <w:b w:val="1"/>
          <w:bCs w:val="1"/>
          <w:i w:val="1"/>
          <w:iCs w:val="1"/>
          <w:color w:val="auto"/>
        </w:rPr>
        <w:t>4022</w:t>
      </w:r>
      <w:r>
        <w:rPr>
          <w:rFonts w:ascii="Times New Roman" w:cs="Times New Roman" w:eastAsia="Times New Roman" w:hAnsi="Times New Roman"/>
          <w:sz w:val="21"/>
          <w:szCs w:val="21"/>
          <w:color w:val="auto"/>
        </w:rPr>
        <w:t>, and upon successful demonstration of the prototype, or at the accomplishment of particularly favorable or unexpected results achieved outside of this Agreement that would justify transitioning to production (e.g., EUA or BLA), additional at-scale manufacturing of up to 800,000 treatment courses, supported by a mutually agreed upon follow-on production contract or Other Transaction Agreement, may be awarded to Regeneron, without further competition, to partially or completely meet the USG objective of supplying a safe and effective COVID-19 therapeutic or prophylactic treatment courses to ensure nationwide access. For clarity, any manufacturing and supply of drug product in excess of the specific quantities set forth in Section 4.0 of this Statement of Work shall be subject to a mutually-agreed upon separate agreement between Regeneron and the Government. For further clarity, neither party shall be obligated to negotiate or enter into such a separate agreement for follow-on production.</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During the performance of the prototype project, the Government and contractor may negotiate the scope and price of follow-on production.</w:t>
      </w:r>
    </w:p>
    <w:p>
      <w:pPr>
        <w:spacing w:after="0" w:line="16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2.0</w:t>
        <w:tab/>
        <w:t>APPLICABLE REFERENCES</w:t>
      </w:r>
    </w:p>
    <w:p>
      <w:pPr>
        <w:spacing w:after="0"/>
        <w:rPr>
          <w:sz w:val="20"/>
          <w:szCs w:val="20"/>
          <w:color w:val="auto"/>
        </w:rPr>
      </w:pPr>
      <w:r>
        <w:rPr>
          <w:rFonts w:ascii="Times New Roman" w:cs="Times New Roman" w:eastAsia="Times New Roman" w:hAnsi="Times New Roman"/>
          <w:sz w:val="21"/>
          <w:szCs w:val="21"/>
          <w:i w:val="1"/>
          <w:iCs w:val="1"/>
          <w:color w:val="auto"/>
        </w:rPr>
        <w:t>Current Good Manufacturing Practices, 21 CFR 210, 211</w:t>
      </w:r>
    </w:p>
    <w:p>
      <w:pPr>
        <w:spacing w:after="0" w:line="18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3.0</w:t>
        <w:tab/>
        <w:t>REQUIREMENTS</w:t>
      </w:r>
    </w:p>
    <w:p>
      <w:pPr>
        <w:spacing w:after="0" w:line="21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3.1</w:t>
        <w:tab/>
        <w:t>Technical</w:t>
      </w:r>
    </w:p>
    <w:p>
      <w:pPr>
        <w:spacing w:after="0" w:line="217" w:lineRule="exact"/>
        <w:rPr>
          <w:sz w:val="20"/>
          <w:szCs w:val="20"/>
          <w:color w:val="auto"/>
        </w:rPr>
      </w:pPr>
    </w:p>
    <w:p>
      <w:pPr>
        <w:jc w:val="both"/>
        <w:ind w:left="640" w:hanging="312"/>
        <w:spacing w:after="0" w:line="234" w:lineRule="auto"/>
        <w:tabs>
          <w:tab w:leader="none" w:pos="635"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Offeror’s technical approach is expected to be similar, but not duplicative, to its manufacturing activities under its current agreements with the Biomedical Advanced Research and Development Authority (BARDA), including contract # HHSO100201700016C, and will include the following:</w:t>
      </w:r>
    </w:p>
    <w:p>
      <w:pPr>
        <w:spacing w:after="0" w:line="176" w:lineRule="exact"/>
        <w:rPr>
          <w:rFonts w:ascii="Times New Roman" w:cs="Times New Roman" w:eastAsia="Times New Roman" w:hAnsi="Times New Roman"/>
          <w:sz w:val="21"/>
          <w:szCs w:val="21"/>
          <w:color w:val="auto"/>
        </w:rPr>
      </w:pPr>
    </w:p>
    <w:p>
      <w:pPr>
        <w:ind w:left="1280" w:hanging="310"/>
        <w:spacing w:after="0"/>
        <w:tabs>
          <w:tab w:leader="none" w:pos="1280" w:val="left"/>
        </w:tabs>
        <w:numPr>
          <w:ilvl w:val="1"/>
          <w:numId w:val="76"/>
        </w:numPr>
        <w:rPr>
          <w:rFonts w:ascii="Courier New" w:cs="Courier New" w:eastAsia="Courier New" w:hAnsi="Courier New"/>
          <w:sz w:val="21"/>
          <w:szCs w:val="21"/>
          <w:color w:val="auto"/>
        </w:rPr>
      </w:pPr>
      <w:r>
        <w:rPr>
          <w:rFonts w:ascii="Times New Roman" w:cs="Times New Roman" w:eastAsia="Times New Roman" w:hAnsi="Times New Roman"/>
          <w:sz w:val="21"/>
          <w:szCs w:val="21"/>
          <w:color w:val="auto"/>
        </w:rPr>
        <w:t>Drug Substance, Formulated Drug Substance, Drug Product (DS/FDS/DP) quality and control.</w:t>
      </w:r>
    </w:p>
    <w:p>
      <w:pPr>
        <w:spacing w:after="0" w:line="99" w:lineRule="exact"/>
        <w:rPr>
          <w:rFonts w:ascii="Courier New" w:cs="Courier New" w:eastAsia="Courier New" w:hAnsi="Courier New"/>
          <w:sz w:val="21"/>
          <w:szCs w:val="21"/>
          <w:color w:val="auto"/>
        </w:rPr>
      </w:pPr>
    </w:p>
    <w:p>
      <w:pPr>
        <w:ind w:left="1940" w:hanging="328"/>
        <w:spacing w:after="0" w:line="232" w:lineRule="auto"/>
        <w:tabs>
          <w:tab w:leader="none" w:pos="1935" w:val="left"/>
        </w:tabs>
        <w:numPr>
          <w:ilvl w:val="2"/>
          <w:numId w:val="76"/>
        </w:numPr>
        <w:rPr>
          <w:rFonts w:ascii="Arial" w:cs="Arial" w:eastAsia="Arial" w:hAnsi="Arial"/>
          <w:sz w:val="21"/>
          <w:szCs w:val="21"/>
          <w:color w:val="auto"/>
        </w:rPr>
      </w:pPr>
      <w:r>
        <w:rPr>
          <w:rFonts w:ascii="Times New Roman" w:cs="Times New Roman" w:eastAsia="Times New Roman" w:hAnsi="Times New Roman"/>
          <w:sz w:val="21"/>
          <w:szCs w:val="21"/>
          <w:color w:val="auto"/>
        </w:rPr>
        <w:t>Regeneron will apply statistical process analysis to continuously qualify in-process controls and release parameters.</w:t>
      </w:r>
    </w:p>
    <w:p>
      <w:pPr>
        <w:spacing w:after="0" w:line="43" w:lineRule="exact"/>
        <w:rPr>
          <w:rFonts w:ascii="Arial" w:cs="Arial" w:eastAsia="Arial" w:hAnsi="Arial"/>
          <w:sz w:val="21"/>
          <w:szCs w:val="21"/>
          <w:color w:val="auto"/>
        </w:rPr>
      </w:pPr>
    </w:p>
    <w:p>
      <w:pPr>
        <w:jc w:val="both"/>
        <w:ind w:left="1940" w:hanging="328"/>
        <w:spacing w:after="0" w:line="219" w:lineRule="auto"/>
        <w:tabs>
          <w:tab w:leader="none" w:pos="1935" w:val="left"/>
        </w:tabs>
        <w:numPr>
          <w:ilvl w:val="2"/>
          <w:numId w:val="76"/>
        </w:numPr>
        <w:rPr>
          <w:rFonts w:ascii="Arial" w:cs="Arial" w:eastAsia="Arial" w:hAnsi="Arial"/>
          <w:sz w:val="21"/>
          <w:szCs w:val="21"/>
          <w:color w:val="auto"/>
        </w:rPr>
      </w:pPr>
      <w:r>
        <w:rPr>
          <w:rFonts w:ascii="Times New Roman" w:cs="Times New Roman" w:eastAsia="Times New Roman" w:hAnsi="Times New Roman"/>
          <w:sz w:val="21"/>
          <w:szCs w:val="21"/>
          <w:color w:val="auto"/>
        </w:rPr>
        <w:t>The manufacturing process will be evaluated against parameters that are correlated to process performance and product quality. Ranges for the performance of each unit operation will be established through process development recommended ranges, the generation of statistical limits based on small-scale studies, and/or continuous commercial-scale manufacturing experience. These ranges will be monitored during the execution of quality and control, and are designed to ensure that the process is in a state of control and to ensure that the manufacturing process operates in a consistent and reproducible manner. The quality and control runs will also confirm that the process and product impurity profiles are within limits, demonstrate the consistent removal of impurities, and demonstrate that the process is capable of operating within acceptable microbiological control limits. Additional sampling and testing beyond that needed to assess process performance, may be completed to further process understanding.</w:t>
      </w:r>
    </w:p>
    <w:p>
      <w:pPr>
        <w:spacing w:after="0" w:line="38" w:lineRule="exact"/>
        <w:rPr>
          <w:rFonts w:ascii="Arial" w:cs="Arial" w:eastAsia="Arial" w:hAnsi="Arial"/>
          <w:sz w:val="21"/>
          <w:szCs w:val="21"/>
          <w:color w:val="auto"/>
        </w:rPr>
      </w:pPr>
    </w:p>
    <w:p>
      <w:pPr>
        <w:ind w:left="1940" w:hanging="328"/>
        <w:spacing w:after="0" w:line="252" w:lineRule="auto"/>
        <w:tabs>
          <w:tab w:leader="none" w:pos="1935" w:val="left"/>
        </w:tabs>
        <w:numPr>
          <w:ilvl w:val="2"/>
          <w:numId w:val="76"/>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Intermediate Hold Time Validation</w:t>
      </w:r>
      <w:r>
        <w:rPr>
          <w:rFonts w:ascii="Times New Roman" w:cs="Times New Roman" w:eastAsia="Times New Roman" w:hAnsi="Times New Roman"/>
          <w:sz w:val="21"/>
          <w:szCs w:val="21"/>
          <w:color w:val="auto"/>
        </w:rPr>
        <w:t>: Intermediate hold time validation to be performed via combination of 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scale and small scale executions: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jc w:val="center"/>
        <w:spacing w:after="0" w:line="191" w:lineRule="auto"/>
        <w:rPr>
          <w:sz w:val="20"/>
          <w:szCs w:val="20"/>
          <w:color w:val="auto"/>
        </w:rPr>
      </w:pPr>
      <w:r>
        <w:rPr>
          <w:rFonts w:ascii="Calibri" w:cs="Calibri" w:eastAsia="Calibri" w:hAnsi="Calibri"/>
          <w:sz w:val="20"/>
          <w:szCs w:val="20"/>
          <w:i w:val="1"/>
          <w:iCs w:val="1"/>
          <w:color w:val="auto"/>
        </w:rPr>
        <w:t>CONFIDENTIAL/PROPRIETARY</w:t>
      </w:r>
    </w:p>
    <w:p>
      <w:pPr>
        <w:sectPr>
          <w:pgSz w:w="11900" w:h="16838" w:orient="portrait"/>
          <w:cols w:equalWidth="0" w:num="1">
            <w:col w:w="11240"/>
          </w:cols>
          <w:pgMar w:left="320" w:top="1379" w:right="339" w:bottom="1440" w:gutter="0" w:footer="0" w:header="0"/>
        </w:sectPr>
      </w:pPr>
    </w:p>
    <w:bookmarkStart w:id="129" w:name="page130"/>
    <w:bookmarkEnd w:id="129"/>
    <w:p>
      <w:pPr>
        <w:jc w:val="both"/>
        <w:ind w:left="1460" w:hanging="326"/>
        <w:spacing w:after="0" w:line="234" w:lineRule="auto"/>
        <w:tabs>
          <w:tab w:leader="none" w:pos="1455"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Microbial Control: Where appropriate, microbial control data from at scale hold time studies, will be leveraged from historical validation runs with molecules which have similar equipment and sanitization procedures.</w:t>
      </w:r>
    </w:p>
    <w:p>
      <w:pPr>
        <w:spacing w:after="0" w:line="42" w:lineRule="exact"/>
        <w:rPr>
          <w:rFonts w:ascii="Times New Roman" w:cs="Times New Roman" w:eastAsia="Times New Roman" w:hAnsi="Times New Roman"/>
          <w:sz w:val="21"/>
          <w:szCs w:val="21"/>
          <w:color w:val="auto"/>
        </w:rPr>
      </w:pPr>
    </w:p>
    <w:p>
      <w:pPr>
        <w:jc w:val="both"/>
        <w:ind w:left="1460" w:hanging="326"/>
        <w:spacing w:after="0" w:line="234" w:lineRule="auto"/>
        <w:tabs>
          <w:tab w:leader="none" w:pos="1455"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Chemical Stability: Chemical stability will be demonstrated using data from laboratory scale hold time studies performed for each of the prototypes, using material obtained from in-process pools from the 10,000 L manufacturing executions.</w:t>
      </w:r>
    </w:p>
    <w:p>
      <w:pPr>
        <w:spacing w:after="0" w:line="38" w:lineRule="exact"/>
        <w:rPr>
          <w:rFonts w:ascii="Times New Roman" w:cs="Times New Roman" w:eastAsia="Times New Roman" w:hAnsi="Times New Roman"/>
          <w:sz w:val="21"/>
          <w:szCs w:val="21"/>
          <w:color w:val="auto"/>
        </w:rPr>
      </w:pPr>
    </w:p>
    <w:p>
      <w:pPr>
        <w:jc w:val="both"/>
        <w:ind w:left="820" w:hanging="328"/>
        <w:spacing w:after="0" w:line="223" w:lineRule="auto"/>
        <w:tabs>
          <w:tab w:leader="none" w:pos="815" w:val="left"/>
        </w:tabs>
        <w:numPr>
          <w:ilvl w:val="0"/>
          <w:numId w:val="77"/>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Media, Feed and Buffer Mixing Validation</w:t>
      </w:r>
      <w:r>
        <w:rPr>
          <w:rFonts w:ascii="Times New Roman" w:cs="Times New Roman" w:eastAsia="Times New Roman" w:hAnsi="Times New Roman"/>
          <w:sz w:val="21"/>
          <w:szCs w:val="21"/>
          <w:color w:val="auto"/>
        </w:rPr>
        <w:t>: Preparation of buffers and media will be validated 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commercial-scale. These validation studies will demonstrate that the preparation process consistently produces solutions meeting predefined limits for parameters indicative of homogeneity, such as pH, conductivity, osmolality, and turbidity. Where vessels of equivalent design and construction exist within the manufacturing facility, validation of media and buffer preparation will be performed on one representative vessel on at least three consecutive and successful executions.</w:t>
      </w:r>
    </w:p>
    <w:p>
      <w:pPr>
        <w:spacing w:after="0" w:line="43" w:lineRule="exact"/>
        <w:rPr>
          <w:rFonts w:ascii="Arial" w:cs="Arial" w:eastAsia="Arial" w:hAnsi="Arial"/>
          <w:sz w:val="21"/>
          <w:szCs w:val="21"/>
          <w:color w:val="auto"/>
        </w:rPr>
      </w:pPr>
    </w:p>
    <w:p>
      <w:pPr>
        <w:ind w:left="800" w:hanging="308"/>
        <w:spacing w:after="0"/>
        <w:tabs>
          <w:tab w:leader="none" w:pos="800" w:val="left"/>
        </w:tabs>
        <w:numPr>
          <w:ilvl w:val="0"/>
          <w:numId w:val="77"/>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Medium Storage Validation</w:t>
      </w:r>
      <w:r>
        <w:rPr>
          <w:rFonts w:ascii="Times New Roman" w:cs="Times New Roman" w:eastAsia="Times New Roman" w:hAnsi="Times New Roman"/>
          <w:sz w:val="21"/>
          <w:szCs w:val="21"/>
          <w:color w:val="auto"/>
        </w:rPr>
        <w:t>: Medium storage validation will be separated into preparation hold and post-</w:t>
      </w:r>
    </w:p>
    <w:p>
      <w:pPr>
        <w:jc w:val="both"/>
        <w:ind w:left="820"/>
        <w:spacing w:after="0" w:line="237" w:lineRule="auto"/>
        <w:rPr>
          <w:rFonts w:ascii="Arial" w:cs="Arial" w:eastAsia="Arial" w:hAnsi="Arial"/>
          <w:sz w:val="21"/>
          <w:szCs w:val="21"/>
          <w:color w:val="auto"/>
        </w:rPr>
      </w:pPr>
      <w:r>
        <w:rPr>
          <w:rFonts w:ascii="Times New Roman" w:cs="Times New Roman" w:eastAsia="Times New Roman" w:hAnsi="Times New Roman"/>
          <w:sz w:val="21"/>
          <w:szCs w:val="21"/>
          <w:color w:val="auto"/>
        </w:rPr>
        <w:t>filtration storage, and has two components: microbial control and chemical stability. Pre-filtration microbial control is specific to the raw materials and the environment, and post-filtration microbial control is specific to each storage container and the ability of the storage container to maintain a microbial free condition. Maximum storage times for medium solutions with respect to microbial control will be validated as necessary at commercial scale, through preparation and storage of medium for extended storage times pre-and post-filtration. Validation will be achieved by demonstrating microbial control for a number of consecutive attempts established in the relevant validation protocol. Solutions will be prepared, stored for defined periods and tested for bioburden and endotoxin. Chemical stability of medium may be performed at small-scale to demonstrate storage conditions maintain integrity of chemical components. Bracketing approaches may be used to cover the different feeds and medium used, provided the individual protocol justifies the bracket.</w:t>
      </w:r>
    </w:p>
    <w:p>
      <w:pPr>
        <w:spacing w:after="0" w:line="47" w:lineRule="exact"/>
        <w:rPr>
          <w:rFonts w:ascii="Arial" w:cs="Arial" w:eastAsia="Arial" w:hAnsi="Arial"/>
          <w:sz w:val="21"/>
          <w:szCs w:val="21"/>
          <w:color w:val="auto"/>
        </w:rPr>
      </w:pPr>
    </w:p>
    <w:p>
      <w:pPr>
        <w:ind w:left="800" w:hanging="308"/>
        <w:spacing w:after="0"/>
        <w:tabs>
          <w:tab w:leader="none" w:pos="800" w:val="left"/>
        </w:tabs>
        <w:numPr>
          <w:ilvl w:val="0"/>
          <w:numId w:val="77"/>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 xml:space="preserve">Buffer Storage Validation: </w:t>
      </w:r>
      <w:r>
        <w:rPr>
          <w:rFonts w:ascii="Times New Roman" w:cs="Times New Roman" w:eastAsia="Times New Roman" w:hAnsi="Times New Roman"/>
          <w:sz w:val="21"/>
          <w:szCs w:val="21"/>
          <w:color w:val="auto"/>
        </w:rPr>
        <w:t>Buffer storage validation is separated into preparation hold and post-filtration</w:t>
      </w:r>
    </w:p>
    <w:p>
      <w:pPr>
        <w:jc w:val="both"/>
        <w:ind w:left="820"/>
        <w:spacing w:after="0" w:line="216" w:lineRule="auto"/>
        <w:rPr>
          <w:rFonts w:ascii="Arial" w:cs="Arial" w:eastAsia="Arial" w:hAnsi="Arial"/>
          <w:sz w:val="21"/>
          <w:szCs w:val="21"/>
          <w:color w:val="auto"/>
        </w:rPr>
      </w:pPr>
      <w:r>
        <w:rPr>
          <w:rFonts w:ascii="Times New Roman" w:cs="Times New Roman" w:eastAsia="Times New Roman" w:hAnsi="Times New Roman"/>
          <w:sz w:val="21"/>
          <w:szCs w:val="21"/>
          <w:color w:val="auto"/>
        </w:rPr>
        <w:t>storage, and has two components: microbial control and chemical stability. Preparation holds are dependent on the solution composition. The worst- case solution for growth is determined using a risk-based approach, and post-filtration microbial control is specific to each vessel and the ability of a vessel to maintain a microbial free condition. Maximum storage times for buffer solutions will be validated as necessary at commercial-scale for microbial control, through preparation and storage of a non-growth inhibiting buffer for extended storage times pre- and post-filtration. Validation will be achieved by demonstrating microbial control for a number of consecutive attempts established by the protocol. Buffer hold validation in stainless steel vessels will require ongoing evaluation and monitoring; however, buffer hold validation in disposable bioprocess containers may be shortened, if appropriate, by a bracketing approach. Solutions will be prepared, held and monitored over time for bioburden, endotoxin. Chemical stability of buffers may be performed at small-scale to demonstrate that storage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00"/>
        <w:spacing w:after="0"/>
        <w:rPr>
          <w:sz w:val="20"/>
          <w:szCs w:val="20"/>
          <w:color w:val="auto"/>
        </w:rPr>
      </w:pPr>
      <w:r>
        <w:rPr>
          <w:rFonts w:ascii="Calibri" w:cs="Calibri" w:eastAsia="Calibri" w:hAnsi="Calibri"/>
          <w:sz w:val="20"/>
          <w:szCs w:val="20"/>
          <w:color w:val="auto"/>
        </w:rPr>
        <w:t>5</w:t>
      </w:r>
    </w:p>
    <w:p>
      <w:pPr>
        <w:jc w:val="center"/>
        <w:ind w:right="1100"/>
        <w:spacing w:after="0" w:line="191" w:lineRule="auto"/>
        <w:rPr>
          <w:sz w:val="20"/>
          <w:szCs w:val="20"/>
          <w:color w:val="auto"/>
        </w:rPr>
      </w:pPr>
      <w:r>
        <w:rPr>
          <w:rFonts w:ascii="Calibri" w:cs="Calibri" w:eastAsia="Calibri" w:hAnsi="Calibri"/>
          <w:sz w:val="20"/>
          <w:szCs w:val="20"/>
          <w:i w:val="1"/>
          <w:iCs w:val="1"/>
          <w:color w:val="auto"/>
        </w:rPr>
        <w:t>CONFIDENTIAL/PROPRIETARY</w:t>
      </w:r>
    </w:p>
    <w:p>
      <w:pPr>
        <w:sectPr>
          <w:pgSz w:w="11900" w:h="16838" w:orient="portrait"/>
          <w:cols w:equalWidth="0" w:num="1">
            <w:col w:w="10120"/>
          </w:cols>
          <w:pgMar w:left="1440" w:top="1382" w:right="339" w:bottom="1440" w:gutter="0" w:footer="0" w:header="0"/>
        </w:sectPr>
      </w:pPr>
    </w:p>
    <w:bookmarkStart w:id="130" w:name="page131"/>
    <w:bookmarkEnd w:id="130"/>
    <w:p>
      <w:pPr>
        <w:ind w:left="970"/>
        <w:spacing w:after="0" w:line="249" w:lineRule="auto"/>
        <w:rPr>
          <w:sz w:val="20"/>
          <w:szCs w:val="20"/>
          <w:color w:val="auto"/>
        </w:rPr>
      </w:pPr>
      <w:r>
        <w:rPr>
          <w:rFonts w:ascii="Times New Roman" w:cs="Times New Roman" w:eastAsia="Times New Roman" w:hAnsi="Times New Roman"/>
          <w:sz w:val="21"/>
          <w:szCs w:val="21"/>
          <w:color w:val="auto"/>
        </w:rPr>
        <w:t>conditions maintain integrity of chemical components. Bracketing approaches may be used to cover the large number of buffers used, provided the individual protocol justifies the bracket.</w:t>
      </w:r>
    </w:p>
    <w:p>
      <w:pPr>
        <w:spacing w:after="0" w:line="30" w:lineRule="exact"/>
        <w:rPr>
          <w:sz w:val="20"/>
          <w:szCs w:val="20"/>
          <w:color w:val="auto"/>
        </w:rPr>
      </w:pPr>
    </w:p>
    <w:p>
      <w:pPr>
        <w:jc w:val="both"/>
        <w:ind w:left="970" w:hanging="328"/>
        <w:spacing w:after="0" w:line="229" w:lineRule="auto"/>
        <w:tabs>
          <w:tab w:leader="none" w:pos="965" w:val="left"/>
        </w:tabs>
        <w:numPr>
          <w:ilvl w:val="1"/>
          <w:numId w:val="78"/>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Chromatography Column Sanitization and Storage Validation</w:t>
      </w:r>
      <w:r>
        <w:rPr>
          <w:rFonts w:ascii="Times New Roman" w:cs="Times New Roman" w:eastAsia="Times New Roman" w:hAnsi="Times New Roman"/>
          <w:sz w:val="21"/>
          <w:szCs w:val="21"/>
          <w:color w:val="auto"/>
        </w:rPr>
        <w:t>: Any newly required studies will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performed to validate the cleaning and storage procedures for [* * *] chromatography columns used in the manufacture of the prototypes. In addition, the maximum allowable storage period following cleaning will be established for each of the chromatography resins.</w:t>
      </w:r>
    </w:p>
    <w:p>
      <w:pPr>
        <w:spacing w:after="0" w:line="40" w:lineRule="exact"/>
        <w:rPr>
          <w:rFonts w:ascii="Arial" w:cs="Arial" w:eastAsia="Arial" w:hAnsi="Arial"/>
          <w:sz w:val="21"/>
          <w:szCs w:val="21"/>
          <w:color w:val="auto"/>
        </w:rPr>
      </w:pPr>
    </w:p>
    <w:p>
      <w:pPr>
        <w:jc w:val="both"/>
        <w:ind w:left="970" w:hanging="328"/>
        <w:spacing w:after="0" w:line="222" w:lineRule="auto"/>
        <w:tabs>
          <w:tab w:leader="none" w:pos="965" w:val="left"/>
        </w:tabs>
        <w:numPr>
          <w:ilvl w:val="1"/>
          <w:numId w:val="78"/>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Chromatography Column Cleaning Validation</w:t>
      </w:r>
      <w:r>
        <w:rPr>
          <w:rFonts w:ascii="Times New Roman" w:cs="Times New Roman" w:eastAsia="Times New Roman" w:hAnsi="Times New Roman"/>
          <w:sz w:val="21"/>
          <w:szCs w:val="21"/>
          <w:color w:val="auto"/>
        </w:rPr>
        <w:t>: The efficacy of the solutions used to clean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chromatography columns will be examined as necessary over three consecutive executions during commercial scale manufacturing of each of the prototypes. The effectiveness of the cleaning procedures will be assessed by sampling the post cleaning (post-use) Water for Injection (WFI) flush effluent; at approximately [* * *] into the flush for bioburden and endotoxin levels (the purpose of which is to demonstrate microbial control). In addition, Total Organic Carbon (TOC) will be measured to verify the absence of lot to lot protein carry over.</w:t>
      </w:r>
    </w:p>
    <w:p>
      <w:pPr>
        <w:spacing w:after="0" w:line="40" w:lineRule="exact"/>
        <w:rPr>
          <w:rFonts w:ascii="Arial" w:cs="Arial" w:eastAsia="Arial" w:hAnsi="Arial"/>
          <w:sz w:val="21"/>
          <w:szCs w:val="21"/>
          <w:color w:val="auto"/>
        </w:rPr>
      </w:pPr>
    </w:p>
    <w:p>
      <w:pPr>
        <w:jc w:val="both"/>
        <w:ind w:left="970" w:hanging="328"/>
        <w:spacing w:after="0"/>
        <w:tabs>
          <w:tab w:leader="none" w:pos="965" w:val="left"/>
        </w:tabs>
        <w:numPr>
          <w:ilvl w:val="1"/>
          <w:numId w:val="78"/>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Chromatography Column Storage Validation</w:t>
      </w:r>
      <w:r>
        <w:rPr>
          <w:rFonts w:ascii="Times New Roman" w:cs="Times New Roman" w:eastAsia="Times New Roman" w:hAnsi="Times New Roman"/>
          <w:sz w:val="21"/>
          <w:szCs w:val="21"/>
          <w:color w:val="auto"/>
        </w:rPr>
        <w:t>: The efficacy of the solutions used to store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chromatography columns will be examined, as necessary, over three consecutive executions during commercial scale manufacturing of each of the prototypes. The effectiveness of the cleaning and storage procedures will be assessed by sampling the post storage (pre-use) WFI flush effluent for bioburden, endotoxin levels and TOC. The maximum allowable storage period for each column will be established based on the shortest of the three consecutive executions for which the column remained in the storage solution.</w:t>
      </w:r>
    </w:p>
    <w:p>
      <w:pPr>
        <w:spacing w:after="0" w:line="155" w:lineRule="exact"/>
        <w:rPr>
          <w:rFonts w:ascii="Arial" w:cs="Arial" w:eastAsia="Arial" w:hAnsi="Arial"/>
          <w:sz w:val="21"/>
          <w:szCs w:val="21"/>
          <w:color w:val="auto"/>
        </w:rPr>
      </w:pPr>
    </w:p>
    <w:p>
      <w:pPr>
        <w:jc w:val="both"/>
        <w:ind w:left="970" w:hanging="328"/>
        <w:spacing w:after="0" w:line="217" w:lineRule="auto"/>
        <w:tabs>
          <w:tab w:leader="none" w:pos="965" w:val="left"/>
        </w:tabs>
        <w:numPr>
          <w:ilvl w:val="1"/>
          <w:numId w:val="78"/>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Establishment of In-Process Control (IPC) Program</w:t>
      </w:r>
      <w:r>
        <w:rPr>
          <w:rFonts w:ascii="Times New Roman" w:cs="Times New Roman" w:eastAsia="Times New Roman" w:hAnsi="Times New Roman"/>
          <w:sz w:val="21"/>
          <w:szCs w:val="21"/>
          <w:color w:val="auto"/>
        </w:rPr>
        <w:t>: The IPC program will utilize Statistical Process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Control (SPC) to monitor critical and general process parameters, and critical and general quality attributes for each lot manufactured. On completion of quality and control activities, the IPC development report will establish the set of parameters and attributes to be monitored, and justify appropriate action limits for each. Upon approval of the development report, a Process Performance Monitoring (PPM) Plan will be generated containing the list of IPCs, historical data, selection of monitoring tools and response to signal strategy, statistical summary, and visualization of the IPCs. The IPC development report and PPM Plan will be further updated as laboratory and production scale characterization and validation data is gained, once defined production milestones are achieved, and then annually afterward. The annual updates will assess the overall state of process control and include process capability analysis and assessment of evidence of special cause variation for all applicable IPCs. Process data for individual lots will be monitored through [* * *] PPM meetings, where any trend signals are identified and responded to. These meetings will be attended by subject matter experts from departments including, but not limited to, [* * *].</w:t>
      </w:r>
    </w:p>
    <w:p>
      <w:pPr>
        <w:spacing w:after="0" w:line="49" w:lineRule="exact"/>
        <w:rPr>
          <w:rFonts w:ascii="Arial" w:cs="Arial" w:eastAsia="Arial" w:hAnsi="Arial"/>
          <w:sz w:val="21"/>
          <w:szCs w:val="21"/>
          <w:color w:val="auto"/>
        </w:rPr>
      </w:pPr>
    </w:p>
    <w:p>
      <w:pPr>
        <w:ind w:left="310" w:hanging="310"/>
        <w:spacing w:after="0"/>
        <w:tabs>
          <w:tab w:leader="none" w:pos="310" w:val="left"/>
        </w:tabs>
        <w:numPr>
          <w:ilvl w:val="0"/>
          <w:numId w:val="78"/>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Master Cell Bank (MCB) Genetic Characterization</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 * *]</w:t>
      </w:r>
      <w:r>
        <w:rPr>
          <w:rFonts w:ascii="Times New Roman" w:cs="Times New Roman" w:eastAsia="Times New Roman" w:hAnsi="Times New Roman"/>
          <w:sz w:val="21"/>
          <w:szCs w:val="21"/>
          <w:color w:val="auto"/>
        </w:rPr>
        <w:t>.</w:t>
      </w:r>
    </w:p>
    <w:p>
      <w:pPr>
        <w:spacing w:after="0" w:line="103" w:lineRule="exact"/>
        <w:rPr>
          <w:rFonts w:ascii="Courier New" w:cs="Courier New" w:eastAsia="Courier New" w:hAnsi="Courier New"/>
          <w:sz w:val="21"/>
          <w:szCs w:val="21"/>
          <w:color w:val="auto"/>
        </w:rPr>
      </w:pPr>
    </w:p>
    <w:p>
      <w:pPr>
        <w:ind w:left="310" w:hanging="310"/>
        <w:spacing w:after="0" w:line="235" w:lineRule="auto"/>
        <w:tabs>
          <w:tab w:leader="none" w:pos="310" w:val="left"/>
        </w:tabs>
        <w:numPr>
          <w:ilvl w:val="0"/>
          <w:numId w:val="78"/>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Working Cell Bank (WCB) Genetic Characterization</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 * *]</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950"/>
        <w:spacing w:after="0"/>
        <w:rPr>
          <w:sz w:val="20"/>
          <w:szCs w:val="20"/>
          <w:color w:val="auto"/>
        </w:rPr>
      </w:pPr>
      <w:r>
        <w:rPr>
          <w:rFonts w:ascii="Calibri" w:cs="Calibri" w:eastAsia="Calibri" w:hAnsi="Calibri"/>
          <w:sz w:val="20"/>
          <w:szCs w:val="20"/>
          <w:color w:val="auto"/>
        </w:rPr>
        <w:t>6</w:t>
      </w:r>
    </w:p>
    <w:p>
      <w:pPr>
        <w:jc w:val="center"/>
        <w:ind w:right="950"/>
        <w:spacing w:after="0" w:line="191" w:lineRule="auto"/>
        <w:rPr>
          <w:sz w:val="20"/>
          <w:szCs w:val="20"/>
          <w:color w:val="auto"/>
        </w:rPr>
      </w:pPr>
      <w:r>
        <w:rPr>
          <w:rFonts w:ascii="Calibri" w:cs="Calibri" w:eastAsia="Calibri" w:hAnsi="Calibri"/>
          <w:sz w:val="20"/>
          <w:szCs w:val="20"/>
          <w:i w:val="1"/>
          <w:iCs w:val="1"/>
          <w:color w:val="auto"/>
        </w:rPr>
        <w:t>CONFIDENTIAL/PROPRIETARY</w:t>
      </w:r>
    </w:p>
    <w:p>
      <w:pPr>
        <w:sectPr>
          <w:pgSz w:w="11900" w:h="16838" w:orient="portrait"/>
          <w:cols w:equalWidth="0" w:num="1">
            <w:col w:w="10270"/>
          </w:cols>
          <w:pgMar w:left="1290" w:top="1382" w:right="339" w:bottom="1440" w:gutter="0" w:footer="0" w:header="0"/>
        </w:sectPr>
      </w:pPr>
    </w:p>
    <w:bookmarkStart w:id="131" w:name="page132"/>
    <w:bookmarkEnd w:id="131"/>
    <w:p>
      <w:pPr>
        <w:jc w:val="both"/>
        <w:ind w:left="330" w:hanging="330"/>
        <w:spacing w:after="0"/>
        <w:tabs>
          <w:tab w:leader="none" w:pos="325" w:val="left"/>
        </w:tabs>
        <w:numPr>
          <w:ilvl w:val="0"/>
          <w:numId w:val="79"/>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DS/FDS/DP Registration Stability</w:t>
      </w:r>
      <w:r>
        <w:rPr>
          <w:rFonts w:ascii="Times New Roman" w:cs="Times New Roman" w:eastAsia="Times New Roman" w:hAnsi="Times New Roman"/>
          <w:sz w:val="21"/>
          <w:szCs w:val="21"/>
          <w:color w:val="auto"/>
        </w:rPr>
        <w:t>: Stability studies for DS/FDS/DP will be initiated and executed according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stability protocols, International Council for Harmonisation (ICH) guidelines and internal procedures. Quality and control lots will be stored and monitored at the routine long term storage condition per the Specification for [* * *]. Samples will also be stored and monitored at Accelerated [* * *] condition for [* * *], and Stress [* * *] condition for [* * *] for the evaluation and identification of degradation pathways of the molecule. Stability studies performed on the quality and control lots will support the shelf life of each prototype, and confirm that the manufacturing process is suitable for commercial-scale manufacture. All testing will be conducted in a GMP Quality Control (QC) Laboratory. Any Out of Specification (OOS) or Out of Trend (OOT) results will be investigated.</w:t>
      </w:r>
    </w:p>
    <w:p>
      <w:pPr>
        <w:spacing w:after="0" w:line="96" w:lineRule="exact"/>
        <w:rPr>
          <w:rFonts w:ascii="Courier New" w:cs="Courier New" w:eastAsia="Courier New" w:hAnsi="Courier New"/>
          <w:sz w:val="21"/>
          <w:szCs w:val="21"/>
          <w:color w:val="auto"/>
        </w:rPr>
      </w:pPr>
    </w:p>
    <w:p>
      <w:pPr>
        <w:jc w:val="both"/>
        <w:ind w:left="330" w:hanging="330"/>
        <w:spacing w:after="0" w:line="228" w:lineRule="auto"/>
        <w:tabs>
          <w:tab w:leader="none" w:pos="325" w:val="left"/>
        </w:tabs>
        <w:numPr>
          <w:ilvl w:val="0"/>
          <w:numId w:val="79"/>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DS/FDS/DP Shipping Validation</w:t>
      </w:r>
      <w:r>
        <w:rPr>
          <w:rFonts w:ascii="Times New Roman" w:cs="Times New Roman" w:eastAsia="Times New Roman" w:hAnsi="Times New Roman"/>
          <w:sz w:val="21"/>
          <w:szCs w:val="21"/>
          <w:color w:val="auto"/>
        </w:rPr>
        <w:t>: Shipping Validation by actual transport will be performed on the DS/FDS/DP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prototype to cover a distance and duration that will exceed routine shipment to the intended fill site. Successful shipping validation of intended shipping lanes is based on the ability of the container to maintain the product at a specified temperature, to preserve product quality, and meet specifications.</w:t>
      </w:r>
    </w:p>
    <w:p>
      <w:pPr>
        <w:spacing w:after="0" w:line="41" w:lineRule="exact"/>
        <w:rPr>
          <w:rFonts w:ascii="Courier New" w:cs="Courier New" w:eastAsia="Courier New" w:hAnsi="Courier New"/>
          <w:sz w:val="21"/>
          <w:szCs w:val="21"/>
          <w:color w:val="auto"/>
        </w:rPr>
      </w:pPr>
    </w:p>
    <w:p>
      <w:pPr>
        <w:jc w:val="both"/>
        <w:ind w:left="330" w:hanging="330"/>
        <w:spacing w:after="0" w:line="228" w:lineRule="auto"/>
        <w:tabs>
          <w:tab w:leader="none" w:pos="325" w:val="left"/>
        </w:tabs>
        <w:numPr>
          <w:ilvl w:val="0"/>
          <w:numId w:val="79"/>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DS/FDS/DP Photostability Studies</w:t>
      </w:r>
      <w:r>
        <w:rPr>
          <w:rFonts w:ascii="Times New Roman" w:cs="Times New Roman" w:eastAsia="Times New Roman" w:hAnsi="Times New Roman"/>
          <w:sz w:val="21"/>
          <w:szCs w:val="21"/>
          <w:color w:val="auto"/>
        </w:rPr>
        <w:t>: To determine overall photosensitivity of DS/FDS/DP per ICH requirements,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study will be performed at [* * *] under [* * *] and [* * *] light. Samples will be oriented for maximum light exposure using container closures designed for direct exposure, immediate pack/marketing pack, and a foil covered control. Testing will then be performed on [* * *] sample sets for stability indicating attributes.</w:t>
      </w:r>
    </w:p>
    <w:p>
      <w:pPr>
        <w:spacing w:after="0" w:line="41" w:lineRule="exact"/>
        <w:rPr>
          <w:rFonts w:ascii="Courier New" w:cs="Courier New" w:eastAsia="Courier New" w:hAnsi="Courier New"/>
          <w:sz w:val="21"/>
          <w:szCs w:val="21"/>
          <w:color w:val="auto"/>
        </w:rPr>
      </w:pPr>
    </w:p>
    <w:p>
      <w:pPr>
        <w:jc w:val="both"/>
        <w:ind w:left="330" w:hanging="330"/>
        <w:spacing w:after="0" w:line="222" w:lineRule="auto"/>
        <w:tabs>
          <w:tab w:leader="none" w:pos="325" w:val="left"/>
        </w:tabs>
        <w:numPr>
          <w:ilvl w:val="0"/>
          <w:numId w:val="79"/>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QC Reference Standard Production and Stability</w:t>
      </w:r>
      <w:r>
        <w:rPr>
          <w:rFonts w:ascii="Times New Roman" w:cs="Times New Roman" w:eastAsia="Times New Roman" w:hAnsi="Times New Roman"/>
          <w:sz w:val="21"/>
          <w:szCs w:val="21"/>
          <w:color w:val="auto"/>
        </w:rPr>
        <w:t>: Reference standards for the individual DS/FDS/DP GMP lots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be generated according to internal standard operating procedures. The DS/FDS/DP for each prototype will be filled as a product reference standard. The first manufactured lot (lead lot) will be sub-aliquoted into single use vials, stored and routinely monitored at [* * *] by Offeror’s Quality Control personnel. The reference standard will be qualified prior to use, according to specifications. A Certificate of Qualification (CofQ) will be issued for each individual reference standard at the time of initial qualification and following recertification testing. A stability study to monitor the critical quality attributes of each reference standard will also be conducted.</w:t>
      </w:r>
    </w:p>
    <w:p>
      <w:pPr>
        <w:spacing w:after="0" w:line="38" w:lineRule="exact"/>
        <w:rPr>
          <w:rFonts w:ascii="Courier New" w:cs="Courier New" w:eastAsia="Courier New" w:hAnsi="Courier New"/>
          <w:sz w:val="21"/>
          <w:szCs w:val="21"/>
          <w:color w:val="auto"/>
        </w:rPr>
      </w:pPr>
    </w:p>
    <w:p>
      <w:pPr>
        <w:ind w:left="310" w:hanging="310"/>
        <w:spacing w:after="0"/>
        <w:tabs>
          <w:tab w:leader="none" w:pos="310" w:val="left"/>
        </w:tabs>
        <w:numPr>
          <w:ilvl w:val="0"/>
          <w:numId w:val="79"/>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Assay Validation</w:t>
      </w:r>
      <w:r>
        <w:rPr>
          <w:rFonts w:ascii="Times New Roman" w:cs="Times New Roman" w:eastAsia="Times New Roman" w:hAnsi="Times New Roman"/>
          <w:sz w:val="21"/>
          <w:szCs w:val="21"/>
          <w:color w:val="auto"/>
        </w:rPr>
        <w:t>: Will be performed as necessary to support any applicable EUA or other regulatory requirements.</w:t>
      </w:r>
    </w:p>
    <w:p>
      <w:pPr>
        <w:spacing w:after="0" w:line="103" w:lineRule="exact"/>
        <w:rPr>
          <w:rFonts w:ascii="Courier New" w:cs="Courier New" w:eastAsia="Courier New" w:hAnsi="Courier New"/>
          <w:sz w:val="21"/>
          <w:szCs w:val="21"/>
          <w:color w:val="auto"/>
        </w:rPr>
      </w:pPr>
    </w:p>
    <w:p>
      <w:pPr>
        <w:ind w:left="330" w:right="20" w:hanging="330"/>
        <w:spacing w:after="0" w:line="231" w:lineRule="auto"/>
        <w:tabs>
          <w:tab w:leader="none" w:pos="325" w:val="left"/>
        </w:tabs>
        <w:numPr>
          <w:ilvl w:val="0"/>
          <w:numId w:val="79"/>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Manufacturing</w:t>
      </w:r>
      <w:r>
        <w:rPr>
          <w:rFonts w:ascii="Times New Roman" w:cs="Times New Roman" w:eastAsia="Times New Roman" w:hAnsi="Times New Roman"/>
          <w:sz w:val="21"/>
          <w:szCs w:val="21"/>
          <w:color w:val="auto"/>
        </w:rPr>
        <w:t>: Following the completion of the activities described above, Offeror will manufacture prototypes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scale in order to achieve the intended scope of the contract.</w:t>
      </w:r>
    </w:p>
    <w:p>
      <w:pPr>
        <w:spacing w:after="0" w:line="38" w:lineRule="exact"/>
        <w:rPr>
          <w:rFonts w:ascii="Courier New" w:cs="Courier New" w:eastAsia="Courier New" w:hAnsi="Courier New"/>
          <w:sz w:val="21"/>
          <w:szCs w:val="21"/>
          <w:color w:val="auto"/>
        </w:rPr>
      </w:pPr>
    </w:p>
    <w:p>
      <w:pPr>
        <w:jc w:val="both"/>
        <w:ind w:left="330" w:hanging="330"/>
        <w:spacing w:after="0" w:line="234" w:lineRule="auto"/>
        <w:tabs>
          <w:tab w:leader="none" w:pos="325" w:val="left"/>
        </w:tabs>
        <w:numPr>
          <w:ilvl w:val="0"/>
          <w:numId w:val="79"/>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Label/Pack</w:t>
      </w:r>
      <w:r>
        <w:rPr>
          <w:rFonts w:ascii="Times New Roman" w:cs="Times New Roman" w:eastAsia="Times New Roman" w:hAnsi="Times New Roman"/>
          <w:sz w:val="21"/>
          <w:szCs w:val="21"/>
          <w:color w:val="auto"/>
        </w:rPr>
        <w:t>: Labeling and packaging of investigational product for clinical studies or for use under an EUA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approval, will be completed at a GMP contract manufacturing organization managed by Offeror’s External Manufacturing group.</w:t>
      </w:r>
    </w:p>
    <w:p>
      <w:pPr>
        <w:spacing w:after="0" w:line="38" w:lineRule="exact"/>
        <w:rPr>
          <w:rFonts w:ascii="Courier New" w:cs="Courier New" w:eastAsia="Courier New" w:hAnsi="Courier New"/>
          <w:sz w:val="21"/>
          <w:szCs w:val="21"/>
          <w:color w:val="auto"/>
        </w:rPr>
      </w:pPr>
    </w:p>
    <w:p>
      <w:pPr>
        <w:jc w:val="both"/>
        <w:ind w:left="330" w:hanging="330"/>
        <w:spacing w:after="0" w:line="225" w:lineRule="auto"/>
        <w:tabs>
          <w:tab w:leader="none" w:pos="325" w:val="left"/>
        </w:tabs>
        <w:numPr>
          <w:ilvl w:val="0"/>
          <w:numId w:val="79"/>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Storage and Distribution</w:t>
      </w:r>
      <w:r>
        <w:rPr>
          <w:rFonts w:ascii="Times New Roman" w:cs="Times New Roman" w:eastAsia="Times New Roman" w:hAnsi="Times New Roman"/>
          <w:sz w:val="21"/>
          <w:szCs w:val="21"/>
          <w:color w:val="auto"/>
        </w:rPr>
        <w:t>: Packaged and labeled material storage will be managed by Offeror’s External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Manufacturing group and, if an EUA is granted, the Distributor will store and distribute the product in the U.S. at the direction of the Government (i.e., the Government will direct the Distributor as to where the product is to be distributed and in what quantities, and Regeneron will not be responsible for, or involved in, such direction). The process and obligations are illustrated in Figure 1 below. </w:t>
      </w:r>
      <w:r>
        <w:rPr>
          <w:rFonts w:ascii="Times New Roman" w:cs="Times New Roman" w:eastAsia="Times New Roman" w:hAnsi="Times New Roman"/>
          <w:sz w:val="21"/>
          <w:szCs w:val="21"/>
          <w:b w:val="1"/>
          <w:bCs w:val="1"/>
          <w:i w:val="1"/>
          <w:iCs w:val="1"/>
          <w:color w:val="auto"/>
        </w:rPr>
        <w:t>From and after</w:t>
      </w:r>
      <w:r>
        <w:rPr>
          <w:rFonts w:ascii="Times New Roman" w:cs="Times New Roman" w:eastAsia="Times New Roman" w:hAnsi="Times New Roman"/>
          <w:sz w:val="21"/>
          <w:szCs w:val="21"/>
          <w:color w:val="auto"/>
        </w:rPr>
        <w:t xml:space="preserve"> [* * *]</w:t>
      </w:r>
      <w:r>
        <w:rPr>
          <w:rFonts w:ascii="Times New Roman" w:cs="Times New Roman" w:eastAsia="Times New Roman" w:hAnsi="Times New Roman"/>
          <w:sz w:val="21"/>
          <w:szCs w:val="21"/>
          <w:b w:val="1"/>
          <w:bCs w:val="1"/>
          <w:i w:val="1"/>
          <w:iCs w:val="1"/>
          <w:color w:val="auto"/>
        </w:rPr>
        <w:t>, these storage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50"/>
        <w:spacing w:after="0"/>
        <w:rPr>
          <w:sz w:val="20"/>
          <w:szCs w:val="20"/>
          <w:color w:val="auto"/>
        </w:rPr>
      </w:pPr>
      <w:r>
        <w:rPr>
          <w:rFonts w:ascii="Calibri" w:cs="Calibri" w:eastAsia="Calibri" w:hAnsi="Calibri"/>
          <w:sz w:val="20"/>
          <w:szCs w:val="20"/>
          <w:color w:val="auto"/>
        </w:rPr>
        <w:t>7</w:t>
      </w:r>
    </w:p>
    <w:p>
      <w:pPr>
        <w:jc w:val="center"/>
        <w:ind w:right="950"/>
        <w:spacing w:after="0" w:line="191" w:lineRule="auto"/>
        <w:rPr>
          <w:sz w:val="20"/>
          <w:szCs w:val="20"/>
          <w:color w:val="auto"/>
        </w:rPr>
      </w:pPr>
      <w:r>
        <w:rPr>
          <w:rFonts w:ascii="Calibri" w:cs="Calibri" w:eastAsia="Calibri" w:hAnsi="Calibri"/>
          <w:sz w:val="20"/>
          <w:szCs w:val="20"/>
          <w:i w:val="1"/>
          <w:iCs w:val="1"/>
          <w:color w:val="auto"/>
        </w:rPr>
        <w:t>CONFIDENTIAL/PROPRIETARY</w:t>
      </w:r>
    </w:p>
    <w:p>
      <w:pPr>
        <w:sectPr>
          <w:pgSz w:w="11900" w:h="16838" w:orient="portrait"/>
          <w:cols w:equalWidth="0" w:num="1">
            <w:col w:w="10270"/>
          </w:cols>
          <w:pgMar w:left="1290" w:top="1379" w:right="339" w:bottom="1440" w:gutter="0" w:footer="0" w:header="0"/>
        </w:sectPr>
      </w:pPr>
    </w:p>
    <w:bookmarkStart w:id="132" w:name="page133"/>
    <w:bookmarkEnd w:id="132"/>
    <w:p>
      <w:pPr>
        <w:ind w:left="1300"/>
        <w:spacing w:after="0"/>
        <w:rPr>
          <w:sz w:val="20"/>
          <w:szCs w:val="20"/>
          <w:color w:val="auto"/>
        </w:rPr>
      </w:pPr>
      <w:r>
        <w:rPr>
          <w:rFonts w:ascii="Times New Roman" w:cs="Times New Roman" w:eastAsia="Times New Roman" w:hAnsi="Times New Roman"/>
          <w:sz w:val="21"/>
          <w:szCs w:val="21"/>
          <w:b w:val="1"/>
          <w:bCs w:val="1"/>
          <w:i w:val="1"/>
          <w:iCs w:val="1"/>
          <w:color w:val="auto"/>
        </w:rPr>
        <w:t>distribution activities for FAR Product, will also be supported under this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Figure 1 – Distribution Process: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 * ]</w:t>
      </w:r>
    </w:p>
    <w:p>
      <w:pPr>
        <w:spacing w:after="0" w:line="200" w:lineRule="exact"/>
        <w:rPr>
          <w:sz w:val="20"/>
          <w:szCs w:val="20"/>
          <w:color w:val="auto"/>
        </w:rPr>
      </w:pPr>
    </w:p>
    <w:p>
      <w:pPr>
        <w:spacing w:after="0" w:line="248" w:lineRule="exact"/>
        <w:rPr>
          <w:sz w:val="20"/>
          <w:szCs w:val="20"/>
          <w:color w:val="auto"/>
        </w:rPr>
      </w:pPr>
    </w:p>
    <w:p>
      <w:pPr>
        <w:jc w:val="both"/>
        <w:ind w:left="1300" w:hanging="330"/>
        <w:spacing w:after="0" w:line="229" w:lineRule="auto"/>
        <w:tabs>
          <w:tab w:leader="none" w:pos="1295" w:val="left"/>
        </w:tabs>
        <w:numPr>
          <w:ilvl w:val="0"/>
          <w:numId w:val="80"/>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i w:val="1"/>
          <w:iCs w:val="1"/>
          <w:color w:val="auto"/>
        </w:rPr>
        <w:t>Regulatory Activities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Regeneron will seek to obtain approvals for shelf-life extension for product purchased under this Agreement and FAR Product. These activities will include support of CMC Regulatory Sciences and Affairs in drafting of technical documents, initiating change controls, gathering, presenting and reviewing information, and submission of documents to the FDA.</w:t>
      </w:r>
    </w:p>
    <w:p>
      <w:pPr>
        <w:spacing w:after="0" w:line="17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3.2</w:t>
        <w:tab/>
        <w:t>Management and Reporting</w:t>
      </w:r>
    </w:p>
    <w:p>
      <w:pPr>
        <w:spacing w:after="0" w:line="21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3.2.1</w:t>
        <w:tab/>
        <w:t>Program Management</w:t>
      </w:r>
    </w:p>
    <w:p>
      <w:pPr>
        <w:spacing w:after="0" w:line="21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Below are the individuals currently assigned to key roles on the project team. Regeneron reserves the right to make personnel changes which will be communicated accordingly.</w:t>
      </w:r>
    </w:p>
    <w:p>
      <w:pPr>
        <w:spacing w:after="0" w:line="168" w:lineRule="exact"/>
        <w:rPr>
          <w:sz w:val="20"/>
          <w:szCs w:val="20"/>
          <w:color w:val="auto"/>
        </w:rPr>
      </w:pPr>
    </w:p>
    <w:p>
      <w:pPr>
        <w:jc w:val="both"/>
        <w:ind w:left="980" w:hanging="331"/>
        <w:spacing w:after="0" w:line="234" w:lineRule="auto"/>
        <w:tabs>
          <w:tab w:leader="none" w:pos="968"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will manage, integrate and coordinate all activities, including utilizing Regeneron’s state-of-the-art technical and administrative infrastructure to ensure efficient planning, initiation, implementation and direction of contracted activities.</w:t>
      </w:r>
    </w:p>
    <w:p>
      <w:pPr>
        <w:spacing w:after="0" w:line="42" w:lineRule="exact"/>
        <w:rPr>
          <w:rFonts w:ascii="Times New Roman" w:cs="Times New Roman" w:eastAsia="Times New Roman" w:hAnsi="Times New Roman"/>
          <w:sz w:val="21"/>
          <w:szCs w:val="21"/>
          <w:color w:val="auto"/>
        </w:rPr>
      </w:pPr>
    </w:p>
    <w:p>
      <w:pPr>
        <w:ind w:left="980" w:hanging="331"/>
        <w:spacing w:after="0"/>
        <w:tabs>
          <w:tab w:leader="none" w:pos="98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 * *], is responsible for guiding the project approach and scope of this Program.</w:t>
      </w:r>
    </w:p>
    <w:p>
      <w:pPr>
        <w:spacing w:after="0" w:line="79" w:lineRule="exact"/>
        <w:rPr>
          <w:rFonts w:ascii="Times New Roman" w:cs="Times New Roman" w:eastAsia="Times New Roman" w:hAnsi="Times New Roman"/>
          <w:sz w:val="21"/>
          <w:szCs w:val="21"/>
          <w:color w:val="auto"/>
        </w:rPr>
      </w:pPr>
    </w:p>
    <w:p>
      <w:pPr>
        <w:jc w:val="both"/>
        <w:ind w:left="980" w:hanging="331"/>
        <w:spacing w:after="0" w:line="234" w:lineRule="auto"/>
        <w:tabs>
          <w:tab w:leader="none" w:pos="968"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will serve as Lead PI for this Program. The PI will be responsible for project management, communication, tracking, monitoring and reporting on status and progress, and modification to the project requirements and timelines, including any projects undertaken by subcontractors.</w:t>
      </w:r>
    </w:p>
    <w:p>
      <w:pPr>
        <w:spacing w:after="0" w:line="42" w:lineRule="exact"/>
        <w:rPr>
          <w:rFonts w:ascii="Times New Roman" w:cs="Times New Roman" w:eastAsia="Times New Roman" w:hAnsi="Times New Roman"/>
          <w:sz w:val="21"/>
          <w:szCs w:val="21"/>
          <w:color w:val="auto"/>
        </w:rPr>
      </w:pPr>
    </w:p>
    <w:p>
      <w:pPr>
        <w:jc w:val="both"/>
        <w:ind w:left="980" w:hanging="331"/>
        <w:spacing w:after="0" w:line="234" w:lineRule="auto"/>
        <w:tabs>
          <w:tab w:leader="none" w:pos="98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 * *], will be responsible for monitoring and tracking day-to-day progress and timelines, coordinating communication and project activities, costs incurred, and program management for this Program. The contract deliverables list identifies all contract deliverables and reporting requirements for this contract.</w:t>
      </w:r>
    </w:p>
    <w:p>
      <w:pPr>
        <w:spacing w:after="0" w:line="42" w:lineRule="exact"/>
        <w:rPr>
          <w:rFonts w:ascii="Times New Roman" w:cs="Times New Roman" w:eastAsia="Times New Roman" w:hAnsi="Times New Roman"/>
          <w:sz w:val="21"/>
          <w:szCs w:val="21"/>
          <w:color w:val="auto"/>
        </w:rPr>
      </w:pPr>
    </w:p>
    <w:p>
      <w:pPr>
        <w:ind w:left="960" w:hanging="311"/>
        <w:spacing w:after="0"/>
        <w:tabs>
          <w:tab w:leader="none" w:pos="96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 will provide development of compliant subcontracts, consulting, and other legal agreements.</w:t>
      </w:r>
    </w:p>
    <w:p>
      <w:pPr>
        <w:spacing w:after="0" w:line="79" w:lineRule="exact"/>
        <w:rPr>
          <w:rFonts w:ascii="Times New Roman" w:cs="Times New Roman" w:eastAsia="Times New Roman" w:hAnsi="Times New Roman"/>
          <w:sz w:val="21"/>
          <w:szCs w:val="21"/>
          <w:color w:val="auto"/>
        </w:rPr>
      </w:pPr>
    </w:p>
    <w:p>
      <w:pPr>
        <w:ind w:left="980" w:hanging="331"/>
        <w:spacing w:after="0" w:line="249" w:lineRule="auto"/>
        <w:tabs>
          <w:tab w:leader="none" w:pos="971"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will be responsible for financial management and reporting on all activities conducted by Regeneron and any subcontractors.</w:t>
      </w:r>
    </w:p>
    <w:p>
      <w:pPr>
        <w:spacing w:after="0" w:line="33" w:lineRule="exact"/>
        <w:rPr>
          <w:rFonts w:ascii="Times New Roman" w:cs="Times New Roman" w:eastAsia="Times New Roman" w:hAnsi="Times New Roman"/>
          <w:sz w:val="21"/>
          <w:szCs w:val="21"/>
          <w:color w:val="auto"/>
        </w:rPr>
      </w:pPr>
    </w:p>
    <w:p>
      <w:pPr>
        <w:ind w:left="980" w:hanging="331"/>
        <w:spacing w:after="0" w:line="249" w:lineRule="auto"/>
        <w:tabs>
          <w:tab w:leader="none" w:pos="98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 * *], will be responsible for facilitating the development of integrated CMC plans and for monitoring and tracking the progress of the CMC milestones.</w:t>
      </w:r>
    </w:p>
    <w:p>
      <w:pPr>
        <w:spacing w:after="0" w:line="33" w:lineRule="exact"/>
        <w:rPr>
          <w:rFonts w:ascii="Times New Roman" w:cs="Times New Roman" w:eastAsia="Times New Roman" w:hAnsi="Times New Roman"/>
          <w:sz w:val="21"/>
          <w:szCs w:val="21"/>
          <w:color w:val="auto"/>
        </w:rPr>
      </w:pPr>
    </w:p>
    <w:p>
      <w:pPr>
        <w:ind w:left="980" w:hanging="331"/>
        <w:spacing w:after="0" w:line="249" w:lineRule="auto"/>
        <w:tabs>
          <w:tab w:leader="none" w:pos="98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 * *], will be responsible for management of batch disposition, oversight of discrepancy investigations, and to ensure all released product conforms to GMP standards.</w:t>
      </w:r>
    </w:p>
    <w:p>
      <w:pPr>
        <w:spacing w:after="0" w:line="33" w:lineRule="exact"/>
        <w:rPr>
          <w:rFonts w:ascii="Times New Roman" w:cs="Times New Roman" w:eastAsia="Times New Roman" w:hAnsi="Times New Roman"/>
          <w:sz w:val="21"/>
          <w:szCs w:val="21"/>
          <w:color w:val="auto"/>
        </w:rPr>
      </w:pPr>
    </w:p>
    <w:p>
      <w:pPr>
        <w:ind w:left="960" w:hanging="311"/>
        <w:spacing w:after="0"/>
        <w:tabs>
          <w:tab w:leader="none" w:pos="96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 * *], will be responsible for analytical method development, method transfer and specification development.</w:t>
      </w:r>
    </w:p>
    <w:p>
      <w:pPr>
        <w:spacing w:after="0" w:line="79" w:lineRule="exact"/>
        <w:rPr>
          <w:rFonts w:ascii="Times New Roman" w:cs="Times New Roman" w:eastAsia="Times New Roman" w:hAnsi="Times New Roman"/>
          <w:sz w:val="21"/>
          <w:szCs w:val="21"/>
          <w:color w:val="auto"/>
        </w:rPr>
      </w:pPr>
    </w:p>
    <w:p>
      <w:pPr>
        <w:jc w:val="both"/>
        <w:ind w:left="980" w:hanging="331"/>
        <w:spacing w:after="0" w:line="234" w:lineRule="auto"/>
        <w:tabs>
          <w:tab w:leader="none" w:pos="97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 * *], will be responsible for ensuring Regeneron quality, preclinical, and clinical drug development programs are conducted in compliance with regulations governing pharmaceutical drug development, and with project specific regulatory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8</w:t>
      </w:r>
    </w:p>
    <w:p>
      <w:pPr>
        <w:jc w:val="center"/>
        <w:spacing w:after="0" w:line="191" w:lineRule="auto"/>
        <w:rPr>
          <w:sz w:val="20"/>
          <w:szCs w:val="20"/>
          <w:color w:val="auto"/>
        </w:rPr>
      </w:pPr>
      <w:r>
        <w:rPr>
          <w:rFonts w:ascii="Calibri" w:cs="Calibri" w:eastAsia="Calibri" w:hAnsi="Calibri"/>
          <w:sz w:val="20"/>
          <w:szCs w:val="20"/>
          <w:i w:val="1"/>
          <w:iCs w:val="1"/>
          <w:color w:val="auto"/>
        </w:rPr>
        <w:t>CONFIDENTIAL/PROPRIETARY</w:t>
      </w:r>
    </w:p>
    <w:p>
      <w:pPr>
        <w:sectPr>
          <w:pgSz w:w="11900" w:h="16838" w:orient="portrait"/>
          <w:cols w:equalWidth="0" w:num="1">
            <w:col w:w="11240"/>
          </w:cols>
          <w:pgMar w:left="320" w:top="1376" w:right="339" w:bottom="1440" w:gutter="0" w:footer="0" w:header="0"/>
        </w:sectPr>
      </w:pPr>
    </w:p>
    <w:bookmarkStart w:id="133" w:name="page134"/>
    <w:bookmarkEnd w:id="133"/>
    <w:p>
      <w:pPr>
        <w:ind w:left="980"/>
        <w:spacing w:after="0"/>
        <w:rPr>
          <w:sz w:val="20"/>
          <w:szCs w:val="20"/>
          <w:color w:val="auto"/>
        </w:rPr>
      </w:pPr>
      <w:r>
        <w:rPr>
          <w:rFonts w:ascii="Times New Roman" w:cs="Times New Roman" w:eastAsia="Times New Roman" w:hAnsi="Times New Roman"/>
          <w:sz w:val="21"/>
          <w:szCs w:val="21"/>
          <w:color w:val="auto"/>
        </w:rPr>
        <w:t>requirements, and will serve as the liaison for communications with the US Food and Drug Administration.</w:t>
      </w:r>
    </w:p>
    <w:p>
      <w:pPr>
        <w:spacing w:after="0" w:line="79" w:lineRule="exact"/>
        <w:rPr>
          <w:sz w:val="20"/>
          <w:szCs w:val="20"/>
          <w:color w:val="auto"/>
        </w:rPr>
      </w:pPr>
    </w:p>
    <w:p>
      <w:pPr>
        <w:ind w:left="980" w:right="20" w:hanging="331"/>
        <w:spacing w:after="0" w:line="249" w:lineRule="auto"/>
        <w:tabs>
          <w:tab w:leader="none" w:pos="98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provide Quarterly Progress Reports, which shall include a description of the activities during the reporting period and the activities planned for the ensuing reporting period.</w:t>
      </w:r>
    </w:p>
    <w:p>
      <w:pPr>
        <w:spacing w:after="0" w:line="33" w:lineRule="exact"/>
        <w:rPr>
          <w:rFonts w:ascii="Times New Roman" w:cs="Times New Roman" w:eastAsia="Times New Roman" w:hAnsi="Times New Roman"/>
          <w:sz w:val="21"/>
          <w:szCs w:val="21"/>
          <w:color w:val="auto"/>
        </w:rPr>
      </w:pPr>
    </w:p>
    <w:p>
      <w:pPr>
        <w:ind w:left="980" w:hanging="331"/>
        <w:spacing w:after="0" w:line="249" w:lineRule="auto"/>
        <w:tabs>
          <w:tab w:leader="none" w:pos="972"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provide Annual Progress Reports, which shall include a summation of the activities during the reporting period, and the activities planned for the ensuing reporting period.</w:t>
      </w:r>
    </w:p>
    <w:p>
      <w:pPr>
        <w:spacing w:after="0" w:line="33" w:lineRule="exact"/>
        <w:rPr>
          <w:rFonts w:ascii="Times New Roman" w:cs="Times New Roman" w:eastAsia="Times New Roman" w:hAnsi="Times New Roman"/>
          <w:sz w:val="21"/>
          <w:szCs w:val="21"/>
          <w:color w:val="auto"/>
        </w:rPr>
      </w:pPr>
    </w:p>
    <w:p>
      <w:pPr>
        <w:jc w:val="both"/>
        <w:ind w:left="980" w:hanging="331"/>
        <w:spacing w:after="0" w:line="234" w:lineRule="auto"/>
        <w:tabs>
          <w:tab w:leader="none" w:pos="972"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provide Draft and Final Reports, which shall include a summation of the work performed and results obtained for execution of various studies or technical work packages during the entire contract period of performance. This report shall describe the results achieved.</w:t>
      </w:r>
    </w:p>
    <w:p>
      <w:pPr>
        <w:spacing w:after="0" w:line="42" w:lineRule="exact"/>
        <w:rPr>
          <w:rFonts w:ascii="Times New Roman" w:cs="Times New Roman" w:eastAsia="Times New Roman" w:hAnsi="Times New Roman"/>
          <w:sz w:val="21"/>
          <w:szCs w:val="21"/>
          <w:color w:val="auto"/>
        </w:rPr>
      </w:pPr>
    </w:p>
    <w:p>
      <w:pPr>
        <w:jc w:val="both"/>
        <w:ind w:left="980" w:hanging="331"/>
        <w:spacing w:after="0" w:line="218" w:lineRule="auto"/>
        <w:tabs>
          <w:tab w:leader="none" w:pos="98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participate in regular meetings to coordinate and oversee the contract effort, as directed by a single point of contact established by the Government. Such meetings may include, but are not limited to, meetings of Regeneron and subcontractors to discuss clinical manufacturing progress, product development, scale-up manufacturing development, preclinical/clinical study designs and regulatory issues, meetings with individual contractors and other Health and Human Services (HHS) officials to discuss the technical, regulatory, and ethical aspects of the program, and meetings with technical consultants to discuss technical data provided by Regeneron. Regeneron shall also consult with the Government as required in connection with meetings and submissions to regulatory agencies, including the FDA. The Government will establish a single point of contact for regular meetings and coordinate all requests for information through such point of contact, such that Regeneron shall not be required to attend multiple meetings with different Government agencies for the same (or similar) subject matter, or respond to multiple requests for information or materials concerning the same (or similar) subject matter.</w:t>
      </w:r>
    </w:p>
    <w:p>
      <w:pPr>
        <w:spacing w:after="0" w:line="47" w:lineRule="exact"/>
        <w:rPr>
          <w:rFonts w:ascii="Times New Roman" w:cs="Times New Roman" w:eastAsia="Times New Roman" w:hAnsi="Times New Roman"/>
          <w:sz w:val="21"/>
          <w:szCs w:val="21"/>
          <w:color w:val="auto"/>
        </w:rPr>
      </w:pPr>
    </w:p>
    <w:p>
      <w:pPr>
        <w:ind w:left="980" w:hanging="331"/>
        <w:spacing w:after="0" w:line="249" w:lineRule="auto"/>
        <w:tabs>
          <w:tab w:leader="none" w:pos="98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participate in teleconferences at an agreed upon frequency between Regeneron and the Government to review technical progress.</w:t>
      </w:r>
    </w:p>
    <w:p>
      <w:pPr>
        <w:spacing w:after="0" w:line="16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3.2.2</w:t>
        <w:tab/>
        <w:t>Integrated Master Schedule (IMS)</w:t>
      </w:r>
    </w:p>
    <w:p>
      <w:pPr>
        <w:jc w:val="both"/>
        <w:ind w:left="640"/>
        <w:spacing w:after="0" w:line="219" w:lineRule="auto"/>
        <w:rPr>
          <w:sz w:val="20"/>
          <w:szCs w:val="20"/>
          <w:color w:val="auto"/>
        </w:rPr>
      </w:pPr>
      <w:r>
        <w:rPr>
          <w:rFonts w:ascii="Times New Roman" w:cs="Times New Roman" w:eastAsia="Times New Roman" w:hAnsi="Times New Roman"/>
          <w:sz w:val="21"/>
          <w:szCs w:val="21"/>
          <w:color w:val="auto"/>
        </w:rPr>
        <w:t>Regeneron will provide an Integrated Master Schedule within [* * *] of the award, and shall update such schedule to reflect any material changes. Within an agreed upon timeframe of the effective date of the contract, Regeneron will make any agreed upon changes between Regeneron and Agreements Officer and/or Project Officer at the Government. The IMS shall be incorporated into the contract and will be used to monitor performance of the contract. Regeneron shall include the key milestones and Go/No-Go decision gates. The IMS for the period of performance will be accepted by the Government [* * *] of the Government’s receipt of such IMS.</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3.2.3</w:t>
        <w:tab/>
        <w:t>Reporting</w:t>
      </w:r>
    </w:p>
    <w:p>
      <w:pPr>
        <w:jc w:val="both"/>
        <w:ind w:left="640" w:firstLine="7"/>
        <w:spacing w:after="0" w:line="220" w:lineRule="auto"/>
        <w:rPr>
          <w:sz w:val="20"/>
          <w:szCs w:val="20"/>
          <w:color w:val="auto"/>
        </w:rPr>
      </w:pPr>
      <w:r>
        <w:rPr>
          <w:rFonts w:ascii="Times New Roman" w:cs="Times New Roman" w:eastAsia="Times New Roman" w:hAnsi="Times New Roman"/>
          <w:sz w:val="21"/>
          <w:szCs w:val="21"/>
          <w:color w:val="auto"/>
        </w:rPr>
        <w:t>On completion of a stage of the product development, as defined in the agreed upon IMS and Integrated Master Plan, Regeneron shall prepare and submit to the Project Officer and the Agreements Officer, reports from time to time that contain (i) reasonable detail, documentation and analysis to support successful completion of the stage according to the predetermined qualitative and quantitative criteria, and (ii) a description of the next stage of product development to be initiated, and a request for approval to proceed to the next stage of product development.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3.2.4</w:t>
        <w:tab/>
        <w:t>Data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9</w:t>
      </w:r>
    </w:p>
    <w:p>
      <w:pPr>
        <w:jc w:val="center"/>
        <w:spacing w:after="0" w:line="191" w:lineRule="auto"/>
        <w:rPr>
          <w:sz w:val="20"/>
          <w:szCs w:val="20"/>
          <w:color w:val="auto"/>
        </w:rPr>
      </w:pPr>
      <w:r>
        <w:rPr>
          <w:rFonts w:ascii="Calibri" w:cs="Calibri" w:eastAsia="Calibri" w:hAnsi="Calibri"/>
          <w:sz w:val="20"/>
          <w:szCs w:val="20"/>
          <w:i w:val="1"/>
          <w:iCs w:val="1"/>
          <w:color w:val="auto"/>
        </w:rPr>
        <w:t>CONFIDENTIAL/PROPRIETARY</w:t>
      </w:r>
    </w:p>
    <w:p>
      <w:pPr>
        <w:sectPr>
          <w:pgSz w:w="11900" w:h="16838" w:orient="portrait"/>
          <w:cols w:equalWidth="0" w:num="1">
            <w:col w:w="11240"/>
          </w:cols>
          <w:pgMar w:left="320" w:top="1383" w:right="339" w:bottom="1440" w:gutter="0" w:footer="0" w:header="0"/>
        </w:sectPr>
      </w:pPr>
    </w:p>
    <w:bookmarkStart w:id="134" w:name="page135"/>
    <w:bookmarkEnd w:id="134"/>
    <w:p>
      <w:pPr>
        <w:jc w:val="both"/>
        <w:ind w:left="640" w:right="20" w:hanging="43"/>
        <w:spacing w:after="0" w:line="234" w:lineRule="auto"/>
        <w:rPr>
          <w:sz w:val="20"/>
          <w:szCs w:val="20"/>
          <w:color w:val="auto"/>
        </w:rPr>
      </w:pPr>
      <w:r>
        <w:rPr>
          <w:rFonts w:ascii="Times New Roman" w:cs="Times New Roman" w:eastAsia="Times New Roman" w:hAnsi="Times New Roman"/>
          <w:sz w:val="21"/>
          <w:szCs w:val="21"/>
          <w:color w:val="auto"/>
        </w:rPr>
        <w:t>Regeneron will utilize existing systems to implement data management and quality control systems/procedures, including transmission, storage, confidentiality, and retrieval of contract data. Provide analysis of data generated with contract funding to the Project Officer or Agreements Officer, upon request.</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3.2.5</w:t>
        <w:tab/>
        <w:t>Technical and Financial Reporting</w:t>
      </w:r>
    </w:p>
    <w:p>
      <w:pPr>
        <w:spacing w:after="0" w:line="217" w:lineRule="exact"/>
        <w:rPr>
          <w:sz w:val="20"/>
          <w:szCs w:val="20"/>
          <w:color w:val="auto"/>
        </w:rPr>
      </w:pPr>
    </w:p>
    <w:p>
      <w:pPr>
        <w:jc w:val="both"/>
        <w:ind w:left="640" w:right="40"/>
        <w:spacing w:after="0" w:line="249" w:lineRule="auto"/>
        <w:rPr>
          <w:sz w:val="20"/>
          <w:szCs w:val="20"/>
          <w:color w:val="auto"/>
        </w:rPr>
      </w:pPr>
      <w:r>
        <w:rPr>
          <w:rFonts w:ascii="Times New Roman" w:cs="Times New Roman" w:eastAsia="Times New Roman" w:hAnsi="Times New Roman"/>
          <w:sz w:val="21"/>
          <w:szCs w:val="21"/>
          <w:color w:val="auto"/>
        </w:rPr>
        <w:t>Technical Reports are described in Section 3.3.1 k., l. and m. They are also listed in the milestone schedule and deliverables table in Section 5 of this Statement of Work.</w:t>
      </w:r>
    </w:p>
    <w:p>
      <w:pPr>
        <w:spacing w:after="0" w:line="168" w:lineRule="exact"/>
        <w:rPr>
          <w:sz w:val="20"/>
          <w:szCs w:val="20"/>
          <w:color w:val="auto"/>
        </w:rPr>
      </w:pPr>
    </w:p>
    <w:p>
      <w:pPr>
        <w:jc w:val="both"/>
        <w:ind w:left="640" w:right="20"/>
        <w:spacing w:after="0" w:line="228" w:lineRule="auto"/>
        <w:rPr>
          <w:sz w:val="20"/>
          <w:szCs w:val="20"/>
          <w:color w:val="auto"/>
        </w:rPr>
      </w:pPr>
      <w:r>
        <w:rPr>
          <w:rFonts w:ascii="Times New Roman" w:cs="Times New Roman" w:eastAsia="Times New Roman" w:hAnsi="Times New Roman"/>
          <w:sz w:val="21"/>
          <w:szCs w:val="21"/>
          <w:color w:val="auto"/>
        </w:rPr>
        <w:t>For Financial Reporting, firm fixed price or cost-reimbursement invoices will be submitted on a quarterly or monthly basis, as described in Section 5 below. Invoices will include data and technical reports sufficient to support the accomplishment of each milestone, as appropriate, during the invoicing period. Regeneron will provide quarterly Financial Status Reports outlining billed vs. budgeted activity for each period, and in aggregate for the contract.</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3.2.6</w:t>
        <w:tab/>
        <w:t>Product Development Manufacturing Reports and Projections</w:t>
      </w:r>
    </w:p>
    <w:p>
      <w:pPr>
        <w:spacing w:after="0" w:line="217" w:lineRule="exact"/>
        <w:rPr>
          <w:sz w:val="20"/>
          <w:szCs w:val="20"/>
          <w:color w:val="auto"/>
        </w:rPr>
      </w:pPr>
    </w:p>
    <w:p>
      <w:pPr>
        <w:jc w:val="both"/>
        <w:ind w:left="640" w:right="20"/>
        <w:spacing w:after="0"/>
        <w:rPr>
          <w:sz w:val="20"/>
          <w:szCs w:val="20"/>
          <w:color w:val="auto"/>
        </w:rPr>
      </w:pPr>
      <w:r>
        <w:rPr>
          <w:rFonts w:ascii="Times New Roman" w:cs="Times New Roman" w:eastAsia="Times New Roman" w:hAnsi="Times New Roman"/>
          <w:sz w:val="21"/>
          <w:szCs w:val="21"/>
          <w:color w:val="auto"/>
        </w:rPr>
        <w:t>Regeneron will provide manufacturing reports and manufacturing dose tracking projections/actuals, in the format and having the content mutually agreed upon by the Government and Regeneron. Regeneron will update the reports [* * *] during manufacturing campaigns and upon manufacturing deliverable submission during COVID-19 response operations (where a Public Health Emergency has been declared), with the first deliverable submission within [* * *] of award/modification. For clarity, the reports described in this Section 3.2.6 apply to Formulated Drug Substance and Drug Product prior to delivery and acceptance by the Government. Tracking reports for product following delivery and acceptance, shall be set forth in the Memorandum of Understanding between Regeneron, the Distributor, and the Government.</w:t>
      </w:r>
    </w:p>
    <w:p>
      <w:pPr>
        <w:spacing w:after="0" w:line="25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4.0</w:t>
        <w:tab/>
        <w:t>DELIVERABLES</w:t>
      </w:r>
    </w:p>
    <w:p>
      <w:pPr>
        <w:spacing w:after="0" w:line="21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1"/>
          <w:szCs w:val="21"/>
          <w:color w:val="auto"/>
        </w:rPr>
        <w:t>Offeror assumed [* * *]; Filled/Finished Drug Product Deliveries [* * *]. Regeneron shall have the right to provide deliverables directly to the Government and not to the Consortium Management Firm (CMF).</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 xml:space="preserve">Deliverable Table (June 2020 </w:t>
      </w:r>
      <w:r>
        <w:rPr>
          <w:rFonts w:ascii="Times New Roman" w:cs="Times New Roman" w:eastAsia="Times New Roman" w:hAnsi="Times New Roman"/>
          <w:sz w:val="21"/>
          <w:szCs w:val="21"/>
          <w:b w:val="1"/>
          <w:bCs w:val="1"/>
          <w:i w:val="1"/>
          <w:iCs w:val="1"/>
          <w:u w:val="single" w:color="auto"/>
          <w:color w:val="auto"/>
        </w:rPr>
        <w:t>- March 2023)</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3380" w:type="dxa"/>
            <w:vAlign w:val="bottom"/>
            <w:tcBorders>
              <w:top w:val="single" w:sz="8" w:color="auto"/>
              <w:left w:val="single" w:sz="8" w:color="auto"/>
              <w:bottom w:val="single" w:sz="8" w:color="auto"/>
              <w:right w:val="single" w:sz="8" w:color="auto"/>
            </w:tcBorders>
            <w:shd w:val="clear" w:color="auto" w:fill="D9CBA7"/>
          </w:tcPr>
          <w:p>
            <w:pPr>
              <w:ind w:left="1160"/>
              <w:spacing w:after="0"/>
              <w:rPr>
                <w:sz w:val="20"/>
                <w:szCs w:val="20"/>
                <w:color w:val="auto"/>
              </w:rPr>
            </w:pPr>
            <w:r>
              <w:rPr>
                <w:rFonts w:ascii="Times New Roman" w:cs="Times New Roman" w:eastAsia="Times New Roman" w:hAnsi="Times New Roman"/>
                <w:sz w:val="21"/>
                <w:szCs w:val="21"/>
                <w:b w:val="1"/>
                <w:bCs w:val="1"/>
                <w:color w:val="auto"/>
              </w:rPr>
              <w:t>Deliverable</w:t>
            </w:r>
          </w:p>
        </w:tc>
        <w:tc>
          <w:tcPr>
            <w:tcW w:w="2460" w:type="dxa"/>
            <w:vAlign w:val="bottom"/>
            <w:tcBorders>
              <w:top w:val="single" w:sz="8" w:color="auto"/>
              <w:bottom w:val="single" w:sz="8" w:color="auto"/>
              <w:right w:val="single" w:sz="8" w:color="auto"/>
            </w:tcBorders>
            <w:shd w:val="clear" w:color="auto" w:fill="D9CBA7"/>
          </w:tcPr>
          <w:p>
            <w:pPr>
              <w:ind w:left="780"/>
              <w:spacing w:after="0"/>
              <w:rPr>
                <w:sz w:val="20"/>
                <w:szCs w:val="20"/>
                <w:color w:val="auto"/>
              </w:rPr>
            </w:pPr>
            <w:r>
              <w:rPr>
                <w:rFonts w:ascii="Times New Roman" w:cs="Times New Roman" w:eastAsia="Times New Roman" w:hAnsi="Times New Roman"/>
                <w:sz w:val="21"/>
                <w:szCs w:val="21"/>
                <w:b w:val="1"/>
                <w:bCs w:val="1"/>
                <w:color w:val="auto"/>
              </w:rPr>
              <w:t>Due Date</w:t>
            </w:r>
          </w:p>
        </w:tc>
        <w:tc>
          <w:tcPr>
            <w:tcW w:w="3480" w:type="dxa"/>
            <w:vAlign w:val="bottom"/>
            <w:tcBorders>
              <w:top w:val="single" w:sz="8" w:color="auto"/>
              <w:bottom w:val="single" w:sz="8" w:color="auto"/>
              <w:right w:val="single" w:sz="8" w:color="auto"/>
            </w:tcBorders>
            <w:shd w:val="clear" w:color="auto" w:fill="D9CBA7"/>
          </w:tcPr>
          <w:p>
            <w:pPr>
              <w:jc w:val="center"/>
              <w:spacing w:after="0"/>
              <w:rPr>
                <w:sz w:val="20"/>
                <w:szCs w:val="20"/>
                <w:color w:val="auto"/>
              </w:rPr>
            </w:pPr>
            <w:r>
              <w:rPr>
                <w:rFonts w:ascii="Times New Roman" w:cs="Times New Roman" w:eastAsia="Times New Roman" w:hAnsi="Times New Roman"/>
                <w:sz w:val="21"/>
                <w:szCs w:val="21"/>
                <w:b w:val="1"/>
                <w:bCs w:val="1"/>
                <w:color w:val="auto"/>
              </w:rPr>
              <w:t>Total Program Funds</w:t>
            </w:r>
          </w:p>
        </w:tc>
        <w:tc>
          <w:tcPr>
            <w:tcW w:w="1940" w:type="dxa"/>
            <w:vAlign w:val="bottom"/>
            <w:tcBorders>
              <w:top w:val="single" w:sz="8" w:color="auto"/>
              <w:bottom w:val="single" w:sz="8" w:color="auto"/>
              <w:right w:val="single" w:sz="8" w:color="auto"/>
            </w:tcBorders>
            <w:shd w:val="clear" w:color="auto" w:fill="D9CBA7"/>
          </w:tcPr>
          <w:p>
            <w:pPr>
              <w:jc w:val="center"/>
              <w:spacing w:after="0"/>
              <w:rPr>
                <w:sz w:val="20"/>
                <w:szCs w:val="20"/>
                <w:color w:val="auto"/>
              </w:rPr>
            </w:pPr>
            <w:r>
              <w:rPr>
                <w:rFonts w:ascii="Times New Roman" w:cs="Times New Roman" w:eastAsia="Times New Roman" w:hAnsi="Times New Roman"/>
                <w:sz w:val="21"/>
                <w:szCs w:val="21"/>
                <w:b w:val="1"/>
                <w:bCs w:val="1"/>
                <w:color w:val="auto"/>
              </w:rPr>
              <w:t>Data Rights</w:t>
            </w:r>
          </w:p>
        </w:tc>
        <w:tc>
          <w:tcPr>
            <w:tcW w:w="0" w:type="dxa"/>
            <w:vAlign w:val="bottom"/>
          </w:tcPr>
          <w:p>
            <w:pPr>
              <w:spacing w:after="0"/>
              <w:rPr>
                <w:sz w:val="1"/>
                <w:szCs w:val="1"/>
                <w:color w:val="auto"/>
              </w:rPr>
            </w:pPr>
          </w:p>
        </w:tc>
      </w:tr>
      <w:tr>
        <w:trPr>
          <w:trHeight w:val="194"/>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Project Kick-Off; Deliverable</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DS/FDS Bulk GMP Lot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DS/FDS Bulk GMP Lot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DS/FDS Bulk GMP Lot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DS/FDS Bulk GMP Lot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10</w:t>
      </w:r>
    </w:p>
    <w:p>
      <w:pPr>
        <w:jc w:val="center"/>
        <w:ind w:right="20"/>
        <w:spacing w:after="0" w:line="197" w:lineRule="auto"/>
        <w:rPr>
          <w:sz w:val="20"/>
          <w:szCs w:val="20"/>
          <w:color w:val="auto"/>
        </w:rPr>
      </w:pPr>
      <w:r>
        <w:rPr>
          <w:rFonts w:ascii="Calibri" w:cs="Calibri" w:eastAsia="Calibri" w:hAnsi="Calibri"/>
          <w:sz w:val="20"/>
          <w:szCs w:val="20"/>
          <w:i w:val="1"/>
          <w:iCs w:val="1"/>
          <w:color w:val="auto"/>
        </w:rPr>
        <w:t>CONFIDENTIAL/PROPRIETARY</w:t>
      </w:r>
    </w:p>
    <w:p>
      <w:pPr>
        <w:sectPr>
          <w:pgSz w:w="11900" w:h="16838" w:orient="portrait"/>
          <w:cols w:equalWidth="0" w:num="1">
            <w:col w:w="11260"/>
          </w:cols>
          <w:pgMar w:left="320" w:top="1383" w:right="319" w:bottom="1440" w:gutter="0" w:footer="0" w:header="0"/>
        </w:sectPr>
      </w:pPr>
    </w:p>
    <w:bookmarkStart w:id="135" w:name="page136"/>
    <w:bookmarkEnd w:id="135"/>
    <w:tbl>
      <w:tblPr>
        <w:tblLayout w:type="fixed"/>
        <w:tblInd w:w="10" w:type="dxa"/>
        <w:tblCellMar>
          <w:top w:w="0" w:type="dxa"/>
          <w:left w:w="0" w:type="dxa"/>
          <w:bottom w:w="0" w:type="dxa"/>
          <w:right w:w="0" w:type="dxa"/>
        </w:tblCellMar>
      </w:tblPr>
      <w:tr>
        <w:trPr>
          <w:trHeight w:val="214"/>
        </w:trPr>
        <w:tc>
          <w:tcPr>
            <w:tcW w:w="338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DS/FDS Bulk GMP Lot [* * *]</w:t>
            </w: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top w:val="single" w:sz="8" w:color="auto"/>
              <w:right w:val="single" w:sz="8" w:color="auto"/>
            </w:tcBorders>
            <w:vMerge w:val="restart"/>
          </w:tcPr>
          <w:p>
            <w:pPr>
              <w:jc w:val="right"/>
              <w:ind w:right="1353"/>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top w:val="single" w:sz="8" w:color="auto"/>
              <w:right w:val="single" w:sz="8" w:color="auto"/>
            </w:tcBorders>
          </w:tcPr>
          <w:p>
            <w:pPr>
              <w:ind w:left="500"/>
              <w:spacing w:after="0" w:line="214"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right"/>
              <w:ind w:right="1353"/>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ind w:left="500"/>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right"/>
              <w:ind w:right="1353"/>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ind w:left="500"/>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right"/>
              <w:ind w:right="1353"/>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ind w:left="500"/>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6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 * * *]</w:t>
            </w:r>
          </w:p>
        </w:tc>
        <w:tc>
          <w:tcPr>
            <w:tcW w:w="3480" w:type="dxa"/>
            <w:vAlign w:val="bottom"/>
            <w:tcBorders>
              <w:right w:val="single" w:sz="8" w:color="auto"/>
            </w:tcBorders>
            <w:vMerge w:val="restart"/>
          </w:tcPr>
          <w:p>
            <w:pPr>
              <w:jc w:val="right"/>
              <w:ind w:right="1353"/>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ind w:left="500"/>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280"/>
        </w:trPr>
        <w:tc>
          <w:tcPr>
            <w:tcW w:w="338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vMerge w:val="continue"/>
          </w:tcPr>
          <w:p>
            <w:pPr>
              <w:spacing w:after="0"/>
              <w:rPr>
                <w:sz w:val="24"/>
                <w:szCs w:val="24"/>
                <w:color w:val="auto"/>
              </w:rPr>
            </w:pPr>
          </w:p>
        </w:tc>
        <w:tc>
          <w:tcPr>
            <w:tcW w:w="19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6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right"/>
              <w:ind w:right="1353"/>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ind w:left="500"/>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280"/>
        </w:trPr>
        <w:tc>
          <w:tcPr>
            <w:tcW w:w="338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vMerge w:val="continue"/>
          </w:tcPr>
          <w:p>
            <w:pPr>
              <w:spacing w:after="0"/>
              <w:rPr>
                <w:sz w:val="24"/>
                <w:szCs w:val="24"/>
                <w:color w:val="auto"/>
              </w:rPr>
            </w:pPr>
          </w:p>
        </w:tc>
        <w:tc>
          <w:tcPr>
            <w:tcW w:w="19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6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right"/>
              <w:ind w:right="1353"/>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ind w:left="500"/>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280"/>
        </w:trPr>
        <w:tc>
          <w:tcPr>
            <w:tcW w:w="338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vMerge w:val="continue"/>
          </w:tcPr>
          <w:p>
            <w:pPr>
              <w:spacing w:after="0"/>
              <w:rPr>
                <w:sz w:val="24"/>
                <w:szCs w:val="24"/>
                <w:color w:val="auto"/>
              </w:rPr>
            </w:pPr>
          </w:p>
        </w:tc>
        <w:tc>
          <w:tcPr>
            <w:tcW w:w="19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Package/Label Product</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right"/>
              <w:ind w:right="1353"/>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ind w:left="500"/>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Storage of Drug Product in VMI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right"/>
              <w:ind w:right="1353"/>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ind w:left="500"/>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Storage of Drug Product in VMI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right"/>
              <w:ind w:right="1353"/>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ind w:left="500"/>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Storage of Drug Product in VMI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right"/>
              <w:ind w:right="1353"/>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ind w:left="500"/>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Storage of Drug Product in VMI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right"/>
              <w:ind w:right="1353"/>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ind w:left="500"/>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Storage of Drug Product in VMI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right"/>
              <w:ind w:right="1353"/>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ind w:left="500"/>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Storage of Drug Product in VMI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right"/>
              <w:ind w:right="1353"/>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ind w:left="500"/>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Storage of Drug Product in VMI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right"/>
              <w:ind w:right="1353"/>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ind w:left="500"/>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b w:val="1"/>
                <w:bCs w:val="1"/>
                <w:i w:val="1"/>
                <w:iCs w:val="1"/>
                <w:color w:val="auto"/>
              </w:rPr>
              <w:t xml:space="preserve">Storage of Drug Product in VMI </w:t>
            </w: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right"/>
              <w:ind w:right="1353"/>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ind w:left="500"/>
              <w:spacing w:after="0" w:line="195" w:lineRule="exact"/>
              <w:rPr>
                <w:sz w:val="20"/>
                <w:szCs w:val="20"/>
                <w:color w:val="auto"/>
              </w:rPr>
            </w:pPr>
            <w:r>
              <w:rPr>
                <w:rFonts w:ascii="Times New Roman" w:cs="Times New Roman" w:eastAsia="Times New Roman" w:hAnsi="Times New Roman"/>
                <w:sz w:val="21"/>
                <w:szCs w:val="21"/>
                <w:b w:val="1"/>
                <w:bCs w:val="1"/>
                <w:i w:val="1"/>
                <w:iCs w:val="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 *]</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21"/>
                <w:szCs w:val="21"/>
                <w:b w:val="1"/>
                <w:bCs w:val="1"/>
                <w:i w:val="1"/>
                <w:iCs w:val="1"/>
                <w:color w:val="auto"/>
              </w:rPr>
              <w:t>Negotiated</w:t>
            </w:r>
          </w:p>
        </w:tc>
        <w:tc>
          <w:tcPr>
            <w:tcW w:w="0" w:type="dxa"/>
            <w:vAlign w:val="bottom"/>
          </w:tcPr>
          <w:p>
            <w:pPr>
              <w:spacing w:after="0"/>
              <w:rPr>
                <w:sz w:val="1"/>
                <w:szCs w:val="1"/>
                <w:color w:val="auto"/>
              </w:rPr>
            </w:pPr>
          </w:p>
        </w:tc>
      </w:tr>
      <w:tr>
        <w:trPr>
          <w:trHeight w:val="110"/>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38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 xml:space="preserve">Storage of Drug Product in VMI </w:t>
            </w: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right"/>
              <w:ind w:right="1353"/>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ind w:left="50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 *]</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21"/>
                <w:szCs w:val="21"/>
                <w:b w:val="1"/>
                <w:bCs w:val="1"/>
                <w:i w:val="1"/>
                <w:iCs w:val="1"/>
                <w:color w:val="auto"/>
              </w:rPr>
              <w:t>Negotiated</w:t>
            </w:r>
          </w:p>
        </w:tc>
        <w:tc>
          <w:tcPr>
            <w:tcW w:w="0" w:type="dxa"/>
            <w:vAlign w:val="bottom"/>
          </w:tcPr>
          <w:p>
            <w:pPr>
              <w:spacing w:after="0"/>
              <w:rPr>
                <w:sz w:val="1"/>
                <w:szCs w:val="1"/>
                <w:color w:val="auto"/>
              </w:rPr>
            </w:pPr>
          </w:p>
        </w:tc>
      </w:tr>
      <w:tr>
        <w:trPr>
          <w:trHeight w:val="110"/>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38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 xml:space="preserve">Storage of Drug Product in VMI </w:t>
            </w: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right"/>
              <w:ind w:right="1353"/>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ind w:left="50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 *]</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21"/>
                <w:szCs w:val="21"/>
                <w:b w:val="1"/>
                <w:bCs w:val="1"/>
                <w:i w:val="1"/>
                <w:iCs w:val="1"/>
                <w:color w:val="auto"/>
              </w:rPr>
              <w:t>Negotiated</w:t>
            </w:r>
          </w:p>
        </w:tc>
        <w:tc>
          <w:tcPr>
            <w:tcW w:w="0" w:type="dxa"/>
            <w:vAlign w:val="bottom"/>
          </w:tcPr>
          <w:p>
            <w:pPr>
              <w:spacing w:after="0"/>
              <w:rPr>
                <w:sz w:val="1"/>
                <w:szCs w:val="1"/>
                <w:color w:val="auto"/>
              </w:rPr>
            </w:pPr>
          </w:p>
        </w:tc>
      </w:tr>
      <w:tr>
        <w:trPr>
          <w:trHeight w:val="110"/>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38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Support Distribution of Drug</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right"/>
              <w:ind w:right="1353"/>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ind w:left="50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Product </w:t>
            </w:r>
            <w:r>
              <w:rPr>
                <w:rFonts w:ascii="Times New Roman" w:cs="Times New Roman" w:eastAsia="Times New Roman" w:hAnsi="Times New Roman"/>
                <w:sz w:val="21"/>
                <w:szCs w:val="21"/>
                <w:color w:val="auto"/>
              </w:rPr>
              <w:t>[* * *]</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21"/>
                <w:szCs w:val="21"/>
                <w:b w:val="1"/>
                <w:bCs w:val="1"/>
                <w:i w:val="1"/>
                <w:iCs w:val="1"/>
                <w:color w:val="auto"/>
              </w:rPr>
              <w:t>Negotiated</w:t>
            </w:r>
          </w:p>
        </w:tc>
        <w:tc>
          <w:tcPr>
            <w:tcW w:w="0" w:type="dxa"/>
            <w:vAlign w:val="bottom"/>
          </w:tcPr>
          <w:p>
            <w:pPr>
              <w:spacing w:after="0"/>
              <w:rPr>
                <w:sz w:val="1"/>
                <w:szCs w:val="1"/>
                <w:color w:val="auto"/>
              </w:rPr>
            </w:pPr>
          </w:p>
        </w:tc>
      </w:tr>
      <w:tr>
        <w:trPr>
          <w:trHeight w:val="110"/>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38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Shelf-life Extension Submission for</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right"/>
              <w:ind w:right="1353"/>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ind w:left="50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OTA Product</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21"/>
                <w:szCs w:val="21"/>
                <w:b w:val="1"/>
                <w:bCs w:val="1"/>
                <w:i w:val="1"/>
                <w:iCs w:val="1"/>
                <w:color w:val="auto"/>
              </w:rPr>
              <w:t>Negotiated</w:t>
            </w:r>
          </w:p>
        </w:tc>
        <w:tc>
          <w:tcPr>
            <w:tcW w:w="0" w:type="dxa"/>
            <w:vAlign w:val="bottom"/>
          </w:tcPr>
          <w:p>
            <w:pPr>
              <w:spacing w:after="0"/>
              <w:rPr>
                <w:sz w:val="1"/>
                <w:szCs w:val="1"/>
                <w:color w:val="auto"/>
              </w:rPr>
            </w:pPr>
          </w:p>
        </w:tc>
      </w:tr>
      <w:tr>
        <w:trPr>
          <w:trHeight w:val="110"/>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38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Shelf-life Extension Submission for</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right"/>
              <w:ind w:right="1353"/>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ind w:left="50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OTA Product</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21"/>
                <w:szCs w:val="21"/>
                <w:b w:val="1"/>
                <w:bCs w:val="1"/>
                <w:i w:val="1"/>
                <w:iCs w:val="1"/>
                <w:color w:val="auto"/>
              </w:rPr>
              <w:t>Negotiated</w:t>
            </w:r>
          </w:p>
        </w:tc>
        <w:tc>
          <w:tcPr>
            <w:tcW w:w="0" w:type="dxa"/>
            <w:vAlign w:val="bottom"/>
          </w:tcPr>
          <w:p>
            <w:pPr>
              <w:spacing w:after="0"/>
              <w:rPr>
                <w:sz w:val="1"/>
                <w:szCs w:val="1"/>
                <w:color w:val="auto"/>
              </w:rPr>
            </w:pPr>
          </w:p>
        </w:tc>
      </w:tr>
      <w:tr>
        <w:trPr>
          <w:trHeight w:val="110"/>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3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11</w:t>
      </w:r>
    </w:p>
    <w:p>
      <w:pPr>
        <w:jc w:val="center"/>
        <w:ind w:right="20"/>
        <w:spacing w:after="0" w:line="207" w:lineRule="auto"/>
        <w:rPr>
          <w:sz w:val="20"/>
          <w:szCs w:val="20"/>
          <w:color w:val="auto"/>
        </w:rPr>
      </w:pPr>
      <w:r>
        <w:rPr>
          <w:rFonts w:ascii="Calibri" w:cs="Calibri" w:eastAsia="Calibri" w:hAnsi="Calibri"/>
          <w:sz w:val="19"/>
          <w:szCs w:val="19"/>
          <w:i w:val="1"/>
          <w:iCs w:val="1"/>
          <w:color w:val="auto"/>
        </w:rPr>
        <w:t>CONFIDENTIAL/PROPRIETARY</w:t>
      </w:r>
    </w:p>
    <w:p>
      <w:pPr>
        <w:sectPr>
          <w:pgSz w:w="11900" w:h="16838" w:orient="portrait"/>
          <w:cols w:equalWidth="0" w:num="1">
            <w:col w:w="11260"/>
          </w:cols>
          <w:pgMar w:left="320" w:top="1430" w:right="319" w:bottom="1440" w:gutter="0" w:footer="0" w:header="0"/>
          <w:type w:val="continuous"/>
        </w:sectPr>
      </w:pPr>
    </w:p>
    <w:bookmarkStart w:id="136" w:name="page137"/>
    <w:bookmarkEnd w:id="136"/>
    <w:tbl>
      <w:tblPr>
        <w:tblLayout w:type="fixed"/>
        <w:tblInd w:w="10" w:type="dxa"/>
        <w:tblCellMar>
          <w:top w:w="0" w:type="dxa"/>
          <w:left w:w="0" w:type="dxa"/>
          <w:bottom w:w="0" w:type="dxa"/>
          <w:right w:w="0" w:type="dxa"/>
        </w:tblCellMar>
      </w:tblPr>
      <w:tr>
        <w:trPr>
          <w:trHeight w:val="214"/>
        </w:trPr>
        <w:tc>
          <w:tcPr>
            <w:tcW w:w="3380" w:type="dxa"/>
            <w:vAlign w:val="bottom"/>
            <w:tcBorders>
              <w:top w:val="single" w:sz="8" w:color="auto"/>
              <w:left w:val="single" w:sz="8" w:color="auto"/>
              <w:right w:val="single" w:sz="8" w:color="auto"/>
            </w:tcBorders>
          </w:tcPr>
          <w:p>
            <w:pPr>
              <w:ind w:left="100"/>
              <w:spacing w:after="0" w:line="214" w:lineRule="exact"/>
              <w:rPr>
                <w:sz w:val="20"/>
                <w:szCs w:val="20"/>
                <w:color w:val="auto"/>
              </w:rPr>
            </w:pPr>
            <w:r>
              <w:rPr>
                <w:rFonts w:ascii="Times New Roman" w:cs="Times New Roman" w:eastAsia="Times New Roman" w:hAnsi="Times New Roman"/>
                <w:sz w:val="21"/>
                <w:szCs w:val="21"/>
                <w:b w:val="1"/>
                <w:bCs w:val="1"/>
                <w:i w:val="1"/>
                <w:iCs w:val="1"/>
                <w:color w:val="auto"/>
              </w:rPr>
              <w:t>Shelf-life Extension Submission for</w:t>
            </w:r>
          </w:p>
        </w:tc>
        <w:tc>
          <w:tcPr>
            <w:tcW w:w="2460" w:type="dxa"/>
            <w:vAlign w:val="bottom"/>
            <w:tcBorders>
              <w:top w:val="single" w:sz="8" w:color="auto"/>
              <w:right w:val="single" w:sz="8" w:color="auto"/>
            </w:tcBorders>
            <w:vMerge w:val="restart"/>
          </w:tcPr>
          <w:p>
            <w:pPr>
              <w:jc w:val="right"/>
              <w:ind w:right="853"/>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top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1"/>
                <w:szCs w:val="21"/>
                <w:b w:val="1"/>
                <w:bCs w:val="1"/>
                <w:i w:val="1"/>
                <w:iCs w:val="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FAR Product</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Negotiated</w:t>
            </w:r>
          </w:p>
        </w:tc>
        <w:tc>
          <w:tcPr>
            <w:tcW w:w="0" w:type="dxa"/>
            <w:vAlign w:val="bottom"/>
          </w:tcPr>
          <w:p>
            <w:pPr>
              <w:spacing w:after="0"/>
              <w:rPr>
                <w:sz w:val="1"/>
                <w:szCs w:val="1"/>
                <w:color w:val="auto"/>
              </w:rPr>
            </w:pPr>
          </w:p>
        </w:tc>
      </w:tr>
      <w:tr>
        <w:trPr>
          <w:trHeight w:val="110"/>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38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color w:val="auto"/>
              </w:rPr>
              <w:t>Quarterly Technical and Business</w:t>
            </w:r>
          </w:p>
        </w:tc>
        <w:tc>
          <w:tcPr>
            <w:tcW w:w="2460" w:type="dxa"/>
            <w:vAlign w:val="bottom"/>
            <w:tcBorders>
              <w:right w:val="single" w:sz="8" w:color="auto"/>
            </w:tcBorders>
          </w:tcPr>
          <w:p>
            <w:pPr>
              <w:spacing w:after="0"/>
              <w:rPr>
                <w:sz w:val="16"/>
                <w:szCs w:val="16"/>
                <w:color w:val="auto"/>
              </w:rPr>
            </w:pPr>
          </w:p>
        </w:tc>
        <w:tc>
          <w:tcPr>
            <w:tcW w:w="348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07"/>
        </w:trPr>
        <w:tc>
          <w:tcPr>
            <w:tcW w:w="3380" w:type="dxa"/>
            <w:vAlign w:val="bottom"/>
            <w:tcBorders>
              <w:left w:val="single" w:sz="8" w:color="auto"/>
              <w:right w:val="single" w:sz="8" w:color="auto"/>
            </w:tcBorders>
            <w:vMerge w:val="restart"/>
          </w:tcPr>
          <w:p>
            <w:pPr>
              <w:ind w:left="100"/>
              <w:spacing w:after="0" w:line="214" w:lineRule="exact"/>
              <w:rPr>
                <w:sz w:val="20"/>
                <w:szCs w:val="20"/>
                <w:color w:val="auto"/>
              </w:rPr>
            </w:pPr>
            <w:r>
              <w:rPr>
                <w:rFonts w:ascii="Times New Roman" w:cs="Times New Roman" w:eastAsia="Times New Roman" w:hAnsi="Times New Roman"/>
                <w:sz w:val="21"/>
                <w:szCs w:val="21"/>
                <w:color w:val="auto"/>
              </w:rPr>
              <w:t>Status Report, see above for</w:t>
            </w:r>
          </w:p>
        </w:tc>
        <w:tc>
          <w:tcPr>
            <w:tcW w:w="2460" w:type="dxa"/>
            <w:vAlign w:val="bottom"/>
            <w:tcBorders>
              <w:right w:val="single" w:sz="8" w:color="auto"/>
            </w:tcBorders>
            <w:vMerge w:val="restart"/>
          </w:tcPr>
          <w:p>
            <w:pPr>
              <w:jc w:val="right"/>
              <w:ind w:right="853"/>
              <w:spacing w:after="0" w:line="214" w:lineRule="exact"/>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line="214" w:lineRule="exact"/>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38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vMerge w:val="continue"/>
          </w:tcPr>
          <w:p>
            <w:pPr>
              <w:spacing w:after="0"/>
              <w:rPr>
                <w:sz w:val="9"/>
                <w:szCs w:val="9"/>
                <w:color w:val="auto"/>
              </w:rPr>
            </w:pPr>
          </w:p>
        </w:tc>
        <w:tc>
          <w:tcPr>
            <w:tcW w:w="348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72"/>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submission schedule</w:t>
            </w:r>
          </w:p>
        </w:tc>
        <w:tc>
          <w:tcPr>
            <w:tcW w:w="2460" w:type="dxa"/>
            <w:vAlign w:val="bottom"/>
            <w:tcBorders>
              <w:right w:val="single" w:sz="8" w:color="auto"/>
            </w:tcBorders>
          </w:tcPr>
          <w:p>
            <w:pPr>
              <w:spacing w:after="0"/>
              <w:rPr>
                <w:sz w:val="14"/>
                <w:szCs w:val="14"/>
                <w:color w:val="auto"/>
              </w:rPr>
            </w:pPr>
          </w:p>
        </w:tc>
        <w:tc>
          <w:tcPr>
            <w:tcW w:w="34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Annual Technical and Business</w:t>
            </w:r>
          </w:p>
        </w:tc>
        <w:tc>
          <w:tcPr>
            <w:tcW w:w="2460" w:type="dxa"/>
            <w:vAlign w:val="bottom"/>
            <w:tcBorders>
              <w:right w:val="single" w:sz="8" w:color="auto"/>
            </w:tcBorders>
          </w:tcPr>
          <w:p>
            <w:pPr>
              <w:spacing w:after="0"/>
              <w:rPr>
                <w:sz w:val="16"/>
                <w:szCs w:val="16"/>
                <w:color w:val="auto"/>
              </w:rPr>
            </w:pPr>
          </w:p>
        </w:tc>
        <w:tc>
          <w:tcPr>
            <w:tcW w:w="348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07"/>
        </w:trPr>
        <w:tc>
          <w:tcPr>
            <w:tcW w:w="3380" w:type="dxa"/>
            <w:vAlign w:val="bottom"/>
            <w:tcBorders>
              <w:left w:val="single" w:sz="8" w:color="auto"/>
              <w:right w:val="single" w:sz="8" w:color="auto"/>
            </w:tcBorders>
            <w:vMerge w:val="restart"/>
          </w:tcPr>
          <w:p>
            <w:pPr>
              <w:ind w:left="100"/>
              <w:spacing w:after="0" w:line="214" w:lineRule="exact"/>
              <w:rPr>
                <w:sz w:val="20"/>
                <w:szCs w:val="20"/>
                <w:color w:val="auto"/>
              </w:rPr>
            </w:pPr>
            <w:r>
              <w:rPr>
                <w:rFonts w:ascii="Times New Roman" w:cs="Times New Roman" w:eastAsia="Times New Roman" w:hAnsi="Times New Roman"/>
                <w:sz w:val="21"/>
                <w:szCs w:val="21"/>
                <w:color w:val="auto"/>
              </w:rPr>
              <w:t>Status Report, see above for</w:t>
            </w:r>
          </w:p>
        </w:tc>
        <w:tc>
          <w:tcPr>
            <w:tcW w:w="2460" w:type="dxa"/>
            <w:vAlign w:val="bottom"/>
            <w:tcBorders>
              <w:right w:val="single" w:sz="8" w:color="auto"/>
            </w:tcBorders>
            <w:vMerge w:val="restart"/>
          </w:tcPr>
          <w:p>
            <w:pPr>
              <w:jc w:val="right"/>
              <w:ind w:right="853"/>
              <w:spacing w:after="0" w:line="214" w:lineRule="exact"/>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line="214" w:lineRule="exact"/>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38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vMerge w:val="continue"/>
          </w:tcPr>
          <w:p>
            <w:pPr>
              <w:spacing w:after="0"/>
              <w:rPr>
                <w:sz w:val="9"/>
                <w:szCs w:val="9"/>
                <w:color w:val="auto"/>
              </w:rPr>
            </w:pPr>
          </w:p>
        </w:tc>
        <w:tc>
          <w:tcPr>
            <w:tcW w:w="348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72"/>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submission schedule</w:t>
            </w:r>
          </w:p>
        </w:tc>
        <w:tc>
          <w:tcPr>
            <w:tcW w:w="2460" w:type="dxa"/>
            <w:vAlign w:val="bottom"/>
            <w:tcBorders>
              <w:right w:val="single" w:sz="8" w:color="auto"/>
            </w:tcBorders>
          </w:tcPr>
          <w:p>
            <w:pPr>
              <w:spacing w:after="0"/>
              <w:rPr>
                <w:sz w:val="14"/>
                <w:szCs w:val="14"/>
                <w:color w:val="auto"/>
              </w:rPr>
            </w:pPr>
          </w:p>
        </w:tc>
        <w:tc>
          <w:tcPr>
            <w:tcW w:w="34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Quarterly Technical and Business</w:t>
            </w:r>
          </w:p>
        </w:tc>
        <w:tc>
          <w:tcPr>
            <w:tcW w:w="2460" w:type="dxa"/>
            <w:vAlign w:val="bottom"/>
            <w:tcBorders>
              <w:right w:val="single" w:sz="8" w:color="auto"/>
            </w:tcBorders>
          </w:tcPr>
          <w:p>
            <w:pPr>
              <w:spacing w:after="0"/>
              <w:rPr>
                <w:sz w:val="16"/>
                <w:szCs w:val="16"/>
                <w:color w:val="auto"/>
              </w:rPr>
            </w:pPr>
          </w:p>
        </w:tc>
        <w:tc>
          <w:tcPr>
            <w:tcW w:w="348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07"/>
        </w:trPr>
        <w:tc>
          <w:tcPr>
            <w:tcW w:w="3380" w:type="dxa"/>
            <w:vAlign w:val="bottom"/>
            <w:tcBorders>
              <w:left w:val="single" w:sz="8" w:color="auto"/>
              <w:right w:val="single" w:sz="8" w:color="auto"/>
            </w:tcBorders>
            <w:vMerge w:val="restart"/>
          </w:tcPr>
          <w:p>
            <w:pPr>
              <w:ind w:left="100"/>
              <w:spacing w:after="0" w:line="214" w:lineRule="exact"/>
              <w:rPr>
                <w:sz w:val="20"/>
                <w:szCs w:val="20"/>
                <w:color w:val="auto"/>
              </w:rPr>
            </w:pPr>
            <w:r>
              <w:rPr>
                <w:rFonts w:ascii="Times New Roman" w:cs="Times New Roman" w:eastAsia="Times New Roman" w:hAnsi="Times New Roman"/>
                <w:sz w:val="21"/>
                <w:szCs w:val="21"/>
                <w:color w:val="auto"/>
              </w:rPr>
              <w:t>Status Report, see above for</w:t>
            </w:r>
          </w:p>
        </w:tc>
        <w:tc>
          <w:tcPr>
            <w:tcW w:w="2460" w:type="dxa"/>
            <w:vAlign w:val="bottom"/>
            <w:tcBorders>
              <w:right w:val="single" w:sz="8" w:color="auto"/>
            </w:tcBorders>
            <w:vMerge w:val="restart"/>
          </w:tcPr>
          <w:p>
            <w:pPr>
              <w:jc w:val="right"/>
              <w:ind w:right="853"/>
              <w:spacing w:after="0" w:line="214" w:lineRule="exact"/>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line="214" w:lineRule="exact"/>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38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vMerge w:val="continue"/>
          </w:tcPr>
          <w:p>
            <w:pPr>
              <w:spacing w:after="0"/>
              <w:rPr>
                <w:sz w:val="9"/>
                <w:szCs w:val="9"/>
                <w:color w:val="auto"/>
              </w:rPr>
            </w:pPr>
          </w:p>
        </w:tc>
        <w:tc>
          <w:tcPr>
            <w:tcW w:w="348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72"/>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submission schedule</w:t>
            </w:r>
          </w:p>
        </w:tc>
        <w:tc>
          <w:tcPr>
            <w:tcW w:w="2460" w:type="dxa"/>
            <w:vAlign w:val="bottom"/>
            <w:tcBorders>
              <w:right w:val="single" w:sz="8" w:color="auto"/>
            </w:tcBorders>
          </w:tcPr>
          <w:p>
            <w:pPr>
              <w:spacing w:after="0"/>
              <w:rPr>
                <w:sz w:val="14"/>
                <w:szCs w:val="14"/>
                <w:color w:val="auto"/>
              </w:rPr>
            </w:pPr>
          </w:p>
        </w:tc>
        <w:tc>
          <w:tcPr>
            <w:tcW w:w="34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33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 * *]</w:t>
            </w:r>
          </w:p>
        </w:tc>
        <w:tc>
          <w:tcPr>
            <w:tcW w:w="2460" w:type="dxa"/>
            <w:vAlign w:val="bottom"/>
            <w:tcBorders>
              <w:bottom w:val="single" w:sz="8" w:color="auto"/>
              <w:right w:val="single" w:sz="8" w:color="auto"/>
            </w:tcBorders>
          </w:tcPr>
          <w:p>
            <w:pPr>
              <w:jc w:val="right"/>
              <w:ind w:right="853"/>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Limited Rights</w:t>
            </w:r>
          </w:p>
        </w:tc>
        <w:tc>
          <w:tcPr>
            <w:tcW w:w="0" w:type="dxa"/>
            <w:vAlign w:val="bottom"/>
          </w:tcPr>
          <w:p>
            <w:pPr>
              <w:spacing w:after="0"/>
              <w:rPr>
                <w:sz w:val="1"/>
                <w:szCs w:val="1"/>
                <w:color w:val="auto"/>
              </w:rPr>
            </w:pPr>
          </w:p>
        </w:tc>
      </w:tr>
      <w:tr>
        <w:trPr>
          <w:trHeight w:val="194"/>
        </w:trPr>
        <w:tc>
          <w:tcPr>
            <w:tcW w:w="3380" w:type="dxa"/>
            <w:vAlign w:val="bottom"/>
            <w:tcBorders>
              <w:left w:val="single" w:sz="8" w:color="auto"/>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348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21"/>
                <w:szCs w:val="21"/>
                <w:b w:val="1"/>
                <w:bCs w:val="1"/>
                <w:color w:val="auto"/>
              </w:rPr>
              <w:t>$465,861,635 (FFP and Cost</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3380" w:type="dxa"/>
            <w:vAlign w:val="bottom"/>
            <w:tcBorders>
              <w:left w:val="single" w:sz="8" w:color="auto"/>
              <w:bottom w:val="single" w:sz="8" w:color="auto"/>
              <w:right w:val="single" w:sz="8" w:color="auto"/>
            </w:tcBorders>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Reimbursement)</w:t>
            </w: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21"/>
          <w:szCs w:val="21"/>
          <w:color w:val="auto"/>
        </w:rPr>
        <w:t>*Upon payment, delivery and acceptance in accordance with the terms of this Project Agreement, the Government will have title to the product produced under this Statement of Work. The Government will have the rights described below in Section 7.3 to technical data disclosed under this Statement of Work.</w:t>
      </w:r>
    </w:p>
    <w:p>
      <w:pPr>
        <w:spacing w:after="0" w:line="2" w:lineRule="exact"/>
        <w:rPr>
          <w:sz w:val="20"/>
          <w:szCs w:val="20"/>
          <w:color w:val="auto"/>
        </w:rPr>
      </w:pPr>
    </w:p>
    <w:p>
      <w:pPr>
        <w:jc w:val="both"/>
        <w:ind w:right="20"/>
        <w:spacing w:after="0" w:line="212" w:lineRule="auto"/>
        <w:rPr>
          <w:sz w:val="20"/>
          <w:szCs w:val="20"/>
          <w:color w:val="auto"/>
        </w:rPr>
      </w:pPr>
      <w:r>
        <w:rPr>
          <w:rFonts w:ascii="Times New Roman" w:cs="Times New Roman" w:eastAsia="Times New Roman" w:hAnsi="Times New Roman"/>
          <w:sz w:val="21"/>
          <w:szCs w:val="21"/>
          <w:color w:val="auto"/>
        </w:rPr>
        <w:t>**Packaging and labeling of product will be performed following the determination of the use of the applicable drug product (e.g., for clinical trials or for distribution under an EUA or BLA).</w:t>
      </w:r>
    </w:p>
    <w:p>
      <w:pPr>
        <w:spacing w:after="0" w:line="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21"/>
          <w:szCs w:val="21"/>
          <w:color w:val="auto"/>
        </w:rPr>
        <w:t>***Total Program Funds for distribution [* * *] is a not-to-exceed amount and shall be invoiced as described in Section 5.0 below. ****If an EUA is granted, then the product shall be transferred from VMI to the Distributor for distribution in the United States, as directed by the Government, and the VMI storage milestones shall be equitably adjusted. [* * *]</w:t>
      </w:r>
      <w:r>
        <w:rPr>
          <w:rFonts w:ascii="Times New Roman" w:cs="Times New Roman" w:eastAsia="Times New Roman" w:hAnsi="Times New Roman"/>
          <w:sz w:val="21"/>
          <w:szCs w:val="21"/>
          <w:b w:val="1"/>
          <w:bCs w:val="1"/>
          <w:i w:val="1"/>
          <w:iCs w:val="1"/>
          <w:color w:val="auto"/>
        </w:rPr>
        <w:t>, storage costs include the costs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FAR Product.</w:t>
      </w:r>
    </w:p>
    <w:p>
      <w:pPr>
        <w:spacing w:after="0" w:line="17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5.0</w:t>
        <w:tab/>
        <w:t>MILESTONE PAYMENT SCHEDULE; TERMINATION COSTS</w:t>
      </w:r>
    </w:p>
    <w:p>
      <w:pPr>
        <w:spacing w:after="0" w:line="265" w:lineRule="exact"/>
        <w:rPr>
          <w:sz w:val="20"/>
          <w:szCs w:val="20"/>
          <w:color w:val="auto"/>
        </w:rPr>
      </w:pPr>
    </w:p>
    <w:tbl>
      <w:tblPr>
        <w:tblLayout w:type="fixed"/>
        <w:tblInd w:w="50" w:type="dxa"/>
        <w:tblCellMar>
          <w:top w:w="0" w:type="dxa"/>
          <w:left w:w="0" w:type="dxa"/>
          <w:bottom w:w="0" w:type="dxa"/>
          <w:right w:w="0" w:type="dxa"/>
        </w:tblCellMar>
      </w:tblPr>
      <w:tr>
        <w:trPr>
          <w:trHeight w:val="214"/>
        </w:trPr>
        <w:tc>
          <w:tcPr>
            <w:tcW w:w="1480" w:type="dxa"/>
            <w:vAlign w:val="bottom"/>
            <w:tcBorders>
              <w:top w:val="single" w:sz="8" w:color="auto"/>
              <w:left w:val="single" w:sz="8" w:color="auto"/>
              <w:right w:val="single" w:sz="8" w:color="auto"/>
            </w:tcBorders>
            <w:shd w:val="clear" w:color="auto" w:fill="D9CBA7"/>
          </w:tcPr>
          <w:p>
            <w:pPr>
              <w:spacing w:after="0"/>
              <w:rPr>
                <w:sz w:val="18"/>
                <w:szCs w:val="18"/>
                <w:color w:val="auto"/>
              </w:rPr>
            </w:pPr>
          </w:p>
        </w:tc>
        <w:tc>
          <w:tcPr>
            <w:tcW w:w="5320" w:type="dxa"/>
            <w:vAlign w:val="bottom"/>
            <w:tcBorders>
              <w:top w:val="single" w:sz="8" w:color="auto"/>
              <w:right w:val="single" w:sz="8" w:color="auto"/>
            </w:tcBorders>
            <w:shd w:val="clear" w:color="auto" w:fill="D9CBA7"/>
          </w:tcPr>
          <w:p>
            <w:pPr>
              <w:ind w:left="1640"/>
              <w:spacing w:after="0" w:line="214" w:lineRule="exact"/>
              <w:rPr>
                <w:sz w:val="20"/>
                <w:szCs w:val="20"/>
                <w:color w:val="auto"/>
              </w:rPr>
            </w:pPr>
            <w:r>
              <w:rPr>
                <w:rFonts w:ascii="Times New Roman" w:cs="Times New Roman" w:eastAsia="Times New Roman" w:hAnsi="Times New Roman"/>
                <w:sz w:val="21"/>
                <w:szCs w:val="21"/>
                <w:b w:val="1"/>
                <w:bCs w:val="1"/>
                <w:color w:val="auto"/>
              </w:rPr>
              <w:t>Milestone Description</w:t>
            </w:r>
          </w:p>
        </w:tc>
        <w:tc>
          <w:tcPr>
            <w:tcW w:w="1620" w:type="dxa"/>
            <w:vAlign w:val="bottom"/>
            <w:tcBorders>
              <w:top w:val="single" w:sz="8" w:color="auto"/>
              <w:right w:val="single" w:sz="8" w:color="auto"/>
            </w:tcBorders>
            <w:vMerge w:val="restart"/>
            <w:shd w:val="clear" w:color="auto" w:fill="D9CBA7"/>
          </w:tcPr>
          <w:p>
            <w:pPr>
              <w:jc w:val="right"/>
              <w:ind w:right="293"/>
              <w:spacing w:after="0"/>
              <w:rPr>
                <w:sz w:val="20"/>
                <w:szCs w:val="20"/>
                <w:color w:val="auto"/>
              </w:rPr>
            </w:pPr>
            <w:r>
              <w:rPr>
                <w:rFonts w:ascii="Times New Roman" w:cs="Times New Roman" w:eastAsia="Times New Roman" w:hAnsi="Times New Roman"/>
                <w:sz w:val="21"/>
                <w:szCs w:val="21"/>
                <w:b w:val="1"/>
                <w:bCs w:val="1"/>
                <w:color w:val="auto"/>
              </w:rPr>
              <w:t>Due Date</w:t>
            </w:r>
          </w:p>
        </w:tc>
        <w:tc>
          <w:tcPr>
            <w:tcW w:w="2700" w:type="dxa"/>
            <w:vAlign w:val="bottom"/>
            <w:tcBorders>
              <w:top w:val="single" w:sz="8" w:color="auto"/>
              <w:right w:val="single" w:sz="8" w:color="auto"/>
            </w:tcBorders>
            <w:vMerge w:val="restart"/>
            <w:shd w:val="clear" w:color="auto" w:fill="D9CBA7"/>
          </w:tcPr>
          <w:p>
            <w:pPr>
              <w:jc w:val="right"/>
              <w:ind w:right="273"/>
              <w:spacing w:after="0"/>
              <w:rPr>
                <w:sz w:val="20"/>
                <w:szCs w:val="20"/>
                <w:color w:val="auto"/>
              </w:rPr>
            </w:pPr>
            <w:r>
              <w:rPr>
                <w:rFonts w:ascii="Times New Roman" w:cs="Times New Roman" w:eastAsia="Times New Roman" w:hAnsi="Times New Roman"/>
                <w:sz w:val="21"/>
                <w:szCs w:val="21"/>
                <w:b w:val="1"/>
                <w:bCs w:val="1"/>
                <w:color w:val="auto"/>
              </w:rPr>
              <w:t>Total Program Funds</w:t>
            </w:r>
          </w:p>
        </w:tc>
        <w:tc>
          <w:tcPr>
            <w:tcW w:w="0" w:type="dxa"/>
            <w:vAlign w:val="bottom"/>
          </w:tcPr>
          <w:p>
            <w:pPr>
              <w:spacing w:after="0"/>
              <w:rPr>
                <w:sz w:val="1"/>
                <w:szCs w:val="1"/>
                <w:color w:val="auto"/>
              </w:rPr>
            </w:pPr>
          </w:p>
        </w:tc>
      </w:tr>
      <w:tr>
        <w:trPr>
          <w:trHeight w:val="171"/>
        </w:trPr>
        <w:tc>
          <w:tcPr>
            <w:tcW w:w="1480" w:type="dxa"/>
            <w:vAlign w:val="bottom"/>
            <w:tcBorders>
              <w:left w:val="single" w:sz="8" w:color="auto"/>
              <w:right w:val="single" w:sz="8" w:color="auto"/>
            </w:tcBorders>
            <w:vMerge w:val="restart"/>
            <w:shd w:val="clear" w:color="auto" w:fill="D9CBA7"/>
          </w:tcPr>
          <w:p>
            <w:pPr>
              <w:ind w:left="120"/>
              <w:spacing w:after="0"/>
              <w:rPr>
                <w:sz w:val="20"/>
                <w:szCs w:val="20"/>
                <w:color w:val="auto"/>
              </w:rPr>
            </w:pPr>
            <w:r>
              <w:rPr>
                <w:rFonts w:ascii="Times New Roman" w:cs="Times New Roman" w:eastAsia="Times New Roman" w:hAnsi="Times New Roman"/>
                <w:sz w:val="21"/>
                <w:szCs w:val="21"/>
                <w:b w:val="1"/>
                <w:bCs w:val="1"/>
                <w:color w:val="auto"/>
              </w:rPr>
              <w:t xml:space="preserve">Milestone </w:t>
            </w:r>
            <w:r>
              <w:rPr>
                <w:rFonts w:ascii="Times New Roman" w:cs="Times New Roman" w:eastAsia="Times New Roman" w:hAnsi="Times New Roman"/>
                <w:sz w:val="21"/>
                <w:szCs w:val="21"/>
                <w:color w:val="auto"/>
              </w:rPr>
              <w:t>No.</w:t>
            </w:r>
          </w:p>
        </w:tc>
        <w:tc>
          <w:tcPr>
            <w:tcW w:w="5320" w:type="dxa"/>
            <w:vAlign w:val="bottom"/>
            <w:tcBorders>
              <w:right w:val="single" w:sz="8" w:color="auto"/>
            </w:tcBorders>
            <w:vMerge w:val="restart"/>
            <w:shd w:val="clear" w:color="auto" w:fill="D9CBA7"/>
          </w:tcPr>
          <w:p>
            <w:pPr>
              <w:ind w:left="1580"/>
              <w:spacing w:after="0"/>
              <w:rPr>
                <w:sz w:val="20"/>
                <w:szCs w:val="20"/>
                <w:color w:val="auto"/>
              </w:rPr>
            </w:pPr>
            <w:r>
              <w:rPr>
                <w:rFonts w:ascii="Times New Roman" w:cs="Times New Roman" w:eastAsia="Times New Roman" w:hAnsi="Times New Roman"/>
                <w:sz w:val="21"/>
                <w:szCs w:val="21"/>
                <w:b w:val="1"/>
                <w:bCs w:val="1"/>
                <w:color w:val="auto"/>
              </w:rPr>
              <w:t>(Deliverable Reference)</w:t>
            </w:r>
          </w:p>
        </w:tc>
        <w:tc>
          <w:tcPr>
            <w:tcW w:w="1620" w:type="dxa"/>
            <w:vAlign w:val="bottom"/>
            <w:tcBorders>
              <w:right w:val="single" w:sz="8" w:color="auto"/>
            </w:tcBorders>
            <w:vMerge w:val="continue"/>
            <w:shd w:val="clear" w:color="auto" w:fill="D9CBA7"/>
          </w:tcPr>
          <w:p>
            <w:pPr>
              <w:spacing w:after="0"/>
              <w:rPr>
                <w:sz w:val="14"/>
                <w:szCs w:val="14"/>
                <w:color w:val="auto"/>
              </w:rPr>
            </w:pPr>
          </w:p>
        </w:tc>
        <w:tc>
          <w:tcPr>
            <w:tcW w:w="2700" w:type="dxa"/>
            <w:vAlign w:val="bottom"/>
            <w:tcBorders>
              <w:right w:val="single" w:sz="8" w:color="auto"/>
            </w:tcBorders>
            <w:vMerge w:val="continue"/>
            <w:shd w:val="clear" w:color="auto" w:fill="D9CBA7"/>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480" w:type="dxa"/>
            <w:vAlign w:val="bottom"/>
            <w:tcBorders>
              <w:left w:val="single" w:sz="8" w:color="auto"/>
              <w:bottom w:val="single" w:sz="8" w:color="auto"/>
              <w:right w:val="single" w:sz="8" w:color="auto"/>
            </w:tcBorders>
            <w:vMerge w:val="continue"/>
            <w:shd w:val="clear" w:color="auto" w:fill="D9CBA7"/>
          </w:tcPr>
          <w:p>
            <w:pPr>
              <w:spacing w:after="0"/>
              <w:rPr>
                <w:sz w:val="9"/>
                <w:szCs w:val="9"/>
                <w:color w:val="auto"/>
              </w:rPr>
            </w:pPr>
          </w:p>
        </w:tc>
        <w:tc>
          <w:tcPr>
            <w:tcW w:w="5320" w:type="dxa"/>
            <w:vAlign w:val="bottom"/>
            <w:tcBorders>
              <w:bottom w:val="single" w:sz="8" w:color="auto"/>
              <w:right w:val="single" w:sz="8" w:color="auto"/>
            </w:tcBorders>
            <w:vMerge w:val="continue"/>
            <w:shd w:val="clear" w:color="auto" w:fill="D9CBA7"/>
          </w:tcPr>
          <w:p>
            <w:pPr>
              <w:spacing w:after="0"/>
              <w:rPr>
                <w:sz w:val="9"/>
                <w:szCs w:val="9"/>
                <w:color w:val="auto"/>
              </w:rPr>
            </w:pPr>
          </w:p>
        </w:tc>
        <w:tc>
          <w:tcPr>
            <w:tcW w:w="1620" w:type="dxa"/>
            <w:vAlign w:val="bottom"/>
            <w:tcBorders>
              <w:bottom w:val="single" w:sz="8" w:color="auto"/>
              <w:right w:val="single" w:sz="8" w:color="auto"/>
            </w:tcBorders>
            <w:shd w:val="clear" w:color="auto" w:fill="D9CBA7"/>
          </w:tcPr>
          <w:p>
            <w:pPr>
              <w:spacing w:after="0"/>
              <w:rPr>
                <w:sz w:val="9"/>
                <w:szCs w:val="9"/>
                <w:color w:val="auto"/>
              </w:rPr>
            </w:pPr>
          </w:p>
        </w:tc>
        <w:tc>
          <w:tcPr>
            <w:tcW w:w="2700" w:type="dxa"/>
            <w:vAlign w:val="bottom"/>
            <w:tcBorders>
              <w:bottom w:val="single" w:sz="8" w:color="auto"/>
              <w:right w:val="single" w:sz="8" w:color="auto"/>
            </w:tcBorders>
            <w:shd w:val="clear" w:color="auto" w:fill="D9CBA7"/>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48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color w:val="auto"/>
              </w:rPr>
              <w:t>5.1</w:t>
            </w:r>
          </w:p>
        </w:tc>
        <w:tc>
          <w:tcPr>
            <w:tcW w:w="5320" w:type="dxa"/>
            <w:vAlign w:val="bottom"/>
            <w:tcBorders>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21"/>
                <w:szCs w:val="21"/>
                <w:color w:val="auto"/>
              </w:rPr>
              <w:t>[* * *] Drug Substance Deliverables ([* * *] of Drug</w:t>
            </w:r>
          </w:p>
        </w:tc>
        <w:tc>
          <w:tcPr>
            <w:tcW w:w="1620" w:type="dxa"/>
            <w:vAlign w:val="bottom"/>
            <w:tcBorders>
              <w:right w:val="single" w:sz="8" w:color="auto"/>
            </w:tcBorders>
          </w:tcPr>
          <w:p>
            <w:pPr>
              <w:jc w:val="right"/>
              <w:ind w:right="873"/>
              <w:spacing w:after="0" w:line="194" w:lineRule="exact"/>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right w:val="single" w:sz="8" w:color="auto"/>
            </w:tcBorders>
          </w:tcPr>
          <w:p>
            <w:pPr>
              <w:jc w:val="right"/>
              <w:ind w:right="1953"/>
              <w:spacing w:after="0" w:line="194"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Substance)</w:t>
            </w:r>
          </w:p>
        </w:tc>
        <w:tc>
          <w:tcPr>
            <w:tcW w:w="162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4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5.2</w:t>
            </w:r>
          </w:p>
        </w:tc>
        <w:tc>
          <w:tcPr>
            <w:tcW w:w="532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 Drug Substance Deliverables ([* * *] of Drug</w:t>
            </w:r>
          </w:p>
        </w:tc>
        <w:tc>
          <w:tcPr>
            <w:tcW w:w="1620" w:type="dxa"/>
            <w:vAlign w:val="bottom"/>
            <w:tcBorders>
              <w:right w:val="single" w:sz="8" w:color="auto"/>
            </w:tcBorders>
          </w:tcPr>
          <w:p>
            <w:pPr>
              <w:jc w:val="right"/>
              <w:ind w:right="87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right w:val="single" w:sz="8" w:color="auto"/>
            </w:tcBorders>
          </w:tcPr>
          <w:p>
            <w:pPr>
              <w:jc w:val="right"/>
              <w:ind w:right="195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Substance)</w:t>
            </w:r>
          </w:p>
        </w:tc>
        <w:tc>
          <w:tcPr>
            <w:tcW w:w="162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4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5.3</w:t>
            </w:r>
          </w:p>
        </w:tc>
        <w:tc>
          <w:tcPr>
            <w:tcW w:w="532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 Drug Product Deliverables (Fill/Finish for [* * *] of</w:t>
            </w:r>
          </w:p>
        </w:tc>
        <w:tc>
          <w:tcPr>
            <w:tcW w:w="1620" w:type="dxa"/>
            <w:vAlign w:val="bottom"/>
            <w:tcBorders>
              <w:right w:val="single" w:sz="8" w:color="auto"/>
            </w:tcBorders>
          </w:tcPr>
          <w:p>
            <w:pPr>
              <w:jc w:val="right"/>
              <w:ind w:right="87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right w:val="single" w:sz="8" w:color="auto"/>
            </w:tcBorders>
          </w:tcPr>
          <w:p>
            <w:pPr>
              <w:jc w:val="right"/>
              <w:ind w:right="195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Drug Substance)</w:t>
            </w:r>
          </w:p>
        </w:tc>
        <w:tc>
          <w:tcPr>
            <w:tcW w:w="162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4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5.4</w:t>
            </w:r>
          </w:p>
        </w:tc>
        <w:tc>
          <w:tcPr>
            <w:tcW w:w="532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 Drug Substance Deliverables ([* * *] of Drug</w:t>
            </w:r>
          </w:p>
        </w:tc>
        <w:tc>
          <w:tcPr>
            <w:tcW w:w="1620" w:type="dxa"/>
            <w:vAlign w:val="bottom"/>
            <w:tcBorders>
              <w:right w:val="single" w:sz="8" w:color="auto"/>
            </w:tcBorders>
          </w:tcPr>
          <w:p>
            <w:pPr>
              <w:jc w:val="right"/>
              <w:ind w:right="87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right w:val="single" w:sz="8" w:color="auto"/>
            </w:tcBorders>
          </w:tcPr>
          <w:p>
            <w:pPr>
              <w:jc w:val="right"/>
              <w:ind w:right="195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Substance)</w:t>
            </w:r>
          </w:p>
        </w:tc>
        <w:tc>
          <w:tcPr>
            <w:tcW w:w="162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4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5.5</w:t>
            </w:r>
          </w:p>
        </w:tc>
        <w:tc>
          <w:tcPr>
            <w:tcW w:w="532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 Drug Product Deliverables (Fill/Finish for [* * *] of</w:t>
            </w:r>
          </w:p>
        </w:tc>
        <w:tc>
          <w:tcPr>
            <w:tcW w:w="1620" w:type="dxa"/>
            <w:vAlign w:val="bottom"/>
            <w:tcBorders>
              <w:right w:val="single" w:sz="8" w:color="auto"/>
            </w:tcBorders>
          </w:tcPr>
          <w:p>
            <w:pPr>
              <w:jc w:val="right"/>
              <w:ind w:right="87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right w:val="single" w:sz="8" w:color="auto"/>
            </w:tcBorders>
          </w:tcPr>
          <w:p>
            <w:pPr>
              <w:jc w:val="right"/>
              <w:ind w:right="195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Drug Substance)</w:t>
            </w:r>
          </w:p>
        </w:tc>
        <w:tc>
          <w:tcPr>
            <w:tcW w:w="162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4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5.6</w:t>
            </w:r>
          </w:p>
        </w:tc>
        <w:tc>
          <w:tcPr>
            <w:tcW w:w="532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 Drug Substance Deliverables ([* * *] of Drug</w:t>
            </w:r>
          </w:p>
        </w:tc>
        <w:tc>
          <w:tcPr>
            <w:tcW w:w="1620" w:type="dxa"/>
            <w:vAlign w:val="bottom"/>
            <w:tcBorders>
              <w:right w:val="single" w:sz="8" w:color="auto"/>
            </w:tcBorders>
          </w:tcPr>
          <w:p>
            <w:pPr>
              <w:jc w:val="right"/>
              <w:ind w:right="87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right w:val="single" w:sz="8" w:color="auto"/>
            </w:tcBorders>
          </w:tcPr>
          <w:p>
            <w:pPr>
              <w:jc w:val="right"/>
              <w:ind w:right="195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Substance)</w:t>
            </w:r>
          </w:p>
        </w:tc>
        <w:tc>
          <w:tcPr>
            <w:tcW w:w="162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12</w:t>
      </w:r>
    </w:p>
    <w:p>
      <w:pPr>
        <w:jc w:val="center"/>
        <w:ind w:right="20"/>
        <w:spacing w:after="0" w:line="197" w:lineRule="auto"/>
        <w:rPr>
          <w:sz w:val="20"/>
          <w:szCs w:val="20"/>
          <w:color w:val="auto"/>
        </w:rPr>
      </w:pPr>
      <w:r>
        <w:rPr>
          <w:rFonts w:ascii="Calibri" w:cs="Calibri" w:eastAsia="Calibri" w:hAnsi="Calibri"/>
          <w:sz w:val="20"/>
          <w:szCs w:val="20"/>
          <w:i w:val="1"/>
          <w:iCs w:val="1"/>
          <w:color w:val="auto"/>
        </w:rPr>
        <w:t>CONFIDENTIAL/PROPRIETARY</w:t>
      </w:r>
    </w:p>
    <w:p>
      <w:pPr>
        <w:sectPr>
          <w:pgSz w:w="11900" w:h="16838" w:orient="portrait"/>
          <w:cols w:equalWidth="0" w:num="1">
            <w:col w:w="11260"/>
          </w:cols>
          <w:pgMar w:left="320" w:top="1430" w:right="319" w:bottom="1440" w:gutter="0" w:footer="0" w:header="0"/>
        </w:sectPr>
      </w:pPr>
    </w:p>
    <w:bookmarkStart w:id="137" w:name="page138"/>
    <w:bookmarkEnd w:id="137"/>
    <w:tbl>
      <w:tblPr>
        <w:tblLayout w:type="fixed"/>
        <w:tblInd w:w="50" w:type="dxa"/>
        <w:tblCellMar>
          <w:top w:w="0" w:type="dxa"/>
          <w:left w:w="0" w:type="dxa"/>
          <w:bottom w:w="0" w:type="dxa"/>
          <w:right w:w="0" w:type="dxa"/>
        </w:tblCellMar>
      </w:tblPr>
      <w:tr>
        <w:trPr>
          <w:trHeight w:val="214"/>
        </w:trPr>
        <w:tc>
          <w:tcPr>
            <w:tcW w:w="1480" w:type="dxa"/>
            <w:vAlign w:val="bottom"/>
            <w:tcBorders>
              <w:top w:val="single" w:sz="8" w:color="auto"/>
              <w:left w:val="single" w:sz="8" w:color="auto"/>
              <w:right w:val="single" w:sz="8" w:color="auto"/>
            </w:tcBorders>
          </w:tcPr>
          <w:p>
            <w:pPr>
              <w:ind w:left="100"/>
              <w:spacing w:after="0" w:line="214" w:lineRule="exact"/>
              <w:rPr>
                <w:sz w:val="20"/>
                <w:szCs w:val="20"/>
                <w:color w:val="auto"/>
              </w:rPr>
            </w:pPr>
            <w:r>
              <w:rPr>
                <w:rFonts w:ascii="Times New Roman" w:cs="Times New Roman" w:eastAsia="Times New Roman" w:hAnsi="Times New Roman"/>
                <w:sz w:val="21"/>
                <w:szCs w:val="21"/>
                <w:color w:val="auto"/>
              </w:rPr>
              <w:t>5.7</w:t>
            </w:r>
          </w:p>
        </w:tc>
        <w:tc>
          <w:tcPr>
            <w:tcW w:w="5320" w:type="dxa"/>
            <w:vAlign w:val="bottom"/>
            <w:tcBorders>
              <w:top w:val="single" w:sz="8" w:color="auto"/>
              <w:right w:val="single" w:sz="8" w:color="auto"/>
            </w:tcBorders>
          </w:tcPr>
          <w:p>
            <w:pPr>
              <w:ind w:left="80"/>
              <w:spacing w:after="0" w:line="214" w:lineRule="exact"/>
              <w:rPr>
                <w:sz w:val="20"/>
                <w:szCs w:val="20"/>
                <w:color w:val="auto"/>
              </w:rPr>
            </w:pPr>
            <w:r>
              <w:rPr>
                <w:rFonts w:ascii="Times New Roman" w:cs="Times New Roman" w:eastAsia="Times New Roman" w:hAnsi="Times New Roman"/>
                <w:sz w:val="21"/>
                <w:szCs w:val="21"/>
                <w:color w:val="auto"/>
              </w:rPr>
              <w:t>[* * *] Drug Product Deliverables (Fill/Finish for [* * *] of</w:t>
            </w:r>
          </w:p>
        </w:tc>
        <w:tc>
          <w:tcPr>
            <w:tcW w:w="1620" w:type="dxa"/>
            <w:vAlign w:val="bottom"/>
            <w:tcBorders>
              <w:top w:val="single" w:sz="8" w:color="auto"/>
              <w:right w:val="single" w:sz="8" w:color="auto"/>
            </w:tcBorders>
          </w:tcPr>
          <w:p>
            <w:pPr>
              <w:jc w:val="right"/>
              <w:ind w:right="873"/>
              <w:spacing w:after="0" w:line="214" w:lineRule="exact"/>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top w:val="single" w:sz="8" w:color="auto"/>
              <w:right w:val="single" w:sz="8" w:color="auto"/>
            </w:tcBorders>
          </w:tcPr>
          <w:p>
            <w:pPr>
              <w:jc w:val="right"/>
              <w:ind w:right="1953"/>
              <w:spacing w:after="0" w:line="214" w:lineRule="exact"/>
              <w:rPr>
                <w:sz w:val="20"/>
                <w:szCs w:val="20"/>
                <w:color w:val="auto"/>
              </w:rPr>
            </w:pPr>
            <w:r>
              <w:rPr>
                <w:rFonts w:ascii="Times New Roman" w:cs="Times New Roman" w:eastAsia="Times New Roman" w:hAnsi="Times New Roman"/>
                <w:sz w:val="21"/>
                <w:szCs w:val="21"/>
                <w:color w:val="auto"/>
              </w:rPr>
              <w:t>[* * *]</w:t>
            </w:r>
          </w:p>
        </w:tc>
      </w:tr>
      <w:tr>
        <w:trPr>
          <w:trHeight w:val="280"/>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Drug Substance)</w:t>
            </w:r>
          </w:p>
        </w:tc>
        <w:tc>
          <w:tcPr>
            <w:tcW w:w="162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r>
      <w:tr>
        <w:trPr>
          <w:trHeight w:val="195"/>
        </w:trPr>
        <w:tc>
          <w:tcPr>
            <w:tcW w:w="14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5.8</w:t>
            </w:r>
          </w:p>
        </w:tc>
        <w:tc>
          <w:tcPr>
            <w:tcW w:w="532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 Drug Substance Deliverables ([* * *] of Drug</w:t>
            </w:r>
          </w:p>
        </w:tc>
        <w:tc>
          <w:tcPr>
            <w:tcW w:w="1620" w:type="dxa"/>
            <w:vAlign w:val="bottom"/>
            <w:tcBorders>
              <w:right w:val="single" w:sz="8" w:color="auto"/>
            </w:tcBorders>
          </w:tcPr>
          <w:p>
            <w:pPr>
              <w:jc w:val="right"/>
              <w:ind w:right="87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right w:val="single" w:sz="8" w:color="auto"/>
            </w:tcBorders>
          </w:tcPr>
          <w:p>
            <w:pPr>
              <w:jc w:val="right"/>
              <w:ind w:right="1953"/>
              <w:spacing w:after="0" w:line="195" w:lineRule="exact"/>
              <w:rPr>
                <w:sz w:val="20"/>
                <w:szCs w:val="20"/>
                <w:color w:val="auto"/>
              </w:rPr>
            </w:pPr>
            <w:r>
              <w:rPr>
                <w:rFonts w:ascii="Times New Roman" w:cs="Times New Roman" w:eastAsia="Times New Roman" w:hAnsi="Times New Roman"/>
                <w:sz w:val="21"/>
                <w:szCs w:val="21"/>
                <w:color w:val="auto"/>
              </w:rPr>
              <w:t>[* * *]</w:t>
            </w:r>
          </w:p>
        </w:tc>
      </w:tr>
      <w:tr>
        <w:trPr>
          <w:trHeight w:val="280"/>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Substance)</w:t>
            </w:r>
          </w:p>
        </w:tc>
        <w:tc>
          <w:tcPr>
            <w:tcW w:w="162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r>
      <w:tr>
        <w:trPr>
          <w:trHeight w:val="195"/>
        </w:trPr>
        <w:tc>
          <w:tcPr>
            <w:tcW w:w="14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5.9</w:t>
            </w:r>
          </w:p>
        </w:tc>
        <w:tc>
          <w:tcPr>
            <w:tcW w:w="532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 Drug Product Deliverables (Fill/Finish for [* * *] of</w:t>
            </w:r>
          </w:p>
        </w:tc>
        <w:tc>
          <w:tcPr>
            <w:tcW w:w="1620" w:type="dxa"/>
            <w:vAlign w:val="bottom"/>
            <w:tcBorders>
              <w:right w:val="single" w:sz="8" w:color="auto"/>
            </w:tcBorders>
          </w:tcPr>
          <w:p>
            <w:pPr>
              <w:jc w:val="right"/>
              <w:ind w:right="87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right w:val="single" w:sz="8" w:color="auto"/>
            </w:tcBorders>
          </w:tcPr>
          <w:p>
            <w:pPr>
              <w:jc w:val="right"/>
              <w:ind w:right="1953"/>
              <w:spacing w:after="0" w:line="195" w:lineRule="exact"/>
              <w:rPr>
                <w:sz w:val="20"/>
                <w:szCs w:val="20"/>
                <w:color w:val="auto"/>
              </w:rPr>
            </w:pPr>
            <w:r>
              <w:rPr>
                <w:rFonts w:ascii="Times New Roman" w:cs="Times New Roman" w:eastAsia="Times New Roman" w:hAnsi="Times New Roman"/>
                <w:sz w:val="21"/>
                <w:szCs w:val="21"/>
                <w:color w:val="auto"/>
              </w:rPr>
              <w:t>[* * *]</w:t>
            </w:r>
          </w:p>
        </w:tc>
      </w:tr>
      <w:tr>
        <w:trPr>
          <w:trHeight w:val="280"/>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Drug Substance)</w:t>
            </w:r>
          </w:p>
        </w:tc>
        <w:tc>
          <w:tcPr>
            <w:tcW w:w="162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r>
      <w:tr>
        <w:trPr>
          <w:trHeight w:val="195"/>
        </w:trPr>
        <w:tc>
          <w:tcPr>
            <w:tcW w:w="14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5.10</w:t>
            </w:r>
          </w:p>
        </w:tc>
        <w:tc>
          <w:tcPr>
            <w:tcW w:w="532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 Drug Product Deliverables (Fill/Finish for [* * *] of</w:t>
            </w:r>
          </w:p>
        </w:tc>
        <w:tc>
          <w:tcPr>
            <w:tcW w:w="1620" w:type="dxa"/>
            <w:vAlign w:val="bottom"/>
            <w:tcBorders>
              <w:right w:val="single" w:sz="8" w:color="auto"/>
            </w:tcBorders>
          </w:tcPr>
          <w:p>
            <w:pPr>
              <w:jc w:val="right"/>
              <w:ind w:right="87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right w:val="single" w:sz="8" w:color="auto"/>
            </w:tcBorders>
          </w:tcPr>
          <w:p>
            <w:pPr>
              <w:jc w:val="right"/>
              <w:ind w:right="1953"/>
              <w:spacing w:after="0" w:line="195" w:lineRule="exact"/>
              <w:rPr>
                <w:sz w:val="20"/>
                <w:szCs w:val="20"/>
                <w:color w:val="auto"/>
              </w:rPr>
            </w:pPr>
            <w:r>
              <w:rPr>
                <w:rFonts w:ascii="Times New Roman" w:cs="Times New Roman" w:eastAsia="Times New Roman" w:hAnsi="Times New Roman"/>
                <w:sz w:val="21"/>
                <w:szCs w:val="21"/>
                <w:color w:val="auto"/>
              </w:rPr>
              <w:t>[* * *]</w:t>
            </w:r>
          </w:p>
        </w:tc>
      </w:tr>
      <w:tr>
        <w:trPr>
          <w:trHeight w:val="280"/>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Drug Substance)</w:t>
            </w:r>
          </w:p>
        </w:tc>
        <w:tc>
          <w:tcPr>
            <w:tcW w:w="162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r>
      <w:tr>
        <w:trPr>
          <w:trHeight w:val="195"/>
        </w:trPr>
        <w:tc>
          <w:tcPr>
            <w:tcW w:w="14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5.11</w:t>
            </w:r>
          </w:p>
        </w:tc>
        <w:tc>
          <w:tcPr>
            <w:tcW w:w="532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Quarterly Technical and Business Status Report, Reference</w:t>
            </w:r>
          </w:p>
        </w:tc>
        <w:tc>
          <w:tcPr>
            <w:tcW w:w="1620" w:type="dxa"/>
            <w:vAlign w:val="bottom"/>
            <w:tcBorders>
              <w:right w:val="single" w:sz="8" w:color="auto"/>
            </w:tcBorders>
          </w:tcPr>
          <w:p>
            <w:pPr>
              <w:jc w:val="right"/>
              <w:ind w:right="87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right w:val="single" w:sz="8" w:color="auto"/>
            </w:tcBorders>
          </w:tcPr>
          <w:p>
            <w:pPr>
              <w:jc w:val="right"/>
              <w:ind w:right="1953"/>
              <w:spacing w:after="0" w:line="195" w:lineRule="exact"/>
              <w:rPr>
                <w:sz w:val="20"/>
                <w:szCs w:val="20"/>
                <w:color w:val="auto"/>
              </w:rPr>
            </w:pPr>
            <w:r>
              <w:rPr>
                <w:rFonts w:ascii="Times New Roman" w:cs="Times New Roman" w:eastAsia="Times New Roman" w:hAnsi="Times New Roman"/>
                <w:sz w:val="21"/>
                <w:szCs w:val="21"/>
                <w:color w:val="auto"/>
              </w:rPr>
              <w:t>[* * *]</w:t>
            </w:r>
          </w:p>
        </w:tc>
      </w:tr>
      <w:tr>
        <w:trPr>
          <w:trHeight w:val="280"/>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3.2.1.k</w:t>
            </w:r>
          </w:p>
        </w:tc>
        <w:tc>
          <w:tcPr>
            <w:tcW w:w="162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r>
      <w:tr>
        <w:trPr>
          <w:trHeight w:val="195"/>
        </w:trPr>
        <w:tc>
          <w:tcPr>
            <w:tcW w:w="14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5.12</w:t>
            </w:r>
          </w:p>
        </w:tc>
        <w:tc>
          <w:tcPr>
            <w:tcW w:w="532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Annual Technical and Business Status Report, Reference</w:t>
            </w:r>
          </w:p>
        </w:tc>
        <w:tc>
          <w:tcPr>
            <w:tcW w:w="1620" w:type="dxa"/>
            <w:vAlign w:val="bottom"/>
            <w:tcBorders>
              <w:right w:val="single" w:sz="8" w:color="auto"/>
            </w:tcBorders>
          </w:tcPr>
          <w:p>
            <w:pPr>
              <w:jc w:val="right"/>
              <w:ind w:right="87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right w:val="single" w:sz="8" w:color="auto"/>
            </w:tcBorders>
          </w:tcPr>
          <w:p>
            <w:pPr>
              <w:jc w:val="right"/>
              <w:ind w:right="1953"/>
              <w:spacing w:after="0" w:line="195" w:lineRule="exact"/>
              <w:rPr>
                <w:sz w:val="20"/>
                <w:szCs w:val="20"/>
                <w:color w:val="auto"/>
              </w:rPr>
            </w:pPr>
            <w:r>
              <w:rPr>
                <w:rFonts w:ascii="Times New Roman" w:cs="Times New Roman" w:eastAsia="Times New Roman" w:hAnsi="Times New Roman"/>
                <w:sz w:val="21"/>
                <w:szCs w:val="21"/>
                <w:color w:val="auto"/>
              </w:rPr>
              <w:t>[* * *]</w:t>
            </w:r>
          </w:p>
        </w:tc>
      </w:tr>
      <w:tr>
        <w:trPr>
          <w:trHeight w:val="280"/>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3.2.1.l</w:t>
            </w:r>
          </w:p>
        </w:tc>
        <w:tc>
          <w:tcPr>
            <w:tcW w:w="162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r>
      <w:tr>
        <w:trPr>
          <w:trHeight w:val="262"/>
        </w:trPr>
        <w:tc>
          <w:tcPr>
            <w:tcW w:w="1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5.13</w:t>
            </w: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162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bottom w:val="single" w:sz="8" w:color="auto"/>
              <w:right w:val="single" w:sz="8" w:color="auto"/>
            </w:tcBorders>
          </w:tcPr>
          <w:p>
            <w:pPr>
              <w:jc w:val="right"/>
              <w:ind w:right="1953"/>
              <w:spacing w:after="0"/>
              <w:rPr>
                <w:sz w:val="20"/>
                <w:szCs w:val="20"/>
                <w:color w:val="auto"/>
              </w:rPr>
            </w:pPr>
            <w:r>
              <w:rPr>
                <w:rFonts w:ascii="Times New Roman" w:cs="Times New Roman" w:eastAsia="Times New Roman" w:hAnsi="Times New Roman"/>
                <w:sz w:val="21"/>
                <w:szCs w:val="21"/>
                <w:color w:val="auto"/>
              </w:rPr>
              <w:t>[* * *]</w:t>
            </w:r>
          </w:p>
        </w:tc>
      </w:tr>
      <w:tr>
        <w:trPr>
          <w:trHeight w:val="261"/>
        </w:trPr>
        <w:tc>
          <w:tcPr>
            <w:tcW w:w="1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5.14</w:t>
            </w: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162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bottom w:val="single" w:sz="8" w:color="auto"/>
              <w:right w:val="single" w:sz="8" w:color="auto"/>
            </w:tcBorders>
          </w:tcPr>
          <w:p>
            <w:pPr>
              <w:jc w:val="right"/>
              <w:ind w:right="1953"/>
              <w:spacing w:after="0"/>
              <w:rPr>
                <w:sz w:val="20"/>
                <w:szCs w:val="20"/>
                <w:color w:val="auto"/>
              </w:rPr>
            </w:pPr>
            <w:r>
              <w:rPr>
                <w:rFonts w:ascii="Times New Roman" w:cs="Times New Roman" w:eastAsia="Times New Roman" w:hAnsi="Times New Roman"/>
                <w:sz w:val="21"/>
                <w:szCs w:val="21"/>
                <w:color w:val="auto"/>
              </w:rPr>
              <w:t>[* * *]</w:t>
            </w:r>
          </w:p>
        </w:tc>
      </w:tr>
      <w:tr>
        <w:trPr>
          <w:trHeight w:val="261"/>
        </w:trPr>
        <w:tc>
          <w:tcPr>
            <w:tcW w:w="1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5.15</w:t>
            </w: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162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bottom w:val="single" w:sz="8" w:color="auto"/>
              <w:right w:val="single" w:sz="8" w:color="auto"/>
            </w:tcBorders>
          </w:tcPr>
          <w:p>
            <w:pPr>
              <w:jc w:val="right"/>
              <w:ind w:right="1953"/>
              <w:spacing w:after="0"/>
              <w:rPr>
                <w:sz w:val="20"/>
                <w:szCs w:val="20"/>
                <w:color w:val="auto"/>
              </w:rPr>
            </w:pPr>
            <w:r>
              <w:rPr>
                <w:rFonts w:ascii="Times New Roman" w:cs="Times New Roman" w:eastAsia="Times New Roman" w:hAnsi="Times New Roman"/>
                <w:sz w:val="21"/>
                <w:szCs w:val="21"/>
                <w:color w:val="auto"/>
              </w:rPr>
              <w:t>[* * *]</w:t>
            </w:r>
          </w:p>
        </w:tc>
      </w:tr>
      <w:tr>
        <w:trPr>
          <w:trHeight w:val="261"/>
        </w:trPr>
        <w:tc>
          <w:tcPr>
            <w:tcW w:w="1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5.16</w:t>
            </w: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162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bottom w:val="single" w:sz="8" w:color="auto"/>
              <w:right w:val="single" w:sz="8" w:color="auto"/>
            </w:tcBorders>
          </w:tcPr>
          <w:p>
            <w:pPr>
              <w:jc w:val="right"/>
              <w:ind w:right="1953"/>
              <w:spacing w:after="0"/>
              <w:rPr>
                <w:sz w:val="20"/>
                <w:szCs w:val="20"/>
                <w:color w:val="auto"/>
              </w:rPr>
            </w:pPr>
            <w:r>
              <w:rPr>
                <w:rFonts w:ascii="Times New Roman" w:cs="Times New Roman" w:eastAsia="Times New Roman" w:hAnsi="Times New Roman"/>
                <w:sz w:val="21"/>
                <w:szCs w:val="21"/>
                <w:color w:val="auto"/>
              </w:rPr>
              <w:t>[* * *]</w:t>
            </w:r>
          </w:p>
        </w:tc>
      </w:tr>
      <w:tr>
        <w:trPr>
          <w:trHeight w:val="261"/>
        </w:trPr>
        <w:tc>
          <w:tcPr>
            <w:tcW w:w="1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5.17</w:t>
            </w: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162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bottom w:val="single" w:sz="8" w:color="auto"/>
              <w:right w:val="single" w:sz="8" w:color="auto"/>
            </w:tcBorders>
          </w:tcPr>
          <w:p>
            <w:pPr>
              <w:jc w:val="right"/>
              <w:ind w:right="1953"/>
              <w:spacing w:after="0"/>
              <w:rPr>
                <w:sz w:val="20"/>
                <w:szCs w:val="20"/>
                <w:color w:val="auto"/>
              </w:rPr>
            </w:pPr>
            <w:r>
              <w:rPr>
                <w:rFonts w:ascii="Times New Roman" w:cs="Times New Roman" w:eastAsia="Times New Roman" w:hAnsi="Times New Roman"/>
                <w:sz w:val="21"/>
                <w:szCs w:val="21"/>
                <w:color w:val="auto"/>
              </w:rPr>
              <w:t>[* * *]</w:t>
            </w:r>
          </w:p>
        </w:tc>
      </w:tr>
      <w:tr>
        <w:trPr>
          <w:trHeight w:val="261"/>
        </w:trPr>
        <w:tc>
          <w:tcPr>
            <w:tcW w:w="1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5.18</w:t>
            </w: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162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bottom w:val="single" w:sz="8" w:color="auto"/>
              <w:right w:val="single" w:sz="8" w:color="auto"/>
            </w:tcBorders>
          </w:tcPr>
          <w:p>
            <w:pPr>
              <w:jc w:val="right"/>
              <w:ind w:right="1953"/>
              <w:spacing w:after="0"/>
              <w:rPr>
                <w:sz w:val="20"/>
                <w:szCs w:val="20"/>
                <w:color w:val="auto"/>
              </w:rPr>
            </w:pPr>
            <w:r>
              <w:rPr>
                <w:rFonts w:ascii="Times New Roman" w:cs="Times New Roman" w:eastAsia="Times New Roman" w:hAnsi="Times New Roman"/>
                <w:sz w:val="21"/>
                <w:szCs w:val="21"/>
                <w:color w:val="auto"/>
              </w:rPr>
              <w:t>[* * *]</w:t>
            </w:r>
          </w:p>
        </w:tc>
      </w:tr>
      <w:tr>
        <w:trPr>
          <w:trHeight w:val="261"/>
        </w:trPr>
        <w:tc>
          <w:tcPr>
            <w:tcW w:w="1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5.19</w:t>
            </w: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162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bottom w:val="single" w:sz="8" w:color="auto"/>
              <w:right w:val="single" w:sz="8" w:color="auto"/>
            </w:tcBorders>
          </w:tcPr>
          <w:p>
            <w:pPr>
              <w:jc w:val="right"/>
              <w:ind w:right="1953"/>
              <w:spacing w:after="0"/>
              <w:rPr>
                <w:sz w:val="20"/>
                <w:szCs w:val="20"/>
                <w:color w:val="auto"/>
              </w:rPr>
            </w:pPr>
            <w:r>
              <w:rPr>
                <w:rFonts w:ascii="Times New Roman" w:cs="Times New Roman" w:eastAsia="Times New Roman" w:hAnsi="Times New Roman"/>
                <w:sz w:val="21"/>
                <w:szCs w:val="21"/>
                <w:color w:val="auto"/>
              </w:rPr>
              <w:t>[* * *]</w:t>
            </w:r>
          </w:p>
        </w:tc>
      </w:tr>
      <w:tr>
        <w:trPr>
          <w:trHeight w:val="261"/>
        </w:trPr>
        <w:tc>
          <w:tcPr>
            <w:tcW w:w="1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5.21</w:t>
            </w: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Storage of Drug Product in VMI </w:t>
            </w:r>
            <w:r>
              <w:rPr>
                <w:rFonts w:ascii="Times New Roman" w:cs="Times New Roman" w:eastAsia="Times New Roman" w:hAnsi="Times New Roman"/>
                <w:sz w:val="21"/>
                <w:szCs w:val="21"/>
                <w:color w:val="auto"/>
              </w:rPr>
              <w:t>[* * *]</w:t>
            </w:r>
          </w:p>
        </w:tc>
        <w:tc>
          <w:tcPr>
            <w:tcW w:w="162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bottom w:val="single" w:sz="8" w:color="auto"/>
              <w:right w:val="single" w:sz="8" w:color="auto"/>
            </w:tcBorders>
          </w:tcPr>
          <w:p>
            <w:pPr>
              <w:jc w:val="right"/>
              <w:ind w:right="1953"/>
              <w:spacing w:after="0"/>
              <w:rPr>
                <w:sz w:val="20"/>
                <w:szCs w:val="20"/>
                <w:color w:val="auto"/>
              </w:rPr>
            </w:pPr>
            <w:r>
              <w:rPr>
                <w:rFonts w:ascii="Times New Roman" w:cs="Times New Roman" w:eastAsia="Times New Roman" w:hAnsi="Times New Roman"/>
                <w:sz w:val="21"/>
                <w:szCs w:val="21"/>
                <w:color w:val="auto"/>
              </w:rPr>
              <w:t>[* * *]</w:t>
            </w:r>
          </w:p>
        </w:tc>
      </w:tr>
      <w:tr>
        <w:trPr>
          <w:trHeight w:val="261"/>
        </w:trPr>
        <w:tc>
          <w:tcPr>
            <w:tcW w:w="1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5.22</w:t>
            </w: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Storage of Drug Product in VMI </w:t>
            </w:r>
            <w:r>
              <w:rPr>
                <w:rFonts w:ascii="Times New Roman" w:cs="Times New Roman" w:eastAsia="Times New Roman" w:hAnsi="Times New Roman"/>
                <w:sz w:val="21"/>
                <w:szCs w:val="21"/>
                <w:color w:val="auto"/>
              </w:rPr>
              <w:t>[* * *]</w:t>
            </w:r>
          </w:p>
        </w:tc>
        <w:tc>
          <w:tcPr>
            <w:tcW w:w="162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bottom w:val="single" w:sz="8" w:color="auto"/>
              <w:right w:val="single" w:sz="8" w:color="auto"/>
            </w:tcBorders>
          </w:tcPr>
          <w:p>
            <w:pPr>
              <w:jc w:val="right"/>
              <w:ind w:right="1953"/>
              <w:spacing w:after="0"/>
              <w:rPr>
                <w:sz w:val="20"/>
                <w:szCs w:val="20"/>
                <w:color w:val="auto"/>
              </w:rPr>
            </w:pPr>
            <w:r>
              <w:rPr>
                <w:rFonts w:ascii="Times New Roman" w:cs="Times New Roman" w:eastAsia="Times New Roman" w:hAnsi="Times New Roman"/>
                <w:sz w:val="21"/>
                <w:szCs w:val="21"/>
                <w:color w:val="auto"/>
              </w:rPr>
              <w:t>[* * *]</w:t>
            </w:r>
          </w:p>
        </w:tc>
      </w:tr>
      <w:tr>
        <w:trPr>
          <w:trHeight w:val="261"/>
        </w:trPr>
        <w:tc>
          <w:tcPr>
            <w:tcW w:w="1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5.23</w:t>
            </w: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Storage of Drug Product in VMI </w:t>
            </w:r>
            <w:r>
              <w:rPr>
                <w:rFonts w:ascii="Times New Roman" w:cs="Times New Roman" w:eastAsia="Times New Roman" w:hAnsi="Times New Roman"/>
                <w:sz w:val="21"/>
                <w:szCs w:val="21"/>
                <w:color w:val="auto"/>
              </w:rPr>
              <w:t>[* * *]</w:t>
            </w:r>
          </w:p>
        </w:tc>
        <w:tc>
          <w:tcPr>
            <w:tcW w:w="162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bottom w:val="single" w:sz="8" w:color="auto"/>
              <w:right w:val="single" w:sz="8" w:color="auto"/>
            </w:tcBorders>
          </w:tcPr>
          <w:p>
            <w:pPr>
              <w:jc w:val="right"/>
              <w:ind w:right="1953"/>
              <w:spacing w:after="0"/>
              <w:rPr>
                <w:sz w:val="20"/>
                <w:szCs w:val="20"/>
                <w:color w:val="auto"/>
              </w:rPr>
            </w:pPr>
            <w:r>
              <w:rPr>
                <w:rFonts w:ascii="Times New Roman" w:cs="Times New Roman" w:eastAsia="Times New Roman" w:hAnsi="Times New Roman"/>
                <w:sz w:val="21"/>
                <w:szCs w:val="21"/>
                <w:color w:val="auto"/>
              </w:rPr>
              <w:t>[* * *]</w:t>
            </w:r>
          </w:p>
        </w:tc>
      </w:tr>
      <w:tr>
        <w:trPr>
          <w:trHeight w:val="194"/>
        </w:trPr>
        <w:tc>
          <w:tcPr>
            <w:tcW w:w="148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5.20</w:t>
            </w:r>
          </w:p>
        </w:tc>
        <w:tc>
          <w:tcPr>
            <w:tcW w:w="5320" w:type="dxa"/>
            <w:vAlign w:val="bottom"/>
            <w:tcBorders>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 xml:space="preserve">Support Distribution of Drug Product, </w:t>
            </w:r>
            <w:r>
              <w:rPr>
                <w:rFonts w:ascii="Times New Roman" w:cs="Times New Roman" w:eastAsia="Times New Roman" w:hAnsi="Times New Roman"/>
                <w:sz w:val="21"/>
                <w:szCs w:val="21"/>
                <w:color w:val="auto"/>
              </w:rPr>
              <w:t>[* * *]</w:t>
            </w:r>
            <w:r>
              <w:rPr>
                <w:rFonts w:ascii="Times New Roman" w:cs="Times New Roman" w:eastAsia="Times New Roman" w:hAnsi="Times New Roman"/>
                <w:sz w:val="21"/>
                <w:szCs w:val="21"/>
                <w:b w:val="1"/>
                <w:bCs w:val="1"/>
                <w:i w:val="1"/>
                <w:iCs w:val="1"/>
                <w:color w:val="auto"/>
              </w:rPr>
              <w:t xml:space="preserve"> and</w:t>
            </w:r>
          </w:p>
        </w:tc>
        <w:tc>
          <w:tcPr>
            <w:tcW w:w="1620" w:type="dxa"/>
            <w:vAlign w:val="bottom"/>
            <w:tcBorders>
              <w:right w:val="single" w:sz="8" w:color="auto"/>
            </w:tcBorders>
          </w:tcPr>
          <w:p>
            <w:pPr>
              <w:jc w:val="right"/>
              <w:ind w:right="873"/>
              <w:spacing w:after="0" w:line="194" w:lineRule="exact"/>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right w:val="single" w:sz="8" w:color="auto"/>
            </w:tcBorders>
          </w:tcPr>
          <w:p>
            <w:pPr>
              <w:jc w:val="right"/>
              <w:ind w:right="1953"/>
              <w:spacing w:after="0" w:line="194" w:lineRule="exact"/>
              <w:rPr>
                <w:sz w:val="20"/>
                <w:szCs w:val="20"/>
                <w:color w:val="auto"/>
              </w:rPr>
            </w:pPr>
            <w:r>
              <w:rPr>
                <w:rFonts w:ascii="Times New Roman" w:cs="Times New Roman" w:eastAsia="Times New Roman" w:hAnsi="Times New Roman"/>
                <w:sz w:val="21"/>
                <w:szCs w:val="21"/>
                <w:color w:val="auto"/>
              </w:rPr>
              <w:t>[* * *]</w:t>
            </w:r>
          </w:p>
        </w:tc>
      </w:tr>
      <w:tr>
        <w:trPr>
          <w:trHeight w:val="281"/>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Regulatory Activities through </w:t>
            </w:r>
            <w:r>
              <w:rPr>
                <w:rFonts w:ascii="Times New Roman" w:cs="Times New Roman" w:eastAsia="Times New Roman" w:hAnsi="Times New Roman"/>
                <w:sz w:val="21"/>
                <w:szCs w:val="21"/>
                <w:color w:val="auto"/>
              </w:rPr>
              <w:t>[* * *]</w:t>
            </w:r>
          </w:p>
        </w:tc>
        <w:tc>
          <w:tcPr>
            <w:tcW w:w="162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r>
      <w:tr>
        <w:trPr>
          <w:trHeight w:val="261"/>
        </w:trPr>
        <w:tc>
          <w:tcPr>
            <w:tcW w:w="1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5.24</w:t>
            </w: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i w:val="1"/>
                <w:iCs w:val="1"/>
                <w:color w:val="auto"/>
              </w:rPr>
              <w:t>Shelf-life Extension Submission for OTA Product</w:t>
            </w:r>
          </w:p>
        </w:tc>
        <w:tc>
          <w:tcPr>
            <w:tcW w:w="162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bottom w:val="single" w:sz="8" w:color="auto"/>
              <w:right w:val="single" w:sz="8" w:color="auto"/>
            </w:tcBorders>
          </w:tcPr>
          <w:p>
            <w:pPr>
              <w:jc w:val="right"/>
              <w:ind w:right="1953"/>
              <w:spacing w:after="0"/>
              <w:rPr>
                <w:sz w:val="20"/>
                <w:szCs w:val="20"/>
                <w:color w:val="auto"/>
              </w:rPr>
            </w:pPr>
            <w:r>
              <w:rPr>
                <w:rFonts w:ascii="Times New Roman" w:cs="Times New Roman" w:eastAsia="Times New Roman" w:hAnsi="Times New Roman"/>
                <w:sz w:val="21"/>
                <w:szCs w:val="21"/>
                <w:color w:val="auto"/>
              </w:rPr>
              <w:t>[* * *]</w:t>
            </w:r>
          </w:p>
        </w:tc>
      </w:tr>
      <w:tr>
        <w:trPr>
          <w:trHeight w:val="261"/>
        </w:trPr>
        <w:tc>
          <w:tcPr>
            <w:tcW w:w="1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5.25</w:t>
            </w: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i w:val="1"/>
                <w:iCs w:val="1"/>
                <w:color w:val="auto"/>
              </w:rPr>
              <w:t>Shelf-life Extension Submission for OTA Product</w:t>
            </w:r>
          </w:p>
        </w:tc>
        <w:tc>
          <w:tcPr>
            <w:tcW w:w="162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bottom w:val="single" w:sz="8" w:color="auto"/>
              <w:right w:val="single" w:sz="8" w:color="auto"/>
            </w:tcBorders>
          </w:tcPr>
          <w:p>
            <w:pPr>
              <w:jc w:val="right"/>
              <w:ind w:right="1953"/>
              <w:spacing w:after="0"/>
              <w:rPr>
                <w:sz w:val="20"/>
                <w:szCs w:val="20"/>
                <w:color w:val="auto"/>
              </w:rPr>
            </w:pPr>
            <w:r>
              <w:rPr>
                <w:rFonts w:ascii="Times New Roman" w:cs="Times New Roman" w:eastAsia="Times New Roman" w:hAnsi="Times New Roman"/>
                <w:sz w:val="21"/>
                <w:szCs w:val="21"/>
                <w:color w:val="auto"/>
              </w:rPr>
              <w:t>[* * *]</w:t>
            </w:r>
          </w:p>
        </w:tc>
      </w:tr>
      <w:tr>
        <w:trPr>
          <w:trHeight w:val="261"/>
        </w:trPr>
        <w:tc>
          <w:tcPr>
            <w:tcW w:w="1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5.26</w:t>
            </w: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i w:val="1"/>
                <w:iCs w:val="1"/>
                <w:color w:val="auto"/>
              </w:rPr>
              <w:t>Shelf-life Extension for FAR Product</w:t>
            </w:r>
          </w:p>
        </w:tc>
        <w:tc>
          <w:tcPr>
            <w:tcW w:w="1620" w:type="dxa"/>
            <w:vAlign w:val="bottom"/>
            <w:tcBorders>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1"/>
                <w:szCs w:val="21"/>
                <w:color w:val="auto"/>
              </w:rPr>
              <w:t>[* * *]</w:t>
            </w:r>
          </w:p>
        </w:tc>
        <w:tc>
          <w:tcPr>
            <w:tcW w:w="2700" w:type="dxa"/>
            <w:vAlign w:val="bottom"/>
            <w:tcBorders>
              <w:bottom w:val="single" w:sz="8" w:color="auto"/>
              <w:right w:val="single" w:sz="8" w:color="auto"/>
            </w:tcBorders>
          </w:tcPr>
          <w:p>
            <w:pPr>
              <w:jc w:val="right"/>
              <w:ind w:right="1953"/>
              <w:spacing w:after="0"/>
              <w:rPr>
                <w:sz w:val="20"/>
                <w:szCs w:val="20"/>
                <w:color w:val="auto"/>
              </w:rPr>
            </w:pPr>
            <w:r>
              <w:rPr>
                <w:rFonts w:ascii="Times New Roman" w:cs="Times New Roman" w:eastAsia="Times New Roman" w:hAnsi="Times New Roman"/>
                <w:sz w:val="21"/>
                <w:szCs w:val="21"/>
                <w:color w:val="auto"/>
              </w:rPr>
              <w:t>[* * *]</w:t>
            </w:r>
          </w:p>
        </w:tc>
      </w:tr>
      <w:tr>
        <w:trPr>
          <w:trHeight w:val="261"/>
        </w:trPr>
        <w:tc>
          <w:tcPr>
            <w:tcW w:w="1480" w:type="dxa"/>
            <w:vAlign w:val="bottom"/>
            <w:tcBorders>
              <w:left w:val="single" w:sz="8" w:color="auto"/>
              <w:bottom w:val="single" w:sz="8" w:color="auto"/>
            </w:tcBorders>
          </w:tcPr>
          <w:p>
            <w:pPr>
              <w:spacing w:after="0"/>
              <w:rPr>
                <w:sz w:val="22"/>
                <w:szCs w:val="22"/>
                <w:color w:val="auto"/>
              </w:rPr>
            </w:pPr>
          </w:p>
        </w:tc>
        <w:tc>
          <w:tcPr>
            <w:tcW w:w="69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auto"/>
              </w:rPr>
              <w:t>Total (Include Payment Type; FFP/CR):</w:t>
            </w:r>
          </w:p>
        </w:tc>
        <w:tc>
          <w:tcPr>
            <w:tcW w:w="2700" w:type="dxa"/>
            <w:vAlign w:val="bottom"/>
            <w:tcBorders>
              <w:bottom w:val="single" w:sz="8" w:color="auto"/>
              <w:right w:val="single" w:sz="8" w:color="auto"/>
            </w:tcBorders>
          </w:tcPr>
          <w:p>
            <w:pPr>
              <w:jc w:val="right"/>
              <w:ind w:right="653"/>
              <w:spacing w:after="0"/>
              <w:rPr>
                <w:sz w:val="20"/>
                <w:szCs w:val="20"/>
                <w:color w:val="auto"/>
              </w:rPr>
            </w:pPr>
            <w:r>
              <w:rPr>
                <w:rFonts w:ascii="Times New Roman" w:cs="Times New Roman" w:eastAsia="Times New Roman" w:hAnsi="Times New Roman"/>
                <w:sz w:val="21"/>
                <w:szCs w:val="21"/>
                <w:b w:val="1"/>
                <w:bCs w:val="1"/>
                <w:color w:val="auto"/>
              </w:rPr>
              <w:t>$465,861,635</w:t>
            </w:r>
          </w:p>
        </w:tc>
      </w:tr>
      <w:tr>
        <w:trPr>
          <w:trHeight w:val="261"/>
        </w:trPr>
        <w:tc>
          <w:tcPr>
            <w:tcW w:w="1480" w:type="dxa"/>
            <w:vAlign w:val="bottom"/>
            <w:tcBorders>
              <w:left w:val="single" w:sz="8" w:color="auto"/>
              <w:bottom w:val="single" w:sz="8" w:color="auto"/>
            </w:tcBorders>
          </w:tcPr>
          <w:p>
            <w:pPr>
              <w:spacing w:after="0"/>
              <w:rPr>
                <w:sz w:val="22"/>
                <w:szCs w:val="22"/>
                <w:color w:val="auto"/>
              </w:rPr>
            </w:pPr>
          </w:p>
        </w:tc>
        <w:tc>
          <w:tcPr>
            <w:tcW w:w="69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auto"/>
              </w:rPr>
              <w:t>Period of Performance:</w:t>
            </w:r>
          </w:p>
        </w:tc>
        <w:tc>
          <w:tcPr>
            <w:tcW w:w="2700" w:type="dxa"/>
            <w:vAlign w:val="bottom"/>
            <w:tcBorders>
              <w:bottom w:val="single" w:sz="8" w:color="auto"/>
              <w:right w:val="single" w:sz="8" w:color="auto"/>
            </w:tcBorders>
          </w:tcPr>
          <w:p>
            <w:pPr>
              <w:jc w:val="right"/>
              <w:ind w:right="173"/>
              <w:spacing w:after="0"/>
              <w:rPr>
                <w:sz w:val="20"/>
                <w:szCs w:val="20"/>
                <w:color w:val="auto"/>
              </w:rPr>
            </w:pPr>
            <w:r>
              <w:rPr>
                <w:rFonts w:ascii="Times New Roman" w:cs="Times New Roman" w:eastAsia="Times New Roman" w:hAnsi="Times New Roman"/>
                <w:sz w:val="21"/>
                <w:szCs w:val="21"/>
                <w:b w:val="1"/>
                <w:bCs w:val="1"/>
                <w:color w:val="auto"/>
              </w:rPr>
              <w:t>June 2020 –</w:t>
            </w:r>
            <w:r>
              <w:rPr>
                <w:rFonts w:ascii="Times New Roman" w:cs="Times New Roman" w:eastAsia="Times New Roman" w:hAnsi="Times New Roman"/>
                <w:sz w:val="21"/>
                <w:szCs w:val="21"/>
                <w:b w:val="1"/>
                <w:bCs w:val="1"/>
                <w:i w:val="1"/>
                <w:iCs w:val="1"/>
                <w:color w:val="auto"/>
              </w:rPr>
              <w:t>March 2023</w:t>
            </w:r>
          </w:p>
        </w:tc>
      </w:tr>
    </w:tbl>
    <w:p>
      <w:pPr>
        <w:spacing w:after="0" w:line="29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The overall price is a not-to-exceed price of $465,861,635, structured as a firm fixed price of [* * *] and a cost reimbursement budget (for support of distribution and [* * *] costs only) of [* * *]</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color w:val="auto"/>
        </w:rPr>
        <w:t xml:space="preserve"> Milestone payments will be made monthly or quarterly. The Parties acknowledge that deliverables for a given month or quarter may not correspond to the table above. In the event the deliverables in a given month or quarter are less than or exceed the projected quantity for such month or quarter, or in the event of a monthly invoice against an amount designated for a quarter in the table above, the milestone payment will be equitably adjusted based on the shortfall, excess or monthly amount, as applicable. With respect to the Distribution and [* * *] Costs milestone (</w:t>
      </w:r>
      <w:r>
        <w:rPr>
          <w:rFonts w:ascii="Times New Roman" w:cs="Times New Roman" w:eastAsia="Times New Roman" w:hAnsi="Times New Roman"/>
          <w:sz w:val="21"/>
          <w:szCs w:val="21"/>
          <w:b w:val="1"/>
          <w:bCs w:val="1"/>
          <w:i w:val="1"/>
          <w:iCs w:val="1"/>
          <w:color w:val="auto"/>
        </w:rPr>
        <w:t>5.22</w:t>
      </w:r>
      <w:r>
        <w:rPr>
          <w:rFonts w:ascii="Times New Roman" w:cs="Times New Roman" w:eastAsia="Times New Roman" w:hAnsi="Times New Roman"/>
          <w:sz w:val="21"/>
          <w:szCs w:val="21"/>
          <w:color w:val="auto"/>
        </w:rPr>
        <w:t>), Regeneron shall invoice against such milestone based on actual, external costs incurred by Regeneron during the applicable period, plus an allowance for Regeneron’s general and administrative expense. Milestone payment terms will be net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13</w:t>
      </w:r>
    </w:p>
    <w:p>
      <w:pPr>
        <w:jc w:val="center"/>
        <w:spacing w:after="0" w:line="197" w:lineRule="auto"/>
        <w:rPr>
          <w:sz w:val="20"/>
          <w:szCs w:val="20"/>
          <w:color w:val="auto"/>
        </w:rPr>
      </w:pPr>
      <w:r>
        <w:rPr>
          <w:rFonts w:ascii="Calibri" w:cs="Calibri" w:eastAsia="Calibri" w:hAnsi="Calibri"/>
          <w:sz w:val="20"/>
          <w:szCs w:val="20"/>
          <w:i w:val="1"/>
          <w:iCs w:val="1"/>
          <w:color w:val="auto"/>
        </w:rPr>
        <w:t>CONFIDENTIAL/PROPRIETARY</w:t>
      </w:r>
    </w:p>
    <w:p>
      <w:pPr>
        <w:sectPr>
          <w:pgSz w:w="11900" w:h="16838" w:orient="portrait"/>
          <w:cols w:equalWidth="0" w:num="1">
            <w:col w:w="11240"/>
          </w:cols>
          <w:pgMar w:left="320" w:top="1430" w:right="339" w:bottom="1440" w:gutter="0" w:footer="0" w:header="0"/>
        </w:sectPr>
      </w:pPr>
    </w:p>
    <w:bookmarkStart w:id="138" w:name="page139"/>
    <w:bookmarkEnd w:id="138"/>
    <w:p>
      <w:pPr>
        <w:spacing w:after="0" w:line="18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Total pricing for Drug Substance and Drug Product is a firm fixed price per lot, [* * *]. Regeneron will deliver [* * *] of filled/finished drug product. Regeneron will be entitled to full payment for drug product upon delivery/acceptance (as described herein) of filled/finished drug product, prior to packaging and labeling. However, Regeneron shall be responsible for the packaging and labeling of product at no additional cost following the determination of the use of such drug product (e.g., for clinical trials or for distribution under an EUA or BLA). Drug product will comply with the Drug Supply Chain Security Act serialization and tracking requirements, unless waived or otherwise not applicable. Drug product will not be co-formulated, except as otherwise mutually agreed upon by the parties. Unless and until otherwise mutually agreed upon, approximately [* * *] of the drug product produced under this Statement of Work will be filled in [* * *]. In order to change this allocation, Regeneron will require at least [* * *] prior written notice, in order to meet Regeneron’s notification requirements to its fill/finish subcontractor. Notwithstanding the foregoing, as part of this Project Agreement, Regeneron will have the right to utilize material and capacity supported by this agreement of up to [* * *], as well as any additional drug product for such uses, as mutually agreed upon by Regeneron and the Government (with respect to which use the Government will not unreasonably withhold consent).</w:t>
      </w:r>
    </w:p>
    <w:p>
      <w:pPr>
        <w:spacing w:after="0" w:line="17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In the event this Statement of Work is terminated prior to completion, termination costs recoverable by Regeneron under Section 2.04 of the MCDC Base Agreement, shall include the following: the full contract price for any drug product manufactured and not yet paid for; a pro-rated portion of the contract price for drug substance or drug product that is in process, based on the stage of production; [* * *]; raw materials that Regeneron purchased (or is obligated to purchase) that cannot be allocated to other products; and [* * *].</w:t>
      </w:r>
    </w:p>
    <w:p>
      <w:pPr>
        <w:spacing w:after="0" w:line="17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6.0</w:t>
        <w:tab/>
        <w:t>SALE, STORAGE, AND SHIPPING PROVISIONS</w:t>
      </w:r>
    </w:p>
    <w:p>
      <w:pPr>
        <w:spacing w:after="0" w:line="217"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color w:val="auto"/>
        </w:rPr>
        <w:t xml:space="preserve">Upon acceptance by the Agreements Officer Representative of any lot of antibodies under this contract, title to such antibodies will transfer as follows: upon delivery of drug product to vendor-managed inventory and the Government’s corresponding written acceptance of the delivery of each such lot of drug product. The Government shall accept product that conforms to contract requirements based on a Certificate of Analysis (COA) provided by Regeneron, and the parties shall perform their obligations relating to product delivery set forth in the applicable Quality Agreement for the product. The Government's acceptance of product will be [* * *] provide written notice of acceptance or rejection [* * *]. In the event of an EUA, Regeneron will transfer product from VMI to the Distributor for distribution directed by the Government; provided that, product shall not be provided to the Distributor until it is accepted by the Government. Unless otherwise mutually agreed upon by the parties, drug product shall be shipped to the Government or distributed, as applicable, within the continental United States. Regeneron will [* * *] for all product stored as vendor-managed inventory, and while such product is in the possession of the Distributor and being distributed for the Government in the United States. With respect to product being distributed in the United States, [* * *] Government upon delivery from the Distributor to the end-user (e.g., the hospital, infusion center or other end-user). To the extent that Regeneron is responsible for the correction, repair or replacement of Government property held in vendor-managed inventory or in distribution and in the possession of the Distributor, [* * *], the Government will [* * *] of such property. Vendor-managed storage of product manufactured under this agreement is supported through </w:t>
      </w:r>
      <w:r>
        <w:rPr>
          <w:rFonts w:ascii="Times New Roman" w:cs="Times New Roman" w:eastAsia="Times New Roman" w:hAnsi="Times New Roman"/>
          <w:sz w:val="21"/>
          <w:szCs w:val="21"/>
          <w:b w:val="1"/>
          <w:bCs w:val="1"/>
          <w:i w:val="1"/>
          <w:iCs w:val="1"/>
          <w:color w:val="auto"/>
        </w:rPr>
        <w:t>March 31, 2023</w:t>
      </w:r>
      <w:r>
        <w:rPr>
          <w:rFonts w:ascii="Times New Roman" w:cs="Times New Roman" w:eastAsia="Times New Roman" w:hAnsi="Times New Roman"/>
          <w:sz w:val="21"/>
          <w:szCs w:val="21"/>
          <w:color w:val="auto"/>
        </w:rPr>
        <w:t xml:space="preserve">. As such, the Government must either (a) take possession on or before </w:t>
      </w:r>
      <w:r>
        <w:rPr>
          <w:rFonts w:ascii="Times New Roman" w:cs="Times New Roman" w:eastAsia="Times New Roman" w:hAnsi="Times New Roman"/>
          <w:sz w:val="21"/>
          <w:szCs w:val="21"/>
          <w:b w:val="1"/>
          <w:bCs w:val="1"/>
          <w:i w:val="1"/>
          <w:iCs w:val="1"/>
          <w:color w:val="auto"/>
        </w:rPr>
        <w:t>March 31, 2023</w:t>
      </w:r>
      <w:r>
        <w:rPr>
          <w:rFonts w:ascii="Times New Roman" w:cs="Times New Roman" w:eastAsia="Times New Roman" w:hAnsi="Times New Roman"/>
          <w:sz w:val="21"/>
          <w:szCs w:val="21"/>
          <w:color w:val="auto"/>
        </w:rPr>
        <w:t xml:space="preserve"> and provide Regeneron with disposition instructions in sufficient time to transfer physical material from Regeneron by this date, or (b) bilaterally modify this agreement to extend the period of vendor management of storage prior to this date. Additional costs may apply (and the storage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14</w:t>
      </w:r>
    </w:p>
    <w:p>
      <w:pPr>
        <w:jc w:val="center"/>
        <w:spacing w:after="0" w:line="191" w:lineRule="auto"/>
        <w:rPr>
          <w:sz w:val="20"/>
          <w:szCs w:val="20"/>
          <w:color w:val="auto"/>
        </w:rPr>
      </w:pPr>
      <w:r>
        <w:rPr>
          <w:rFonts w:ascii="Calibri" w:cs="Calibri" w:eastAsia="Calibri" w:hAnsi="Calibri"/>
          <w:sz w:val="20"/>
          <w:szCs w:val="20"/>
          <w:i w:val="1"/>
          <w:iCs w:val="1"/>
          <w:color w:val="auto"/>
        </w:rPr>
        <w:t>CONFIDENTIAL/PROPRIETARY</w:t>
      </w:r>
    </w:p>
    <w:p>
      <w:pPr>
        <w:sectPr>
          <w:pgSz w:w="11900" w:h="16838" w:orient="portrait"/>
          <w:cols w:equalWidth="0" w:num="1">
            <w:col w:w="11240"/>
          </w:cols>
          <w:pgMar w:left="320" w:top="1440"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1"/>
          <w:szCs w:val="21"/>
          <w:color w:val="auto"/>
        </w:rPr>
        <w:t xml:space="preserve">shall be equitably adjusted) if storage of product as VMI is required following the end of </w:t>
      </w:r>
      <w:r>
        <w:rPr>
          <w:rFonts w:ascii="Times New Roman" w:cs="Times New Roman" w:eastAsia="Times New Roman" w:hAnsi="Times New Roman"/>
          <w:sz w:val="21"/>
          <w:szCs w:val="21"/>
          <w:b w:val="1"/>
          <w:bCs w:val="1"/>
          <w:i w:val="1"/>
          <w:iCs w:val="1"/>
          <w:color w:val="auto"/>
        </w:rPr>
        <w:t>March 31, 2023</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The Government understands that prices identified in this contract include [* * *] applicable to material that will become Government property, including product stored as vendor-managed inventory or in the possession of the Distributor, and being distributed for the Government.</w:t>
      </w:r>
    </w:p>
    <w:p>
      <w:pPr>
        <w:spacing w:after="0" w:line="17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7.0</w:t>
        <w:tab/>
        <w:t>PATENT RIGHTS; DATA RIGHTS; PREP ACT AND TRANSPARENCY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X, (“PATENT RIGHTS”) and Article XI. (“DATA RIGHTS”) of Other Transaction Agreement number W15QKN-16-9-</w:t>
      </w:r>
    </w:p>
    <w:p>
      <w:pPr>
        <w:spacing w:after="0" w:line="212" w:lineRule="auto"/>
        <w:rPr>
          <w:sz w:val="20"/>
          <w:szCs w:val="20"/>
          <w:color w:val="auto"/>
        </w:rPr>
      </w:pPr>
      <w:r>
        <w:rPr>
          <w:rFonts w:ascii="Times New Roman" w:cs="Times New Roman" w:eastAsia="Times New Roman" w:hAnsi="Times New Roman"/>
          <w:sz w:val="21"/>
          <w:szCs w:val="21"/>
          <w:color w:val="auto"/>
        </w:rPr>
        <w:t>1002 shall not apply to this Project Agreement and are hereby replaced for the purpose of this Project Agreement, with this Section</w:t>
      </w:r>
    </w:p>
    <w:p>
      <w:pPr>
        <w:spacing w:after="0" w:line="213" w:lineRule="auto"/>
        <w:rPr>
          <w:sz w:val="20"/>
          <w:szCs w:val="20"/>
          <w:color w:val="auto"/>
        </w:rPr>
      </w:pPr>
      <w:r>
        <w:rPr>
          <w:rFonts w:ascii="Times New Roman" w:cs="Times New Roman" w:eastAsia="Times New Roman" w:hAnsi="Times New Roman"/>
          <w:sz w:val="21"/>
          <w:szCs w:val="21"/>
          <w:color w:val="auto"/>
        </w:rPr>
        <w:t>7.0 (including Sections 7.1-7.4 and the Definitions Appendix).</w:t>
      </w:r>
    </w:p>
    <w:p>
      <w:pPr>
        <w:spacing w:after="0"/>
        <w:rPr>
          <w:sz w:val="20"/>
          <w:szCs w:val="20"/>
          <w:color w:val="auto"/>
        </w:rPr>
      </w:pPr>
      <w:r>
        <w:rPr>
          <w:rFonts w:ascii="Times New Roman" w:cs="Times New Roman" w:eastAsia="Times New Roman" w:hAnsi="Times New Roman"/>
          <w:sz w:val="21"/>
          <w:szCs w:val="21"/>
          <w:color w:val="auto"/>
        </w:rPr>
        <w:t>Definitions:</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Capitalized terms used in this Section 7.0 (including Sections 7.1-7.4) shall have the meanings ascribed to such terms in the Definitions Appendix to this Project Agreement.</w:t>
      </w:r>
    </w:p>
    <w:p>
      <w:pPr>
        <w:spacing w:after="0" w:line="16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For purposes of this Project Agreement, all rights of the Government in and to Data or Subject Inventions are granted solely to The United States of America, as represented by the Department of Health &amp; Human Services, Office of the Assistant Secretary for Preparedness &amp; Response (“ASPR”), Office of Biomedical Advanced Research and Development (“BARDA”) (represented by Office of Acquisition Management, Contracts and Grants (AMCG)) and to no other agency of the United States of America (including JPEO) or representative of any such other agency (including the CMF). The parties acknowledge that Regeneron is permitted to communicate solely with BARDA regarding the matters described in this Section 7.0 (including Sections 7.1-7.4) and is not obligated to communicate with any other Government agency or representative regarding such matters.</w:t>
      </w:r>
    </w:p>
    <w:p>
      <w:pPr>
        <w:spacing w:after="0" w:line="17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7.1</w:t>
        <w:tab/>
        <w:t>BACKGROUND INTELLECTUAL PROPERTY</w:t>
      </w:r>
    </w:p>
    <w:p>
      <w:pPr>
        <w:spacing w:after="0" w:line="21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Each party acknowledges that it has no rights to the other party’s inventions, discoveries, know-how, Data, technology or intellectual property generated, discovered, conceived or reduced to practice prior to or otherwise outside of this Statement of Work (also referred to herein as, this “Project Agreement” or this “Agreement”), and any improvements or modifications thereto, including, without limitation, the background intellectual property (and improvements/modifications) for the Government and Regeneron described below, as follows: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Government Background Intellectual Property</w:t>
      </w:r>
      <w:r>
        <w:rPr>
          <w:rFonts w:ascii="Times New Roman" w:cs="Times New Roman" w:eastAsia="Times New Roman" w:hAnsi="Times New Roman"/>
          <w:sz w:val="21"/>
          <w:szCs w:val="21"/>
          <w:color w:val="auto"/>
        </w:rPr>
        <w:t>. 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 xml:space="preserve">Contractor Background Intellectual Property: </w:t>
      </w:r>
      <w:r>
        <w:rPr>
          <w:rFonts w:ascii="Times New Roman" w:cs="Times New Roman" w:eastAsia="Times New Roman" w:hAnsi="Times New Roman"/>
          <w:sz w:val="21"/>
          <w:szCs w:val="21"/>
          <w:color w:val="auto"/>
        </w:rPr>
        <w:t>Includes, but is not limited to, [* * *]:</w:t>
      </w:r>
    </w:p>
    <w:p>
      <w:pPr>
        <w:spacing w:after="0" w:line="217" w:lineRule="exact"/>
        <w:rPr>
          <w:sz w:val="20"/>
          <w:szCs w:val="20"/>
          <w:color w:val="auto"/>
        </w:rPr>
      </w:pPr>
    </w:p>
    <w:p>
      <w:pPr>
        <w:ind w:right="1140"/>
        <w:spacing w:after="0" w:line="319" w:lineRule="auto"/>
        <w:rPr>
          <w:sz w:val="20"/>
          <w:szCs w:val="20"/>
          <w:color w:val="auto"/>
        </w:rPr>
      </w:pPr>
      <w:r>
        <w:rPr>
          <w:rFonts w:ascii="Times New Roman" w:cs="Times New Roman" w:eastAsia="Times New Roman" w:hAnsi="Times New Roman"/>
          <w:sz w:val="21"/>
          <w:szCs w:val="21"/>
          <w:color w:val="auto"/>
        </w:rPr>
        <w:t>63/004,312, filed April 2, 2020 “Anti-SARS-CoV-2-Spike Glycoprotein Antibodies and Antigen-Binding Fragments” [* * *]</w:t>
      </w:r>
    </w:p>
    <w:p>
      <w:pPr>
        <w:ind w:right="1040"/>
        <w:spacing w:after="0" w:line="319" w:lineRule="auto"/>
        <w:rPr>
          <w:sz w:val="20"/>
          <w:szCs w:val="20"/>
          <w:color w:val="auto"/>
        </w:rPr>
      </w:pPr>
      <w:r>
        <w:rPr>
          <w:rFonts w:ascii="Times New Roman" w:cs="Times New Roman" w:eastAsia="Times New Roman" w:hAnsi="Times New Roman"/>
          <w:sz w:val="21"/>
          <w:szCs w:val="21"/>
          <w:color w:val="auto"/>
        </w:rPr>
        <w:t>63/014,687, filed April 23, 2020 “Anti-SARS-CoV-2-Spike Glycoprotein Antibodies and Antigen-Binding Fragments” [* * *]</w:t>
      </w:r>
    </w:p>
    <w:p>
      <w:pPr>
        <w:spacing w:after="0"/>
        <w:rPr>
          <w:sz w:val="20"/>
          <w:szCs w:val="20"/>
          <w:color w:val="auto"/>
        </w:rPr>
      </w:pPr>
      <w:r>
        <w:rPr>
          <w:rFonts w:ascii="Times New Roman" w:cs="Times New Roman" w:eastAsia="Times New Roman" w:hAnsi="Times New Roman"/>
          <w:sz w:val="21"/>
          <w:szCs w:val="21"/>
          <w:color w:val="auto"/>
        </w:rPr>
        <w:t>63/025,949, filed May 15, 2020 “Anti-SARS-CoV-2-Spike Glycoprotein Antibodies and Antigen-Binding Fragments”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15</w:t>
      </w:r>
    </w:p>
    <w:p>
      <w:pPr>
        <w:jc w:val="center"/>
        <w:spacing w:after="0" w:line="191" w:lineRule="auto"/>
        <w:rPr>
          <w:sz w:val="20"/>
          <w:szCs w:val="20"/>
          <w:color w:val="auto"/>
        </w:rPr>
      </w:pPr>
      <w:r>
        <w:rPr>
          <w:rFonts w:ascii="Calibri" w:cs="Calibri" w:eastAsia="Calibri" w:hAnsi="Calibri"/>
          <w:sz w:val="20"/>
          <w:szCs w:val="20"/>
          <w:i w:val="1"/>
          <w:iCs w:val="1"/>
          <w:color w:val="auto"/>
        </w:rPr>
        <w:t>CONFIDENTIAL/PROPRIETARY</w:t>
      </w:r>
    </w:p>
    <w:p>
      <w:pPr>
        <w:sectPr>
          <w:pgSz w:w="11900" w:h="16838" w:orient="portrait"/>
          <w:cols w:equalWidth="0" w:num="1">
            <w:col w:w="11240"/>
          </w:cols>
          <w:pgMar w:left="320" w:top="1377" w:right="339" w:bottom="1440" w:gutter="0" w:footer="0" w:header="0"/>
        </w:sectPr>
      </w:pPr>
    </w:p>
    <w:bookmarkStart w:id="140" w:name="page141"/>
    <w:bookmarkEnd w:id="140"/>
    <w:p>
      <w:pPr>
        <w:ind w:right="1100"/>
        <w:spacing w:after="0" w:line="319" w:lineRule="auto"/>
        <w:rPr>
          <w:sz w:val="20"/>
          <w:szCs w:val="20"/>
          <w:color w:val="auto"/>
        </w:rPr>
      </w:pPr>
      <w:r>
        <w:rPr>
          <w:rFonts w:ascii="Times New Roman" w:cs="Times New Roman" w:eastAsia="Times New Roman" w:hAnsi="Times New Roman"/>
          <w:sz w:val="21"/>
          <w:szCs w:val="21"/>
          <w:color w:val="auto"/>
        </w:rPr>
        <w:t>63/030,260, filed May 26, 2020 “Anti-SARS-CoV-2-Spike Glycoprotein Antibodies and Antigen-Binding Fragments” 63/033,198, filed June 1, 2020 “Anti-SARS-CoV-2-Spike Glycoprotein Antibodies and Antigen-Binding Fragments” 63/034,865, filed June 4, 2020 “Anti-SARS-CoV-2-Spike Glycoprotein Antibodies and Antigen-Binding Fragments”</w:t>
      </w:r>
    </w:p>
    <w:p>
      <w:pPr>
        <w:spacing w:after="0" w:line="249" w:lineRule="auto"/>
        <w:rPr>
          <w:sz w:val="20"/>
          <w:szCs w:val="20"/>
          <w:color w:val="auto"/>
        </w:rPr>
      </w:pPr>
      <w:r>
        <w:rPr>
          <w:rFonts w:ascii="Times New Roman" w:cs="Times New Roman" w:eastAsia="Times New Roman" w:hAnsi="Times New Roman"/>
          <w:sz w:val="21"/>
          <w:szCs w:val="21"/>
          <w:color w:val="auto"/>
        </w:rPr>
        <w:t>63/034,348, filed June 3, 2020, “Methods for Treating or Preventing SARS-CoV-2 Infections and COVID-19 with Anti-SARS-CoV-2-Spike Glycoprotein Antibodies”</w:t>
      </w:r>
    </w:p>
    <w:p>
      <w:pPr>
        <w:spacing w:after="0" w:line="3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63/036,956, filed June 9, 2020, “Methods for Treating or Preventing SARS-CoV-2 Infections and COVID-19 with Anti-SARS-CoV-2-Spike Glycoprotein Antibodies”</w:t>
      </w:r>
    </w:p>
    <w:p>
      <w:pPr>
        <w:spacing w:after="0" w:line="3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63/038,274, filed June 12, 2020, “Methods for Treating or Preventing SARS-CoV-2 Infections and COVID-19 with Anti-SARS-CoV-2-Spike Glycoprotein Antibodies”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 *]</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 *]</w:t>
      </w:r>
    </w:p>
    <w:p>
      <w:pPr>
        <w:spacing w:after="0" w:line="79" w:lineRule="exact"/>
        <w:rPr>
          <w:sz w:val="20"/>
          <w:szCs w:val="20"/>
          <w:color w:val="auto"/>
        </w:rPr>
      </w:pPr>
    </w:p>
    <w:p>
      <w:pPr>
        <w:ind w:right="3140"/>
        <w:spacing w:after="0" w:line="337" w:lineRule="auto"/>
        <w:rPr>
          <w:sz w:val="20"/>
          <w:szCs w:val="20"/>
          <w:color w:val="auto"/>
        </w:rPr>
      </w:pPr>
      <w:r>
        <w:rPr>
          <w:rFonts w:ascii="Times New Roman" w:cs="Times New Roman" w:eastAsia="Times New Roman" w:hAnsi="Times New Roman"/>
          <w:sz w:val="21"/>
          <w:szCs w:val="21"/>
          <w:color w:val="auto"/>
        </w:rPr>
        <w:t>63/012,074, filed April 17, 2020, “Detection Assays for Coronavirus Neutralizing Antibodies” 63/020,445, filed May 5, 2020, “Detection Assays for Coronavirus Neutralizing Antibodies” 63/029,267, filed May 22, 2020, “Detection Assays for Coronavirus Neutralizing Antibodies”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 party relinquishes rights in any of its background intellectual property to any other party under this contract.</w:t>
      </w:r>
    </w:p>
    <w:p>
      <w:pPr>
        <w:spacing w:after="0" w:line="213"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1"/>
          <w:szCs w:val="21"/>
          <w:color w:val="auto"/>
        </w:rPr>
        <w:t>Either Party may update its disclosure of background intellectual property under this Section 7.1 upon written notice to the other Party.</w:t>
      </w:r>
    </w:p>
    <w:p>
      <w:pPr>
        <w:spacing w:after="0" w:line="16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7.2</w:t>
      </w:r>
      <w:r>
        <w:rPr>
          <w:sz w:val="20"/>
          <w:szCs w:val="20"/>
          <w:color w:val="auto"/>
        </w:rPr>
        <w:tab/>
      </w:r>
      <w:r>
        <w:rPr>
          <w:rFonts w:ascii="Times New Roman" w:cs="Times New Roman" w:eastAsia="Times New Roman" w:hAnsi="Times New Roman"/>
          <w:sz w:val="20"/>
          <w:szCs w:val="20"/>
          <w:b w:val="1"/>
          <w:bCs w:val="1"/>
          <w:color w:val="auto"/>
        </w:rPr>
        <w:t>PATENT RIGHTS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a.  Allocation of Principal Rights</w:t>
      </w:r>
    </w:p>
    <w:p>
      <w:pPr>
        <w:spacing w:after="0" w:line="83" w:lineRule="exact"/>
        <w:rPr>
          <w:sz w:val="20"/>
          <w:szCs w:val="20"/>
          <w:color w:val="auto"/>
        </w:rPr>
      </w:pPr>
    </w:p>
    <w:p>
      <w:pPr>
        <w:jc w:val="both"/>
        <w:ind w:firstLine="642"/>
        <w:spacing w:after="0" w:line="219" w:lineRule="auto"/>
        <w:rPr>
          <w:sz w:val="20"/>
          <w:szCs w:val="20"/>
          <w:color w:val="auto"/>
        </w:rPr>
      </w:pPr>
      <w:r>
        <w:rPr>
          <w:rFonts w:ascii="Times New Roman" w:cs="Times New Roman" w:eastAsia="Times New Roman" w:hAnsi="Times New Roman"/>
          <w:sz w:val="21"/>
          <w:szCs w:val="21"/>
          <w:color w:val="auto"/>
        </w:rPr>
        <w:t>The parties agree that the Bayh-Dole statute does not apply to this Project Agreement. Ownership of inventions Made in the performance of this Project Agreement shall follow inventorship, and inventorship shall be determined in accordance with United States patent laws. With respect to any Subject Invention Made (in whole or in part) by or on behalf of Regeneron, unless Regeneron shall have notified the Government (in accordance with Subparagraph b. below) that Regeneron does not intend to properly disclose and elect title to a Subject Invention, Regeneron shall retain the entire right, title, and interest throughout the world to such Subject Invention, and the Government shall have a nonexclusive, nontransferable, irrevocable, paid-up license to practice or have practiced on behalf of the United States the Subject Invention throughout the world. This license does not include the right to use or allow others to use the Subject Invention for commercial purposes. If Regeneron does not properly disclose and elect title to any such Subject Invention (in accordance with Subparagraph b. below), then the Government may exercise its rights to seek ownership of such Subject Invention, pursuant to clause 7.2.c. below.</w:t>
      </w:r>
    </w:p>
    <w:p>
      <w:pPr>
        <w:spacing w:after="0" w:line="173" w:lineRule="exact"/>
        <w:rPr>
          <w:sz w:val="20"/>
          <w:szCs w:val="20"/>
          <w:color w:val="auto"/>
        </w:rPr>
      </w:pPr>
    </w:p>
    <w:p>
      <w:pPr>
        <w:ind w:left="960" w:hanging="311"/>
        <w:spacing w:after="0"/>
        <w:tabs>
          <w:tab w:leader="none" w:pos="960" w:val="left"/>
        </w:tabs>
        <w:numPr>
          <w:ilvl w:val="0"/>
          <w:numId w:val="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Invention Disclosure, Election of Title, and Filing of Patent Application</w:t>
      </w:r>
    </w:p>
    <w:p>
      <w:pPr>
        <w:spacing w:after="0" w:line="83" w:lineRule="exact"/>
        <w:rPr>
          <w:rFonts w:ascii="Times New Roman" w:cs="Times New Roman" w:eastAsia="Times New Roman" w:hAnsi="Times New Roman"/>
          <w:sz w:val="21"/>
          <w:szCs w:val="21"/>
          <w:b w:val="1"/>
          <w:bCs w:val="1"/>
          <w:color w:val="auto"/>
        </w:rPr>
      </w:pPr>
    </w:p>
    <w:p>
      <w:pPr>
        <w:ind w:left="1620" w:hanging="162"/>
        <w:spacing w:after="0" w:line="249" w:lineRule="auto"/>
        <w:tabs>
          <w:tab w:leader="none" w:pos="162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disclose in writing each Subject Invention to the OTTR within 12 months after the inventor discloses it in writing to Regeneron personnel responsible for patent matters. The disclosure shall identify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16</w:t>
      </w:r>
    </w:p>
    <w:p>
      <w:pPr>
        <w:jc w:val="center"/>
        <w:spacing w:after="0" w:line="191" w:lineRule="auto"/>
        <w:rPr>
          <w:sz w:val="20"/>
          <w:szCs w:val="20"/>
          <w:color w:val="auto"/>
        </w:rPr>
      </w:pPr>
      <w:r>
        <w:rPr>
          <w:rFonts w:ascii="Calibri" w:cs="Calibri" w:eastAsia="Calibri" w:hAnsi="Calibri"/>
          <w:sz w:val="20"/>
          <w:szCs w:val="20"/>
          <w:i w:val="1"/>
          <w:iCs w:val="1"/>
          <w:color w:val="auto"/>
        </w:rPr>
        <w:t>CONFIDENTIAL/PROPRIETARY</w:t>
      </w:r>
    </w:p>
    <w:p>
      <w:pPr>
        <w:sectPr>
          <w:pgSz w:w="11900" w:h="16838" w:orient="portrait"/>
          <w:cols w:equalWidth="0" w:num="1">
            <w:col w:w="11240"/>
          </w:cols>
          <w:pgMar w:left="320" w:top="1382" w:right="339" w:bottom="1440" w:gutter="0" w:footer="0" w:header="0"/>
        </w:sectPr>
      </w:pPr>
    </w:p>
    <w:bookmarkStart w:id="141" w:name="page142"/>
    <w:bookmarkEnd w:id="141"/>
    <w:p>
      <w:pPr>
        <w:jc w:val="both"/>
        <w:ind w:left="1620"/>
        <w:spacing w:after="0" w:line="221" w:lineRule="auto"/>
        <w:rPr>
          <w:sz w:val="20"/>
          <w:szCs w:val="20"/>
          <w:color w:val="auto"/>
        </w:rPr>
      </w:pPr>
      <w:r>
        <w:rPr>
          <w:rFonts w:ascii="Times New Roman" w:cs="Times New Roman" w:eastAsia="Times New Roman" w:hAnsi="Times New Roman"/>
          <w:sz w:val="21"/>
          <w:szCs w:val="21"/>
          <w:color w:val="auto"/>
        </w:rPr>
        <w:t>inventor(s) and this Project Agreement under which the Subject Invention was made. It shall be sufficiently complete in technical detail to convey a clear understanding of the Subject Invention. The disclosure shall also identify any publication, on sale (i.e., sale or offer for sale), or public use of the Subject Invention, or whether a manuscript describing the Subject Invention has been submitted for publication and, if so, whether it has been accepted for publication. In addition, after disclosure to the Government funding agency (HHS/BARDA), Regeneron shall promptly notify the OTTR of the acceptance of any manuscript describing the Subject Invention for publication and any on sale or public use.</w:t>
      </w:r>
    </w:p>
    <w:p>
      <w:pPr>
        <w:spacing w:after="0" w:line="48" w:lineRule="exact"/>
        <w:rPr>
          <w:sz w:val="20"/>
          <w:szCs w:val="20"/>
          <w:color w:val="auto"/>
        </w:rPr>
      </w:pPr>
    </w:p>
    <w:p>
      <w:pPr>
        <w:jc w:val="both"/>
        <w:ind w:left="1620" w:hanging="162"/>
        <w:spacing w:after="0" w:line="225" w:lineRule="auto"/>
        <w:tabs>
          <w:tab w:leader="none" w:pos="192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elect in writing whether or not to retain ownership of any Subject Invention by notifying the OTTR within 2 years of disclosure to the Government funding agency. However, in any case where publication, on sale, or public use has initiated the 1-year statutory period during which valid patent protection can be obtained in the United States, the period for election of title may be shortened by the agency to a date that is no more than 60 calendar days prior to the end of the statutory period.</w:t>
      </w:r>
    </w:p>
    <w:p>
      <w:pPr>
        <w:spacing w:after="0" w:line="44" w:lineRule="exact"/>
        <w:rPr>
          <w:rFonts w:ascii="Times New Roman" w:cs="Times New Roman" w:eastAsia="Times New Roman" w:hAnsi="Times New Roman"/>
          <w:sz w:val="21"/>
          <w:szCs w:val="21"/>
          <w:color w:val="auto"/>
        </w:rPr>
      </w:pPr>
    </w:p>
    <w:p>
      <w:pPr>
        <w:jc w:val="both"/>
        <w:ind w:left="1620" w:hanging="162"/>
        <w:spacing w:after="0" w:line="221" w:lineRule="auto"/>
        <w:tabs>
          <w:tab w:leader="none" w:pos="1926"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file either a provisional or a non-provisional patent application for an elected Subject Invention within 1 year after election of title. However, in any case where a publication, on sale, or public use has initiated the 1-year statutory period during which valid patent protection can be obtained in the United States, Regeneron shall file the application prior to the end of that statutory period. If Regeneron files an initial provisional application, it shall file a non-provisional application within 10 months of the filing of the initial provisional application. Regeneron shall include a Government Support Clause (GSC) within the specification of any United States patent applications and any patent issuing thereon covering a subject invention.</w:t>
      </w:r>
    </w:p>
    <w:p>
      <w:pPr>
        <w:spacing w:after="0" w:line="44" w:lineRule="exact"/>
        <w:rPr>
          <w:rFonts w:ascii="Times New Roman" w:cs="Times New Roman" w:eastAsia="Times New Roman" w:hAnsi="Times New Roman"/>
          <w:sz w:val="21"/>
          <w:szCs w:val="21"/>
          <w:color w:val="auto"/>
        </w:rPr>
      </w:pPr>
    </w:p>
    <w:p>
      <w:pPr>
        <w:ind w:left="1920" w:hanging="462"/>
        <w:spacing w:after="0"/>
        <w:tabs>
          <w:tab w:leader="none" w:pos="192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may request extensions of time for disclosure, election, or filing under subparagraphs (b)(i), (b)</w:t>
      </w:r>
    </w:p>
    <w:p>
      <w:pPr>
        <w:ind w:left="1620" w:right="20" w:firstLine="4"/>
        <w:spacing w:after="0" w:line="232" w:lineRule="auto"/>
        <w:tabs>
          <w:tab w:leader="none" w:pos="1952"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(b)(iii) of this clause. An extension of time for each deadline, may be granted at the discretion of the Government funding agency.</w:t>
      </w:r>
    </w:p>
    <w:p>
      <w:pPr>
        <w:spacing w:after="0" w:line="44" w:lineRule="exact"/>
        <w:rPr>
          <w:sz w:val="20"/>
          <w:szCs w:val="20"/>
          <w:color w:val="auto"/>
        </w:rPr>
      </w:pPr>
    </w:p>
    <w:p>
      <w:pPr>
        <w:jc w:val="both"/>
        <w:ind w:left="1620" w:hanging="159"/>
        <w:spacing w:after="0" w:line="225" w:lineRule="auto"/>
        <w:rPr>
          <w:sz w:val="20"/>
          <w:szCs w:val="20"/>
          <w:color w:val="auto"/>
        </w:rPr>
      </w:pPr>
      <w:r>
        <w:rPr>
          <w:rFonts w:ascii="Times New Roman" w:cs="Times New Roman" w:eastAsia="Times New Roman" w:hAnsi="Times New Roman"/>
          <w:sz w:val="21"/>
          <w:szCs w:val="21"/>
          <w:color w:val="auto"/>
        </w:rPr>
        <w:t>v.If Regeneron determines that it does not intend to elect to retain title to any such Subject Invention, Regeneron shall notify the Government, in writing, within two (2) years of disclosure to the Government. However, in any case where publication, sale, or public use has initiated the one (1)-year statutory period wherein valid patent protection can still be obtained in the United States, the period for such notice may be shortened by the Government to a date that is no more than sixty (60) calendar days prior to the end of the statutory period.</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c.  Conditions When the Government May Obtain Title</w:t>
      </w:r>
    </w:p>
    <w:p>
      <w:pPr>
        <w:spacing w:after="0" w:line="83" w:lineRule="exact"/>
        <w:rPr>
          <w:sz w:val="20"/>
          <w:szCs w:val="20"/>
          <w:color w:val="auto"/>
        </w:rPr>
      </w:pPr>
    </w:p>
    <w:p>
      <w:pPr>
        <w:jc w:val="both"/>
        <w:ind w:firstLine="642"/>
        <w:spacing w:after="0" w:line="223" w:lineRule="auto"/>
        <w:rPr>
          <w:sz w:val="20"/>
          <w:szCs w:val="20"/>
          <w:color w:val="auto"/>
        </w:rPr>
      </w:pPr>
      <w:r>
        <w:rPr>
          <w:rFonts w:ascii="Times New Roman" w:cs="Times New Roman" w:eastAsia="Times New Roman" w:hAnsi="Times New Roman"/>
          <w:sz w:val="21"/>
          <w:szCs w:val="21"/>
          <w:color w:val="auto"/>
        </w:rPr>
        <w:t>Upon the Government’s written request, Regeneron shall convey title to any Subject Invention to the Government funding agency if Regeneron fails to disclose the Subject Invention or elects not to retain title to the Subject Invention within the times specified in Subparagraph b of Section 7.2. The Government may request title after learning of the failure of Regeneron to disclose or elect within the specified times for an unlimited time. The Government funding agency may request title upon Regeneron’s omission to timely file patent applications in any country. The Government funding agency may request title in any country in which Regeneron decides to discontinue prosecution.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17</w:t>
      </w:r>
    </w:p>
    <w:p>
      <w:pPr>
        <w:jc w:val="center"/>
        <w:spacing w:after="0" w:line="191" w:lineRule="auto"/>
        <w:rPr>
          <w:sz w:val="20"/>
          <w:szCs w:val="20"/>
          <w:color w:val="auto"/>
        </w:rPr>
      </w:pPr>
      <w:r>
        <w:rPr>
          <w:rFonts w:ascii="Calibri" w:cs="Calibri" w:eastAsia="Calibri" w:hAnsi="Calibri"/>
          <w:sz w:val="20"/>
          <w:szCs w:val="20"/>
          <w:i w:val="1"/>
          <w:iCs w:val="1"/>
          <w:color w:val="auto"/>
        </w:rPr>
        <w:t>CONFIDENTIAL/PROPRIETARY</w:t>
      </w:r>
    </w:p>
    <w:p>
      <w:pPr>
        <w:sectPr>
          <w:pgSz w:w="11900" w:h="16838" w:orient="portrait"/>
          <w:cols w:equalWidth="0" w:num="1">
            <w:col w:w="11240"/>
          </w:cols>
          <w:pgMar w:left="320" w:top="1383" w:right="339" w:bottom="1440" w:gutter="0" w:footer="0" w:header="0"/>
        </w:sectPr>
      </w:pPr>
    </w:p>
    <w:bookmarkStart w:id="142" w:name="page143"/>
    <w:bookmarkEnd w:id="142"/>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d.  Rights to Regeneron and Protection of Regeneron’s Right to File</w:t>
      </w:r>
    </w:p>
    <w:p>
      <w:pPr>
        <w:spacing w:after="0" w:line="83" w:lineRule="exact"/>
        <w:rPr>
          <w:sz w:val="20"/>
          <w:szCs w:val="20"/>
          <w:color w:val="auto"/>
        </w:rPr>
      </w:pPr>
    </w:p>
    <w:p>
      <w:pPr>
        <w:jc w:val="both"/>
        <w:ind w:firstLine="642"/>
        <w:spacing w:after="0" w:line="220" w:lineRule="auto"/>
        <w:rPr>
          <w:sz w:val="20"/>
          <w:szCs w:val="20"/>
          <w:color w:val="auto"/>
        </w:rPr>
      </w:pPr>
      <w:r>
        <w:rPr>
          <w:rFonts w:ascii="Times New Roman" w:cs="Times New Roman" w:eastAsia="Times New Roman" w:hAnsi="Times New Roman"/>
          <w:sz w:val="21"/>
          <w:szCs w:val="21"/>
          <w:color w:val="auto"/>
        </w:rPr>
        <w:t>Regeneron shall retain a fully paid up, sub-licensable, nonexclusive, royalty-free license throughout the world in each Subject Invention to which the Government obtains title. Regeneron license extends to Regeneron’s subsidiaries and other affiliates (outside this Agreement), if any, within the corporate structure of which Regeneron is a party and includes the right to grant licenses of the same scope to the extent that Regeneron was legally obligated or permitted to do so at the time the Project Agreement was executed. The license is otherwise transferable only with the approval of the Government, except when transferred to an Affiliate or successor of that part of Regeneron’s business to which the Subject Invention pertains. The Government approval for license transfer shall be provided on a timely basis (and in no event later than 90 calendar days following Regeneron’s request) and shall not be unreasonably withheld.</w:t>
      </w:r>
    </w:p>
    <w:p>
      <w:pPr>
        <w:spacing w:after="0" w:line="48" w:lineRule="exact"/>
        <w:rPr>
          <w:sz w:val="20"/>
          <w:szCs w:val="20"/>
          <w:color w:val="auto"/>
        </w:rPr>
      </w:pPr>
    </w:p>
    <w:p>
      <w:pPr>
        <w:jc w:val="both"/>
        <w:ind w:left="1620" w:hanging="166"/>
        <w:spacing w:after="0" w:line="223" w:lineRule="auto"/>
        <w:rPr>
          <w:sz w:val="20"/>
          <w:szCs w:val="20"/>
          <w:color w:val="auto"/>
        </w:rPr>
      </w:pPr>
      <w:r>
        <w:rPr>
          <w:rFonts w:ascii="Times New Roman" w:cs="Times New Roman" w:eastAsia="Times New Roman" w:hAnsi="Times New Roman"/>
          <w:sz w:val="21"/>
          <w:szCs w:val="21"/>
          <w:color w:val="auto"/>
        </w:rPr>
        <w:t>i. The Regeneron license may be revoked or modified by the Government to the extent necessary to achieve expeditious Practical Application of the Subject Invention pursuant to an application for an exclusive or nonexclusive license submitted consistent with appropriate provisions at 37 CFR Part 404. Regeneron’s license shall not be revoked in that field of use or the geographical areas in which Regeneron has achieved Practical Application of the Subject Invention and continues to make the benefits of the Subject Invention accessible to the public.</w:t>
      </w:r>
    </w:p>
    <w:p>
      <w:pPr>
        <w:spacing w:after="0" w:line="45" w:lineRule="exact"/>
        <w:rPr>
          <w:sz w:val="20"/>
          <w:szCs w:val="20"/>
          <w:color w:val="auto"/>
        </w:rPr>
      </w:pPr>
    </w:p>
    <w:p>
      <w:pPr>
        <w:jc w:val="both"/>
        <w:ind w:left="1620" w:hanging="169"/>
        <w:spacing w:after="0" w:line="225" w:lineRule="auto"/>
        <w:tabs>
          <w:tab w:leader="none" w:pos="1940"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Before revocation or modification of Regeneron’s license, the Government shall furnish Regeneron with a written notice of its intention to revoke or modify the license, which notice shall include a detailed explanation of the reasons for such revocation or modification, and Regeneron shall be allowed thirty (30) calendar days (or such other time as may be authorized for good cause shown) after the notice to show cause why the license should not be revoked or modified.</w:t>
      </w:r>
    </w:p>
    <w:p>
      <w:pPr>
        <w:spacing w:after="0" w:line="174" w:lineRule="exact"/>
        <w:rPr>
          <w:rFonts w:ascii="Times New Roman" w:cs="Times New Roman" w:eastAsia="Times New Roman" w:hAnsi="Times New Roman"/>
          <w:sz w:val="21"/>
          <w:szCs w:val="21"/>
          <w:color w:val="auto"/>
        </w:rPr>
      </w:pPr>
    </w:p>
    <w:p>
      <w:pPr>
        <w:ind w:left="960" w:hanging="311"/>
        <w:spacing w:after="0"/>
        <w:tabs>
          <w:tab w:leader="none" w:pos="960" w:val="left"/>
        </w:tabs>
        <w:numPr>
          <w:ilvl w:val="0"/>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Action to Protect the Government’s Interest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Regeneron agrees to execute or to have executed and promptly deliver to the Government all instruments necessary to</w:t>
      </w:r>
    </w:p>
    <w:p>
      <w:pPr>
        <w:jc w:val="both"/>
        <w:ind w:right="20" w:firstLine="7"/>
        <w:spacing w:after="0" w:line="226" w:lineRule="auto"/>
        <w:tabs>
          <w:tab w:leader="none" w:pos="259"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establish or confirm the rights the Government has throughout the world in those Subject Inventions to which Regeneron elects to retain title, and (ii) convey title to the Government when requested under Subparagraph c of this Section 7.2 and to enable the Government to obtain patent protection throughout the world in that Subject Invention.</w:t>
      </w:r>
    </w:p>
    <w:p>
      <w:pPr>
        <w:spacing w:after="0" w:line="42" w:lineRule="exact"/>
        <w:rPr>
          <w:rFonts w:ascii="Times New Roman" w:cs="Times New Roman" w:eastAsia="Times New Roman" w:hAnsi="Times New Roman"/>
          <w:sz w:val="21"/>
          <w:szCs w:val="21"/>
          <w:color w:val="auto"/>
        </w:rPr>
      </w:pPr>
    </w:p>
    <w:p>
      <w:pPr>
        <w:jc w:val="both"/>
        <w:ind w:left="1620" w:hanging="162"/>
        <w:spacing w:after="0" w:line="221" w:lineRule="auto"/>
        <w:tabs>
          <w:tab w:leader="none" w:pos="1620"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agrees to require, by written agreement, its employees, other than clerical and non-technical employees, to disclose promptly in writing to personnel identified as responsible for the administration of patent matters and in a format suggested by Regeneron, each Subject Invention made under this Agreement so Regeneron can comply with the disclosure provisions of this Section 7.2. Regeneron shall use reasonable efforts to instruct employees, through employee agreements or other suitable educational programs, on the importance of reporting inventions in sufficient time to permit the filing of patent applications prior to U.S. or foreign statutory bars.</w:t>
      </w:r>
    </w:p>
    <w:p>
      <w:pPr>
        <w:spacing w:after="0" w:line="48" w:lineRule="exact"/>
        <w:rPr>
          <w:rFonts w:ascii="Times New Roman" w:cs="Times New Roman" w:eastAsia="Times New Roman" w:hAnsi="Times New Roman"/>
          <w:sz w:val="21"/>
          <w:szCs w:val="21"/>
          <w:color w:val="auto"/>
        </w:rPr>
      </w:pPr>
    </w:p>
    <w:p>
      <w:pPr>
        <w:jc w:val="both"/>
        <w:ind w:left="1620" w:hanging="169"/>
        <w:spacing w:after="0" w:line="234" w:lineRule="auto"/>
        <w:tabs>
          <w:tab w:leader="none" w:pos="1940"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notify the Government of any decisions not to continue the prosecution of a patent application for a Subject Invention, pay maintenance fees, or defend in a reexamination or opposition proceedings on a patent of a Subject Invention, in any country, not less than thirty (30) calendar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18</w:t>
      </w:r>
    </w:p>
    <w:p>
      <w:pPr>
        <w:jc w:val="center"/>
        <w:spacing w:after="0" w:line="191" w:lineRule="auto"/>
        <w:rPr>
          <w:sz w:val="20"/>
          <w:szCs w:val="20"/>
          <w:color w:val="auto"/>
        </w:rPr>
      </w:pPr>
      <w:r>
        <w:rPr>
          <w:rFonts w:ascii="Calibri" w:cs="Calibri" w:eastAsia="Calibri" w:hAnsi="Calibri"/>
          <w:sz w:val="20"/>
          <w:szCs w:val="20"/>
          <w:i w:val="1"/>
          <w:iCs w:val="1"/>
          <w:color w:val="auto"/>
        </w:rPr>
        <w:t>CONFIDENTIAL/PROPRIETARY</w:t>
      </w:r>
    </w:p>
    <w:p>
      <w:pPr>
        <w:sectPr>
          <w:pgSz w:w="11900" w:h="16838" w:orient="portrait"/>
          <w:cols w:equalWidth="0" w:num="1">
            <w:col w:w="11240"/>
          </w:cols>
          <w:pgMar w:left="320" w:top="1440" w:right="339" w:bottom="1440" w:gutter="0" w:footer="0" w:header="0"/>
        </w:sectPr>
      </w:pPr>
    </w:p>
    <w:bookmarkStart w:id="143" w:name="page144"/>
    <w:bookmarkEnd w:id="143"/>
    <w:p>
      <w:pPr>
        <w:ind w:left="1620"/>
        <w:spacing w:after="0"/>
        <w:rPr>
          <w:sz w:val="20"/>
          <w:szCs w:val="20"/>
          <w:color w:val="auto"/>
        </w:rPr>
      </w:pPr>
      <w:r>
        <w:rPr>
          <w:rFonts w:ascii="Times New Roman" w:cs="Times New Roman" w:eastAsia="Times New Roman" w:hAnsi="Times New Roman"/>
          <w:sz w:val="21"/>
          <w:szCs w:val="21"/>
          <w:color w:val="auto"/>
        </w:rPr>
        <w:t>days before the expiration of the response period required by the relevant patent office.</w:t>
      </w:r>
    </w:p>
    <w:p>
      <w:pPr>
        <w:spacing w:after="0" w:line="213" w:lineRule="exact"/>
        <w:rPr>
          <w:sz w:val="20"/>
          <w:szCs w:val="20"/>
          <w:color w:val="auto"/>
        </w:rPr>
      </w:pPr>
    </w:p>
    <w:p>
      <w:pPr>
        <w:jc w:val="both"/>
        <w:ind w:firstLine="642"/>
        <w:spacing w:after="0" w:line="228" w:lineRule="auto"/>
        <w:rPr>
          <w:sz w:val="20"/>
          <w:szCs w:val="20"/>
          <w:color w:val="auto"/>
        </w:rPr>
      </w:pPr>
      <w:r>
        <w:rPr>
          <w:rFonts w:ascii="Times New Roman" w:cs="Times New Roman" w:eastAsia="Times New Roman" w:hAnsi="Times New Roman"/>
          <w:sz w:val="21"/>
          <w:szCs w:val="21"/>
          <w:color w:val="auto"/>
        </w:rPr>
        <w:t xml:space="preserve">Regeneron shall include, within the specification of any United States patent application and any patent issuing thereon covering a Subject Invention, the following statement: “This invention was made with Government support under Agreement </w:t>
      </w:r>
      <w:r>
        <w:rPr>
          <w:rFonts w:ascii="Times New Roman" w:cs="Times New Roman" w:eastAsia="Times New Roman" w:hAnsi="Times New Roman"/>
          <w:sz w:val="21"/>
          <w:szCs w:val="21"/>
          <w:b w:val="1"/>
          <w:bCs w:val="1"/>
          <w:color w:val="auto"/>
        </w:rPr>
        <w:t>MCDC2020-504</w:t>
      </w:r>
      <w:r>
        <w:rPr>
          <w:rFonts w:ascii="Times New Roman" w:cs="Times New Roman" w:eastAsia="Times New Roman" w:hAnsi="Times New Roman"/>
          <w:sz w:val="21"/>
          <w:szCs w:val="21"/>
          <w:color w:val="auto"/>
        </w:rPr>
        <w:t>, awarded by the U.S. Department of Health and Human Services. The Government has certain rights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invention.”</w:t>
      </w:r>
    </w:p>
    <w:p>
      <w:pPr>
        <w:spacing w:after="0" w:line="175" w:lineRule="exact"/>
        <w:rPr>
          <w:sz w:val="20"/>
          <w:szCs w:val="20"/>
          <w:color w:val="auto"/>
        </w:rPr>
      </w:pPr>
    </w:p>
    <w:p>
      <w:pPr>
        <w:ind w:left="640"/>
        <w:spacing w:after="0"/>
        <w:tabs>
          <w:tab w:leader="none" w:pos="940" w:val="left"/>
        </w:tabs>
        <w:rPr>
          <w:sz w:val="20"/>
          <w:szCs w:val="20"/>
          <w:color w:val="auto"/>
        </w:rPr>
      </w:pPr>
      <w:r>
        <w:rPr>
          <w:rFonts w:ascii="Times New Roman" w:cs="Times New Roman" w:eastAsia="Times New Roman" w:hAnsi="Times New Roman"/>
          <w:sz w:val="21"/>
          <w:szCs w:val="21"/>
          <w:b w:val="1"/>
          <w:bCs w:val="1"/>
          <w:color w:val="auto"/>
        </w:rPr>
        <w:t>f.</w:t>
        <w:tab/>
        <w:t>Lower Tier Agreements</w:t>
      </w:r>
    </w:p>
    <w:p>
      <w:pPr>
        <w:spacing w:after="0" w:line="83" w:lineRule="exact"/>
        <w:rPr>
          <w:sz w:val="20"/>
          <w:szCs w:val="20"/>
          <w:color w:val="auto"/>
        </w:rPr>
      </w:pPr>
    </w:p>
    <w:p>
      <w:pPr>
        <w:jc w:val="both"/>
        <w:ind w:firstLine="642"/>
        <w:spacing w:after="0" w:line="234" w:lineRule="auto"/>
        <w:rPr>
          <w:sz w:val="20"/>
          <w:szCs w:val="20"/>
          <w:color w:val="auto"/>
        </w:rPr>
      </w:pPr>
      <w:r>
        <w:rPr>
          <w:rFonts w:ascii="Times New Roman" w:cs="Times New Roman" w:eastAsia="Times New Roman" w:hAnsi="Times New Roman"/>
          <w:sz w:val="21"/>
          <w:szCs w:val="21"/>
          <w:color w:val="auto"/>
        </w:rPr>
        <w:t>Regeneron shall ensure that its Affiliate agreements and Sub-Recipient Agreements regardless of tier, for experimental, developmental, or research work entered into after the Effective Date and submitted for reimbursement under this Agreement, contain invention reporting and assignment requirements sufficient to permit Regeneron to comply with this Section 7.2.</w:t>
      </w:r>
    </w:p>
    <w:p>
      <w:pPr>
        <w:spacing w:after="0" w:line="172" w:lineRule="exact"/>
        <w:rPr>
          <w:sz w:val="20"/>
          <w:szCs w:val="20"/>
          <w:color w:val="auto"/>
        </w:rPr>
      </w:pPr>
    </w:p>
    <w:p>
      <w:pPr>
        <w:ind w:left="980" w:hanging="331"/>
        <w:spacing w:after="0"/>
        <w:tabs>
          <w:tab w:leader="none" w:pos="980"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Reporting on Utilization of Subject Inventions</w:t>
      </w:r>
    </w:p>
    <w:p>
      <w:pPr>
        <w:spacing w:after="0" w:line="83" w:lineRule="exact"/>
        <w:rPr>
          <w:rFonts w:ascii="Times New Roman" w:cs="Times New Roman" w:eastAsia="Times New Roman" w:hAnsi="Times New Roman"/>
          <w:sz w:val="21"/>
          <w:szCs w:val="21"/>
          <w:b w:val="1"/>
          <w:bCs w:val="1"/>
          <w:color w:val="auto"/>
        </w:rPr>
      </w:pPr>
    </w:p>
    <w:p>
      <w:pPr>
        <w:jc w:val="both"/>
        <w:ind w:left="1620" w:hanging="162"/>
        <w:spacing w:after="0" w:line="220" w:lineRule="auto"/>
        <w:tabs>
          <w:tab w:leader="none" w:pos="162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agrees to submit, during the term of this Project Agreement, an annual report on the utilization of a Subject Invention or on efforts at obtaining such utilization that is being made by Regeneron or its licensees or assignees. Such reports shall include information regarding the status of development, date of first commercial sale or use, and such other data and information as the agency may reasonably specify. Regeneron also agrees to provide additional reports as may be requested by the Government in connection with any march-in proceedings undertaken by the Government in accordance with Subparagraph h of this Section 7.2. Consistent with 35 U.S.C. § 202(c)(5), the Government agrees it shall not disclose such information to persons outside the Government without permission of Regeneron.</w:t>
      </w:r>
    </w:p>
    <w:p>
      <w:pPr>
        <w:spacing w:after="0" w:line="47" w:lineRule="exact"/>
        <w:rPr>
          <w:rFonts w:ascii="Times New Roman" w:cs="Times New Roman" w:eastAsia="Times New Roman" w:hAnsi="Times New Roman"/>
          <w:sz w:val="21"/>
          <w:szCs w:val="21"/>
          <w:color w:val="auto"/>
        </w:rPr>
      </w:pPr>
    </w:p>
    <w:p>
      <w:pPr>
        <w:ind w:left="1940" w:hanging="489"/>
        <w:spacing w:after="0"/>
        <w:tabs>
          <w:tab w:leader="none" w:pos="194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required reports shall be submitted to the e-room, OTAS, OTAO, and OTTR.</w:t>
      </w:r>
    </w:p>
    <w:p>
      <w:pPr>
        <w:spacing w:after="0" w:line="209" w:lineRule="exact"/>
        <w:rPr>
          <w:rFonts w:ascii="Times New Roman" w:cs="Times New Roman" w:eastAsia="Times New Roman" w:hAnsi="Times New Roman"/>
          <w:sz w:val="21"/>
          <w:szCs w:val="21"/>
          <w:color w:val="auto"/>
        </w:rPr>
      </w:pPr>
    </w:p>
    <w:p>
      <w:pPr>
        <w:ind w:left="960" w:hanging="311"/>
        <w:spacing w:after="0"/>
        <w:tabs>
          <w:tab w:leader="none" w:pos="960"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Compulsory Licensing Rights</w:t>
      </w:r>
    </w:p>
    <w:p>
      <w:pPr>
        <w:spacing w:after="0" w:line="83" w:lineRule="exact"/>
        <w:rPr>
          <w:sz w:val="20"/>
          <w:szCs w:val="20"/>
          <w:color w:val="auto"/>
        </w:rPr>
      </w:pPr>
    </w:p>
    <w:p>
      <w:pPr>
        <w:jc w:val="both"/>
        <w:ind w:firstLine="642"/>
        <w:spacing w:after="0" w:line="225" w:lineRule="auto"/>
        <w:rPr>
          <w:sz w:val="20"/>
          <w:szCs w:val="20"/>
          <w:color w:val="auto"/>
        </w:rPr>
      </w:pPr>
      <w:r>
        <w:rPr>
          <w:rFonts w:ascii="Times New Roman" w:cs="Times New Roman" w:eastAsia="Times New Roman" w:hAnsi="Times New Roman"/>
          <w:sz w:val="21"/>
          <w:szCs w:val="21"/>
          <w:color w:val="auto"/>
        </w:rPr>
        <w:t xml:space="preserve">Regeneron agrees that, with respect to any Subject Invention in which it has retained title, the Government has the right to require Regeneron, an assignee, or exclusive licensee of a Subject Invention to grant a non-exclusive license to a responsible applicant or applicants, upon terms that are reasonable under the circumstances, and if Regeneron, assignee, or exclusive licensee refuses such a request, the Government has the right to grant such a license within the Field itself </w:t>
      </w:r>
      <w:r>
        <w:rPr>
          <w:rFonts w:ascii="Times New Roman" w:cs="Times New Roman" w:eastAsia="Times New Roman" w:hAnsi="Times New Roman"/>
          <w:sz w:val="21"/>
          <w:szCs w:val="21"/>
          <w:i w:val="1"/>
          <w:iCs w:val="1"/>
          <w:color w:val="auto"/>
        </w:rPr>
        <w:t>only</w:t>
      </w:r>
      <w:r>
        <w:rPr>
          <w:rFonts w:ascii="Times New Roman" w:cs="Times New Roman" w:eastAsia="Times New Roman" w:hAnsi="Times New Roman"/>
          <w:sz w:val="21"/>
          <w:szCs w:val="21"/>
          <w:color w:val="auto"/>
        </w:rPr>
        <w:t xml:space="preserve"> if the Government determines that:</w:t>
      </w:r>
    </w:p>
    <w:p>
      <w:pPr>
        <w:spacing w:after="0" w:line="179" w:lineRule="exact"/>
        <w:rPr>
          <w:sz w:val="20"/>
          <w:szCs w:val="20"/>
          <w:color w:val="auto"/>
        </w:rPr>
      </w:pPr>
    </w:p>
    <w:p>
      <w:pPr>
        <w:jc w:val="both"/>
        <w:ind w:left="1620" w:hanging="159"/>
        <w:spacing w:after="0" w:line="220" w:lineRule="auto"/>
        <w:rPr>
          <w:sz w:val="20"/>
          <w:szCs w:val="20"/>
          <w:color w:val="auto"/>
        </w:rPr>
      </w:pPr>
      <w:r>
        <w:rPr>
          <w:rFonts w:ascii="Times New Roman" w:cs="Times New Roman" w:eastAsia="Times New Roman" w:hAnsi="Times New Roman"/>
          <w:sz w:val="21"/>
          <w:szCs w:val="21"/>
          <w:color w:val="auto"/>
        </w:rPr>
        <w:t>i. Action is necessary to alleviate the following health or safety needs that may affect the United States and Regeneron (itself or through its assignee, subcontractor or licensee) is unwilling or unable to manufacture or supply the Subject Invention to address such needs:</w:t>
      </w:r>
    </w:p>
    <w:p>
      <w:pPr>
        <w:spacing w:after="0" w:line="2" w:lineRule="exact"/>
        <w:rPr>
          <w:sz w:val="20"/>
          <w:szCs w:val="20"/>
          <w:color w:val="auto"/>
        </w:rPr>
      </w:pPr>
    </w:p>
    <w:p>
      <w:pPr>
        <w:ind w:left="2880" w:hanging="305"/>
        <w:spacing w:after="0"/>
        <w:tabs>
          <w:tab w:leader="none" w:pos="288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Declaration for Public Health Emergency by the Secretary of HHS;</w:t>
      </w:r>
    </w:p>
    <w:p>
      <w:pPr>
        <w:spacing w:after="0" w:line="55" w:lineRule="exact"/>
        <w:rPr>
          <w:rFonts w:ascii="Times New Roman" w:cs="Times New Roman" w:eastAsia="Times New Roman" w:hAnsi="Times New Roman"/>
          <w:sz w:val="21"/>
          <w:szCs w:val="21"/>
          <w:color w:val="auto"/>
        </w:rPr>
      </w:pPr>
    </w:p>
    <w:p>
      <w:pPr>
        <w:jc w:val="both"/>
        <w:ind w:left="2900" w:hanging="325"/>
        <w:spacing w:after="0" w:line="234" w:lineRule="auto"/>
        <w:tabs>
          <w:tab w:leader="none" w:pos="290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Determination that there is a significant potential for a public Health emergency that has a significant potential to affect a national or health security of U.S. citizens as determined by the Secretary of HHS;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19</w:t>
      </w:r>
    </w:p>
    <w:p>
      <w:pPr>
        <w:jc w:val="center"/>
        <w:spacing w:after="0" w:line="191" w:lineRule="auto"/>
        <w:rPr>
          <w:sz w:val="20"/>
          <w:szCs w:val="20"/>
          <w:color w:val="auto"/>
        </w:rPr>
      </w:pPr>
      <w:r>
        <w:rPr>
          <w:rFonts w:ascii="Calibri" w:cs="Calibri" w:eastAsia="Calibri" w:hAnsi="Calibri"/>
          <w:sz w:val="20"/>
          <w:szCs w:val="20"/>
          <w:i w:val="1"/>
          <w:iCs w:val="1"/>
          <w:color w:val="auto"/>
        </w:rPr>
        <w:t>CONFIDENTIAL/PROPRIETARY</w:t>
      </w:r>
    </w:p>
    <w:p>
      <w:pPr>
        <w:sectPr>
          <w:pgSz w:w="11900" w:h="16838" w:orient="portrait"/>
          <w:cols w:equalWidth="0" w:num="1">
            <w:col w:w="11240"/>
          </w:cols>
          <w:pgMar w:left="320" w:top="1383" w:right="339" w:bottom="1440" w:gutter="0" w:footer="0" w:header="0"/>
        </w:sectPr>
      </w:pPr>
    </w:p>
    <w:bookmarkStart w:id="144" w:name="page145"/>
    <w:bookmarkEnd w:id="144"/>
    <w:p>
      <w:pPr>
        <w:ind w:left="2580"/>
        <w:spacing w:after="0"/>
        <w:rPr>
          <w:sz w:val="20"/>
          <w:szCs w:val="20"/>
          <w:color w:val="auto"/>
        </w:rPr>
      </w:pPr>
      <w:r>
        <w:rPr>
          <w:rFonts w:ascii="Times New Roman" w:cs="Times New Roman" w:eastAsia="Times New Roman" w:hAnsi="Times New Roman"/>
          <w:sz w:val="21"/>
          <w:szCs w:val="21"/>
          <w:color w:val="auto"/>
        </w:rPr>
        <w:t>c.  Declaration by WHO Director General of a public health emergency of international concern.</w:t>
      </w:r>
    </w:p>
    <w:p>
      <w:pPr>
        <w:spacing w:after="0" w:line="20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7.3</w:t>
      </w:r>
      <w:r>
        <w:rPr>
          <w:sz w:val="20"/>
          <w:szCs w:val="20"/>
          <w:color w:val="auto"/>
        </w:rPr>
        <w:tab/>
      </w:r>
      <w:r>
        <w:rPr>
          <w:rFonts w:ascii="Times New Roman" w:cs="Times New Roman" w:eastAsia="Times New Roman" w:hAnsi="Times New Roman"/>
          <w:sz w:val="20"/>
          <w:szCs w:val="20"/>
          <w:b w:val="1"/>
          <w:bCs w:val="1"/>
          <w:color w:val="auto"/>
        </w:rPr>
        <w:t>DATA RIGHTS</w:t>
      </w:r>
    </w:p>
    <w:p>
      <w:pPr>
        <w:spacing w:after="0" w:line="213" w:lineRule="exact"/>
        <w:rPr>
          <w:sz w:val="20"/>
          <w:szCs w:val="20"/>
          <w:color w:val="auto"/>
        </w:rPr>
      </w:pPr>
    </w:p>
    <w:p>
      <w:pPr>
        <w:ind w:left="1300" w:hanging="972"/>
        <w:spacing w:after="0"/>
        <w:tabs>
          <w:tab w:leader="none" w:pos="1300" w:val="left"/>
        </w:tabs>
        <w:numPr>
          <w:ilvl w:val="0"/>
          <w:numId w:val="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Allocation of Principal Rights</w:t>
      </w:r>
    </w:p>
    <w:p>
      <w:pPr>
        <w:spacing w:after="0" w:line="83" w:lineRule="exact"/>
        <w:rPr>
          <w:rFonts w:ascii="Times New Roman" w:cs="Times New Roman" w:eastAsia="Times New Roman" w:hAnsi="Times New Roman"/>
          <w:sz w:val="21"/>
          <w:szCs w:val="21"/>
          <w:b w:val="1"/>
          <w:bCs w:val="1"/>
          <w:color w:val="auto"/>
        </w:rPr>
      </w:pPr>
    </w:p>
    <w:p>
      <w:pPr>
        <w:jc w:val="both"/>
        <w:ind w:left="1940" w:hanging="161"/>
        <w:spacing w:after="0" w:line="218" w:lineRule="auto"/>
        <w:tabs>
          <w:tab w:leader="none" w:pos="1940"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Data produced under this SOW including Computer Software, to the extent developed with Government funds provided under this SOW, except as expressly provided elsewhere in this Project Agreement (including Section 7.3.b.), Regeneron grants to the Government a paid-up, nonexclusive, nontransferable, irrevocable, worldwide license in such Data (a) to exercise Government Purpose Rights for a period of ten</w:t>
      </w:r>
    </w:p>
    <w:p>
      <w:pPr>
        <w:spacing w:after="0" w:line="2" w:lineRule="exact"/>
        <w:rPr>
          <w:rFonts w:ascii="Times New Roman" w:cs="Times New Roman" w:eastAsia="Times New Roman" w:hAnsi="Times New Roman"/>
          <w:sz w:val="21"/>
          <w:szCs w:val="21"/>
          <w:color w:val="auto"/>
        </w:rPr>
      </w:pPr>
    </w:p>
    <w:p>
      <w:pPr>
        <w:jc w:val="both"/>
        <w:ind w:left="1940" w:firstLine="5"/>
        <w:spacing w:after="0" w:line="217" w:lineRule="auto"/>
        <w:tabs>
          <w:tab w:leader="none" w:pos="2358" w:val="left"/>
        </w:tabs>
        <w:numPr>
          <w:ilvl w:val="2"/>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years following the production of such Data, (b) to exercise Unlimited Rights following the expiration of such ten (10)- year period. For Data produced under this Project Agreement, excluding Computer Software, to the extent developed with private funds and for other Data designated by Regeneron as “Limited Rights Data”, Regeneron grants to the Government a paid-up, nonexclusive, nontransferable, irrevocable, worldwide license in such Data to exercise Limited Rights. The Government will not obtain any rights in Computer Software produced under this Project Agreement to the extent developed with private funds. For certificates of analysis and batch records pertaining to drug product purchased under this Project Agreement, the Government shall have Unlimited Rights.</w:t>
      </w:r>
    </w:p>
    <w:p>
      <w:pPr>
        <w:spacing w:after="0" w:line="48" w:lineRule="exact"/>
        <w:rPr>
          <w:rFonts w:ascii="Times New Roman" w:cs="Times New Roman" w:eastAsia="Times New Roman" w:hAnsi="Times New Roman"/>
          <w:sz w:val="21"/>
          <w:szCs w:val="21"/>
          <w:color w:val="auto"/>
        </w:rPr>
      </w:pPr>
    </w:p>
    <w:p>
      <w:pPr>
        <w:jc w:val="both"/>
        <w:ind w:left="1940" w:hanging="161"/>
        <w:spacing w:after="0" w:line="216" w:lineRule="auto"/>
        <w:tabs>
          <w:tab w:leader="none" w:pos="2561"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agrees to retain and maintain in good condition all Data produced under this Project Agreement and necessary to achieve Practical Application of any Subject Invention in accordance with Regeneron’s established record retention practices. In the event of an exercise of the Government’s compulsory licensing rights as set forth under Section 7.2.h., Regeneron agrees, upon written request from the Government, to deliver at no additional cost to the Government, all existing Data produced under this Project Agreement necessary to achieve Practical Application of the relevant Subject Invention within sixty</w:t>
      </w:r>
    </w:p>
    <w:p>
      <w:pPr>
        <w:spacing w:after="0" w:line="3" w:lineRule="exact"/>
        <w:rPr>
          <w:rFonts w:ascii="Times New Roman" w:cs="Times New Roman" w:eastAsia="Times New Roman" w:hAnsi="Times New Roman"/>
          <w:sz w:val="21"/>
          <w:szCs w:val="21"/>
          <w:color w:val="auto"/>
        </w:rPr>
      </w:pPr>
    </w:p>
    <w:p>
      <w:pPr>
        <w:ind w:left="2360" w:hanging="415"/>
        <w:spacing w:after="0"/>
        <w:tabs>
          <w:tab w:leader="none" w:pos="2360" w:val="left"/>
        </w:tabs>
        <w:numPr>
          <w:ilvl w:val="2"/>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calendar days from the date of the written request.</w:t>
      </w:r>
    </w:p>
    <w:p>
      <w:pPr>
        <w:spacing w:after="0" w:line="55" w:lineRule="exact"/>
        <w:rPr>
          <w:rFonts w:ascii="Times New Roman" w:cs="Times New Roman" w:eastAsia="Times New Roman" w:hAnsi="Times New Roman"/>
          <w:sz w:val="21"/>
          <w:szCs w:val="21"/>
          <w:color w:val="auto"/>
        </w:rPr>
      </w:pPr>
    </w:p>
    <w:p>
      <w:pPr>
        <w:jc w:val="both"/>
        <w:ind w:left="1940" w:hanging="168"/>
        <w:spacing w:after="0" w:line="228" w:lineRule="auto"/>
        <w:tabs>
          <w:tab w:leader="none" w:pos="2573"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Regeneron’s right to use Data is not restricted and includes the right under Regeneron’s established business policies to make public research Data (especially human research Data) by publication in the scientific literature, by making trial protocols, trial results summaries, and clinical studies reports publicly available, and by making trial patient-level data available for third-party analysis.</w:t>
      </w:r>
    </w:p>
    <w:p>
      <w:pPr>
        <w:spacing w:after="0" w:line="175" w:lineRule="exact"/>
        <w:rPr>
          <w:rFonts w:ascii="Times New Roman" w:cs="Times New Roman" w:eastAsia="Times New Roman" w:hAnsi="Times New Roman"/>
          <w:sz w:val="21"/>
          <w:szCs w:val="21"/>
          <w:color w:val="auto"/>
        </w:rPr>
      </w:pPr>
    </w:p>
    <w:p>
      <w:pPr>
        <w:ind w:left="1280" w:hanging="952"/>
        <w:spacing w:after="0"/>
        <w:tabs>
          <w:tab w:leader="none" w:pos="1280" w:val="left"/>
        </w:tabs>
        <w:numPr>
          <w:ilvl w:val="0"/>
          <w:numId w:val="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Proprietary Manufacturing Data</w:t>
      </w:r>
    </w:p>
    <w:p>
      <w:pPr>
        <w:spacing w:after="0" w:line="83" w:lineRule="exact"/>
        <w:rPr>
          <w:sz w:val="20"/>
          <w:szCs w:val="20"/>
          <w:color w:val="auto"/>
        </w:rPr>
      </w:pPr>
    </w:p>
    <w:p>
      <w:pPr>
        <w:jc w:val="both"/>
        <w:ind w:firstLine="642"/>
        <w:spacing w:after="0" w:line="223" w:lineRule="auto"/>
        <w:rPr>
          <w:sz w:val="20"/>
          <w:szCs w:val="20"/>
          <w:color w:val="auto"/>
        </w:rPr>
      </w:pPr>
      <w:r>
        <w:rPr>
          <w:rFonts w:ascii="Times New Roman" w:cs="Times New Roman" w:eastAsia="Times New Roman" w:hAnsi="Times New Roman"/>
          <w:sz w:val="21"/>
          <w:szCs w:val="21"/>
          <w:color w:val="auto"/>
        </w:rPr>
        <w:t>Notwithstanding anything to the contrary in this Project Agreement, Regeneron retains all rights in and to Data relating to or comprising Regeneron’s proprietary manufacturing technology and processes, including any trade secrets, Chemistry, Manufacturing and Controls information (CMC Data), and Data concerning or arising from test method development, device or delivery system development, assay development, formulation, quality assurance/quality control development, technology transfer, process development and scale-up and cell-line development, and the Government shall have no rights to use such Data independently from this Agreement or to disclose such Data to any third party. Regeneron may designate certain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20</w:t>
      </w:r>
    </w:p>
    <w:p>
      <w:pPr>
        <w:jc w:val="center"/>
        <w:spacing w:after="0" w:line="191" w:lineRule="auto"/>
        <w:rPr>
          <w:sz w:val="20"/>
          <w:szCs w:val="20"/>
          <w:color w:val="auto"/>
        </w:rPr>
      </w:pPr>
      <w:r>
        <w:rPr>
          <w:rFonts w:ascii="Calibri" w:cs="Calibri" w:eastAsia="Calibri" w:hAnsi="Calibri"/>
          <w:sz w:val="20"/>
          <w:szCs w:val="20"/>
          <w:i w:val="1"/>
          <w:iCs w:val="1"/>
          <w:color w:val="auto"/>
        </w:rPr>
        <w:t>CONFIDENTIAL/PROPRIETARY</w:t>
      </w:r>
    </w:p>
    <w:p>
      <w:pPr>
        <w:sectPr>
          <w:pgSz w:w="11900" w:h="16838" w:orient="portrait"/>
          <w:cols w:equalWidth="0" w:num="1">
            <w:col w:w="11240"/>
          </w:cols>
          <w:pgMar w:left="320" w:top="1382" w:right="339" w:bottom="1440" w:gutter="0" w:footer="0" w:header="0"/>
        </w:sectPr>
      </w:pPr>
    </w:p>
    <w:bookmarkStart w:id="145" w:name="page146"/>
    <w:bookmarkEnd w:id="145"/>
    <w:p>
      <w:pPr>
        <w:jc w:val="both"/>
        <w:spacing w:after="0" w:line="234" w:lineRule="auto"/>
        <w:rPr>
          <w:sz w:val="20"/>
          <w:szCs w:val="20"/>
          <w:color w:val="auto"/>
        </w:rPr>
      </w:pPr>
      <w:r>
        <w:rPr>
          <w:rFonts w:ascii="Times New Roman" w:cs="Times New Roman" w:eastAsia="Times New Roman" w:hAnsi="Times New Roman"/>
          <w:sz w:val="21"/>
          <w:szCs w:val="21"/>
          <w:color w:val="auto"/>
        </w:rPr>
        <w:t>concerning its manufacturing activities as Limited Rights Data, in which case the Government shall have Limited Rights in and to such Data. Regeneron will use reasonable efforts to mark any Limited Rights Data delivered under this Project Agreement with appropriate Limited Rights markings.</w:t>
      </w:r>
    </w:p>
    <w:p>
      <w:pPr>
        <w:spacing w:after="0" w:line="172" w:lineRule="exact"/>
        <w:rPr>
          <w:sz w:val="20"/>
          <w:szCs w:val="20"/>
          <w:color w:val="auto"/>
        </w:rPr>
      </w:pPr>
    </w:p>
    <w:p>
      <w:pPr>
        <w:ind w:left="1280" w:hanging="952"/>
        <w:spacing w:after="0"/>
        <w:tabs>
          <w:tab w:leader="none" w:pos="1280" w:val="left"/>
        </w:tabs>
        <w:numPr>
          <w:ilvl w:val="0"/>
          <w:numId w:val="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Identification and Disposition of Data</w:t>
      </w:r>
    </w:p>
    <w:p>
      <w:pPr>
        <w:spacing w:after="0" w:line="83" w:lineRule="exact"/>
        <w:rPr>
          <w:sz w:val="20"/>
          <w:szCs w:val="20"/>
          <w:color w:val="auto"/>
        </w:rPr>
      </w:pPr>
    </w:p>
    <w:p>
      <w:pPr>
        <w:jc w:val="both"/>
        <w:ind w:firstLine="642"/>
        <w:spacing w:after="0"/>
        <w:rPr>
          <w:sz w:val="20"/>
          <w:szCs w:val="20"/>
          <w:color w:val="auto"/>
        </w:rPr>
      </w:pPr>
      <w:r>
        <w:rPr>
          <w:rFonts w:ascii="Times New Roman" w:cs="Times New Roman" w:eastAsia="Times New Roman" w:hAnsi="Times New Roman"/>
          <w:sz w:val="21"/>
          <w:szCs w:val="21"/>
          <w:color w:val="auto"/>
        </w:rPr>
        <w:t>Regeneron shall keep copies of all Data relevant to this Project Agreement as required by the Food and Drug Administration (FDA) for the time specified by the FDA. The Government reserves the right to review any other data determined by the Government to be relevant to this Agreement. The Government further acknowledges that Regeneron holds the commercialization rights for all products developed under this Agreement in the U.S. and will be responsible for their registration with the FDA. This provision is subject to any applicable limitations on the Government’s rights under Article VIII.B.a-b of the BARDA OTA.</w:t>
      </w:r>
    </w:p>
    <w:p>
      <w:pPr>
        <w:spacing w:after="0" w:line="31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7.4</w:t>
        <w:tab/>
        <w:t>REGULATORY RIGHTS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Contractor agrees to the following:</w:t>
      </w:r>
    </w:p>
    <w:p>
      <w:pPr>
        <w:spacing w:after="0" w:line="2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a. Regulatory Data. Regeneron shall provide to the OTTR and OTAS copies of formal FDA submissions pertaining to the scope of the project, no later than 10 business days before submission to the FDA. For clarity, CMC Data included in such submissions shall be subject to Section 7.3.b.</w:t>
      </w:r>
    </w:p>
    <w:p>
      <w:pPr>
        <w:spacing w:after="0" w:line="17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b. Rights of Reference. Upon mutual agreement, Regeneron will grant to the Government a right of reference to any Regulatory Application submitted in support of this Project Agreement, solely for the purpose of the Government conducting a clinical trial with the drug product supplied under this Project Agreement under a protocol approved by Regeneron for performance by the Government. In such a case, Regeneron agrees to provide a letter of cross-reference to the Government and file such letter with the appropriate FDA office. Nothing in this paragraph reduces the Government’s data rights as articulated in other provisions of this award.</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c. Clause 7.4.b. will survive the acquisition or merger of the Contractor by or with a third party. This clause will survive the expiration of this contract.</w:t>
      </w:r>
    </w:p>
    <w:p>
      <w:pPr>
        <w:spacing w:after="0" w:line="16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7.5 PREP Act Coverage. </w:t>
      </w:r>
      <w:r>
        <w:rPr>
          <w:rFonts w:ascii="Times New Roman" w:cs="Times New Roman" w:eastAsia="Times New Roman" w:hAnsi="Times New Roman"/>
          <w:sz w:val="21"/>
          <w:szCs w:val="21"/>
          <w:color w:val="auto"/>
        </w:rPr>
        <w:t>It is the intent of the Parties that the drug product provided pursuant to this Agreement be covered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March 10, 2020 declaration under the Public Readiness and Emergency Preparedness Act (PREP Act), 42 U.S.C. § 247d-6d, 85 Fed Reg. 15,198 (March 17, 2020), or any amendments thereto that provides liability protection for such use. Based on an independent review by each of the Parties of the PREP Act Declaration issued by DHHS on March 10, 2020, pursuant to section 319F-3 of the Public Health Service Act (42 U.S.C. 247d-6d), and a related advisory opinion issued by the DHHS Office of General Counsel on April 14, 2020, the Parties believe that Regeneron is a covered person eligible for immunity under the PREP Act for activities related to medical countermeasures against COVID-19. To the extent DoD or BARDA is authorized to do so as an Authority Having Jurisdiction, the Government designates Regeneron as a covered person eligible for immunity under the PREP Act Declaration issued by DHHS on March 10, 2020, pursuant to section 319F-3 of the Public Health Service Act (42 U.S.C. 247d-6d), for activities related to medical countermeasures against COVID-19. The Government further warrants that, except as set forth in Section 7.6, the drug product provided pursuant to this Project Agreement will not be (a) sold to any entity nor will it be returned after acceptance under the terms of this contract or (b) distributed or used, or authorized for distribution or use, outside the United States or to the extent such activities are not protected from liability under an active PREP Act declaration.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21</w:t>
      </w:r>
    </w:p>
    <w:p>
      <w:pPr>
        <w:jc w:val="center"/>
        <w:spacing w:after="0" w:line="191" w:lineRule="auto"/>
        <w:rPr>
          <w:sz w:val="20"/>
          <w:szCs w:val="20"/>
          <w:color w:val="auto"/>
        </w:rPr>
      </w:pPr>
      <w:r>
        <w:rPr>
          <w:rFonts w:ascii="Calibri" w:cs="Calibri" w:eastAsia="Calibri" w:hAnsi="Calibri"/>
          <w:sz w:val="20"/>
          <w:szCs w:val="20"/>
          <w:i w:val="1"/>
          <w:iCs w:val="1"/>
          <w:color w:val="auto"/>
        </w:rPr>
        <w:t>CONFIDENTIAL/PROPRIETARY</w:t>
      </w:r>
    </w:p>
    <w:p>
      <w:pPr>
        <w:sectPr>
          <w:pgSz w:w="11900" w:h="16838" w:orient="portrait"/>
          <w:cols w:equalWidth="0" w:num="1">
            <w:col w:w="11240"/>
          </w:cols>
          <w:pgMar w:left="320" w:top="1383" w:right="339" w:bottom="1440" w:gutter="0" w:footer="0" w:header="0"/>
        </w:sectPr>
      </w:pPr>
    </w:p>
    <w:bookmarkStart w:id="146" w:name="page147"/>
    <w:bookmarkEnd w:id="146"/>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7.6 Donation of Excess Product</w:t>
      </w:r>
    </w:p>
    <w:p>
      <w:pPr>
        <w:spacing w:after="0" w:line="2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A. In the event the Government determines that doses of REGN10987 and REGN10933 (casirivimab and imdevimab) funded under the agreement are no longer needed by the Government, the Government may donate remaining doses to any foreign government to the extent mutually agreed to by the Government and Contractor; provided that:</w:t>
      </w:r>
    </w:p>
    <w:p>
      <w:pPr>
        <w:spacing w:after="0" w:line="176" w:lineRule="exact"/>
        <w:rPr>
          <w:sz w:val="20"/>
          <w:szCs w:val="20"/>
          <w:color w:val="auto"/>
        </w:rPr>
      </w:pPr>
    </w:p>
    <w:p>
      <w:pPr>
        <w:ind w:firstLine="649"/>
        <w:spacing w:after="0" w:line="249" w:lineRule="auto"/>
        <w:tabs>
          <w:tab w:leader="none" w:pos="957"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Contractor secures any necessary approvals that are contractually required under existing licensing agreements for REGN10987 and REGN10933 (casirivimab and imdevimab);</w:t>
      </w:r>
    </w:p>
    <w:p>
      <w:pPr>
        <w:spacing w:after="0" w:line="167" w:lineRule="exact"/>
        <w:rPr>
          <w:rFonts w:ascii="Times New Roman" w:cs="Times New Roman" w:eastAsia="Times New Roman" w:hAnsi="Times New Roman"/>
          <w:sz w:val="21"/>
          <w:szCs w:val="21"/>
          <w:color w:val="auto"/>
        </w:rPr>
      </w:pPr>
    </w:p>
    <w:p>
      <w:pPr>
        <w:ind w:firstLine="649"/>
        <w:spacing w:after="0" w:line="249" w:lineRule="auto"/>
        <w:tabs>
          <w:tab w:leader="none" w:pos="962"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foreign nation has an active commercial marketing approval or active regulatory authorization in place for use of REGN10987 and REGN10933 (casirivimab and imdevimab) combined (and not individually) at the time of donation; and</w:t>
      </w:r>
    </w:p>
    <w:p>
      <w:pPr>
        <w:spacing w:after="0" w:line="167" w:lineRule="exact"/>
        <w:rPr>
          <w:rFonts w:ascii="Times New Roman" w:cs="Times New Roman" w:eastAsia="Times New Roman" w:hAnsi="Times New Roman"/>
          <w:sz w:val="21"/>
          <w:szCs w:val="21"/>
          <w:color w:val="auto"/>
        </w:rPr>
      </w:pPr>
    </w:p>
    <w:p>
      <w:pPr>
        <w:ind w:firstLine="649"/>
        <w:spacing w:after="0" w:line="244" w:lineRule="auto"/>
        <w:tabs>
          <w:tab w:leader="none" w:pos="1002"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Contractor has the option to establish an indemnification agreement with the applicable recipient foreign government.</w:t>
      </w:r>
    </w:p>
    <w:p>
      <w:pPr>
        <w:spacing w:after="0" w:line="200" w:lineRule="exact"/>
        <w:rPr>
          <w:rFonts w:ascii="Times New Roman" w:cs="Times New Roman" w:eastAsia="Times New Roman" w:hAnsi="Times New Roman"/>
          <w:sz w:val="21"/>
          <w:szCs w:val="21"/>
          <w:color w:val="auto"/>
        </w:rPr>
      </w:pPr>
    </w:p>
    <w:p>
      <w:pPr>
        <w:spacing w:after="0" w:line="223" w:lineRule="exact"/>
        <w:rPr>
          <w:rFonts w:ascii="Times New Roman" w:cs="Times New Roman" w:eastAsia="Times New Roman" w:hAnsi="Times New Roman"/>
          <w:sz w:val="21"/>
          <w:szCs w:val="21"/>
          <w:color w:val="auto"/>
        </w:rPr>
      </w:pPr>
    </w:p>
    <w:p>
      <w:pPr>
        <w:jc w:val="both"/>
        <w:ind w:firstLine="7"/>
        <w:spacing w:after="0" w:line="223" w:lineRule="auto"/>
        <w:tabs>
          <w:tab w:leader="none" w:pos="257"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Government shall notify the Contractor in writing prior to any planned donation to a foreign nation. The Contractor (itself or through its collaborators) agrees to work with the Government in good faith with respect to applicable regulatory submissions, import/export permits, and other reasonable requirements for donation to the extent that donation is authorized under paragraph A above. For clarity, the Contractor’s obligations under this paragraph shall not include any requirement to grant licenses to intellectual property or to provide sensitive manufacturing information to any such foreign government nor any obligation to ship product outside the United States.</w:t>
      </w:r>
    </w:p>
    <w:p>
      <w:pPr>
        <w:spacing w:after="0" w:line="178" w:lineRule="exact"/>
        <w:rPr>
          <w:rFonts w:ascii="Times New Roman" w:cs="Times New Roman" w:eastAsia="Times New Roman" w:hAnsi="Times New Roman"/>
          <w:sz w:val="21"/>
          <w:szCs w:val="21"/>
          <w:color w:val="auto"/>
        </w:rPr>
      </w:pPr>
    </w:p>
    <w:p>
      <w:pPr>
        <w:jc w:val="both"/>
        <w:ind w:firstLine="7"/>
        <w:spacing w:after="0" w:line="234" w:lineRule="auto"/>
        <w:tabs>
          <w:tab w:leader="none" w:pos="291"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Government will be responsible for shipment of REGN10987 and REGN10933 (casirivimab and imdevimab) to the receiving foreign nation in accordance with applicable shipping specifications, and the Contractor’s obligations regarding distribution and risk of loss in Section 6.0 shall not apply.</w:t>
      </w:r>
    </w:p>
    <w:p>
      <w:pPr>
        <w:spacing w:after="0" w:line="176" w:lineRule="exact"/>
        <w:rPr>
          <w:rFonts w:ascii="Times New Roman" w:cs="Times New Roman" w:eastAsia="Times New Roman" w:hAnsi="Times New Roman"/>
          <w:sz w:val="21"/>
          <w:szCs w:val="21"/>
          <w:color w:val="auto"/>
        </w:rPr>
      </w:pPr>
    </w:p>
    <w:p>
      <w:pPr>
        <w:jc w:val="both"/>
        <w:ind w:firstLine="7"/>
        <w:spacing w:after="0" w:line="234" w:lineRule="auto"/>
        <w:tabs>
          <w:tab w:leader="none" w:pos="289"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acknowledge that PREP Act coverage may not apply to the provision of any doses under this Section 7.6 to a foreign nation. The USG makes no representations as to PREP Act coverage thereto. Any immunity or indemnity arrangements in a foreign jurisdiction are the responsibility of the Contractor.</w:t>
      </w:r>
    </w:p>
    <w:p>
      <w:pPr>
        <w:spacing w:after="0" w:line="176" w:lineRule="exact"/>
        <w:rPr>
          <w:rFonts w:ascii="Times New Roman" w:cs="Times New Roman" w:eastAsia="Times New Roman" w:hAnsi="Times New Roman"/>
          <w:sz w:val="21"/>
          <w:szCs w:val="21"/>
          <w:color w:val="auto"/>
        </w:rPr>
      </w:pPr>
    </w:p>
    <w:p>
      <w:pPr>
        <w:ind w:right="20" w:firstLine="7"/>
        <w:spacing w:after="0" w:line="249" w:lineRule="auto"/>
        <w:tabs>
          <w:tab w:leader="none" w:pos="241"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Government agrees that the Contractor’s collaborators may perform the Contractor’s activities described in this Section 7.6 and that the Government shall cooperate with any such collaborators.</w:t>
      </w:r>
    </w:p>
    <w:p>
      <w:pPr>
        <w:spacing w:after="0" w:line="16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 xml:space="preserve">7.7 </w:t>
      </w:r>
      <w:r>
        <w:rPr>
          <w:rFonts w:ascii="Times New Roman" w:cs="Times New Roman" w:eastAsia="Times New Roman" w:hAnsi="Times New Roman"/>
          <w:sz w:val="21"/>
          <w:szCs w:val="21"/>
          <w:b w:val="1"/>
          <w:bCs w:val="1"/>
          <w:color w:val="auto"/>
        </w:rPr>
        <w:t>Transparency.</w:t>
      </w:r>
      <w:r>
        <w:rPr>
          <w:rFonts w:ascii="Times New Roman" w:cs="Times New Roman" w:eastAsia="Times New Roman" w:hAnsi="Times New Roman"/>
          <w:sz w:val="21"/>
          <w:szCs w:val="21"/>
          <w:color w:val="auto"/>
        </w:rPr>
        <w:t xml:space="preserve"> To the extent permitted under applicable laws, the Government will provide Regeneron in a timely manner copies of reports concerning this Project Agreement that are provided to other Government agencies or legislative or executive branches of the government.</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8.0</w:t>
        <w:tab/>
        <w:t>SECURITY AND SUPPLY CHAIN RESILIENCY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security classification level for this effort is UNCLASSIFIED.</w:t>
      </w:r>
    </w:p>
    <w:p>
      <w:pPr>
        <w:spacing w:after="0" w:line="20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9.0</w:t>
        <w:tab/>
        <w:t>MISCELLANEOUS REQUIREMENTS (SAFETY, ENVIRONMENTAL, ETC.)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22</w:t>
      </w:r>
    </w:p>
    <w:p>
      <w:pPr>
        <w:jc w:val="center"/>
        <w:spacing w:after="0" w:line="191" w:lineRule="auto"/>
        <w:rPr>
          <w:sz w:val="20"/>
          <w:szCs w:val="20"/>
          <w:color w:val="auto"/>
        </w:rPr>
      </w:pPr>
      <w:r>
        <w:rPr>
          <w:rFonts w:ascii="Calibri" w:cs="Calibri" w:eastAsia="Calibri" w:hAnsi="Calibri"/>
          <w:sz w:val="20"/>
          <w:szCs w:val="20"/>
          <w:i w:val="1"/>
          <w:iCs w:val="1"/>
          <w:color w:val="auto"/>
        </w:rPr>
        <w:t>CONFIDENTIAL/PROPRIETARY</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10.0</w:t>
        <w:tab/>
        <w:t>GOVERNMENT FURNISHED PROPERTY/MATERIAL/INFORMATION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p>
    <w:p>
      <w:pPr>
        <w:spacing w:after="0" w:line="20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b w:val="1"/>
          <w:bCs w:val="1"/>
          <w:color w:val="auto"/>
        </w:rPr>
        <w:t>11.0</w:t>
        <w:tab/>
        <w:t>AGREEMENTS OFFICER’S REPRESENTATIVE (AOR) AND ALTERNATE AOR CONTACT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AOR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NAME:</w:t>
      </w:r>
    </w:p>
    <w:p>
      <w:pPr>
        <w:spacing w:after="0" w:line="213" w:lineRule="auto"/>
        <w:rPr>
          <w:sz w:val="20"/>
          <w:szCs w:val="20"/>
          <w:color w:val="auto"/>
        </w:rPr>
      </w:pPr>
      <w:r>
        <w:rPr>
          <w:rFonts w:ascii="Times New Roman" w:cs="Times New Roman" w:eastAsia="Times New Roman" w:hAnsi="Times New Roman"/>
          <w:sz w:val="21"/>
          <w:szCs w:val="21"/>
          <w:b w:val="1"/>
          <w:bCs w:val="1"/>
          <w:color w:val="auto"/>
        </w:rPr>
        <w:t>EMAIL:</w:t>
      </w:r>
    </w:p>
    <w:p>
      <w:pPr>
        <w:spacing w:after="0" w:line="212" w:lineRule="auto"/>
        <w:rPr>
          <w:sz w:val="20"/>
          <w:szCs w:val="20"/>
          <w:color w:val="auto"/>
        </w:rPr>
      </w:pPr>
      <w:r>
        <w:rPr>
          <w:rFonts w:ascii="Times New Roman" w:cs="Times New Roman" w:eastAsia="Times New Roman" w:hAnsi="Times New Roman"/>
          <w:sz w:val="21"/>
          <w:szCs w:val="21"/>
          <w:b w:val="1"/>
          <w:bCs w:val="1"/>
          <w:color w:val="auto"/>
        </w:rPr>
        <w:t>PHONE: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AGENCY NAME/DIVISION/SECTION: HHS/ASPR/BARDA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Alternate AOR</w:t>
      </w:r>
    </w:p>
    <w:p>
      <w:pPr>
        <w:spacing w:after="0" w:line="213" w:lineRule="auto"/>
        <w:rPr>
          <w:sz w:val="20"/>
          <w:szCs w:val="20"/>
          <w:color w:val="auto"/>
        </w:rPr>
      </w:pPr>
      <w:r>
        <w:rPr>
          <w:rFonts w:ascii="Times New Roman" w:cs="Times New Roman" w:eastAsia="Times New Roman" w:hAnsi="Times New Roman"/>
          <w:sz w:val="21"/>
          <w:szCs w:val="21"/>
          <w:b w:val="1"/>
          <w:bCs w:val="1"/>
          <w:color w:val="auto"/>
        </w:rPr>
        <w:t>NAME:</w:t>
      </w:r>
    </w:p>
    <w:p>
      <w:pPr>
        <w:spacing w:after="0" w:line="212" w:lineRule="auto"/>
        <w:rPr>
          <w:sz w:val="20"/>
          <w:szCs w:val="20"/>
          <w:color w:val="auto"/>
        </w:rPr>
      </w:pPr>
      <w:r>
        <w:rPr>
          <w:rFonts w:ascii="Times New Roman" w:cs="Times New Roman" w:eastAsia="Times New Roman" w:hAnsi="Times New Roman"/>
          <w:sz w:val="21"/>
          <w:szCs w:val="21"/>
          <w:b w:val="1"/>
          <w:bCs w:val="1"/>
          <w:color w:val="auto"/>
        </w:rPr>
        <w:t>EMAIL:</w:t>
      </w:r>
    </w:p>
    <w:p>
      <w:pPr>
        <w:spacing w:after="0" w:line="213" w:lineRule="auto"/>
        <w:rPr>
          <w:sz w:val="20"/>
          <w:szCs w:val="20"/>
          <w:color w:val="auto"/>
        </w:rPr>
      </w:pPr>
      <w:r>
        <w:rPr>
          <w:rFonts w:ascii="Times New Roman" w:cs="Times New Roman" w:eastAsia="Times New Roman" w:hAnsi="Times New Roman"/>
          <w:sz w:val="21"/>
          <w:szCs w:val="21"/>
          <w:b w:val="1"/>
          <w:bCs w:val="1"/>
          <w:color w:val="auto"/>
        </w:rPr>
        <w:t>PHONE: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AGENCY NAME/DIVISION/SECTION: HHS/ASPR/BARDA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367030</wp:posOffset>
            </wp:positionV>
            <wp:extent cx="71335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Requiring Activity:</w:t>
      </w:r>
    </w:p>
    <w:p>
      <w:pPr>
        <w:spacing w:after="0" w:line="37"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21"/>
          <w:szCs w:val="21"/>
          <w:color w:val="auto"/>
        </w:rPr>
        <w:t>US Department of Health &amp; Human Services (HHS), Assistant Secretary for Preparedness and Response (ASPR), Biomedical Advanced Research and Development Authority (BARDA)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71335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23</w:t>
      </w:r>
    </w:p>
    <w:p>
      <w:pPr>
        <w:jc w:val="center"/>
        <w:ind w:right="-39"/>
        <w:spacing w:after="0" w:line="197" w:lineRule="auto"/>
        <w:rPr>
          <w:sz w:val="20"/>
          <w:szCs w:val="20"/>
          <w:color w:val="auto"/>
        </w:rPr>
      </w:pPr>
      <w:r>
        <w:rPr>
          <w:rFonts w:ascii="Calibri" w:cs="Calibri" w:eastAsia="Calibri" w:hAnsi="Calibri"/>
          <w:sz w:val="20"/>
          <w:szCs w:val="20"/>
          <w:i w:val="1"/>
          <w:iCs w:val="1"/>
          <w:color w:val="auto"/>
        </w:rPr>
        <w:t>CONFIDENTIAL/PROPRIETARY</w:t>
      </w:r>
    </w:p>
    <w:p>
      <w:pPr>
        <w:sectPr>
          <w:pgSz w:w="11900" w:h="16838" w:orient="portrait"/>
          <w:cols w:equalWidth="0" w:num="1">
            <w:col w:w="11220"/>
          </w:cols>
          <w:pgMar w:left="320" w:top="1440" w:right="359" w:bottom="1440" w:gutter="0" w:footer="0" w:header="0"/>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21"/>
          <w:szCs w:val="21"/>
          <w:color w:val="auto"/>
        </w:rPr>
        <w:t>Definitions Appendix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Computer Software: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perform and further this Project Agreement:</w:t>
      </w:r>
    </w:p>
    <w:p>
      <w:pPr>
        <w:spacing w:after="0" w:line="160"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21"/>
          <w:szCs w:val="21"/>
          <w:color w:val="auto"/>
        </w:rPr>
        <w:t>Computer programs that comprise a series of instructions, rules, routines, or statements, regardless of the media in which recorded, that allow or cause a computer to perform a specific operation or series of operations; and</w:t>
      </w:r>
    </w:p>
    <w:p>
      <w:pPr>
        <w:spacing w:after="0" w:line="74" w:lineRule="exact"/>
        <w:rPr>
          <w:sz w:val="20"/>
          <w:szCs w:val="20"/>
          <w:color w:val="auto"/>
        </w:rPr>
      </w:pPr>
    </w:p>
    <w:p>
      <w:pPr>
        <w:ind w:right="380"/>
        <w:spacing w:after="0" w:line="302" w:lineRule="auto"/>
        <w:rPr>
          <w:sz w:val="20"/>
          <w:szCs w:val="20"/>
          <w:color w:val="auto"/>
        </w:rPr>
      </w:pPr>
      <w:r>
        <w:rPr>
          <w:rFonts w:ascii="Times New Roman" w:cs="Times New Roman" w:eastAsia="Times New Roman" w:hAnsi="Times New Roman"/>
          <w:sz w:val="21"/>
          <w:szCs w:val="21"/>
          <w:color w:val="auto"/>
        </w:rPr>
        <w:t>Recorded information comprising source code listings, design details, algorithms, processes, flow charts, formulas, and related material that would enable the computer program to be produced, created, or compiled.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Does not include computer databases or computer software documentation.</w:t>
      </w:r>
    </w:p>
    <w:p>
      <w:pPr>
        <w:spacing w:after="0" w:line="15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Data: </w:t>
      </w:r>
      <w:r>
        <w:rPr>
          <w:rFonts w:ascii="Times New Roman" w:cs="Times New Roman" w:eastAsia="Times New Roman" w:hAnsi="Times New Roman"/>
          <w:sz w:val="21"/>
          <w:szCs w:val="21"/>
          <w:color w:val="auto"/>
        </w:rPr>
        <w:t>Means recorded information, regardless of form or the media on which it may be recorded. The term includes technical data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Computer Software. The term does not include information incidental to contract administration, such as financial, administrative, cost or pricing, or management information.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Field: </w:t>
      </w:r>
      <w:r>
        <w:rPr>
          <w:rFonts w:ascii="Times New Roman" w:cs="Times New Roman" w:eastAsia="Times New Roman" w:hAnsi="Times New Roman"/>
          <w:sz w:val="21"/>
          <w:szCs w:val="21"/>
          <w:color w:val="auto"/>
        </w:rPr>
        <w:t>The development of anti-pathogen assets to treat, diagnose or prevent emerging infectious diseases.</w:t>
      </w:r>
    </w:p>
    <w:p>
      <w:pPr>
        <w:spacing w:after="0" w:line="17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Government: </w:t>
      </w:r>
      <w:r>
        <w:rPr>
          <w:rFonts w:ascii="Times New Roman" w:cs="Times New Roman" w:eastAsia="Times New Roman" w:hAnsi="Times New Roman"/>
          <w:sz w:val="21"/>
          <w:szCs w:val="21"/>
          <w:color w:val="auto"/>
        </w:rPr>
        <w:t>The United States of America, as represented by the Department of Health &amp; Human Services (“Government”),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Office of the Assistant Secretary for Preparedness &amp; Response (“ASPR”), Office of Biomedical Advanced Research and Development (“BARDA”) (represented by Office of Acquisition Management, Contracts and Grants (AMCG)).</w:t>
      </w:r>
    </w:p>
    <w:p>
      <w:pPr>
        <w:spacing w:after="0" w:line="7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1"/>
          <w:szCs w:val="21"/>
          <w:b w:val="1"/>
          <w:bCs w:val="1"/>
          <w:color w:val="auto"/>
        </w:rPr>
        <w:t xml:space="preserve">Government Purpose: </w:t>
      </w:r>
      <w:r>
        <w:rPr>
          <w:rFonts w:ascii="Times New Roman" w:cs="Times New Roman" w:eastAsia="Times New Roman" w:hAnsi="Times New Roman"/>
          <w:sz w:val="21"/>
          <w:szCs w:val="21"/>
          <w:color w:val="auto"/>
        </w:rPr>
        <w:t>Any activity in which the United States Government is a party, including cooperative agreements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international or multi-national defense organizations, or sales or transfers by the United States Government to foreign governments or international organizations. Government purposes include competitive procurement, but do not include the rights to use, modify, reproduce, release, perform, display, or disclose technical data for commercial purposes or authorize others to do so.</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Government Purpose Rights: </w:t>
      </w:r>
      <w:r>
        <w:rPr>
          <w:rFonts w:ascii="Times New Roman" w:cs="Times New Roman" w:eastAsia="Times New Roman" w:hAnsi="Times New Roman"/>
          <w:sz w:val="21"/>
          <w:szCs w:val="21"/>
          <w:color w:val="auto"/>
        </w:rPr>
        <w:t>The rights by Government to—</w:t>
      </w:r>
    </w:p>
    <w:p>
      <w:pPr>
        <w:spacing w:after="0" w:line="177" w:lineRule="exact"/>
        <w:rPr>
          <w:sz w:val="20"/>
          <w:szCs w:val="20"/>
          <w:color w:val="auto"/>
        </w:rPr>
      </w:pPr>
    </w:p>
    <w:p>
      <w:pPr>
        <w:ind w:left="440" w:hanging="433"/>
        <w:spacing w:after="0"/>
        <w:tabs>
          <w:tab w:leader="none" w:pos="44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modify, reproduce, release, perform, display, or disclose technical data within the Government without restriction; and</w:t>
      </w:r>
    </w:p>
    <w:p>
      <w:pPr>
        <w:spacing w:after="0" w:line="159" w:lineRule="exact"/>
        <w:rPr>
          <w:rFonts w:ascii="Times New Roman" w:cs="Times New Roman" w:eastAsia="Times New Roman" w:hAnsi="Times New Roman"/>
          <w:sz w:val="21"/>
          <w:szCs w:val="21"/>
          <w:color w:val="auto"/>
        </w:rPr>
      </w:pPr>
    </w:p>
    <w:p>
      <w:pPr>
        <w:ind w:right="500" w:firstLine="7"/>
        <w:spacing w:after="0" w:line="302" w:lineRule="auto"/>
        <w:tabs>
          <w:tab w:leader="none" w:pos="428"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Release or disclose technical data outside the Government and authorize persons to whom release or disclosure has been made to use, modify, reproduce, release, perform, display, or disclose that data for United States Government Purpose.</w:t>
      </w:r>
    </w:p>
    <w:p>
      <w:pPr>
        <w:spacing w:after="0" w:line="70" w:lineRule="exact"/>
        <w:rPr>
          <w:sz w:val="20"/>
          <w:szCs w:val="20"/>
          <w:color w:val="auto"/>
        </w:rPr>
      </w:pPr>
    </w:p>
    <w:p>
      <w:pPr>
        <w:ind w:right="340"/>
        <w:spacing w:after="0" w:line="306" w:lineRule="auto"/>
        <w:rPr>
          <w:sz w:val="20"/>
          <w:szCs w:val="20"/>
          <w:color w:val="auto"/>
        </w:rPr>
      </w:pPr>
      <w:r>
        <w:rPr>
          <w:rFonts w:ascii="Times New Roman" w:cs="Times New Roman" w:eastAsia="Times New Roman" w:hAnsi="Times New Roman"/>
          <w:sz w:val="21"/>
          <w:szCs w:val="21"/>
          <w:b w:val="1"/>
          <w:bCs w:val="1"/>
          <w:color w:val="auto"/>
        </w:rPr>
        <w:t xml:space="preserve">Invention: </w:t>
      </w:r>
      <w:r>
        <w:rPr>
          <w:rFonts w:ascii="Times New Roman" w:cs="Times New Roman" w:eastAsia="Times New Roman" w:hAnsi="Times New Roman"/>
          <w:sz w:val="21"/>
          <w:szCs w:val="21"/>
          <w:color w:val="auto"/>
        </w:rPr>
        <w:t>Any invention or discovery that is or may be patentable or otherwise protectable under Title 35 of the United States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Code.</w:t>
      </w:r>
    </w:p>
    <w:p>
      <w:pPr>
        <w:spacing w:after="0" w:line="66" w:lineRule="exact"/>
        <w:rPr>
          <w:sz w:val="20"/>
          <w:szCs w:val="20"/>
          <w:color w:val="auto"/>
        </w:rPr>
      </w:pPr>
    </w:p>
    <w:p>
      <w:pPr>
        <w:ind w:right="980"/>
        <w:spacing w:after="0" w:line="306" w:lineRule="auto"/>
        <w:rPr>
          <w:sz w:val="20"/>
          <w:szCs w:val="20"/>
          <w:color w:val="auto"/>
        </w:rPr>
      </w:pPr>
      <w:r>
        <w:rPr>
          <w:rFonts w:ascii="Times New Roman" w:cs="Times New Roman" w:eastAsia="Times New Roman" w:hAnsi="Times New Roman"/>
          <w:sz w:val="21"/>
          <w:szCs w:val="21"/>
          <w:b w:val="1"/>
          <w:bCs w:val="1"/>
          <w:color w:val="auto"/>
        </w:rPr>
        <w:t xml:space="preserve">Limited Rights: </w:t>
      </w:r>
      <w:r>
        <w:rPr>
          <w:rFonts w:ascii="Times New Roman" w:cs="Times New Roman" w:eastAsia="Times New Roman" w:hAnsi="Times New Roman"/>
          <w:sz w:val="21"/>
          <w:szCs w:val="21"/>
          <w:color w:val="auto"/>
        </w:rPr>
        <w:t>The rights to use, modify, reproduce, perform, display, or disclose Data, in whole or in part, within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Government solely for research purposes for the Field.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24</w:t>
      </w: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CONFIDENTIAL/PROPRIETARY</w:t>
      </w:r>
    </w:p>
    <w:p>
      <w:pPr>
        <w:sectPr>
          <w:pgSz w:w="11900" w:h="16838" w:orient="portrait"/>
          <w:cols w:equalWidth="0" w:num="1">
            <w:col w:w="11240"/>
          </w:cols>
          <w:pgMar w:left="320" w:top="1383" w:right="339" w:bottom="1440" w:gutter="0" w:footer="0" w:header="0"/>
        </w:sectPr>
      </w:pPr>
    </w:p>
    <w:bookmarkStart w:id="149" w:name="page150"/>
    <w:bookmarkEnd w:id="149"/>
    <w:p>
      <w:pPr>
        <w:ind w:right="40"/>
        <w:spacing w:after="0" w:line="278" w:lineRule="auto"/>
        <w:rPr>
          <w:sz w:val="20"/>
          <w:szCs w:val="20"/>
          <w:color w:val="auto"/>
        </w:rPr>
      </w:pPr>
      <w:r>
        <w:rPr>
          <w:rFonts w:ascii="Times New Roman" w:cs="Times New Roman" w:eastAsia="Times New Roman" w:hAnsi="Times New Roman"/>
          <w:sz w:val="21"/>
          <w:szCs w:val="21"/>
          <w:color w:val="auto"/>
        </w:rPr>
        <w:t>will ensure that disclosed information is safeguarded in accordance with the restrictions of this Agreement. The Government may not, without the prior written permission of Recipient, release or disclose the Data outside the Government, use the Data for competitive procurement or manufacture, release or disclose the data for commercial purposes, or authorize the Data to be used by another party. The Parties shall maintain the confidentiality of all Data subject to or designated as falling within Limited Rights.</w:t>
      </w:r>
    </w:p>
    <w:p>
      <w:pPr>
        <w:spacing w:after="0" w:line="9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Limited Rights Data: </w:t>
      </w:r>
      <w:r>
        <w:rPr>
          <w:rFonts w:ascii="Times New Roman" w:cs="Times New Roman" w:eastAsia="Times New Roman" w:hAnsi="Times New Roman"/>
          <w:sz w:val="21"/>
          <w:szCs w:val="21"/>
          <w:color w:val="auto"/>
        </w:rPr>
        <w:t>Data, other than Computer Software, that embody trade secrets or are commercial or financial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confidential or privileged, to the extent that such Data pertain to items, components, or processes developed at private expense, including minor modifications.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Made: </w:t>
      </w:r>
      <w:r>
        <w:rPr>
          <w:rFonts w:ascii="Times New Roman" w:cs="Times New Roman" w:eastAsia="Times New Roman" w:hAnsi="Times New Roman"/>
          <w:sz w:val="21"/>
          <w:szCs w:val="21"/>
          <w:color w:val="auto"/>
        </w:rPr>
        <w:t>The conception or first actual reduction to practice of the invention as defined in this Agreement.</w:t>
      </w:r>
    </w:p>
    <w:p>
      <w:pPr>
        <w:spacing w:after="0" w:line="173" w:lineRule="exact"/>
        <w:rPr>
          <w:sz w:val="20"/>
          <w:szCs w:val="20"/>
          <w:color w:val="auto"/>
        </w:rPr>
      </w:pPr>
    </w:p>
    <w:p>
      <w:pPr>
        <w:ind w:right="440"/>
        <w:spacing w:after="0" w:line="306" w:lineRule="auto"/>
        <w:rPr>
          <w:sz w:val="20"/>
          <w:szCs w:val="20"/>
          <w:color w:val="auto"/>
        </w:rPr>
      </w:pPr>
      <w:r>
        <w:rPr>
          <w:rFonts w:ascii="Times New Roman" w:cs="Times New Roman" w:eastAsia="Times New Roman" w:hAnsi="Times New Roman"/>
          <w:sz w:val="21"/>
          <w:szCs w:val="21"/>
          <w:b w:val="1"/>
          <w:bCs w:val="1"/>
          <w:color w:val="auto"/>
        </w:rPr>
        <w:t xml:space="preserve">Option: </w:t>
      </w:r>
      <w:r>
        <w:rPr>
          <w:rFonts w:ascii="Times New Roman" w:cs="Times New Roman" w:eastAsia="Times New Roman" w:hAnsi="Times New Roman"/>
          <w:sz w:val="21"/>
          <w:szCs w:val="21"/>
          <w:color w:val="auto"/>
        </w:rPr>
        <w:t>An option, entered into by bilateral agreement pursuant to a Statement of Work and budget, by which, for a specified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the Government may elect to purchase additional supplies or services called for by the Agreement.</w:t>
      </w:r>
    </w:p>
    <w:p>
      <w:pPr>
        <w:spacing w:after="0" w:line="66"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21"/>
          <w:szCs w:val="21"/>
          <w:b w:val="1"/>
          <w:bCs w:val="1"/>
          <w:color w:val="auto"/>
        </w:rPr>
        <w:t>Other Transaction Agreement Officer (“OTAO”</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the responsible Government official authorized to bind the Government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signing this Agreement and bilateral modifications.</w:t>
      </w:r>
    </w:p>
    <w:p>
      <w:pPr>
        <w:spacing w:after="0" w:line="53" w:lineRule="exact"/>
        <w:rPr>
          <w:sz w:val="20"/>
          <w:szCs w:val="20"/>
          <w:color w:val="auto"/>
        </w:rPr>
      </w:pPr>
    </w:p>
    <w:p>
      <w:pPr>
        <w:ind w:right="40"/>
        <w:spacing w:after="0" w:line="306" w:lineRule="auto"/>
        <w:rPr>
          <w:sz w:val="20"/>
          <w:szCs w:val="20"/>
          <w:color w:val="auto"/>
        </w:rPr>
      </w:pPr>
      <w:r>
        <w:rPr>
          <w:rFonts w:ascii="Times New Roman" w:cs="Times New Roman" w:eastAsia="Times New Roman" w:hAnsi="Times New Roman"/>
          <w:sz w:val="21"/>
          <w:szCs w:val="21"/>
          <w:b w:val="1"/>
          <w:bCs w:val="1"/>
          <w:color w:val="auto"/>
        </w:rPr>
        <w:t xml:space="preserve">Other Transaction Agreement Specialist (“OTAS”): </w:t>
      </w:r>
      <w:r>
        <w:rPr>
          <w:rFonts w:ascii="Times New Roman" w:cs="Times New Roman" w:eastAsia="Times New Roman" w:hAnsi="Times New Roman"/>
          <w:sz w:val="21"/>
          <w:szCs w:val="21"/>
          <w:color w:val="auto"/>
        </w:rPr>
        <w:t>Is a supporting official that assists and represents the OTAO. The OTAO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only official who can bind the Government.</w:t>
      </w:r>
    </w:p>
    <w:p>
      <w:pPr>
        <w:spacing w:after="0" w:line="66" w:lineRule="exact"/>
        <w:rPr>
          <w:sz w:val="20"/>
          <w:szCs w:val="20"/>
          <w:color w:val="auto"/>
        </w:rPr>
      </w:pPr>
    </w:p>
    <w:p>
      <w:pPr>
        <w:ind w:right="600"/>
        <w:spacing w:after="0" w:line="306" w:lineRule="auto"/>
        <w:rPr>
          <w:sz w:val="20"/>
          <w:szCs w:val="20"/>
          <w:color w:val="auto"/>
        </w:rPr>
      </w:pPr>
      <w:r>
        <w:rPr>
          <w:rFonts w:ascii="Times New Roman" w:cs="Times New Roman" w:eastAsia="Times New Roman" w:hAnsi="Times New Roman"/>
          <w:sz w:val="21"/>
          <w:szCs w:val="21"/>
          <w:b w:val="1"/>
          <w:bCs w:val="1"/>
          <w:color w:val="auto"/>
        </w:rPr>
        <w:t>Other Transaction Agreement Technical Representative (“OTTR”</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the primary Government official for all technical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matters on the Agreement.</w:t>
      </w:r>
    </w:p>
    <w:p>
      <w:pPr>
        <w:spacing w:after="0" w:line="6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1"/>
          <w:szCs w:val="21"/>
          <w:b w:val="1"/>
          <w:bCs w:val="1"/>
          <w:color w:val="auto"/>
        </w:rPr>
        <w:t xml:space="preserve">Practical Application: </w:t>
      </w:r>
      <w:r>
        <w:rPr>
          <w:rFonts w:ascii="Times New Roman" w:cs="Times New Roman" w:eastAsia="Times New Roman" w:hAnsi="Times New Roman"/>
          <w:sz w:val="21"/>
          <w:szCs w:val="21"/>
          <w:color w:val="auto"/>
        </w:rPr>
        <w:t>With respect to a Subject Invention, to manufacture, in the case of a composition or product; to practice,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case of a process or method; or to operate, in the case of a machine or system; and, in each case, under such conditions as to establish that the Subject Invention is capable of being utilized and that its benefits are, to the extent permitted by law or Government regulations, available to the public for a regulatory approved product.</w:t>
      </w:r>
    </w:p>
    <w:p>
      <w:pPr>
        <w:spacing w:after="0" w:line="81" w:lineRule="exact"/>
        <w:rPr>
          <w:sz w:val="20"/>
          <w:szCs w:val="20"/>
          <w:color w:val="auto"/>
        </w:rPr>
      </w:pPr>
    </w:p>
    <w:p>
      <w:pPr>
        <w:ind w:right="220"/>
        <w:spacing w:after="0" w:line="306" w:lineRule="auto"/>
        <w:rPr>
          <w:sz w:val="20"/>
          <w:szCs w:val="20"/>
          <w:color w:val="auto"/>
        </w:rPr>
      </w:pPr>
      <w:r>
        <w:rPr>
          <w:rFonts w:ascii="Times New Roman" w:cs="Times New Roman" w:eastAsia="Times New Roman" w:hAnsi="Times New Roman"/>
          <w:sz w:val="21"/>
          <w:szCs w:val="21"/>
          <w:b w:val="1"/>
          <w:bCs w:val="1"/>
          <w:color w:val="auto"/>
        </w:rPr>
        <w:t xml:space="preserve">Subject Invention: </w:t>
      </w:r>
      <w:r>
        <w:rPr>
          <w:rFonts w:ascii="Times New Roman" w:cs="Times New Roman" w:eastAsia="Times New Roman" w:hAnsi="Times New Roman"/>
          <w:sz w:val="21"/>
          <w:szCs w:val="21"/>
          <w:color w:val="auto"/>
        </w:rPr>
        <w:t>Any Invention Made in the performance of work under this Agreement within the Field for which Recipient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pursues a patent.</w:t>
      </w:r>
    </w:p>
    <w:p>
      <w:pPr>
        <w:spacing w:after="0" w:line="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Sub-Recipient: </w:t>
      </w:r>
      <w:r>
        <w:rPr>
          <w:rFonts w:ascii="Times New Roman" w:cs="Times New Roman" w:eastAsia="Times New Roman" w:hAnsi="Times New Roman"/>
          <w:sz w:val="21"/>
          <w:szCs w:val="21"/>
          <w:color w:val="auto"/>
        </w:rPr>
        <w:t>Akin to a subcontractor. Any supplier, distributor, vendor, or firm that furnishes supplies or services to or for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Recipient, an Affiliate, or a Sub-Recipient. A Sub-Recipient differs from an Affiliate in that Sub-Recipients are not listed as an Affiliate in Attachment 3 and may be used to execute tasks under the SOW by Recipient or Affiliate.</w:t>
      </w:r>
    </w:p>
    <w:p>
      <w:pPr>
        <w:spacing w:after="0" w:line="86" w:lineRule="exact"/>
        <w:rPr>
          <w:sz w:val="20"/>
          <w:szCs w:val="20"/>
          <w:color w:val="auto"/>
        </w:rPr>
      </w:pPr>
    </w:p>
    <w:p>
      <w:pPr>
        <w:ind w:right="220"/>
        <w:spacing w:after="0" w:line="303" w:lineRule="auto"/>
        <w:rPr>
          <w:sz w:val="20"/>
          <w:szCs w:val="20"/>
          <w:color w:val="auto"/>
        </w:rPr>
      </w:pPr>
      <w:r>
        <w:rPr>
          <w:rFonts w:ascii="Times New Roman" w:cs="Times New Roman" w:eastAsia="Times New Roman" w:hAnsi="Times New Roman"/>
          <w:sz w:val="21"/>
          <w:szCs w:val="21"/>
          <w:b w:val="1"/>
          <w:bCs w:val="1"/>
          <w:color w:val="auto"/>
        </w:rPr>
        <w:t xml:space="preserve">Sub-Recipient Agreement: </w:t>
      </w:r>
      <w:r>
        <w:rPr>
          <w:rFonts w:ascii="Times New Roman" w:cs="Times New Roman" w:eastAsia="Times New Roman" w:hAnsi="Times New Roman"/>
          <w:sz w:val="21"/>
          <w:szCs w:val="21"/>
          <w:color w:val="auto"/>
        </w:rPr>
        <w:t>Any contract entered into by a Sub-Recipient to furnish supplies or services for performance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This term describes an agreement with a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-Tier Sub-Recipient, except as expressly noted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25</w:t>
      </w:r>
    </w:p>
    <w:p>
      <w:pPr>
        <w:jc w:val="center"/>
        <w:ind w:right="-39"/>
        <w:spacing w:after="0"/>
        <w:rPr>
          <w:sz w:val="20"/>
          <w:szCs w:val="20"/>
          <w:color w:val="auto"/>
        </w:rPr>
      </w:pPr>
      <w:r>
        <w:rPr>
          <w:rFonts w:ascii="Times New Roman" w:cs="Times New Roman" w:eastAsia="Times New Roman" w:hAnsi="Times New Roman"/>
          <w:sz w:val="21"/>
          <w:szCs w:val="21"/>
          <w:i w:val="1"/>
          <w:iCs w:val="1"/>
          <w:color w:val="auto"/>
        </w:rPr>
        <w:t>CONFIDENTIAL/PROPRIETARY</w:t>
      </w:r>
    </w:p>
    <w:p>
      <w:pPr>
        <w:sectPr>
          <w:pgSz w:w="11900" w:h="16838" w:orient="portrait"/>
          <w:cols w:equalWidth="0" w:num="1">
            <w:col w:w="11220"/>
          </w:cols>
          <w:pgMar w:left="320" w:top="1409" w:right="359" w:bottom="1440" w:gutter="0" w:footer="0" w:header="0"/>
        </w:sectPr>
      </w:pPr>
    </w:p>
    <w:bookmarkStart w:id="150" w:name="page151"/>
    <w:bookmarkEnd w:id="150"/>
    <w:p>
      <w:pPr>
        <w:ind w:left="9689"/>
        <w:spacing w:after="0"/>
        <w:rPr>
          <w:sz w:val="20"/>
          <w:szCs w:val="20"/>
          <w:color w:val="auto"/>
        </w:rPr>
      </w:pPr>
      <w:r>
        <w:rPr>
          <w:rFonts w:ascii="Times New Roman" w:cs="Times New Roman" w:eastAsia="Times New Roman" w:hAnsi="Times New Roman"/>
          <w:sz w:val="20"/>
          <w:szCs w:val="20"/>
          <w:color w:val="auto"/>
        </w:rPr>
        <w:t>Exhibit 10.5</w:t>
      </w:r>
    </w:p>
    <w:p>
      <w:pPr>
        <w:spacing w:after="0" w:line="209" w:lineRule="exact"/>
        <w:rPr>
          <w:sz w:val="20"/>
          <w:szCs w:val="20"/>
          <w:color w:val="auto"/>
        </w:rPr>
      </w:pPr>
    </w:p>
    <w:p>
      <w:pPr>
        <w:jc w:val="center"/>
        <w:ind w:left="580" w:right="40"/>
        <w:spacing w:after="0" w:line="239" w:lineRule="auto"/>
        <w:rPr>
          <w:sz w:val="20"/>
          <w:szCs w:val="20"/>
          <w:color w:val="auto"/>
        </w:rPr>
      </w:pPr>
      <w:r>
        <w:rPr>
          <w:rFonts w:ascii="Times New Roman" w:cs="Times New Roman" w:eastAsia="Times New Roman" w:hAnsi="Times New Roman"/>
          <w:sz w:val="14"/>
          <w:szCs w:val="14"/>
          <w:b w:val="1"/>
          <w:bCs w:val="1"/>
          <w:color w:val="auto"/>
        </w:rPr>
        <w:t>CERTAIN CONFIDENTIAL PORTIONS OF THIS EXHIBIT, MARKED BY BRACKETS, WERE OMITTED BECAUSE THOSE PORTIONS ARE NOT MATERIAL AND WOULD BE COMPETITIVELY HARMFUL TO THE COMPANY IF PUBLICLY DISCLOSED.</w:t>
      </w:r>
    </w:p>
    <w:p>
      <w:pPr>
        <w:spacing w:after="0" w:line="200" w:lineRule="exact"/>
        <w:rPr>
          <w:sz w:val="20"/>
          <w:szCs w:val="20"/>
          <w:color w:val="auto"/>
        </w:rPr>
      </w:pPr>
    </w:p>
    <w:p>
      <w:pPr>
        <w:spacing w:after="0" w:line="220" w:lineRule="exact"/>
        <w:rPr>
          <w:sz w:val="20"/>
          <w:szCs w:val="20"/>
          <w:color w:val="auto"/>
        </w:rPr>
      </w:pPr>
    </w:p>
    <w:tbl>
      <w:tblPr>
        <w:tblLayout w:type="fixed"/>
        <w:tblInd w:w="9" w:type="dxa"/>
        <w:tblCellMar>
          <w:top w:w="0" w:type="dxa"/>
          <w:left w:w="0" w:type="dxa"/>
          <w:bottom w:w="0" w:type="dxa"/>
          <w:right w:w="0" w:type="dxa"/>
        </w:tblCellMar>
      </w:tblPr>
      <w:tr>
        <w:trPr>
          <w:trHeight w:val="208"/>
        </w:trPr>
        <w:tc>
          <w:tcPr>
            <w:tcW w:w="6940" w:type="dxa"/>
            <w:vAlign w:val="bottom"/>
            <w:tcBorders>
              <w:top w:val="single" w:sz="8" w:color="auto"/>
            </w:tcBorders>
            <w:gridSpan w:val="6"/>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AMENDMENT OF SOLICITATION/MODIFICATION OF CONTRACT</w:t>
            </w:r>
          </w:p>
        </w:tc>
        <w:tc>
          <w:tcPr>
            <w:tcW w:w="180" w:type="dxa"/>
            <w:vAlign w:val="bottom"/>
            <w:tcBorders>
              <w:top w:val="single" w:sz="8" w:color="auto"/>
              <w:right w:val="single" w:sz="8" w:color="auto"/>
            </w:tcBorders>
          </w:tcPr>
          <w:p>
            <w:pPr>
              <w:spacing w:after="0"/>
              <w:rPr>
                <w:sz w:val="18"/>
                <w:szCs w:val="18"/>
                <w:color w:val="auto"/>
              </w:rPr>
            </w:pPr>
          </w:p>
        </w:tc>
        <w:tc>
          <w:tcPr>
            <w:tcW w:w="200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 Contract ID Code</w:t>
            </w: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Page  </w:t>
            </w:r>
            <w:r>
              <w:rPr>
                <w:rFonts w:ascii="Courier New" w:cs="Courier New" w:eastAsia="Courier New" w:hAnsi="Courier New"/>
                <w:sz w:val="12"/>
                <w:szCs w:val="12"/>
                <w:color w:val="auto"/>
              </w:rPr>
              <w:t>1</w:t>
            </w:r>
          </w:p>
        </w:tc>
        <w:tc>
          <w:tcPr>
            <w:tcW w:w="11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Of </w:t>
            </w:r>
            <w:r>
              <w:rPr>
                <w:rFonts w:ascii="Courier New" w:cs="Courier New" w:eastAsia="Courier New" w:hAnsi="Courier New"/>
                <w:sz w:val="12"/>
                <w:szCs w:val="12"/>
                <w:color w:val="auto"/>
              </w:rPr>
              <w:t>7</w:t>
            </w:r>
          </w:p>
        </w:tc>
        <w:tc>
          <w:tcPr>
            <w:tcW w:w="0" w:type="dxa"/>
            <w:vAlign w:val="bottom"/>
          </w:tcPr>
          <w:p>
            <w:pPr>
              <w:spacing w:after="0"/>
              <w:rPr>
                <w:sz w:val="1"/>
                <w:szCs w:val="1"/>
                <w:color w:val="auto"/>
              </w:rPr>
            </w:pPr>
          </w:p>
        </w:tc>
      </w:tr>
      <w:tr>
        <w:trPr>
          <w:trHeight w:val="117"/>
        </w:trPr>
        <w:tc>
          <w:tcPr>
            <w:tcW w:w="6940" w:type="dxa"/>
            <w:vAlign w:val="bottom"/>
            <w:gridSpan w:val="6"/>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000" w:type="dxa"/>
            <w:vAlign w:val="bottom"/>
            <w:tcBorders>
              <w:right w:val="single" w:sz="8" w:color="auto"/>
            </w:tcBorders>
            <w:gridSpan w:val="2"/>
            <w:vMerge w:val="restart"/>
          </w:tcPr>
          <w:p>
            <w:pPr>
              <w:ind w:left="60"/>
              <w:spacing w:after="0"/>
              <w:rPr>
                <w:sz w:val="20"/>
                <w:szCs w:val="20"/>
                <w:color w:val="auto"/>
              </w:rPr>
            </w:pPr>
            <w:r>
              <w:rPr>
                <w:rFonts w:ascii="Courier New" w:cs="Courier New" w:eastAsia="Courier New" w:hAnsi="Courier New"/>
                <w:sz w:val="12"/>
                <w:szCs w:val="12"/>
                <w:color w:val="auto"/>
              </w:rPr>
              <w:t>Firm Fixed Price</w:t>
            </w: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8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right w:val="single" w:sz="8" w:color="auto"/>
            </w:tcBorders>
            <w:gridSpan w:val="2"/>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1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 Amendment/Modification No.</w:t>
            </w:r>
          </w:p>
        </w:tc>
        <w:tc>
          <w:tcPr>
            <w:tcW w:w="1840" w:type="dxa"/>
            <w:vAlign w:val="bottom"/>
            <w:tcBorders>
              <w:right w:val="single" w:sz="8" w:color="auto"/>
            </w:tcBorders>
            <w:gridSpan w:val="2"/>
          </w:tcPr>
          <w:p>
            <w:pPr>
              <w:jc w:val="center"/>
              <w:ind w:right="578"/>
              <w:spacing w:after="0"/>
              <w:rPr>
                <w:sz w:val="20"/>
                <w:szCs w:val="20"/>
                <w:color w:val="auto"/>
              </w:rPr>
            </w:pPr>
            <w:r>
              <w:rPr>
                <w:rFonts w:ascii="Times New Roman" w:cs="Times New Roman" w:eastAsia="Times New Roman" w:hAnsi="Times New Roman"/>
                <w:sz w:val="14"/>
                <w:szCs w:val="14"/>
                <w:b w:val="1"/>
                <w:bCs w:val="1"/>
                <w:color w:val="auto"/>
              </w:rPr>
              <w:t>3. Effective Date</w:t>
            </w:r>
          </w:p>
        </w:tc>
        <w:tc>
          <w:tcPr>
            <w:tcW w:w="30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4. Requisition/Purchase Req No.</w:t>
            </w:r>
          </w:p>
        </w:tc>
        <w:tc>
          <w:tcPr>
            <w:tcW w:w="28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5. Project No. (If applicable)</w:t>
            </w:r>
          </w:p>
        </w:tc>
        <w:tc>
          <w:tcPr>
            <w:tcW w:w="0" w:type="dxa"/>
            <w:vAlign w:val="bottom"/>
          </w:tcPr>
          <w:p>
            <w:pPr>
              <w:spacing w:after="0"/>
              <w:rPr>
                <w:sz w:val="1"/>
                <w:szCs w:val="1"/>
                <w:color w:val="auto"/>
              </w:rPr>
            </w:pPr>
          </w:p>
        </w:tc>
      </w:tr>
      <w:tr>
        <w:trPr>
          <w:trHeight w:val="386"/>
        </w:trPr>
        <w:tc>
          <w:tcPr>
            <w:tcW w:w="1800" w:type="dxa"/>
            <w:vAlign w:val="bottom"/>
            <w:tcBorders>
              <w:bottom w:val="single" w:sz="8" w:color="auto"/>
            </w:tcBorders>
          </w:tcPr>
          <w:p>
            <w:pPr>
              <w:ind w:left="800"/>
              <w:spacing w:after="0"/>
              <w:rPr>
                <w:sz w:val="20"/>
                <w:szCs w:val="20"/>
                <w:color w:val="auto"/>
              </w:rPr>
            </w:pPr>
            <w:r>
              <w:rPr>
                <w:rFonts w:ascii="Courier New" w:cs="Courier New" w:eastAsia="Courier New" w:hAnsi="Courier New"/>
                <w:sz w:val="12"/>
                <w:szCs w:val="12"/>
                <w:color w:val="auto"/>
              </w:rPr>
              <w:t>P00001</w:t>
            </w:r>
          </w:p>
        </w:tc>
        <w:tc>
          <w:tcPr>
            <w:tcW w:w="13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gridSpan w:val="2"/>
          </w:tcPr>
          <w:p>
            <w:pPr>
              <w:ind w:left="580"/>
              <w:spacing w:after="0"/>
              <w:rPr>
                <w:sz w:val="20"/>
                <w:szCs w:val="20"/>
                <w:color w:val="auto"/>
              </w:rPr>
            </w:pPr>
            <w:r>
              <w:rPr>
                <w:rFonts w:ascii="Courier New" w:cs="Courier New" w:eastAsia="Courier New" w:hAnsi="Courier New"/>
                <w:sz w:val="12"/>
                <w:szCs w:val="12"/>
                <w:color w:val="auto"/>
              </w:rPr>
              <w:t>2021MAR09</w:t>
            </w:r>
          </w:p>
        </w:tc>
        <w:tc>
          <w:tcPr>
            <w:tcW w:w="1960" w:type="dxa"/>
            <w:vAlign w:val="bottom"/>
            <w:tcBorders>
              <w:bottom w:val="single" w:sz="8" w:color="auto"/>
            </w:tcBorders>
            <w:gridSpan w:val="2"/>
          </w:tcPr>
          <w:p>
            <w:pPr>
              <w:ind w:left="760"/>
              <w:spacing w:after="0"/>
              <w:rPr>
                <w:sz w:val="20"/>
                <w:szCs w:val="20"/>
                <w:color w:val="auto"/>
              </w:rPr>
            </w:pPr>
            <w:r>
              <w:rPr>
                <w:rFonts w:ascii="Courier New" w:cs="Courier New" w:eastAsia="Courier New" w:hAnsi="Courier New"/>
                <w:sz w:val="12"/>
                <w:szCs w:val="12"/>
                <w:color w:val="auto"/>
              </w:rPr>
              <w:t>SEE SCHEDULE</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6. Issued By</w:t>
            </w:r>
          </w:p>
        </w:tc>
        <w:tc>
          <w:tcPr>
            <w:tcW w:w="1340" w:type="dxa"/>
            <w:vAlign w:val="bottom"/>
          </w:tcPr>
          <w:p>
            <w:pPr>
              <w:spacing w:after="0"/>
              <w:rPr>
                <w:sz w:val="17"/>
                <w:szCs w:val="17"/>
                <w:color w:val="auto"/>
              </w:rPr>
            </w:pPr>
          </w:p>
        </w:tc>
        <w:tc>
          <w:tcPr>
            <w:tcW w:w="880" w:type="dxa"/>
            <w:vAlign w:val="bottom"/>
            <w:tcBorders>
              <w:right w:val="single" w:sz="8" w:color="auto"/>
            </w:tcBorders>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w w:val="96"/>
              </w:rPr>
              <w:t>Code</w:t>
            </w:r>
          </w:p>
        </w:tc>
        <w:tc>
          <w:tcPr>
            <w:tcW w:w="960" w:type="dxa"/>
            <w:vAlign w:val="bottom"/>
            <w:tcBorders>
              <w:bottom w:val="single" w:sz="8" w:color="auto"/>
              <w:right w:val="single" w:sz="8" w:color="auto"/>
            </w:tcBorders>
          </w:tcPr>
          <w:p>
            <w:pPr>
              <w:ind w:left="140"/>
              <w:spacing w:after="0"/>
              <w:rPr>
                <w:sz w:val="20"/>
                <w:szCs w:val="20"/>
                <w:color w:val="auto"/>
              </w:rPr>
            </w:pPr>
            <w:r>
              <w:rPr>
                <w:rFonts w:ascii="Courier New" w:cs="Courier New" w:eastAsia="Courier New" w:hAnsi="Courier New"/>
                <w:sz w:val="12"/>
                <w:szCs w:val="12"/>
                <w:color w:val="auto"/>
              </w:rPr>
              <w:t>W15QKN</w:t>
            </w:r>
          </w:p>
        </w:tc>
        <w:tc>
          <w:tcPr>
            <w:tcW w:w="30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7. Administered By (If other than Item 6)</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Code</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140" w:type="dxa"/>
            <w:vAlign w:val="bottom"/>
            <w:gridSpan w:val="2"/>
          </w:tcPr>
          <w:p>
            <w:pPr>
              <w:ind w:left="360"/>
              <w:spacing w:after="0"/>
              <w:rPr>
                <w:sz w:val="20"/>
                <w:szCs w:val="20"/>
                <w:color w:val="auto"/>
              </w:rPr>
            </w:pPr>
            <w:r>
              <w:rPr>
                <w:rFonts w:ascii="Courier New" w:cs="Courier New" w:eastAsia="Courier New" w:hAnsi="Courier New"/>
                <w:sz w:val="12"/>
                <w:szCs w:val="12"/>
                <w:color w:val="auto"/>
              </w:rPr>
              <w:t>ARMY CONTRACTING COMMAND - NJ</w:t>
            </w:r>
          </w:p>
        </w:tc>
        <w:tc>
          <w:tcPr>
            <w:tcW w:w="88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40" w:type="dxa"/>
            <w:vAlign w:val="bottom"/>
            <w:gridSpan w:val="2"/>
          </w:tcPr>
          <w:p>
            <w:pPr>
              <w:ind w:left="360"/>
              <w:spacing w:after="0"/>
              <w:rPr>
                <w:sz w:val="20"/>
                <w:szCs w:val="20"/>
                <w:color w:val="auto"/>
              </w:rPr>
            </w:pPr>
            <w:r>
              <w:rPr>
                <w:rFonts w:ascii="Courier New" w:cs="Courier New" w:eastAsia="Courier New" w:hAnsi="Courier New"/>
                <w:sz w:val="12"/>
                <w:szCs w:val="12"/>
                <w:color w:val="auto"/>
              </w:rPr>
              <w:t>PICATINNY ARSENAL, NJ 07806-5000</w:t>
            </w:r>
          </w:p>
        </w:tc>
        <w:tc>
          <w:tcPr>
            <w:tcW w:w="8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5"/>
        </w:trPr>
        <w:tc>
          <w:tcPr>
            <w:tcW w:w="1800" w:type="dxa"/>
            <w:vAlign w:val="bottom"/>
            <w:tcBorders>
              <w:bottom w:val="single" w:sz="8" w:color="auto"/>
            </w:tcBorders>
          </w:tcPr>
          <w:p>
            <w:pPr>
              <w:ind w:left="360"/>
              <w:spacing w:after="0"/>
              <w:rPr>
                <w:sz w:val="20"/>
                <w:szCs w:val="20"/>
                <w:color w:val="auto"/>
              </w:rPr>
            </w:pPr>
            <w:r>
              <w:rPr>
                <w:rFonts w:ascii="Courier New" w:cs="Courier New" w:eastAsia="Courier New" w:hAnsi="Courier New"/>
                <w:sz w:val="12"/>
                <w:szCs w:val="12"/>
                <w:color w:val="auto"/>
              </w:rPr>
              <w:t>EMAIL:</w:t>
            </w:r>
          </w:p>
        </w:tc>
        <w:tc>
          <w:tcPr>
            <w:tcW w:w="1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4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8. Name And Address Of Contractor (No., Street, City, County, State and Zip Code)</w:t>
            </w:r>
          </w:p>
        </w:tc>
        <w:tc>
          <w:tcPr>
            <w:tcW w:w="480" w:type="dxa"/>
            <w:vAlign w:val="bottom"/>
            <w:tcBorders>
              <w:right w:val="single" w:sz="8" w:color="auto"/>
            </w:tcBorders>
          </w:tcPr>
          <w:p>
            <w:pPr>
              <w:spacing w:after="0"/>
              <w:rPr>
                <w:sz w:val="15"/>
                <w:szCs w:val="15"/>
                <w:color w:val="auto"/>
              </w:rPr>
            </w:pPr>
          </w:p>
        </w:tc>
        <w:tc>
          <w:tcPr>
            <w:tcW w:w="22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9A. Amendment Of Solicitation No.</w:t>
            </w: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3140" w:type="dxa"/>
            <w:vAlign w:val="bottom"/>
            <w:gridSpan w:val="2"/>
          </w:tcPr>
          <w:p>
            <w:pPr>
              <w:ind w:left="400"/>
              <w:spacing w:after="0"/>
              <w:rPr>
                <w:sz w:val="20"/>
                <w:szCs w:val="20"/>
                <w:color w:val="auto"/>
              </w:rPr>
            </w:pPr>
            <w:r>
              <w:rPr>
                <w:rFonts w:ascii="Courier New" w:cs="Courier New" w:eastAsia="Courier New" w:hAnsi="Courier New"/>
                <w:sz w:val="12"/>
                <w:szCs w:val="12"/>
                <w:color w:val="auto"/>
              </w:rPr>
              <w:t>REGENERON PHARMACEUTICALS, INC.</w:t>
            </w: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480" w:type="dxa"/>
            <w:vAlign w:val="bottom"/>
            <w:tcBorders>
              <w:right w:val="single" w:sz="8" w:color="auto"/>
            </w:tcBorders>
          </w:tcPr>
          <w:p>
            <w:pPr>
              <w:ind w:left="120"/>
              <w:spacing w:after="0" w:line="201" w:lineRule="exact"/>
              <w:rPr>
                <w:sz w:val="20"/>
                <w:szCs w:val="20"/>
                <w:color w:val="auto"/>
              </w:rPr>
            </w:pPr>
            <w:r>
              <w:rPr>
                <w:rFonts w:ascii="MS PGothic" w:cs="MS PGothic" w:eastAsia="MS PGothic" w:hAnsi="MS PGothic"/>
                <w:sz w:val="20"/>
                <w:szCs w:val="20"/>
                <w:color w:val="auto"/>
              </w:rPr>
              <w:t>☐</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3140" w:type="dxa"/>
            <w:vAlign w:val="bottom"/>
            <w:gridSpan w:val="2"/>
            <w:vMerge w:val="restart"/>
          </w:tcPr>
          <w:p>
            <w:pPr>
              <w:ind w:left="400"/>
              <w:spacing w:after="0"/>
              <w:rPr>
                <w:sz w:val="20"/>
                <w:szCs w:val="20"/>
                <w:color w:val="auto"/>
              </w:rPr>
            </w:pPr>
            <w:r>
              <w:rPr>
                <w:rFonts w:ascii="Courier New" w:cs="Courier New" w:eastAsia="Courier New" w:hAnsi="Courier New"/>
                <w:sz w:val="12"/>
                <w:szCs w:val="12"/>
                <w:color w:val="auto"/>
              </w:rPr>
              <w:t>777 OLD SAW MILL RIVER RD</w:t>
            </w:r>
          </w:p>
        </w:tc>
        <w:tc>
          <w:tcPr>
            <w:tcW w:w="8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80" w:type="dxa"/>
            <w:vAlign w:val="bottom"/>
            <w:tcBorders>
              <w:right w:val="single" w:sz="8" w:color="auto"/>
            </w:tcBorders>
          </w:tcPr>
          <w:p>
            <w:pPr>
              <w:spacing w:after="0"/>
              <w:rPr>
                <w:sz w:val="6"/>
                <w:szCs w:val="6"/>
                <w:color w:val="auto"/>
              </w:rPr>
            </w:pPr>
          </w:p>
        </w:tc>
        <w:tc>
          <w:tcPr>
            <w:tcW w:w="480" w:type="dxa"/>
            <w:vAlign w:val="bottom"/>
            <w:tcBorders>
              <w:bottom w:val="single" w:sz="8" w:color="auto"/>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314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3140" w:type="dxa"/>
            <w:vAlign w:val="bottom"/>
            <w:gridSpan w:val="2"/>
          </w:tcPr>
          <w:p>
            <w:pPr>
              <w:ind w:left="400"/>
              <w:spacing w:after="0" w:line="106" w:lineRule="exact"/>
              <w:rPr>
                <w:sz w:val="20"/>
                <w:szCs w:val="20"/>
                <w:color w:val="auto"/>
              </w:rPr>
            </w:pPr>
            <w:r>
              <w:rPr>
                <w:rFonts w:ascii="Courier New" w:cs="Courier New" w:eastAsia="Courier New" w:hAnsi="Courier New"/>
                <w:sz w:val="12"/>
                <w:szCs w:val="12"/>
                <w:color w:val="auto"/>
              </w:rPr>
              <w:t>TARRYTOWN, NY 10591-6717</w:t>
            </w: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22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9B. Dated (See Item 11)</w:t>
            </w: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vMerge w:val="restart"/>
          </w:tcPr>
          <w:p>
            <w:pPr>
              <w:spacing w:after="0" w:line="201" w:lineRule="exact"/>
              <w:rPr>
                <w:sz w:val="20"/>
                <w:szCs w:val="20"/>
                <w:color w:val="auto"/>
              </w:rPr>
            </w:pPr>
            <w:r>
              <w:rPr>
                <w:rFonts w:ascii="MS PGothic" w:cs="MS PGothic" w:eastAsia="MS PGothic" w:hAnsi="MS PGothic"/>
                <w:sz w:val="20"/>
                <w:szCs w:val="20"/>
                <w:color w:val="auto"/>
              </w:rPr>
              <w:t>☒</w:t>
            </w:r>
          </w:p>
        </w:tc>
        <w:tc>
          <w:tcPr>
            <w:tcW w:w="28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10A. Modification Of Contract/Order No.</w:t>
            </w: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480" w:type="dxa"/>
            <w:vAlign w:val="bottom"/>
            <w:tcBorders>
              <w:right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280" w:type="dxa"/>
            <w:vAlign w:val="bottom"/>
            <w:gridSpan w:val="4"/>
            <w:vMerge w:val="restart"/>
          </w:tcPr>
          <w:p>
            <w:pPr>
              <w:ind w:left="120"/>
              <w:spacing w:after="0"/>
              <w:rPr>
                <w:sz w:val="20"/>
                <w:szCs w:val="20"/>
                <w:color w:val="auto"/>
              </w:rPr>
            </w:pPr>
            <w:r>
              <w:rPr>
                <w:rFonts w:ascii="Courier New" w:cs="Courier New" w:eastAsia="Courier New" w:hAnsi="Courier New"/>
                <w:sz w:val="12"/>
                <w:szCs w:val="12"/>
                <w:color w:val="auto"/>
              </w:rPr>
              <w:t>W15QKN-21-C-0014</w:t>
            </w: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2280" w:type="dxa"/>
            <w:vAlign w:val="bottom"/>
            <w:tcBorders>
              <w:bottom w:val="single" w:sz="8" w:color="auto"/>
            </w:tcBorders>
            <w:gridSpan w:val="4"/>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18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280" w:type="dxa"/>
            <w:vAlign w:val="bottom"/>
            <w:gridSpan w:val="4"/>
          </w:tcPr>
          <w:p>
            <w:pPr>
              <w:ind w:left="100"/>
              <w:spacing w:after="0" w:line="154" w:lineRule="exact"/>
              <w:rPr>
                <w:sz w:val="20"/>
                <w:szCs w:val="20"/>
                <w:color w:val="auto"/>
              </w:rPr>
            </w:pPr>
            <w:r>
              <w:rPr>
                <w:rFonts w:ascii="Times New Roman" w:cs="Times New Roman" w:eastAsia="Times New Roman" w:hAnsi="Times New Roman"/>
                <w:sz w:val="14"/>
                <w:szCs w:val="14"/>
                <w:b w:val="1"/>
                <w:bCs w:val="1"/>
                <w:color w:val="auto"/>
              </w:rPr>
              <w:t>10B. Dated (See Item 13)</w:t>
            </w: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Code </w:t>
            </w:r>
            <w:r>
              <w:rPr>
                <w:rFonts w:ascii="Courier New" w:cs="Courier New" w:eastAsia="Courier New" w:hAnsi="Courier New"/>
                <w:sz w:val="12"/>
                <w:szCs w:val="12"/>
                <w:color w:val="auto"/>
              </w:rPr>
              <w:t>544P9</w:t>
            </w:r>
          </w:p>
        </w:tc>
        <w:tc>
          <w:tcPr>
            <w:tcW w:w="1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Facility Code</w:t>
            </w:r>
          </w:p>
        </w:tc>
        <w:tc>
          <w:tcPr>
            <w:tcW w:w="8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20"/>
              <w:spacing w:after="0"/>
              <w:rPr>
                <w:sz w:val="20"/>
                <w:szCs w:val="20"/>
                <w:color w:val="auto"/>
              </w:rPr>
            </w:pPr>
            <w:r>
              <w:rPr>
                <w:rFonts w:ascii="Courier New" w:cs="Courier New" w:eastAsia="Courier New" w:hAnsi="Courier New"/>
                <w:sz w:val="12"/>
                <w:szCs w:val="12"/>
                <w:color w:val="auto"/>
              </w:rPr>
              <w:t>2021JAN12</w:t>
            </w: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jc w:val="center"/>
        <w:ind w:right="171"/>
        <w:spacing w:after="0"/>
        <w:rPr>
          <w:sz w:val="20"/>
          <w:szCs w:val="20"/>
          <w:color w:val="auto"/>
        </w:rPr>
      </w:pPr>
      <w:r>
        <w:rPr>
          <w:rFonts w:ascii="Times New Roman" w:cs="Times New Roman" w:eastAsia="Times New Roman" w:hAnsi="Times New Roman"/>
          <w:sz w:val="13"/>
          <w:szCs w:val="13"/>
          <w:b w:val="1"/>
          <w:bCs w:val="1"/>
          <w:color w:val="464646"/>
        </w:rPr>
        <w:t>11. THIS ITEM ONLY APPLIES TO AMENDMENTS OF SOLICITATIONS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69126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12610" cy="8255"/>
                    </a:xfrm>
                    <a:prstGeom prst="rect">
                      <a:avLst/>
                    </a:prstGeom>
                    <a:noFill/>
                  </pic:spPr>
                </pic:pic>
              </a:graphicData>
            </a:graphic>
          </wp:anchor>
        </w:drawing>
      </w:r>
    </w:p>
    <w:p>
      <w:pPr>
        <w:spacing w:after="0" w:line="88" w:lineRule="exact"/>
        <w:rPr>
          <w:sz w:val="20"/>
          <w:szCs w:val="20"/>
          <w:color w:val="auto"/>
        </w:rPr>
      </w:pPr>
    </w:p>
    <w:p>
      <w:pPr>
        <w:ind w:left="289" w:hanging="289"/>
        <w:spacing w:after="0"/>
        <w:tabs>
          <w:tab w:leader="none" w:pos="289" w:val="left"/>
        </w:tabs>
        <w:numPr>
          <w:ilvl w:val="0"/>
          <w:numId w:val="98"/>
        </w:numPr>
        <w:rPr>
          <w:rFonts w:ascii="MS PGothic" w:cs="MS PGothic" w:eastAsia="MS PGothic" w:hAnsi="MS PGothic"/>
          <w:sz w:val="20"/>
          <w:szCs w:val="20"/>
          <w:color w:val="auto"/>
        </w:rPr>
      </w:pPr>
      <w:r>
        <w:rPr>
          <w:rFonts w:ascii="Times New Roman" w:cs="Times New Roman" w:eastAsia="Times New Roman" w:hAnsi="Times New Roman"/>
          <w:sz w:val="14"/>
          <w:szCs w:val="14"/>
          <w:b w:val="1"/>
          <w:bCs w:val="1"/>
          <w:color w:val="auto"/>
        </w:rPr>
        <w:t>The above numbered solicitation is amended as set forth in item 14. The hour and date specified for receipt of Offers</w:t>
      </w:r>
    </w:p>
    <w:p>
      <w:pPr>
        <w:ind w:left="289"/>
        <w:spacing w:after="0" w:line="219" w:lineRule="exact"/>
        <w:tabs>
          <w:tab w:leader="none" w:pos="568" w:val="left"/>
          <w:tab w:leader="none" w:pos="1608" w:val="left"/>
        </w:tabs>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4"/>
          <w:szCs w:val="14"/>
          <w:b w:val="1"/>
          <w:bCs w:val="1"/>
          <w:color w:val="auto"/>
        </w:rPr>
        <w:tab/>
        <w:t xml:space="preserve">is extended, </w:t>
      </w:r>
      <w:r>
        <w:rPr>
          <w:rFonts w:ascii="MS PGothic" w:cs="MS PGothic" w:eastAsia="MS PGothic" w:hAnsi="MS PGothic"/>
          <w:sz w:val="19"/>
          <w:szCs w:val="19"/>
          <w:color w:val="auto"/>
        </w:rPr>
        <w:t>☐</w:t>
      </w:r>
      <w:r>
        <w:rPr>
          <w:rFonts w:ascii="Times New Roman" w:cs="Times New Roman" w:eastAsia="Times New Roman" w:hAnsi="Times New Roman"/>
          <w:sz w:val="14"/>
          <w:szCs w:val="14"/>
          <w:b w:val="1"/>
          <w:bCs w:val="1"/>
          <w:color w:val="auto"/>
        </w:rPr>
        <w:tab/>
        <w:t>is not extended.</w:t>
      </w:r>
    </w:p>
    <w:p>
      <w:pPr>
        <w:spacing w:after="0" w:line="10" w:lineRule="exact"/>
        <w:rPr>
          <w:sz w:val="20"/>
          <w:szCs w:val="20"/>
          <w:color w:val="auto"/>
        </w:rPr>
      </w:pPr>
    </w:p>
    <w:p>
      <w:pPr>
        <w:ind w:left="249"/>
        <w:spacing w:after="0"/>
        <w:rPr>
          <w:sz w:val="20"/>
          <w:szCs w:val="20"/>
          <w:color w:val="auto"/>
        </w:rPr>
      </w:pPr>
      <w:r>
        <w:rPr>
          <w:rFonts w:ascii="Times New Roman" w:cs="Times New Roman" w:eastAsia="Times New Roman" w:hAnsi="Times New Roman"/>
          <w:sz w:val="14"/>
          <w:szCs w:val="14"/>
          <w:b w:val="1"/>
          <w:bCs w:val="1"/>
          <w:color w:val="auto"/>
        </w:rPr>
        <w:t>Offers must acknowledge receipt of this amendment prior to the hour and date specified in the solicitation or as amended by one of the following methods:</w:t>
      </w:r>
    </w:p>
    <w:p>
      <w:pPr>
        <w:ind w:left="249"/>
        <w:spacing w:after="0" w:line="219" w:lineRule="auto"/>
        <w:tabs>
          <w:tab w:leader="none" w:pos="4148" w:val="left"/>
        </w:tabs>
        <w:rPr>
          <w:sz w:val="20"/>
          <w:szCs w:val="20"/>
          <w:color w:val="auto"/>
        </w:rPr>
      </w:pPr>
      <w:r>
        <w:rPr>
          <w:rFonts w:ascii="Times New Roman" w:cs="Times New Roman" w:eastAsia="Times New Roman" w:hAnsi="Times New Roman"/>
          <w:sz w:val="14"/>
          <w:szCs w:val="14"/>
          <w:b w:val="1"/>
          <w:bCs w:val="1"/>
          <w:color w:val="auto"/>
        </w:rPr>
        <w:t>(a) By completing items 8 and 15, and returning ___________</w:t>
        <w:tab/>
        <w:t>copies of the amendments: (b) By acknowledging receipt of this amendment on each copy of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2530475</wp:posOffset>
            </wp:positionH>
            <wp:positionV relativeFrom="paragraph">
              <wp:posOffset>-3810</wp:posOffset>
            </wp:positionV>
            <wp:extent cx="908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0805" cy="8255"/>
                    </a:xfrm>
                    <a:prstGeom prst="rect">
                      <a:avLst/>
                    </a:prstGeom>
                    <a:noFill/>
                  </pic:spPr>
                </pic:pic>
              </a:graphicData>
            </a:graphic>
          </wp:anchor>
        </w:drawing>
      </w:r>
    </w:p>
    <w:p>
      <w:pPr>
        <w:ind w:left="249" w:right="680"/>
        <w:spacing w:after="0" w:line="219" w:lineRule="auto"/>
        <w:rPr>
          <w:sz w:val="20"/>
          <w:szCs w:val="20"/>
          <w:color w:val="auto"/>
        </w:rPr>
      </w:pPr>
      <w:r>
        <w:rPr>
          <w:rFonts w:ascii="Times New Roman" w:cs="Times New Roman" w:eastAsia="Times New Roman" w:hAnsi="Times New Roman"/>
          <w:sz w:val="14"/>
          <w:szCs w:val="14"/>
          <w:b w:val="1"/>
          <w:bCs w:val="1"/>
          <w:color w:val="auto"/>
        </w:rPr>
        <w:t>submitted; or (c) By separate letter or telegram which includes a reference to the solicitation and amendment numbers. FAILURE OF YOUR ACKNOWLEDGMENT TO BE RECEIVED AT THE PLACE DESIGNATED FOR THE RECEIPT OF OFFERS PRIOR TO THE HOUR AND DATE</w:t>
      </w:r>
    </w:p>
    <w:p>
      <w:pPr>
        <w:jc w:val="both"/>
        <w:ind w:left="249" w:right="360"/>
        <w:spacing w:after="0" w:line="260" w:lineRule="auto"/>
        <w:rPr>
          <w:sz w:val="20"/>
          <w:szCs w:val="20"/>
          <w:color w:val="auto"/>
        </w:rPr>
      </w:pPr>
      <w:r>
        <w:rPr>
          <w:rFonts w:ascii="Times New Roman" w:cs="Times New Roman" w:eastAsia="Times New Roman" w:hAnsi="Times New Roman"/>
          <w:sz w:val="14"/>
          <w:szCs w:val="14"/>
          <w:b w:val="1"/>
          <w:bCs w:val="1"/>
          <w:color w:val="auto"/>
        </w:rPr>
        <w:t>SPECIFIED MAY RESULT IN REJECTION OF YOUR OFFER. If by virtue of this amendment you desire to change an offer already submitted, such change may be made by telegram or letter, provided each telegram or letter makes reference to the solicitation and this amendment, and is received prior to the opening hour and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266700</wp:posOffset>
            </wp:positionV>
            <wp:extent cx="68110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229" w:hanging="211"/>
        <w:spacing w:after="0"/>
        <w:tabs>
          <w:tab w:leader="none" w:pos="229" w:val="left"/>
        </w:tabs>
        <w:numPr>
          <w:ilvl w:val="0"/>
          <w:numId w:val="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Accounting And Appropriation Data (If required)</w:t>
      </w:r>
    </w:p>
    <w:p>
      <w:pPr>
        <w:spacing w:after="0" w:line="45" w:lineRule="exact"/>
        <w:rPr>
          <w:rFonts w:ascii="Times New Roman" w:cs="Times New Roman" w:eastAsia="Times New Roman" w:hAnsi="Times New Roman"/>
          <w:sz w:val="14"/>
          <w:szCs w:val="14"/>
          <w:b w:val="1"/>
          <w:bCs w:val="1"/>
          <w:color w:val="auto"/>
        </w:rPr>
      </w:pPr>
    </w:p>
    <w:p>
      <w:pPr>
        <w:ind w:left="169"/>
        <w:spacing w:after="0"/>
        <w:rPr>
          <w:rFonts w:ascii="Times New Roman" w:cs="Times New Roman" w:eastAsia="Times New Roman" w:hAnsi="Times New Roman"/>
          <w:sz w:val="14"/>
          <w:szCs w:val="14"/>
          <w:b w:val="1"/>
          <w:bCs w:val="1"/>
          <w:color w:val="auto"/>
        </w:rPr>
      </w:pPr>
      <w:r>
        <w:rPr>
          <w:rFonts w:ascii="Courier New" w:cs="Courier New" w:eastAsia="Courier New" w:hAnsi="Courier New"/>
          <w:sz w:val="12"/>
          <w:szCs w:val="12"/>
          <w:color w:val="auto"/>
        </w:rPr>
        <w:t>NO CHANGE TO OBLIGATION DATA</w:t>
      </w:r>
    </w:p>
    <w:p>
      <w:pPr>
        <w:spacing w:after="0" w:line="93" w:lineRule="exact"/>
        <w:rPr>
          <w:rFonts w:ascii="Times New Roman" w:cs="Times New Roman" w:eastAsia="Times New Roman" w:hAnsi="Times New Roman"/>
          <w:sz w:val="14"/>
          <w:szCs w:val="14"/>
          <w:b w:val="1"/>
          <w:bCs w:val="1"/>
          <w:color w:val="auto"/>
        </w:rPr>
      </w:pPr>
    </w:p>
    <w:p>
      <w:pPr>
        <w:ind w:left="3569" w:right="3820" w:hanging="1300"/>
        <w:spacing w:after="0" w:line="243" w:lineRule="auto"/>
        <w:tabs>
          <w:tab w:leader="none" w:pos="2471" w:val="left"/>
        </w:tabs>
        <w:numPr>
          <w:ilvl w:val="2"/>
          <w:numId w:val="99"/>
        </w:numPr>
        <w:rPr>
          <w:rFonts w:ascii="Times New Roman" w:cs="Times New Roman" w:eastAsia="Times New Roman" w:hAnsi="Times New Roman"/>
          <w:sz w:val="13"/>
          <w:szCs w:val="13"/>
          <w:b w:val="1"/>
          <w:bCs w:val="1"/>
          <w:color w:val="464646"/>
        </w:rPr>
      </w:pPr>
      <w:r>
        <w:rPr>
          <w:rFonts w:ascii="Times New Roman" w:cs="Times New Roman" w:eastAsia="Times New Roman" w:hAnsi="Times New Roman"/>
          <w:sz w:val="13"/>
          <w:szCs w:val="13"/>
          <w:b w:val="1"/>
          <w:bCs w:val="1"/>
          <w:color w:val="464646"/>
        </w:rPr>
        <w:t xml:space="preserve">THIS ITEM </w:t>
      </w:r>
      <w:r>
        <w:rPr>
          <w:rFonts w:ascii="Times New Roman" w:cs="Times New Roman" w:eastAsia="Times New Roman" w:hAnsi="Times New Roman"/>
          <w:sz w:val="13"/>
          <w:szCs w:val="13"/>
          <w:b w:val="1"/>
          <w:bCs w:val="1"/>
          <w:color w:val="363636"/>
        </w:rPr>
        <w:t>ONLY APPLIES</w:t>
      </w:r>
      <w:r>
        <w:rPr>
          <w:rFonts w:ascii="Times New Roman" w:cs="Times New Roman" w:eastAsia="Times New Roman" w:hAnsi="Times New Roman"/>
          <w:sz w:val="13"/>
          <w:szCs w:val="13"/>
          <w:b w:val="1"/>
          <w:bCs w:val="1"/>
          <w:color w:val="464646"/>
        </w:rPr>
        <w:t xml:space="preserve"> TO MODIFICATIONS </w:t>
      </w:r>
      <w:r>
        <w:rPr>
          <w:rFonts w:ascii="Times New Roman" w:cs="Times New Roman" w:eastAsia="Times New Roman" w:hAnsi="Times New Roman"/>
          <w:sz w:val="13"/>
          <w:szCs w:val="13"/>
          <w:b w:val="1"/>
          <w:bCs w:val="1"/>
          <w:color w:val="363636"/>
        </w:rPr>
        <w:t>OF CONTRACTS/ORDERS</w:t>
      </w:r>
      <w:r>
        <w:rPr>
          <w:rFonts w:ascii="Times New Roman" w:cs="Times New Roman" w:eastAsia="Times New Roman" w:hAnsi="Times New Roman"/>
          <w:sz w:val="13"/>
          <w:szCs w:val="13"/>
          <w:b w:val="1"/>
          <w:bCs w:val="1"/>
          <w:color w:val="464646"/>
        </w:rPr>
        <w:t xml:space="preserve"> </w:t>
      </w:r>
      <w:r>
        <w:rPr>
          <w:rFonts w:ascii="Times New Roman" w:cs="Times New Roman" w:eastAsia="Times New Roman" w:hAnsi="Times New Roman"/>
          <w:sz w:val="14"/>
          <w:szCs w:val="14"/>
          <w:b w:val="1"/>
          <w:bCs w:val="1"/>
          <w:color w:val="464646"/>
        </w:rPr>
        <w:t xml:space="preserve">It </w:t>
      </w:r>
      <w:r>
        <w:rPr>
          <w:rFonts w:ascii="Times New Roman" w:cs="Times New Roman" w:eastAsia="Times New Roman" w:hAnsi="Times New Roman"/>
          <w:sz w:val="13"/>
          <w:szCs w:val="13"/>
          <w:b w:val="1"/>
          <w:bCs w:val="1"/>
          <w:color w:val="464646"/>
        </w:rPr>
        <w:t>Modifies</w:t>
      </w:r>
      <w:r>
        <w:rPr>
          <w:rFonts w:ascii="Times New Roman" w:cs="Times New Roman" w:eastAsia="Times New Roman" w:hAnsi="Times New Roman"/>
          <w:sz w:val="14"/>
          <w:szCs w:val="14"/>
          <w:b w:val="1"/>
          <w:bCs w:val="1"/>
          <w:color w:val="464646"/>
        </w:rPr>
        <w:t xml:space="preserve"> </w:t>
      </w:r>
      <w:r>
        <w:rPr>
          <w:rFonts w:ascii="Times New Roman" w:cs="Times New Roman" w:eastAsia="Times New Roman" w:hAnsi="Times New Roman"/>
          <w:sz w:val="13"/>
          <w:szCs w:val="13"/>
          <w:b w:val="1"/>
          <w:bCs w:val="1"/>
          <w:color w:val="363636"/>
        </w:rPr>
        <w:t>The Contract/Order</w:t>
      </w:r>
      <w:r>
        <w:rPr>
          <w:rFonts w:ascii="Times New Roman" w:cs="Times New Roman" w:eastAsia="Times New Roman" w:hAnsi="Times New Roman"/>
          <w:sz w:val="14"/>
          <w:szCs w:val="14"/>
          <w:b w:val="1"/>
          <w:bCs w:val="1"/>
          <w:color w:val="464646"/>
        </w:rPr>
        <w:t xml:space="preserve"> </w:t>
      </w:r>
      <w:r>
        <w:rPr>
          <w:rFonts w:ascii="Times New Roman" w:cs="Times New Roman" w:eastAsia="Times New Roman" w:hAnsi="Times New Roman"/>
          <w:sz w:val="13"/>
          <w:szCs w:val="13"/>
          <w:b w:val="1"/>
          <w:bCs w:val="1"/>
          <w:color w:val="464646"/>
        </w:rPr>
        <w:t>No. As</w:t>
      </w:r>
      <w:r>
        <w:rPr>
          <w:rFonts w:ascii="Times New Roman" w:cs="Times New Roman" w:eastAsia="Times New Roman" w:hAnsi="Times New Roman"/>
          <w:sz w:val="14"/>
          <w:szCs w:val="14"/>
          <w:b w:val="1"/>
          <w:bCs w:val="1"/>
          <w:color w:val="464646"/>
        </w:rPr>
        <w:t xml:space="preserve"> </w:t>
      </w:r>
      <w:r>
        <w:rPr>
          <w:rFonts w:ascii="Times New Roman" w:cs="Times New Roman" w:eastAsia="Times New Roman" w:hAnsi="Times New Roman"/>
          <w:sz w:val="13"/>
          <w:szCs w:val="13"/>
          <w:b w:val="1"/>
          <w:bCs w:val="1"/>
          <w:color w:val="363636"/>
        </w:rPr>
        <w:t>Described In</w:t>
      </w:r>
      <w:r>
        <w:rPr>
          <w:rFonts w:ascii="Times New Roman" w:cs="Times New Roman" w:eastAsia="Times New Roman" w:hAnsi="Times New Roman"/>
          <w:sz w:val="14"/>
          <w:szCs w:val="14"/>
          <w:b w:val="1"/>
          <w:bCs w:val="1"/>
          <w:color w:val="464646"/>
        </w:rPr>
        <w:t xml:space="preserve"> </w:t>
      </w:r>
      <w:r>
        <w:rPr>
          <w:rFonts w:ascii="Times New Roman" w:cs="Times New Roman" w:eastAsia="Times New Roman" w:hAnsi="Times New Roman"/>
          <w:sz w:val="13"/>
          <w:szCs w:val="13"/>
          <w:b w:val="1"/>
          <w:bCs w:val="1"/>
          <w:color w:val="464646"/>
        </w:rPr>
        <w:t>Item</w:t>
      </w:r>
      <w:r>
        <w:rPr>
          <w:rFonts w:ascii="Times New Roman" w:cs="Times New Roman" w:eastAsia="Times New Roman" w:hAnsi="Times New Roman"/>
          <w:sz w:val="14"/>
          <w:szCs w:val="14"/>
          <w:b w:val="1"/>
          <w:bCs w:val="1"/>
          <w:color w:val="464646"/>
        </w:rPr>
        <w:t xml:space="preserve"> </w:t>
      </w:r>
      <w:r>
        <w:rPr>
          <w:rFonts w:ascii="Times New Roman" w:cs="Times New Roman" w:eastAsia="Times New Roman" w:hAnsi="Times New Roman"/>
          <w:sz w:val="13"/>
          <w:szCs w:val="13"/>
          <w:b w:val="1"/>
          <w:bCs w:val="1"/>
          <w:color w:val="363636"/>
        </w:rPr>
        <w:t>14.</w:t>
      </w:r>
    </w:p>
    <w:p>
      <w:pPr>
        <w:spacing w:after="0" w:line="65" w:lineRule="exact"/>
        <w:rPr>
          <w:rFonts w:ascii="Times New Roman" w:cs="Times New Roman" w:eastAsia="Times New Roman" w:hAnsi="Times New Roman"/>
          <w:sz w:val="13"/>
          <w:szCs w:val="13"/>
          <w:b w:val="1"/>
          <w:bCs w:val="1"/>
          <w:color w:val="464646"/>
        </w:rPr>
      </w:pPr>
    </w:p>
    <w:p>
      <w:pPr>
        <w:ind w:left="769" w:hanging="181"/>
        <w:spacing w:after="0"/>
        <w:tabs>
          <w:tab w:leader="none" w:pos="769" w:val="left"/>
        </w:tabs>
        <w:numPr>
          <w:ilvl w:val="1"/>
          <w:numId w:val="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This Change Order is Issued Pursuant To:  The Changes Set Forth In Item 14 Are Made In The Contract/Order No. In Item 10A.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819265" cy="1579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19265" cy="15798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-374650</wp:posOffset>
            </wp:positionV>
            <wp:extent cx="68110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6" w:lineRule="exact"/>
        <w:rPr>
          <w:sz w:val="20"/>
          <w:szCs w:val="20"/>
          <w:color w:val="auto"/>
        </w:rPr>
      </w:pPr>
    </w:p>
    <w:p>
      <w:pPr>
        <w:ind w:left="129"/>
        <w:spacing w:after="0" w:line="201" w:lineRule="exact"/>
        <w:rPr>
          <w:sz w:val="20"/>
          <w:szCs w:val="20"/>
          <w:color w:val="auto"/>
        </w:rPr>
      </w:pPr>
      <w:r>
        <w:rPr>
          <w:rFonts w:ascii="MS PGothic" w:cs="MS PGothic" w:eastAsia="MS PGothic" w:hAnsi="MS PGothic"/>
          <w:sz w:val="20"/>
          <w:szCs w:val="20"/>
          <w:color w:val="auto"/>
        </w:rPr>
        <w:t>☐</w:t>
      </w:r>
    </w:p>
    <w:p>
      <w:pPr>
        <w:spacing w:after="0" w:line="81" w:lineRule="exact"/>
        <w:rPr>
          <w:sz w:val="20"/>
          <w:szCs w:val="20"/>
          <w:color w:val="auto"/>
        </w:rPr>
      </w:pPr>
    </w:p>
    <w:tbl>
      <w:tblPr>
        <w:tblLayout w:type="fixed"/>
        <w:tblInd w:w="9"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102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B. The Above Numbered Contract/Order Is Modified To Reflect The Administrative Changes (such as changes in paying office, appropriation data, etc.) Set Forth In</w:t>
            </w:r>
          </w:p>
        </w:tc>
        <w:tc>
          <w:tcPr>
            <w:tcW w:w="0" w:type="dxa"/>
            <w:vAlign w:val="bottom"/>
          </w:tcPr>
          <w:p>
            <w:pPr>
              <w:spacing w:after="0"/>
              <w:rPr>
                <w:sz w:val="1"/>
                <w:szCs w:val="1"/>
                <w:color w:val="auto"/>
              </w:rPr>
            </w:pPr>
          </w:p>
        </w:tc>
      </w:tr>
      <w:tr>
        <w:trPr>
          <w:trHeight w:val="187"/>
        </w:trPr>
        <w:tc>
          <w:tcPr>
            <w:tcW w:w="440" w:type="dxa"/>
            <w:vAlign w:val="bottom"/>
            <w:vMerge w:val="restart"/>
          </w:tcPr>
          <w:p>
            <w:pPr>
              <w:ind w:left="120"/>
              <w:spacing w:after="0" w:line="201" w:lineRule="exact"/>
              <w:rPr>
                <w:sz w:val="20"/>
                <w:szCs w:val="20"/>
                <w:color w:val="auto"/>
              </w:rPr>
            </w:pPr>
            <w:r>
              <w:rPr>
                <w:rFonts w:ascii="MS PGothic" w:cs="MS PGothic" w:eastAsia="MS PGothic" w:hAnsi="MS PGothic"/>
                <w:sz w:val="20"/>
                <w:szCs w:val="20"/>
                <w:color w:val="auto"/>
              </w:rPr>
              <w:t>☐</w:t>
            </w:r>
          </w:p>
        </w:tc>
        <w:tc>
          <w:tcPr>
            <w:tcW w:w="102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Item 14, Pursuant To The Authority of FAR 43.103(b).</w:t>
            </w:r>
          </w:p>
        </w:tc>
        <w:tc>
          <w:tcPr>
            <w:tcW w:w="0" w:type="dxa"/>
            <w:vAlign w:val="bottom"/>
          </w:tcPr>
          <w:p>
            <w:pPr>
              <w:spacing w:after="0"/>
              <w:rPr>
                <w:sz w:val="1"/>
                <w:szCs w:val="1"/>
                <w:color w:val="auto"/>
              </w:rPr>
            </w:pPr>
          </w:p>
        </w:tc>
      </w:tr>
      <w:tr>
        <w:trPr>
          <w:trHeight w:val="172"/>
        </w:trPr>
        <w:tc>
          <w:tcPr>
            <w:tcW w:w="440" w:type="dxa"/>
            <w:vAlign w:val="bottom"/>
            <w:tcBorders>
              <w:bottom w:val="single" w:sz="8" w:color="auto"/>
            </w:tcBorders>
            <w:vMerge w:val="continue"/>
          </w:tcPr>
          <w:p>
            <w:pPr>
              <w:spacing w:after="0"/>
              <w:rPr>
                <w:sz w:val="14"/>
                <w:szCs w:val="14"/>
                <w:color w:val="auto"/>
              </w:rPr>
            </w:pPr>
          </w:p>
        </w:tc>
        <w:tc>
          <w:tcPr>
            <w:tcW w:w="10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0" w:type="dxa"/>
            <w:vAlign w:val="bottom"/>
            <w:vMerge w:val="restart"/>
          </w:tcPr>
          <w:p>
            <w:pPr>
              <w:ind w:left="120"/>
              <w:spacing w:after="0" w:line="201" w:lineRule="exact"/>
              <w:rPr>
                <w:sz w:val="20"/>
                <w:szCs w:val="20"/>
                <w:color w:val="auto"/>
              </w:rPr>
            </w:pPr>
            <w:r>
              <w:rPr>
                <w:rFonts w:ascii="MS PGothic" w:cs="MS PGothic" w:eastAsia="MS PGothic" w:hAnsi="MS PGothic"/>
                <w:sz w:val="20"/>
                <w:szCs w:val="20"/>
                <w:color w:val="auto"/>
              </w:rPr>
              <w:t>☐</w:t>
            </w:r>
          </w:p>
        </w:tc>
        <w:tc>
          <w:tcPr>
            <w:tcW w:w="102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 This Supplemental Agreement Is Entered Into Pursuant To Authority Of:</w:t>
            </w:r>
          </w:p>
        </w:tc>
        <w:tc>
          <w:tcPr>
            <w:tcW w:w="0" w:type="dxa"/>
            <w:vAlign w:val="bottom"/>
          </w:tcPr>
          <w:p>
            <w:pPr>
              <w:spacing w:after="0"/>
              <w:rPr>
                <w:sz w:val="1"/>
                <w:szCs w:val="1"/>
                <w:color w:val="auto"/>
              </w:rPr>
            </w:pPr>
          </w:p>
        </w:tc>
      </w:tr>
      <w:tr>
        <w:trPr>
          <w:trHeight w:val="265"/>
        </w:trPr>
        <w:tc>
          <w:tcPr>
            <w:tcW w:w="440" w:type="dxa"/>
            <w:vAlign w:val="bottom"/>
            <w:tcBorders>
              <w:bottom w:val="single" w:sz="8" w:color="auto"/>
            </w:tcBorders>
            <w:vMerge w:val="continue"/>
          </w:tcPr>
          <w:p>
            <w:pPr>
              <w:spacing w:after="0"/>
              <w:rPr>
                <w:sz w:val="23"/>
                <w:szCs w:val="23"/>
                <w:color w:val="auto"/>
              </w:rPr>
            </w:pPr>
          </w:p>
        </w:tc>
        <w:tc>
          <w:tcPr>
            <w:tcW w:w="10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440" w:type="dxa"/>
            <w:vAlign w:val="bottom"/>
          </w:tcPr>
          <w:p>
            <w:pPr>
              <w:ind w:left="140"/>
              <w:spacing w:after="0" w:line="197" w:lineRule="exact"/>
              <w:rPr>
                <w:sz w:val="20"/>
                <w:szCs w:val="20"/>
                <w:color w:val="auto"/>
              </w:rPr>
            </w:pPr>
            <w:r>
              <w:rPr>
                <w:rFonts w:ascii="MS PGothic" w:cs="MS PGothic" w:eastAsia="MS PGothic" w:hAnsi="MS PGothic"/>
                <w:sz w:val="20"/>
                <w:szCs w:val="20"/>
                <w:color w:val="auto"/>
              </w:rPr>
              <w:t>☒</w:t>
            </w:r>
          </w:p>
        </w:tc>
        <w:tc>
          <w:tcPr>
            <w:tcW w:w="102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D. Other (Specify type of modification and authority)</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280" w:type="dxa"/>
            <w:vAlign w:val="bottom"/>
          </w:tcPr>
          <w:p>
            <w:pPr>
              <w:ind w:left="4540"/>
              <w:spacing w:after="0"/>
              <w:rPr>
                <w:sz w:val="20"/>
                <w:szCs w:val="20"/>
                <w:color w:val="auto"/>
              </w:rPr>
            </w:pPr>
            <w:r>
              <w:rPr>
                <w:rFonts w:ascii="Courier New" w:cs="Courier New" w:eastAsia="Courier New" w:hAnsi="Courier New"/>
                <w:sz w:val="12"/>
                <w:szCs w:val="12"/>
                <w:color w:val="auto"/>
              </w:rPr>
              <w:t>FAR 43.103 (a)(3)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9"/>
        <w:spacing w:after="0" w:line="219" w:lineRule="exact"/>
        <w:tabs>
          <w:tab w:leader="none" w:pos="1408" w:val="left"/>
        </w:tabs>
        <w:rPr>
          <w:sz w:val="20"/>
          <w:szCs w:val="20"/>
          <w:color w:val="auto"/>
        </w:rPr>
      </w:pPr>
      <w:r>
        <w:rPr>
          <w:rFonts w:ascii="Times New Roman" w:cs="Times New Roman" w:eastAsia="Times New Roman" w:hAnsi="Times New Roman"/>
          <w:sz w:val="14"/>
          <w:szCs w:val="14"/>
          <w:b w:val="1"/>
          <w:bCs w:val="1"/>
          <w:color w:val="auto"/>
        </w:rPr>
        <w:t>E. IMPORTANT:</w:t>
        <w:tab/>
        <w:t xml:space="preserve">Contractor </w:t>
      </w:r>
      <w:r>
        <w:rPr>
          <w:rFonts w:ascii="MS PGothic" w:cs="MS PGothic" w:eastAsia="MS PGothic" w:hAnsi="MS PGothic"/>
          <w:sz w:val="19"/>
          <w:szCs w:val="19"/>
          <w:color w:val="auto"/>
        </w:rPr>
        <w:t>☐</w:t>
      </w:r>
      <w:r>
        <w:rPr>
          <w:rFonts w:ascii="Times New Roman" w:cs="Times New Roman" w:eastAsia="Times New Roman" w:hAnsi="Times New Roman"/>
          <w:sz w:val="14"/>
          <w:szCs w:val="14"/>
          <w:b w:val="1"/>
          <w:bCs w:val="1"/>
          <w:color w:val="auto"/>
        </w:rPr>
        <w:t xml:space="preserve"> is not, </w:t>
      </w:r>
      <w:r>
        <w:rPr>
          <w:rFonts w:ascii="MS PGothic" w:cs="MS PGothic" w:eastAsia="MS PGothic" w:hAnsi="MS PGothic"/>
          <w:sz w:val="19"/>
          <w:szCs w:val="19"/>
          <w:color w:val="auto"/>
        </w:rPr>
        <w:t>☒</w:t>
      </w:r>
      <w:r>
        <w:rPr>
          <w:rFonts w:ascii="Times New Roman" w:cs="Times New Roman" w:eastAsia="Times New Roman" w:hAnsi="Times New Roman"/>
          <w:sz w:val="14"/>
          <w:szCs w:val="14"/>
          <w:b w:val="1"/>
          <w:bCs w:val="1"/>
          <w:color w:val="auto"/>
        </w:rPr>
        <w:t xml:space="preserve"> is required to sign this document and return __________ copies to the Issuing Office.</w:t>
      </w:r>
    </w:p>
    <w:p>
      <w:pPr>
        <w:spacing w:after="0" w:line="172" w:lineRule="exact"/>
        <w:rPr>
          <w:sz w:val="20"/>
          <w:szCs w:val="20"/>
          <w:color w:val="auto"/>
        </w:rPr>
      </w:pPr>
    </w:p>
    <w:p>
      <w:pPr>
        <w:ind w:left="289" w:hanging="198"/>
        <w:spacing w:after="0"/>
        <w:tabs>
          <w:tab w:leader="none" w:pos="289" w:val="left"/>
        </w:tabs>
        <w:numPr>
          <w:ilvl w:val="0"/>
          <w:numId w:val="1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Description Of Amendment/Modification (Organized by UCF section headings, including solicitation/contract subject matter where feasible.)</w:t>
      </w:r>
    </w:p>
    <w:p>
      <w:pPr>
        <w:spacing w:after="0" w:line="326" w:lineRule="exact"/>
        <w:rPr>
          <w:rFonts w:ascii="Times New Roman" w:cs="Times New Roman" w:eastAsia="Times New Roman" w:hAnsi="Times New Roman"/>
          <w:sz w:val="14"/>
          <w:szCs w:val="14"/>
          <w:b w:val="1"/>
          <w:bCs w:val="1"/>
          <w:color w:val="auto"/>
        </w:rPr>
      </w:pPr>
    </w:p>
    <w:p>
      <w:pPr>
        <w:ind w:left="349"/>
        <w:spacing w:after="0"/>
        <w:rPr>
          <w:rFonts w:ascii="Times New Roman" w:cs="Times New Roman" w:eastAsia="Times New Roman" w:hAnsi="Times New Roman"/>
          <w:sz w:val="14"/>
          <w:szCs w:val="14"/>
          <w:b w:val="1"/>
          <w:bCs w:val="1"/>
          <w:color w:val="auto"/>
        </w:rPr>
      </w:pPr>
      <w:r>
        <w:rPr>
          <w:rFonts w:ascii="Courier New" w:cs="Courier New" w:eastAsia="Courier New" w:hAnsi="Courier New"/>
          <w:sz w:val="12"/>
          <w:szCs w:val="12"/>
          <w:color w:val="auto"/>
        </w:rPr>
        <w:t>SEE SECOND PAGE FOR DESCRIPTION</w:t>
      </w:r>
    </w:p>
    <w:p>
      <w:pPr>
        <w:spacing w:after="0" w:line="200" w:lineRule="exact"/>
        <w:rPr>
          <w:sz w:val="20"/>
          <w:szCs w:val="20"/>
          <w:color w:val="auto"/>
        </w:rPr>
      </w:pPr>
    </w:p>
    <w:p>
      <w:pPr>
        <w:spacing w:after="0" w:line="260" w:lineRule="exact"/>
        <w:rPr>
          <w:sz w:val="20"/>
          <w:szCs w:val="20"/>
          <w:color w:val="auto"/>
        </w:rPr>
      </w:pPr>
    </w:p>
    <w:p>
      <w:pPr>
        <w:ind w:left="89"/>
        <w:spacing w:after="0"/>
        <w:rPr>
          <w:sz w:val="20"/>
          <w:szCs w:val="20"/>
          <w:color w:val="auto"/>
        </w:rPr>
      </w:pPr>
      <w:r>
        <w:rPr>
          <w:rFonts w:ascii="Times New Roman" w:cs="Times New Roman" w:eastAsia="Times New Roman" w:hAnsi="Times New Roman"/>
          <w:sz w:val="14"/>
          <w:szCs w:val="14"/>
          <w:b w:val="1"/>
          <w:bCs w:val="1"/>
          <w:color w:val="auto"/>
        </w:rPr>
        <w:t>Except as provided herein, all terms and conditions of the document referenced in item 9A or 10A, as heretofore changed, remains unchanged and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6811010" cy="10191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11010" cy="1019175"/>
                    </a:xfrm>
                    <a:prstGeom prst="rect">
                      <a:avLst/>
                    </a:prstGeom>
                    <a:noFill/>
                  </pic:spPr>
                </pic:pic>
              </a:graphicData>
            </a:graphic>
          </wp:anchor>
        </w:drawing>
      </w:r>
    </w:p>
    <w:p>
      <w:pPr>
        <w:spacing w:after="0" w:line="46" w:lineRule="exact"/>
        <w:rPr>
          <w:sz w:val="20"/>
          <w:szCs w:val="20"/>
          <w:color w:val="auto"/>
        </w:rPr>
      </w:pPr>
    </w:p>
    <w:tbl>
      <w:tblPr>
        <w:tblLayout w:type="fixed"/>
        <w:tblInd w:w="109" w:type="dxa"/>
        <w:tblCellMar>
          <w:top w:w="0" w:type="dxa"/>
          <w:left w:w="0" w:type="dxa"/>
          <w:bottom w:w="0" w:type="dxa"/>
          <w:right w:w="0" w:type="dxa"/>
        </w:tblCellMar>
      </w:tblPr>
      <w:tr>
        <w:trPr>
          <w:trHeight w:val="187"/>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15A. Name And Title Of Signer (Type or print)</w:t>
            </w:r>
          </w:p>
        </w:tc>
        <w:tc>
          <w:tcPr>
            <w:tcW w:w="492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16A. Name And Title Of Contracting Officer (Type or print)</w:t>
            </w:r>
          </w:p>
        </w:tc>
      </w:tr>
    </w:tbl>
    <w:p>
      <w:pPr>
        <w:spacing w:after="0" w:line="185" w:lineRule="exact"/>
        <w:rPr>
          <w:sz w:val="20"/>
          <w:szCs w:val="20"/>
          <w:color w:val="auto"/>
        </w:rPr>
      </w:pPr>
    </w:p>
    <w:tbl>
      <w:tblPr>
        <w:tblLayout w:type="fixed"/>
        <w:tblInd w:w="9" w:type="dxa"/>
        <w:tblCellMar>
          <w:top w:w="0" w:type="dxa"/>
          <w:left w:w="0" w:type="dxa"/>
          <w:bottom w:w="0" w:type="dxa"/>
          <w:right w:w="0" w:type="dxa"/>
        </w:tblCellMar>
      </w:tblPr>
      <w:tr>
        <w:trPr>
          <w:trHeight w:val="221"/>
        </w:trPr>
        <w:tc>
          <w:tcPr>
            <w:tcW w:w="36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Robert E. Landry – Executive Vice President - CFO</w:t>
            </w:r>
          </w:p>
        </w:tc>
        <w:tc>
          <w:tcPr>
            <w:tcW w:w="1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189"/>
        </w:trPr>
        <w:tc>
          <w:tcPr>
            <w:tcW w:w="3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15B. Contractor/Offeror</w:t>
            </w:r>
          </w:p>
        </w:tc>
        <w:tc>
          <w:tcPr>
            <w:tcW w:w="15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15C. Date Signed</w:t>
            </w:r>
          </w:p>
        </w:tc>
        <w:tc>
          <w:tcPr>
            <w:tcW w:w="4000" w:type="dxa"/>
            <w:vAlign w:val="bottom"/>
            <w:tcBorders>
              <w:right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16B. United States Of America</w:t>
            </w:r>
          </w:p>
        </w:tc>
        <w:tc>
          <w:tcPr>
            <w:tcW w:w="1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16C. Date Signed</w:t>
            </w:r>
          </w:p>
        </w:tc>
      </w:tr>
      <w:tr>
        <w:trPr>
          <w:trHeight w:val="332"/>
        </w:trPr>
        <w:tc>
          <w:tcPr>
            <w:tcW w:w="320" w:type="dxa"/>
            <w:vAlign w:val="bottom"/>
          </w:tcPr>
          <w:p>
            <w:pPr>
              <w:spacing w:after="0"/>
              <w:rPr>
                <w:sz w:val="24"/>
                <w:szCs w:val="24"/>
                <w:color w:val="auto"/>
              </w:rPr>
            </w:pPr>
          </w:p>
        </w:tc>
        <w:tc>
          <w:tcPr>
            <w:tcW w:w="2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Robert E. Landry</w:t>
            </w:r>
          </w:p>
        </w:tc>
        <w:tc>
          <w:tcPr>
            <w:tcW w:w="1220" w:type="dxa"/>
            <w:vAlign w:val="bottom"/>
            <w:tcBorders>
              <w:right w:val="single" w:sz="8" w:color="auto"/>
            </w:tcBorders>
          </w:tcPr>
          <w:p>
            <w:pPr>
              <w:spacing w:after="0"/>
              <w:rPr>
                <w:sz w:val="24"/>
                <w:szCs w:val="24"/>
                <w:color w:val="auto"/>
              </w:rPr>
            </w:pPr>
          </w:p>
        </w:tc>
        <w:tc>
          <w:tcPr>
            <w:tcW w:w="1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3/8/2021</w:t>
            </w:r>
          </w:p>
        </w:tc>
        <w:tc>
          <w:tcPr>
            <w:tcW w:w="5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By</w:t>
            </w:r>
          </w:p>
        </w:tc>
        <w:tc>
          <w:tcPr>
            <w:tcW w:w="3460" w:type="dxa"/>
            <w:vAlign w:val="bottom"/>
            <w:tcBorders>
              <w:right w:val="single" w:sz="8" w:color="auto"/>
            </w:tcBorders>
            <w:gridSpan w:val="2"/>
          </w:tcPr>
          <w:p>
            <w:pPr>
              <w:ind w:left="280"/>
              <w:spacing w:after="0"/>
              <w:rPr>
                <w:sz w:val="20"/>
                <w:szCs w:val="20"/>
                <w:color w:val="auto"/>
              </w:rPr>
            </w:pPr>
            <w:r>
              <w:rPr>
                <w:rFonts w:ascii="Courier New" w:cs="Courier New" w:eastAsia="Courier New" w:hAnsi="Courier New"/>
                <w:sz w:val="12"/>
                <w:szCs w:val="12"/>
                <w:color w:val="auto"/>
              </w:rPr>
              <w:t>/s/</w:t>
            </w:r>
          </w:p>
        </w:tc>
        <w:tc>
          <w:tcPr>
            <w:tcW w:w="1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09-MAR-2021</w:t>
            </w:r>
          </w:p>
        </w:tc>
      </w:tr>
      <w:tr>
        <w:trPr>
          <w:trHeight w:val="20"/>
        </w:trPr>
        <w:tc>
          <w:tcPr>
            <w:tcW w:w="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80" w:type="dxa"/>
            <w:vAlign w:val="bottom"/>
            <w:tcBorders>
              <w:right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7"/>
        </w:trPr>
        <w:tc>
          <w:tcPr>
            <w:tcW w:w="3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6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(Signature of Contracting Officer)</w:t>
            </w:r>
          </w:p>
        </w:tc>
        <w:tc>
          <w:tcPr>
            <w:tcW w:w="1600" w:type="dxa"/>
            <w:vAlign w:val="bottom"/>
          </w:tcPr>
          <w:p>
            <w:pPr>
              <w:spacing w:after="0"/>
              <w:rPr>
                <w:sz w:val="14"/>
                <w:szCs w:val="14"/>
                <w:color w:val="auto"/>
              </w:rPr>
            </w:pPr>
          </w:p>
        </w:tc>
      </w:tr>
      <w:tr>
        <w:trPr>
          <w:trHeight w:val="208"/>
        </w:trPr>
        <w:tc>
          <w:tcPr>
            <w:tcW w:w="320" w:type="dxa"/>
            <w:vAlign w:val="bottom"/>
            <w:tcBorders>
              <w:bottom w:val="single" w:sz="8" w:color="auto"/>
            </w:tcBorders>
          </w:tcPr>
          <w:p>
            <w:pPr>
              <w:spacing w:after="0"/>
              <w:rPr>
                <w:sz w:val="18"/>
                <w:szCs w:val="18"/>
                <w:color w:val="auto"/>
              </w:rPr>
            </w:pPr>
          </w:p>
        </w:tc>
        <w:tc>
          <w:tcPr>
            <w:tcW w:w="330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(Signature of person authorized to sign)</w:t>
            </w:r>
          </w:p>
        </w:tc>
        <w:tc>
          <w:tcPr>
            <w:tcW w:w="15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069"/>
          </w:cols>
          <w:pgMar w:left="431" w:top="104" w:right="399" w:bottom="953" w:gutter="0" w:footer="0" w:header="0"/>
        </w:sectPr>
      </w:pPr>
    </w:p>
    <w:p>
      <w:pPr>
        <w:spacing w:after="0" w:line="200" w:lineRule="exact"/>
        <w:rPr>
          <w:sz w:val="20"/>
          <w:szCs w:val="20"/>
          <w:color w:val="auto"/>
        </w:rPr>
      </w:pPr>
    </w:p>
    <w:p>
      <w:pPr>
        <w:spacing w:after="0" w:line="337" w:lineRule="exact"/>
        <w:rPr>
          <w:sz w:val="20"/>
          <w:szCs w:val="20"/>
          <w:color w:val="auto"/>
        </w:rPr>
      </w:pPr>
    </w:p>
    <w:tbl>
      <w:tblPr>
        <w:tblLayout w:type="fixed"/>
        <w:tblInd w:w="109" w:type="dxa"/>
        <w:tblCellMar>
          <w:top w:w="0" w:type="dxa"/>
          <w:left w:w="0" w:type="dxa"/>
          <w:bottom w:w="0" w:type="dxa"/>
          <w:right w:w="0" w:type="dxa"/>
        </w:tblCellMar>
      </w:tblPr>
      <w:tr>
        <w:trPr>
          <w:trHeight w:val="161"/>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NSN 7540-01-152-8070</w:t>
            </w:r>
          </w:p>
        </w:tc>
        <w:tc>
          <w:tcPr>
            <w:tcW w:w="3380" w:type="dxa"/>
            <w:vAlign w:val="bottom"/>
          </w:tcPr>
          <w:p>
            <w:pPr>
              <w:jc w:val="right"/>
              <w:ind w:right="1569"/>
              <w:spacing w:after="0"/>
              <w:rPr>
                <w:sz w:val="20"/>
                <w:szCs w:val="20"/>
                <w:color w:val="auto"/>
              </w:rPr>
            </w:pPr>
            <w:r>
              <w:rPr>
                <w:rFonts w:ascii="Times New Roman" w:cs="Times New Roman" w:eastAsia="Times New Roman" w:hAnsi="Times New Roman"/>
                <w:sz w:val="14"/>
                <w:szCs w:val="14"/>
                <w:b w:val="1"/>
                <w:bCs w:val="1"/>
                <w:color w:val="auto"/>
              </w:rPr>
              <w:t>30-105-02</w:t>
            </w:r>
          </w:p>
        </w:tc>
        <w:tc>
          <w:tcPr>
            <w:tcW w:w="4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STANDARD FORM 30 (REV. 10-83)</w:t>
            </w:r>
          </w:p>
        </w:tc>
      </w:tr>
      <w:tr>
        <w:trPr>
          <w:trHeight w:val="187"/>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PREVIOUS EDITIONS UNUSABLE</w:t>
            </w:r>
          </w:p>
        </w:tc>
        <w:tc>
          <w:tcPr>
            <w:tcW w:w="3380" w:type="dxa"/>
            <w:vAlign w:val="bottom"/>
          </w:tcPr>
          <w:p>
            <w:pPr>
              <w:spacing w:after="0"/>
              <w:rPr>
                <w:sz w:val="16"/>
                <w:szCs w:val="16"/>
                <w:color w:val="auto"/>
              </w:rPr>
            </w:pPr>
          </w:p>
        </w:tc>
        <w:tc>
          <w:tcPr>
            <w:tcW w:w="4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Prescribed by GSA FAR (48 CFR) 53.243</w:t>
            </w:r>
          </w:p>
        </w:tc>
      </w:tr>
    </w:tbl>
    <w:p>
      <w:pPr>
        <w:sectPr>
          <w:pgSz w:w="11900" w:h="16838" w:orient="portrait"/>
          <w:cols w:equalWidth="0" w:num="1">
            <w:col w:w="11069"/>
          </w:cols>
          <w:pgMar w:left="431" w:top="104" w:right="399" w:bottom="953" w:gutter="0" w:footer="0" w:header="0"/>
          <w:type w:val="continuous"/>
        </w:sectPr>
      </w:pPr>
    </w:p>
    <w:bookmarkStart w:id="151" w:name="page152"/>
    <w:bookmarkEnd w:id="1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Borders>
              <w:top w:val="single" w:sz="8" w:color="auto"/>
              <w:right w:val="single" w:sz="8" w:color="auto"/>
            </w:tcBorders>
            <w:vMerge w:val="restart"/>
          </w:tcPr>
          <w:p>
            <w:pPr>
              <w:ind w:left="540"/>
              <w:spacing w:after="0"/>
              <w:rPr>
                <w:sz w:val="20"/>
                <w:szCs w:val="20"/>
                <w:color w:val="auto"/>
              </w:rPr>
            </w:pPr>
            <w:r>
              <w:rPr>
                <w:rFonts w:ascii="Times New Roman" w:cs="Times New Roman" w:eastAsia="Times New Roman" w:hAnsi="Times New Roman"/>
                <w:sz w:val="20"/>
                <w:szCs w:val="20"/>
                <w:b w:val="1"/>
                <w:bCs w:val="1"/>
                <w:color w:val="auto"/>
              </w:rPr>
              <w:t>CONTINUATION SHEET</w:t>
            </w:r>
          </w:p>
        </w:tc>
        <w:tc>
          <w:tcPr>
            <w:tcW w:w="5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7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 xml:space="preserve">Page </w:t>
            </w:r>
            <w:r>
              <w:rPr>
                <w:rFonts w:ascii="Times New Roman" w:cs="Times New Roman" w:eastAsia="Times New Roman" w:hAnsi="Times New Roman"/>
                <w:sz w:val="16"/>
                <w:szCs w:val="16"/>
                <w:color w:val="auto"/>
              </w:rPr>
              <w:t>2</w:t>
            </w:r>
            <w:r>
              <w:rPr>
                <w:rFonts w:ascii="Times New Roman" w:cs="Times New Roman" w:eastAsia="Times New Roman" w:hAnsi="Times New Roman"/>
                <w:sz w:val="16"/>
                <w:szCs w:val="16"/>
                <w:b w:val="1"/>
                <w:bCs w:val="1"/>
                <w:color w:val="auto"/>
              </w:rPr>
              <w:t xml:space="preserve"> of </w:t>
            </w: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61"/>
        </w:trPr>
        <w:tc>
          <w:tcPr>
            <w:tcW w:w="3360" w:type="dxa"/>
            <w:vAlign w:val="bottom"/>
            <w:tcBorders>
              <w:right w:val="single" w:sz="8" w:color="auto"/>
            </w:tcBorders>
            <w:vMerge w:val="continue"/>
          </w:tcPr>
          <w:p>
            <w:pPr>
              <w:spacing w:after="0"/>
              <w:rPr>
                <w:sz w:val="14"/>
                <w:szCs w:val="14"/>
                <w:color w:val="auto"/>
              </w:rPr>
            </w:pPr>
          </w:p>
        </w:tc>
        <w:tc>
          <w:tcPr>
            <w:tcW w:w="5260" w:type="dxa"/>
            <w:vAlign w:val="bottom"/>
            <w:tcBorders>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color w:val="auto"/>
              </w:rPr>
              <w:t>W15QKN-21-C-0014</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360" w:type="dxa"/>
            <w:vAlign w:val="bottom"/>
            <w:tcBorders>
              <w:bottom w:val="single" w:sz="8" w:color="auto"/>
              <w:right w:val="single" w:sz="8" w:color="auto"/>
            </w:tcBorders>
          </w:tcPr>
          <w:p>
            <w:pPr>
              <w:spacing w:after="0"/>
              <w:rPr>
                <w:sz w:val="19"/>
                <w:szCs w:val="19"/>
                <w:color w:val="auto"/>
              </w:rPr>
            </w:pPr>
          </w:p>
        </w:tc>
        <w:tc>
          <w:tcPr>
            <w:tcW w:w="5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PIIN/SIIN MOD/AMD </w:t>
            </w:r>
            <w:r>
              <w:rPr>
                <w:rFonts w:ascii="Times New Roman" w:cs="Times New Roman" w:eastAsia="Times New Roman" w:hAnsi="Times New Roman"/>
                <w:sz w:val="16"/>
                <w:szCs w:val="16"/>
                <w:color w:val="auto"/>
              </w:rPr>
              <w:t>P00001</w:t>
            </w:r>
          </w:p>
        </w:tc>
        <w:tc>
          <w:tcPr>
            <w:tcW w:w="1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ind w:left="540"/>
        <w:spacing w:after="0"/>
        <w:rPr>
          <w:sz w:val="20"/>
          <w:szCs w:val="20"/>
          <w:color w:val="auto"/>
        </w:rPr>
      </w:pPr>
      <w:r>
        <w:rPr>
          <w:rFonts w:ascii="Times New Roman" w:cs="Times New Roman" w:eastAsia="Times New Roman" w:hAnsi="Times New Roman"/>
          <w:sz w:val="20"/>
          <w:szCs w:val="20"/>
          <w:b w:val="1"/>
          <w:bCs w:val="1"/>
          <w:color w:val="auto"/>
        </w:rPr>
        <w:t xml:space="preserve">Name of Offeror or Contractor: </w:t>
      </w:r>
      <w:r>
        <w:rPr>
          <w:rFonts w:ascii="Times New Roman" w:cs="Times New Roman" w:eastAsia="Times New Roman" w:hAnsi="Times New Roman"/>
          <w:sz w:val="20"/>
          <w:szCs w:val="20"/>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SECTION A - SUPPLEMENTAL INFORMATION</w:t>
      </w:r>
    </w:p>
    <w:p>
      <w:pPr>
        <w:spacing w:after="0" w:line="200" w:lineRule="exact"/>
        <w:rPr>
          <w:sz w:val="20"/>
          <w:szCs w:val="20"/>
          <w:color w:val="auto"/>
        </w:rPr>
      </w:pPr>
    </w:p>
    <w:p>
      <w:pPr>
        <w:spacing w:after="0" w:line="279"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Buyer Name:</w:t>
      </w:r>
    </w:p>
    <w:p>
      <w:pPr>
        <w:spacing w:after="0" w:line="73"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Buyer Office Symbol/Telephone Number: CCNJ-ET/</w:t>
      </w:r>
    </w:p>
    <w:p>
      <w:pPr>
        <w:spacing w:after="0" w:line="51"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Type of Contract 1: Firm Fixed Price</w:t>
      </w:r>
    </w:p>
    <w:p>
      <w:pPr>
        <w:spacing w:after="0" w:line="38"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Kind of Contract: Other</w:t>
      </w:r>
    </w:p>
    <w:p>
      <w:pPr>
        <w:spacing w:after="0" w:line="51"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Kind of Modification: 8</w:t>
      </w:r>
    </w:p>
    <w:p>
      <w:pPr>
        <w:spacing w:after="0" w:line="51"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Type of Business: Large Business Performing in U.S.</w:t>
      </w:r>
    </w:p>
    <w:p>
      <w:pPr>
        <w:spacing w:after="0" w:line="38"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Surveillance Criticality Designator: A</w:t>
      </w:r>
    </w:p>
    <w:p>
      <w:pPr>
        <w:spacing w:after="0" w:line="25"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Contract Expiration Date: 2022JAN11</w:t>
      </w:r>
    </w:p>
    <w:p>
      <w:pPr>
        <w:spacing w:after="0" w:line="217"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Paying Office: HQ0490</w:t>
      </w:r>
    </w:p>
    <w:p>
      <w:pPr>
        <w:spacing w:after="0" w:line="73"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DFAS-INDY VP GFEBS</w:t>
      </w:r>
    </w:p>
    <w:p>
      <w:pPr>
        <w:spacing w:after="0" w:line="38"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8899 E. 56TH STREET</w:t>
      </w:r>
    </w:p>
    <w:p>
      <w:pPr>
        <w:spacing w:after="0" w:line="25"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INDIANAPOLIS IN 46249-3800</w:t>
      </w:r>
    </w:p>
    <w:p>
      <w:pPr>
        <w:spacing w:after="0" w:line="200" w:lineRule="exact"/>
        <w:rPr>
          <w:sz w:val="20"/>
          <w:szCs w:val="20"/>
          <w:color w:val="auto"/>
        </w:rPr>
      </w:pPr>
    </w:p>
    <w:p>
      <w:pPr>
        <w:spacing w:after="0" w:line="244" w:lineRule="exact"/>
        <w:rPr>
          <w:sz w:val="20"/>
          <w:szCs w:val="20"/>
          <w:color w:val="auto"/>
        </w:rPr>
      </w:pPr>
    </w:p>
    <w:p>
      <w:pPr>
        <w:ind w:left="4540"/>
        <w:spacing w:after="0"/>
        <w:rPr>
          <w:sz w:val="20"/>
          <w:szCs w:val="20"/>
          <w:color w:val="auto"/>
        </w:rPr>
      </w:pPr>
      <w:r>
        <w:rPr>
          <w:rFonts w:ascii="Courier New" w:cs="Courier New" w:eastAsia="Courier New" w:hAnsi="Courier New"/>
          <w:sz w:val="12"/>
          <w:szCs w:val="12"/>
          <w:color w:val="auto"/>
        </w:rPr>
        <w:t>*** End of Narrative A0000 ***</w:t>
      </w:r>
    </w:p>
    <w:p>
      <w:pPr>
        <w:spacing w:after="0" w:line="239"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The purpose of this modification is to:</w:t>
      </w:r>
    </w:p>
    <w:p>
      <w:pPr>
        <w:spacing w:after="0" w:line="225" w:lineRule="exact"/>
        <w:rPr>
          <w:sz w:val="20"/>
          <w:szCs w:val="20"/>
          <w:color w:val="auto"/>
        </w:rPr>
      </w:pPr>
    </w:p>
    <w:p>
      <w:pPr>
        <w:ind w:left="340" w:hanging="209"/>
        <w:spacing w:after="0"/>
        <w:tabs>
          <w:tab w:leader="none" w:pos="340" w:val="left"/>
        </w:tabs>
        <w:numPr>
          <w:ilvl w:val="0"/>
          <w:numId w:val="1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Correct the Ship to DoDAAC from 75A501 to W90ZQ2 for CLIN 0001.</w:t>
      </w:r>
    </w:p>
    <w:p>
      <w:pPr>
        <w:spacing w:after="0" w:line="238" w:lineRule="exact"/>
        <w:rPr>
          <w:rFonts w:ascii="Courier New" w:cs="Courier New" w:eastAsia="Courier New" w:hAnsi="Courier New"/>
          <w:sz w:val="12"/>
          <w:szCs w:val="12"/>
          <w:color w:val="auto"/>
        </w:rPr>
      </w:pPr>
    </w:p>
    <w:p>
      <w:pPr>
        <w:ind w:left="140" w:right="3920" w:hanging="9"/>
        <w:spacing w:after="0" w:line="791" w:lineRule="auto"/>
        <w:tabs>
          <w:tab w:leader="none" w:pos="350" w:val="left"/>
        </w:tabs>
        <w:numPr>
          <w:ilvl w:val="0"/>
          <w:numId w:val="1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Correct DFARS Clause 252.232-7006, changing the Ship to DoDAAC from 75A501 to W90ZQ2. All other terms and conditions of this contract remain in full force and effect.</w:t>
      </w:r>
    </w:p>
    <w:p>
      <w:pPr>
        <w:spacing w:after="0" w:line="93" w:lineRule="exact"/>
        <w:rPr>
          <w:rFonts w:ascii="Courier New" w:cs="Courier New" w:eastAsia="Courier New" w:hAnsi="Courier New"/>
          <w:sz w:val="12"/>
          <w:szCs w:val="12"/>
          <w:color w:val="auto"/>
        </w:rPr>
      </w:pPr>
    </w:p>
    <w:p>
      <w:pPr>
        <w:ind w:left="4820" w:hanging="279"/>
        <w:spacing w:after="0"/>
        <w:tabs>
          <w:tab w:leader="none" w:pos="4820" w:val="left"/>
        </w:tabs>
        <w:numPr>
          <w:ilvl w:val="1"/>
          <w:numId w:val="1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END OF NARRATIVE A0002 ***</w:t>
      </w:r>
    </w:p>
    <w:p>
      <w:pPr>
        <w:sectPr>
          <w:pgSz w:w="11900" w:h="16838" w:orient="portrait"/>
          <w:cols w:equalWidth="0" w:num="1">
            <w:col w:w="10400"/>
          </w:cols>
          <w:pgMar w:left="320" w:top="146" w:right="117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01"/>
        </w:trPr>
        <w:tc>
          <w:tcPr>
            <w:tcW w:w="3360" w:type="dxa"/>
            <w:vAlign w:val="bottom"/>
            <w:tcBorders>
              <w:top w:val="single" w:sz="8" w:color="auto"/>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20"/>
                <w:szCs w:val="20"/>
                <w:b w:val="1"/>
                <w:bCs w:val="1"/>
                <w:color w:val="auto"/>
              </w:rPr>
              <w:t>CONTINUATION SHEET</w:t>
            </w:r>
          </w:p>
        </w:tc>
        <w:tc>
          <w:tcPr>
            <w:tcW w:w="5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 xml:space="preserve">Page </w:t>
            </w:r>
            <w:r>
              <w:rPr>
                <w:rFonts w:ascii="Times New Roman" w:cs="Times New Roman" w:eastAsia="Times New Roman" w:hAnsi="Times New Roman"/>
                <w:sz w:val="16"/>
                <w:szCs w:val="16"/>
                <w:color w:val="auto"/>
              </w:rPr>
              <w:t>3</w:t>
            </w:r>
            <w:r>
              <w:rPr>
                <w:rFonts w:ascii="Times New Roman" w:cs="Times New Roman" w:eastAsia="Times New Roman" w:hAnsi="Times New Roman"/>
                <w:sz w:val="16"/>
                <w:szCs w:val="16"/>
                <w:b w:val="1"/>
                <w:bCs w:val="1"/>
                <w:color w:val="auto"/>
              </w:rPr>
              <w:t xml:space="preserve"> of </w:t>
            </w:r>
            <w:r>
              <w:rPr>
                <w:rFonts w:ascii="Times New Roman" w:cs="Times New Roman" w:eastAsia="Times New Roman" w:hAnsi="Times New Roman"/>
                <w:sz w:val="16"/>
                <w:szCs w:val="16"/>
                <w:color w:val="auto"/>
              </w:rPr>
              <w:t>7</w:t>
            </w:r>
          </w:p>
        </w:tc>
      </w:tr>
      <w:tr>
        <w:trPr>
          <w:trHeight w:val="134"/>
        </w:trPr>
        <w:tc>
          <w:tcPr>
            <w:tcW w:w="3360" w:type="dxa"/>
            <w:vAlign w:val="bottom"/>
            <w:tcBorders>
              <w:right w:val="single" w:sz="8" w:color="auto"/>
            </w:tcBorders>
          </w:tcPr>
          <w:p>
            <w:pPr>
              <w:spacing w:after="0"/>
              <w:rPr>
                <w:sz w:val="11"/>
                <w:szCs w:val="11"/>
                <w:color w:val="auto"/>
              </w:rPr>
            </w:pPr>
          </w:p>
        </w:tc>
        <w:tc>
          <w:tcPr>
            <w:tcW w:w="526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color w:val="auto"/>
              </w:rPr>
              <w:t>W15QKN-21-C-0014</w:t>
            </w:r>
          </w:p>
        </w:tc>
        <w:tc>
          <w:tcPr>
            <w:tcW w:w="1780" w:type="dxa"/>
            <w:vAlign w:val="bottom"/>
          </w:tcPr>
          <w:p>
            <w:pPr>
              <w:spacing w:after="0"/>
              <w:rPr>
                <w:sz w:val="11"/>
                <w:szCs w:val="11"/>
                <w:color w:val="auto"/>
              </w:rPr>
            </w:pPr>
          </w:p>
        </w:tc>
      </w:tr>
      <w:tr>
        <w:trPr>
          <w:trHeight w:val="212"/>
        </w:trPr>
        <w:tc>
          <w:tcPr>
            <w:tcW w:w="336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PIIN/SIIN MOD/AMD </w:t>
            </w:r>
            <w:r>
              <w:rPr>
                <w:rFonts w:ascii="Times New Roman" w:cs="Times New Roman" w:eastAsia="Times New Roman" w:hAnsi="Times New Roman"/>
                <w:sz w:val="16"/>
                <w:szCs w:val="16"/>
                <w:color w:val="auto"/>
              </w:rPr>
              <w:t>P00001</w:t>
            </w:r>
          </w:p>
        </w:tc>
        <w:tc>
          <w:tcPr>
            <w:tcW w:w="1780" w:type="dxa"/>
            <w:vAlign w:val="bottom"/>
            <w:tcBorders>
              <w:bottom w:val="single" w:sz="8" w:color="auto"/>
            </w:tcBorders>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20"/>
          <w:szCs w:val="20"/>
          <w:b w:val="1"/>
          <w:bCs w:val="1"/>
          <w:color w:val="auto"/>
        </w:rPr>
        <w:t xml:space="preserve">Name of Offeror or Contractor: </w:t>
      </w:r>
      <w:r>
        <w:rPr>
          <w:rFonts w:ascii="Times New Roman" w:cs="Times New Roman" w:eastAsia="Times New Roman" w:hAnsi="Times New Roman"/>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601345</wp:posOffset>
            </wp:positionV>
            <wp:extent cx="6496685" cy="636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96685" cy="636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200" w:type="dxa"/>
        <w:tblCellMar>
          <w:top w:w="0" w:type="dxa"/>
          <w:left w:w="0" w:type="dxa"/>
          <w:bottom w:w="0" w:type="dxa"/>
          <w:right w:w="0" w:type="dxa"/>
        </w:tblCellMar>
      </w:tblPr>
      <w:tr>
        <w:trPr>
          <w:trHeight w:val="227"/>
        </w:trPr>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ITEM NO</w:t>
            </w:r>
          </w:p>
        </w:tc>
        <w:tc>
          <w:tcPr>
            <w:tcW w:w="26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SUPPLIES/SERVICES</w:t>
            </w:r>
          </w:p>
        </w:tc>
        <w:tc>
          <w:tcPr>
            <w:tcW w:w="14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UNIT</w:t>
            </w:r>
          </w:p>
        </w:tc>
        <w:tc>
          <w:tcPr>
            <w:tcW w:w="14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UNIT PRICE</w:t>
            </w:r>
          </w:p>
        </w:tc>
        <w:tc>
          <w:tcPr>
            <w:tcW w:w="15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94"/>
        </w:trPr>
        <w:tc>
          <w:tcPr>
            <w:tcW w:w="980" w:type="dxa"/>
            <w:vAlign w:val="bottom"/>
          </w:tcPr>
          <w:p>
            <w:pPr>
              <w:spacing w:after="0"/>
              <w:rPr>
                <w:sz w:val="24"/>
                <w:szCs w:val="24"/>
                <w:color w:val="auto"/>
              </w:rPr>
            </w:pPr>
          </w:p>
        </w:tc>
        <w:tc>
          <w:tcPr>
            <w:tcW w:w="4180" w:type="dxa"/>
            <w:vAlign w:val="bottom"/>
            <w:gridSpan w:val="4"/>
          </w:tcPr>
          <w:p>
            <w:pPr>
              <w:ind w:left="180"/>
              <w:spacing w:after="0"/>
              <w:rPr>
                <w:sz w:val="20"/>
                <w:szCs w:val="20"/>
                <w:color w:val="auto"/>
              </w:rPr>
            </w:pPr>
            <w:r>
              <w:rPr>
                <w:rFonts w:ascii="Courier New" w:cs="Courier New" w:eastAsia="Courier New" w:hAnsi="Courier New"/>
                <w:sz w:val="12"/>
                <w:szCs w:val="12"/>
                <w:color w:val="auto"/>
              </w:rPr>
              <w:t>SECTION B - SUPPLIES OR SERVICES AND PRICES/COSTS</w:t>
            </w: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12"/>
        </w:trPr>
        <w:tc>
          <w:tcPr>
            <w:tcW w:w="980" w:type="dxa"/>
            <w:vAlign w:val="bottom"/>
          </w:tcPr>
          <w:p>
            <w:pPr>
              <w:ind w:left="120"/>
              <w:spacing w:after="0"/>
              <w:rPr>
                <w:sz w:val="20"/>
                <w:szCs w:val="20"/>
                <w:color w:val="auto"/>
              </w:rPr>
            </w:pPr>
            <w:r>
              <w:rPr>
                <w:rFonts w:ascii="Courier New" w:cs="Courier New" w:eastAsia="Courier New" w:hAnsi="Courier New"/>
                <w:sz w:val="12"/>
                <w:szCs w:val="12"/>
                <w:color w:val="auto"/>
              </w:rPr>
              <w:t>0001</w:t>
            </w:r>
          </w:p>
        </w:tc>
        <w:tc>
          <w:tcPr>
            <w:tcW w:w="4180" w:type="dxa"/>
            <w:vAlign w:val="bottom"/>
            <w:gridSpan w:val="4"/>
          </w:tcPr>
          <w:p>
            <w:pPr>
              <w:ind w:left="220"/>
              <w:spacing w:after="0"/>
              <w:rPr>
                <w:sz w:val="20"/>
                <w:szCs w:val="20"/>
                <w:color w:val="auto"/>
              </w:rPr>
            </w:pPr>
            <w:r>
              <w:rPr>
                <w:rFonts w:ascii="Courier New" w:cs="Courier New" w:eastAsia="Courier New" w:hAnsi="Courier New"/>
                <w:sz w:val="12"/>
                <w:szCs w:val="12"/>
                <w:color w:val="auto"/>
              </w:rPr>
              <w:t>COVID THERAPEUTIC</w:t>
            </w: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4180" w:type="dxa"/>
            <w:vAlign w:val="bottom"/>
            <w:gridSpan w:val="4"/>
          </w:tcPr>
          <w:p>
            <w:pPr>
              <w:ind w:left="220"/>
              <w:spacing w:after="0"/>
              <w:rPr>
                <w:sz w:val="20"/>
                <w:szCs w:val="20"/>
                <w:color w:val="auto"/>
              </w:rPr>
            </w:pPr>
            <w:r>
              <w:rPr>
                <w:rFonts w:ascii="Courier New" w:cs="Courier New" w:eastAsia="Courier New" w:hAnsi="Courier New"/>
                <w:sz w:val="12"/>
                <w:szCs w:val="12"/>
                <w:color w:val="auto"/>
              </w:rPr>
              <w:t>NSN: 9999-99-999-9999</w:t>
            </w:r>
          </w:p>
        </w:tc>
        <w:tc>
          <w:tcPr>
            <w:tcW w:w="1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598"/>
        </w:trPr>
        <w:tc>
          <w:tcPr>
            <w:tcW w:w="980" w:type="dxa"/>
            <w:vAlign w:val="bottom"/>
          </w:tcPr>
          <w:p>
            <w:pPr>
              <w:ind w:left="120"/>
              <w:spacing w:after="0"/>
              <w:rPr>
                <w:sz w:val="20"/>
                <w:szCs w:val="20"/>
                <w:color w:val="auto"/>
              </w:rPr>
            </w:pPr>
            <w:r>
              <w:rPr>
                <w:rFonts w:ascii="Courier New" w:cs="Courier New" w:eastAsia="Courier New" w:hAnsi="Courier New"/>
                <w:sz w:val="12"/>
                <w:szCs w:val="12"/>
                <w:color w:val="auto"/>
              </w:rPr>
              <w:t>0001AA</w:t>
            </w:r>
          </w:p>
        </w:tc>
        <w:tc>
          <w:tcPr>
            <w:tcW w:w="26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Courier New" w:cs="Courier New" w:eastAsia="Courier New" w:hAnsi="Courier New"/>
                <w:sz w:val="12"/>
                <w:szCs w:val="12"/>
                <w:color w:val="auto"/>
              </w:rPr>
              <w:t>COVID-19 THERAPEUTIC (REGN10987 AND REGN10933)</w:t>
            </w:r>
          </w:p>
        </w:tc>
        <w:tc>
          <w:tcPr>
            <w:tcW w:w="1460" w:type="dxa"/>
            <w:vAlign w:val="bottom"/>
          </w:tcPr>
          <w:p>
            <w:pPr>
              <w:jc w:val="right"/>
              <w:ind w:right="269"/>
              <w:spacing w:after="0"/>
              <w:rPr>
                <w:sz w:val="20"/>
                <w:szCs w:val="20"/>
                <w:color w:val="auto"/>
              </w:rPr>
            </w:pPr>
            <w:r>
              <w:rPr>
                <w:rFonts w:ascii="Courier New" w:cs="Courier New" w:eastAsia="Courier New" w:hAnsi="Courier New"/>
                <w:sz w:val="12"/>
                <w:szCs w:val="12"/>
                <w:color w:val="auto"/>
              </w:rPr>
              <w:t>[* * *]</w:t>
            </w:r>
          </w:p>
        </w:tc>
        <w:tc>
          <w:tcPr>
            <w:tcW w:w="680" w:type="dxa"/>
            <w:vAlign w:val="bottom"/>
          </w:tcPr>
          <w:p>
            <w:pPr>
              <w:jc w:val="center"/>
              <w:spacing w:after="0"/>
              <w:rPr>
                <w:sz w:val="20"/>
                <w:szCs w:val="20"/>
                <w:color w:val="auto"/>
              </w:rPr>
            </w:pPr>
            <w:r>
              <w:rPr>
                <w:rFonts w:ascii="Courier New" w:cs="Courier New" w:eastAsia="Courier New" w:hAnsi="Courier New"/>
                <w:sz w:val="12"/>
                <w:szCs w:val="12"/>
                <w:color w:val="auto"/>
                <w:w w:val="96"/>
              </w:rPr>
              <w:t>EA</w:t>
            </w:r>
          </w:p>
        </w:tc>
        <w:tc>
          <w:tcPr>
            <w:tcW w:w="140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$ 2,100.00000</w:t>
            </w:r>
          </w:p>
        </w:tc>
        <w:tc>
          <w:tcPr>
            <w:tcW w:w="1540" w:type="dxa"/>
            <w:vAlign w:val="bottom"/>
            <w:gridSpan w:val="3"/>
          </w:tcPr>
          <w:p>
            <w:pPr>
              <w:jc w:val="right"/>
              <w:ind w:right="380"/>
              <w:spacing w:after="0"/>
              <w:rPr>
                <w:sz w:val="20"/>
                <w:szCs w:val="20"/>
                <w:color w:val="auto"/>
              </w:rPr>
            </w:pPr>
            <w:r>
              <w:rPr>
                <w:rFonts w:ascii="Courier New" w:cs="Courier New" w:eastAsia="Courier New" w:hAnsi="Courier New"/>
                <w:sz w:val="12"/>
                <w:szCs w:val="12"/>
                <w:color w:val="auto"/>
                <w:w w:val="99"/>
              </w:rPr>
              <w:t>$[* * *]</w:t>
            </w:r>
          </w:p>
        </w:tc>
      </w:tr>
      <w:tr>
        <w:trPr>
          <w:trHeight w:val="20"/>
        </w:trPr>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29"/>
        </w:trPr>
        <w:tc>
          <w:tcPr>
            <w:tcW w:w="980" w:type="dxa"/>
            <w:vAlign w:val="bottom"/>
          </w:tcPr>
          <w:p>
            <w:pPr>
              <w:spacing w:after="0"/>
              <w:rPr>
                <w:sz w:val="24"/>
                <w:szCs w:val="24"/>
                <w:color w:val="auto"/>
              </w:rPr>
            </w:pPr>
          </w:p>
        </w:tc>
        <w:tc>
          <w:tcPr>
            <w:tcW w:w="4180" w:type="dxa"/>
            <w:vAlign w:val="bottom"/>
            <w:gridSpan w:val="4"/>
          </w:tcPr>
          <w:p>
            <w:pPr>
              <w:ind w:left="220"/>
              <w:spacing w:after="0"/>
              <w:rPr>
                <w:sz w:val="20"/>
                <w:szCs w:val="20"/>
                <w:color w:val="auto"/>
              </w:rPr>
            </w:pPr>
            <w:r>
              <w:rPr>
                <w:rFonts w:ascii="Courier New" w:cs="Courier New" w:eastAsia="Courier New" w:hAnsi="Courier New"/>
                <w:sz w:val="12"/>
                <w:szCs w:val="12"/>
                <w:color w:val="auto"/>
              </w:rPr>
              <w:t>COMMODITY NAME: COVID THERAPEUTIC</w:t>
            </w: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34"/>
        </w:trPr>
        <w:tc>
          <w:tcPr>
            <w:tcW w:w="980" w:type="dxa"/>
            <w:vAlign w:val="bottom"/>
          </w:tcPr>
          <w:p>
            <w:pPr>
              <w:spacing w:after="0"/>
              <w:rPr>
                <w:sz w:val="11"/>
                <w:szCs w:val="11"/>
                <w:color w:val="auto"/>
              </w:rPr>
            </w:pPr>
          </w:p>
        </w:tc>
        <w:tc>
          <w:tcPr>
            <w:tcW w:w="4180" w:type="dxa"/>
            <w:vAlign w:val="bottom"/>
            <w:gridSpan w:val="4"/>
          </w:tcPr>
          <w:p>
            <w:pPr>
              <w:ind w:left="220"/>
              <w:spacing w:after="0" w:line="134" w:lineRule="exact"/>
              <w:rPr>
                <w:sz w:val="20"/>
                <w:szCs w:val="20"/>
                <w:color w:val="auto"/>
              </w:rPr>
            </w:pPr>
            <w:r>
              <w:rPr>
                <w:rFonts w:ascii="Courier New" w:cs="Courier New" w:eastAsia="Courier New" w:hAnsi="Courier New"/>
                <w:sz w:val="12"/>
                <w:szCs w:val="12"/>
                <w:color w:val="auto"/>
              </w:rPr>
              <w:t>CLIN CONTRACT TYPE:</w:t>
            </w: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87"/>
        </w:trPr>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20" w:type="dxa"/>
            <w:vAlign w:val="bottom"/>
            <w:gridSpan w:val="3"/>
          </w:tcPr>
          <w:p>
            <w:pPr>
              <w:ind w:left="380"/>
              <w:spacing w:after="0"/>
              <w:rPr>
                <w:sz w:val="20"/>
                <w:szCs w:val="20"/>
                <w:color w:val="auto"/>
              </w:rPr>
            </w:pPr>
            <w:r>
              <w:rPr>
                <w:rFonts w:ascii="Courier New" w:cs="Courier New" w:eastAsia="Courier New" w:hAnsi="Courier New"/>
                <w:sz w:val="12"/>
                <w:szCs w:val="12"/>
                <w:color w:val="auto"/>
              </w:rPr>
              <w:t>Firm Fixed Price</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47"/>
        </w:trPr>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20" w:type="dxa"/>
            <w:vAlign w:val="bottom"/>
            <w:gridSpan w:val="3"/>
          </w:tcPr>
          <w:p>
            <w:pPr>
              <w:spacing w:after="0"/>
              <w:rPr>
                <w:sz w:val="20"/>
                <w:szCs w:val="20"/>
                <w:color w:val="auto"/>
              </w:rPr>
            </w:pPr>
            <w:r>
              <w:rPr>
                <w:rFonts w:ascii="Courier New" w:cs="Courier New" w:eastAsia="Courier New" w:hAnsi="Courier New"/>
                <w:sz w:val="12"/>
                <w:szCs w:val="12"/>
                <w:color w:val="auto"/>
              </w:rPr>
              <w:t>PRON: CB1RD13635PRON AMD: 03ACRN: AA</w:t>
            </w:r>
          </w:p>
        </w:tc>
        <w:tc>
          <w:tcPr>
            <w:tcW w:w="1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10"/>
        </w:trPr>
        <w:tc>
          <w:tcPr>
            <w:tcW w:w="980" w:type="dxa"/>
            <w:vAlign w:val="bottom"/>
          </w:tcPr>
          <w:p>
            <w:pPr>
              <w:spacing w:after="0"/>
              <w:rPr>
                <w:sz w:val="18"/>
                <w:szCs w:val="18"/>
                <w:color w:val="auto"/>
              </w:rPr>
            </w:pPr>
          </w:p>
        </w:tc>
        <w:tc>
          <w:tcPr>
            <w:tcW w:w="418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PSC: 6505</w:t>
            </w:r>
          </w:p>
        </w:tc>
        <w:tc>
          <w:tcPr>
            <w:tcW w:w="1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57"/>
        </w:trPr>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Courier New" w:cs="Courier New" w:eastAsia="Courier New" w:hAnsi="Courier New"/>
                <w:sz w:val="12"/>
                <w:szCs w:val="12"/>
                <w:color w:val="auto"/>
              </w:rPr>
              <w:t>Packaging and Marking</w:t>
            </w: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75" w:lineRule="exact"/>
        <w:rPr>
          <w:sz w:val="20"/>
          <w:szCs w:val="20"/>
          <w:color w:val="auto"/>
        </w:rPr>
      </w:pPr>
    </w:p>
    <w:p>
      <w:pPr>
        <w:ind w:left="1440"/>
        <w:spacing w:after="0"/>
        <w:rPr>
          <w:sz w:val="20"/>
          <w:szCs w:val="20"/>
          <w:color w:val="auto"/>
        </w:rPr>
      </w:pPr>
      <w:r>
        <w:rPr>
          <w:rFonts w:ascii="Courier New" w:cs="Courier New" w:eastAsia="Courier New" w:hAnsi="Courier New"/>
          <w:sz w:val="12"/>
          <w:szCs w:val="12"/>
          <w:u w:val="single" w:color="auto"/>
          <w:color w:val="auto"/>
        </w:rPr>
        <w:t>Inspection and Acceptance</w:t>
      </w:r>
    </w:p>
    <w:p>
      <w:pPr>
        <w:spacing w:after="0" w:line="47" w:lineRule="exact"/>
        <w:rPr>
          <w:sz w:val="20"/>
          <w:szCs w:val="20"/>
          <w:color w:val="auto"/>
        </w:rPr>
      </w:pPr>
    </w:p>
    <w:tbl>
      <w:tblPr>
        <w:tblLayout w:type="fixed"/>
        <w:tblInd w:w="1440" w:type="dxa"/>
        <w:tblCellMar>
          <w:top w:w="0" w:type="dxa"/>
          <w:left w:w="0" w:type="dxa"/>
          <w:bottom w:w="0" w:type="dxa"/>
          <w:right w:w="0" w:type="dxa"/>
        </w:tblCellMar>
      </w:tblPr>
      <w:tr>
        <w:trPr>
          <w:trHeight w:val="210"/>
        </w:trPr>
        <w:tc>
          <w:tcPr>
            <w:tcW w:w="1740" w:type="dxa"/>
            <w:vAlign w:val="bottom"/>
            <w:gridSpan w:val="8"/>
          </w:tcPr>
          <w:p>
            <w:pPr>
              <w:spacing w:after="0"/>
              <w:rPr>
                <w:sz w:val="20"/>
                <w:szCs w:val="20"/>
                <w:color w:val="auto"/>
              </w:rPr>
            </w:pPr>
            <w:r>
              <w:rPr>
                <w:rFonts w:ascii="Courier New" w:cs="Courier New" w:eastAsia="Courier New" w:hAnsi="Courier New"/>
                <w:sz w:val="12"/>
                <w:szCs w:val="12"/>
                <w:color w:val="auto"/>
              </w:rPr>
              <w:t>INSPECTION: Destination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7"/>
          </w:tcPr>
          <w:p>
            <w:pPr>
              <w:spacing w:after="0"/>
              <w:rPr>
                <w:sz w:val="20"/>
                <w:szCs w:val="20"/>
                <w:color w:val="auto"/>
              </w:rPr>
            </w:pPr>
            <w:r>
              <w:rPr>
                <w:rFonts w:ascii="Courier New" w:cs="Courier New" w:eastAsia="Courier New" w:hAnsi="Courier New"/>
                <w:sz w:val="12"/>
                <w:szCs w:val="12"/>
                <w:color w:val="auto"/>
                <w:w w:val="98"/>
              </w:rPr>
              <w:t>ACCEPTANCE: Destination</w:t>
            </w:r>
          </w:p>
        </w:tc>
      </w:tr>
      <w:tr>
        <w:trPr>
          <w:trHeight w:val="362"/>
        </w:trPr>
        <w:tc>
          <w:tcPr>
            <w:tcW w:w="3620" w:type="dxa"/>
            <w:vAlign w:val="bottom"/>
            <w:gridSpan w:val="17"/>
          </w:tcPr>
          <w:p>
            <w:pPr>
              <w:spacing w:after="0"/>
              <w:rPr>
                <w:sz w:val="20"/>
                <w:szCs w:val="20"/>
                <w:color w:val="auto"/>
              </w:rPr>
            </w:pPr>
            <w:r>
              <w:rPr>
                <w:rFonts w:ascii="Courier New" w:cs="Courier New" w:eastAsia="Courier New" w:hAnsi="Courier New"/>
                <w:sz w:val="12"/>
                <w:szCs w:val="12"/>
                <w:color w:val="auto"/>
              </w:rPr>
              <w:t>Deliveries or Performance</w:t>
            </w:r>
          </w:p>
        </w:tc>
      </w:tr>
      <w:tr>
        <w:trPr>
          <w:trHeight w:val="202"/>
        </w:trPr>
        <w:tc>
          <w:tcPr>
            <w:tcW w:w="480" w:type="dxa"/>
            <w:vAlign w:val="bottom"/>
            <w:tcBorders>
              <w:top w:val="single" w:sz="8" w:color="auto"/>
            </w:tcBorders>
            <w:gridSpan w:val="2"/>
          </w:tcPr>
          <w:p>
            <w:pPr>
              <w:spacing w:after="0"/>
              <w:rPr>
                <w:sz w:val="20"/>
                <w:szCs w:val="20"/>
                <w:color w:val="auto"/>
              </w:rPr>
            </w:pPr>
            <w:r>
              <w:rPr>
                <w:rFonts w:ascii="Courier New" w:cs="Courier New" w:eastAsia="Courier New" w:hAnsi="Courier New"/>
                <w:sz w:val="12"/>
                <w:szCs w:val="12"/>
                <w:color w:val="auto"/>
              </w:rPr>
              <w:t>DOC</w:t>
            </w:r>
          </w:p>
        </w:tc>
        <w:tc>
          <w:tcPr>
            <w:tcW w:w="580" w:type="dxa"/>
            <w:vAlign w:val="bottom"/>
            <w:tcBorders>
              <w:top w:val="single" w:sz="8" w:color="auto"/>
            </w:tcBorders>
            <w:gridSpan w:val="2"/>
          </w:tcPr>
          <w:p>
            <w:pPr>
              <w:ind w:left="40"/>
              <w:spacing w:after="0"/>
              <w:rPr>
                <w:sz w:val="20"/>
                <w:szCs w:val="20"/>
                <w:color w:val="auto"/>
              </w:rPr>
            </w:pPr>
            <w:r>
              <w:rPr>
                <w:rFonts w:ascii="Courier New" w:cs="Courier New" w:eastAsia="Courier New" w:hAnsi="Courier New"/>
                <w:sz w:val="12"/>
                <w:szCs w:val="12"/>
                <w:color w:val="auto"/>
              </w:rPr>
              <w:t>SUPPL</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39"/>
        </w:trPr>
        <w:tc>
          <w:tcPr>
            <w:tcW w:w="440" w:type="dxa"/>
            <w:vAlign w:val="bottom"/>
          </w:tcPr>
          <w:p>
            <w:pPr>
              <w:spacing w:after="0"/>
              <w:rPr>
                <w:sz w:val="20"/>
                <w:szCs w:val="20"/>
                <w:color w:val="auto"/>
              </w:rPr>
            </w:pPr>
            <w:r>
              <w:rPr>
                <w:rFonts w:ascii="Courier New" w:cs="Courier New" w:eastAsia="Courier New" w:hAnsi="Courier New"/>
                <w:sz w:val="12"/>
                <w:szCs w:val="12"/>
                <w:color w:val="auto"/>
                <w:w w:val="97"/>
              </w:rPr>
              <w:t>REL CD</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spacing w:after="0"/>
              <w:rPr>
                <w:sz w:val="20"/>
                <w:szCs w:val="20"/>
                <w:color w:val="auto"/>
              </w:rPr>
            </w:pPr>
            <w:r>
              <w:rPr>
                <w:rFonts w:ascii="Courier New" w:cs="Courier New" w:eastAsia="Courier New" w:hAnsi="Courier New"/>
                <w:sz w:val="12"/>
                <w:szCs w:val="12"/>
                <w:color w:val="auto"/>
              </w:rPr>
              <w:t>MILSTRIP</w:t>
            </w:r>
          </w:p>
        </w:tc>
        <w:tc>
          <w:tcPr>
            <w:tcW w:w="2060" w:type="dxa"/>
            <w:vAlign w:val="bottom"/>
            <w:gridSpan w:val="11"/>
          </w:tcPr>
          <w:p>
            <w:pPr>
              <w:ind w:left="40"/>
              <w:spacing w:after="0"/>
              <w:rPr>
                <w:sz w:val="20"/>
                <w:szCs w:val="20"/>
                <w:color w:val="auto"/>
              </w:rPr>
            </w:pPr>
            <w:r>
              <w:rPr>
                <w:rFonts w:ascii="Courier New" w:cs="Courier New" w:eastAsia="Courier New" w:hAnsi="Courier New"/>
                <w:sz w:val="12"/>
                <w:szCs w:val="12"/>
                <w:color w:val="auto"/>
              </w:rPr>
              <w:t>ADDR SIG CD MARK FOR TP CD</w:t>
            </w:r>
          </w:p>
        </w:tc>
      </w:tr>
      <w:tr>
        <w:trPr>
          <w:trHeight w:val="20"/>
        </w:trPr>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8"/>
        </w:trPr>
        <w:tc>
          <w:tcPr>
            <w:tcW w:w="440" w:type="dxa"/>
            <w:vAlign w:val="bottom"/>
          </w:tcPr>
          <w:p>
            <w:pPr>
              <w:spacing w:after="0"/>
              <w:rPr>
                <w:sz w:val="20"/>
                <w:szCs w:val="20"/>
                <w:color w:val="auto"/>
              </w:rPr>
            </w:pPr>
            <w:r>
              <w:rPr>
                <w:rFonts w:ascii="Courier New" w:cs="Courier New" w:eastAsia="Courier New" w:hAnsi="Courier New"/>
                <w:sz w:val="12"/>
                <w:szCs w:val="12"/>
                <w:color w:val="auto"/>
              </w:rPr>
              <w:t>001</w:t>
            </w:r>
          </w:p>
        </w:tc>
        <w:tc>
          <w:tcPr>
            <w:tcW w:w="40" w:type="dxa"/>
            <w:vAlign w:val="bottom"/>
          </w:tcPr>
          <w:p>
            <w:pPr>
              <w:spacing w:after="0"/>
              <w:rPr>
                <w:sz w:val="20"/>
                <w:szCs w:val="20"/>
                <w:color w:val="auto"/>
              </w:rPr>
            </w:pPr>
          </w:p>
        </w:tc>
        <w:tc>
          <w:tcPr>
            <w:tcW w:w="1080" w:type="dxa"/>
            <w:vAlign w:val="bottom"/>
            <w:gridSpan w:val="4"/>
          </w:tcPr>
          <w:p>
            <w:pPr>
              <w:ind w:left="20"/>
              <w:spacing w:after="0"/>
              <w:rPr>
                <w:sz w:val="20"/>
                <w:szCs w:val="20"/>
                <w:color w:val="auto"/>
              </w:rPr>
            </w:pPr>
            <w:r>
              <w:rPr>
                <w:rFonts w:ascii="Courier New" w:cs="Courier New" w:eastAsia="Courier New" w:hAnsi="Courier New"/>
                <w:sz w:val="12"/>
                <w:szCs w:val="12"/>
                <w:color w:val="auto"/>
              </w:rPr>
              <w:t>W56XNH10011001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9"/>
          </w:tcPr>
          <w:p>
            <w:pPr>
              <w:jc w:val="right"/>
              <w:ind w:right="1080"/>
              <w:spacing w:after="0"/>
              <w:rPr>
                <w:sz w:val="20"/>
                <w:szCs w:val="20"/>
                <w:color w:val="auto"/>
              </w:rPr>
            </w:pPr>
            <w:r>
              <w:rPr>
                <w:rFonts w:ascii="Courier New" w:cs="Courier New" w:eastAsia="Courier New" w:hAnsi="Courier New"/>
                <w:sz w:val="12"/>
                <w:szCs w:val="12"/>
                <w:color w:val="auto"/>
              </w:rPr>
              <w:t>W90ZQ2 J 3</w:t>
            </w:r>
          </w:p>
        </w:tc>
      </w:tr>
      <w:tr>
        <w:trPr>
          <w:trHeight w:val="344"/>
        </w:trPr>
        <w:tc>
          <w:tcPr>
            <w:tcW w:w="740" w:type="dxa"/>
            <w:vAlign w:val="bottom"/>
            <w:gridSpan w:val="3"/>
          </w:tcPr>
          <w:p>
            <w:pPr>
              <w:spacing w:after="0"/>
              <w:rPr>
                <w:sz w:val="20"/>
                <w:szCs w:val="20"/>
                <w:color w:val="auto"/>
              </w:rPr>
            </w:pPr>
            <w:r>
              <w:rPr>
                <w:rFonts w:ascii="Courier New" w:cs="Courier New" w:eastAsia="Courier New" w:hAnsi="Courier New"/>
                <w:sz w:val="12"/>
                <w:szCs w:val="12"/>
                <w:color w:val="auto"/>
                <w:w w:val="97"/>
              </w:rPr>
              <w:t>DEL REL CD</w:t>
            </w:r>
          </w:p>
        </w:tc>
        <w:tc>
          <w:tcPr>
            <w:tcW w:w="32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Courier New" w:cs="Courier New" w:eastAsia="Courier New" w:hAnsi="Courier New"/>
                <w:sz w:val="12"/>
                <w:szCs w:val="12"/>
                <w:color w:val="auto"/>
              </w:rPr>
              <w:t>QUANTITY</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7"/>
          </w:tcPr>
          <w:p>
            <w:pPr>
              <w:jc w:val="right"/>
              <w:ind w:right="1080"/>
              <w:spacing w:after="0"/>
              <w:rPr>
                <w:sz w:val="20"/>
                <w:szCs w:val="20"/>
                <w:color w:val="auto"/>
              </w:rPr>
            </w:pPr>
            <w:r>
              <w:rPr>
                <w:rFonts w:ascii="Courier New" w:cs="Courier New" w:eastAsia="Courier New" w:hAnsi="Courier New"/>
                <w:sz w:val="12"/>
                <w:szCs w:val="12"/>
                <w:color w:val="auto"/>
                <w:w w:val="97"/>
              </w:rPr>
              <w:t>DEL DATE</w:t>
            </w:r>
          </w:p>
        </w:tc>
      </w:tr>
      <w:tr>
        <w:trPr>
          <w:trHeight w:val="20"/>
        </w:trPr>
        <w:tc>
          <w:tcPr>
            <w:tcW w:w="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8"/>
        </w:trPr>
        <w:tc>
          <w:tcPr>
            <w:tcW w:w="440" w:type="dxa"/>
            <w:vAlign w:val="bottom"/>
          </w:tcPr>
          <w:p>
            <w:pPr>
              <w:spacing w:after="0"/>
              <w:rPr>
                <w:sz w:val="20"/>
                <w:szCs w:val="20"/>
                <w:color w:val="auto"/>
              </w:rPr>
            </w:pPr>
            <w:r>
              <w:rPr>
                <w:rFonts w:ascii="Courier New" w:cs="Courier New" w:eastAsia="Courier New" w:hAnsi="Courier New"/>
                <w:sz w:val="12"/>
                <w:szCs w:val="12"/>
                <w:color w:val="auto"/>
              </w:rPr>
              <w:t>001</w:t>
            </w:r>
          </w:p>
        </w:tc>
        <w:tc>
          <w:tcPr>
            <w:tcW w:w="40" w:type="dxa"/>
            <w:vAlign w:val="bottom"/>
          </w:tcPr>
          <w:p>
            <w:pPr>
              <w:spacing w:after="0"/>
              <w:rPr>
                <w:sz w:val="20"/>
                <w:szCs w:val="20"/>
                <w:color w:val="auto"/>
              </w:rPr>
            </w:pPr>
          </w:p>
        </w:tc>
        <w:tc>
          <w:tcPr>
            <w:tcW w:w="58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 * *]</w:t>
            </w:r>
          </w:p>
        </w:tc>
        <w:tc>
          <w:tcPr>
            <w:tcW w:w="900" w:type="dxa"/>
            <w:vAlign w:val="bottom"/>
            <w:gridSpan w:val="6"/>
          </w:tcPr>
          <w:p>
            <w:pPr>
              <w:jc w:val="right"/>
              <w:ind w:right="140"/>
              <w:spacing w:after="0"/>
              <w:rPr>
                <w:sz w:val="20"/>
                <w:szCs w:val="20"/>
                <w:color w:val="auto"/>
              </w:rPr>
            </w:pPr>
            <w:r>
              <w:rPr>
                <w:rFonts w:ascii="Courier New" w:cs="Courier New" w:eastAsia="Courier New" w:hAnsi="Courier New"/>
                <w:sz w:val="12"/>
                <w:szCs w:val="12"/>
                <w:color w:val="auto"/>
              </w:rPr>
              <w:t>[* * *]</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45" w:lineRule="exact"/>
        <w:rPr>
          <w:sz w:val="20"/>
          <w:szCs w:val="20"/>
          <w:color w:val="auto"/>
        </w:rPr>
      </w:pPr>
    </w:p>
    <w:p>
      <w:pPr>
        <w:ind w:left="1440"/>
        <w:spacing w:after="0"/>
        <w:rPr>
          <w:sz w:val="20"/>
          <w:szCs w:val="20"/>
          <w:color w:val="auto"/>
        </w:rPr>
      </w:pPr>
      <w:r>
        <w:rPr>
          <w:rFonts w:ascii="Courier New" w:cs="Courier New" w:eastAsia="Courier New" w:hAnsi="Courier New"/>
          <w:sz w:val="12"/>
          <w:szCs w:val="12"/>
          <w:color w:val="auto"/>
        </w:rPr>
        <w:t>FOB POINT: Destination</w:t>
      </w:r>
    </w:p>
    <w:p>
      <w:pPr>
        <w:spacing w:after="0" w:line="145" w:lineRule="exact"/>
        <w:rPr>
          <w:sz w:val="20"/>
          <w:szCs w:val="20"/>
          <w:color w:val="auto"/>
        </w:rPr>
      </w:pPr>
    </w:p>
    <w:p>
      <w:pPr>
        <w:ind w:left="1440"/>
        <w:spacing w:after="0"/>
        <w:rPr>
          <w:sz w:val="20"/>
          <w:szCs w:val="20"/>
          <w:color w:val="auto"/>
        </w:rPr>
      </w:pPr>
      <w:r>
        <w:rPr>
          <w:rFonts w:ascii="Courier New" w:cs="Courier New" w:eastAsia="Courier New" w:hAnsi="Courier New"/>
          <w:sz w:val="12"/>
          <w:szCs w:val="12"/>
          <w:color w:val="auto"/>
        </w:rPr>
        <w:t>SHIP TO:</w:t>
      </w:r>
    </w:p>
    <w:p>
      <w:pPr>
        <w:spacing w:after="0" w:line="74" w:lineRule="exact"/>
        <w:rPr>
          <w:sz w:val="20"/>
          <w:szCs w:val="20"/>
          <w:color w:val="auto"/>
        </w:rPr>
      </w:pPr>
    </w:p>
    <w:p>
      <w:pPr>
        <w:ind w:left="1440"/>
        <w:spacing w:after="0"/>
        <w:tabs>
          <w:tab w:leader="none" w:pos="2300" w:val="left"/>
        </w:tabs>
        <w:rPr>
          <w:sz w:val="20"/>
          <w:szCs w:val="20"/>
          <w:color w:val="auto"/>
        </w:rPr>
      </w:pPr>
      <w:r>
        <w:rPr>
          <w:rFonts w:ascii="Courier New" w:cs="Courier New" w:eastAsia="Courier New" w:hAnsi="Courier New"/>
          <w:sz w:val="12"/>
          <w:szCs w:val="12"/>
          <w:color w:val="auto"/>
        </w:rPr>
        <w:t>(W90ZQ2)</w:t>
      </w:r>
      <w:r>
        <w:rPr>
          <w:sz w:val="20"/>
          <w:szCs w:val="20"/>
          <w:color w:val="auto"/>
        </w:rPr>
        <w:tab/>
      </w:r>
      <w:r>
        <w:rPr>
          <w:rFonts w:ascii="Courier New" w:cs="Courier New" w:eastAsia="Courier New" w:hAnsi="Courier New"/>
          <w:sz w:val="12"/>
          <w:szCs w:val="12"/>
          <w:color w:val="auto"/>
        </w:rPr>
        <w:t>XR JOINT PROGRAM EX OFC FOR CHEM, B HQ</w:t>
      </w:r>
    </w:p>
    <w:p>
      <w:pPr>
        <w:spacing w:after="0" w:line="51"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JPEO</w:t>
      </w:r>
    </w:p>
    <w:p>
      <w:pPr>
        <w:spacing w:after="0" w:line="25"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5101 HOADLEY ROAD</w:t>
      </w:r>
    </w:p>
    <w:p>
      <w:pPr>
        <w:spacing w:after="0" w:line="25"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ABERDEEN PROVING GROUND,MD,21010-54</w:t>
      </w:r>
    </w:p>
    <w:p>
      <w:pPr>
        <w:spacing w:after="0" w:line="200" w:lineRule="exact"/>
        <w:rPr>
          <w:sz w:val="20"/>
          <w:szCs w:val="20"/>
          <w:color w:val="auto"/>
        </w:rPr>
      </w:pPr>
    </w:p>
    <w:p>
      <w:pPr>
        <w:spacing w:after="0" w:line="217" w:lineRule="exact"/>
        <w:rPr>
          <w:sz w:val="20"/>
          <w:szCs w:val="20"/>
          <w:color w:val="auto"/>
        </w:rPr>
      </w:pPr>
    </w:p>
    <w:p>
      <w:pPr>
        <w:ind w:left="1380"/>
        <w:spacing w:after="0"/>
        <w:rPr>
          <w:sz w:val="20"/>
          <w:szCs w:val="20"/>
          <w:color w:val="auto"/>
        </w:rPr>
      </w:pPr>
      <w:r>
        <w:rPr>
          <w:rFonts w:ascii="Courier New" w:cs="Courier New" w:eastAsia="Courier New" w:hAnsi="Courier New"/>
          <w:sz w:val="12"/>
          <w:szCs w:val="12"/>
          <w:color w:val="auto"/>
        </w:rPr>
        <w:t>The parties will coordinate ordering through centralized</w:t>
      </w:r>
    </w:p>
    <w:p>
      <w:pPr>
        <w:spacing w:after="0" w:line="60" w:lineRule="exact"/>
        <w:rPr>
          <w:sz w:val="20"/>
          <w:szCs w:val="20"/>
          <w:color w:val="auto"/>
        </w:rPr>
      </w:pPr>
    </w:p>
    <w:p>
      <w:pPr>
        <w:ind w:left="1380"/>
        <w:spacing w:after="0"/>
        <w:rPr>
          <w:sz w:val="20"/>
          <w:szCs w:val="20"/>
          <w:color w:val="auto"/>
        </w:rPr>
      </w:pPr>
      <w:r>
        <w:rPr>
          <w:rFonts w:ascii="Courier New" w:cs="Courier New" w:eastAsia="Courier New" w:hAnsi="Courier New"/>
          <w:sz w:val="12"/>
          <w:szCs w:val="12"/>
          <w:color w:val="auto"/>
        </w:rPr>
        <w:t>distribution via the established Memorandum of</w:t>
      </w:r>
    </w:p>
    <w:p>
      <w:pPr>
        <w:spacing w:after="0" w:line="51" w:lineRule="exact"/>
        <w:rPr>
          <w:sz w:val="20"/>
          <w:szCs w:val="20"/>
          <w:color w:val="auto"/>
        </w:rPr>
      </w:pPr>
    </w:p>
    <w:p>
      <w:pPr>
        <w:ind w:left="1380"/>
        <w:spacing w:after="0"/>
        <w:rPr>
          <w:sz w:val="20"/>
          <w:szCs w:val="20"/>
          <w:color w:val="auto"/>
        </w:rPr>
      </w:pPr>
      <w:r>
        <w:rPr>
          <w:rFonts w:ascii="Courier New" w:cs="Courier New" w:eastAsia="Courier New" w:hAnsi="Courier New"/>
          <w:sz w:val="12"/>
          <w:szCs w:val="12"/>
          <w:color w:val="auto"/>
        </w:rPr>
        <w:t>Understanding between Regeneron, ASPR, and</w:t>
      </w:r>
    </w:p>
    <w:p>
      <w:pPr>
        <w:spacing w:after="0" w:line="51" w:lineRule="exact"/>
        <w:rPr>
          <w:sz w:val="20"/>
          <w:szCs w:val="20"/>
          <w:color w:val="auto"/>
        </w:rPr>
      </w:pPr>
    </w:p>
    <w:p>
      <w:pPr>
        <w:ind w:left="1380"/>
        <w:spacing w:after="0"/>
        <w:rPr>
          <w:sz w:val="20"/>
          <w:szCs w:val="20"/>
          <w:color w:val="auto"/>
        </w:rPr>
      </w:pPr>
      <w:r>
        <w:rPr>
          <w:rFonts w:ascii="Courier New" w:cs="Courier New" w:eastAsia="Courier New" w:hAnsi="Courier New"/>
          <w:sz w:val="12"/>
          <w:szCs w:val="12"/>
          <w:color w:val="auto"/>
        </w:rPr>
        <w:t>AmerisourceBergen. Exact ship-to locations for product</w:t>
      </w:r>
    </w:p>
    <w:p>
      <w:pPr>
        <w:spacing w:after="0" w:line="38" w:lineRule="exact"/>
        <w:rPr>
          <w:sz w:val="20"/>
          <w:szCs w:val="20"/>
          <w:color w:val="auto"/>
        </w:rPr>
      </w:pPr>
    </w:p>
    <w:p>
      <w:pPr>
        <w:ind w:left="1380"/>
        <w:spacing w:after="0"/>
        <w:rPr>
          <w:sz w:val="20"/>
          <w:szCs w:val="20"/>
          <w:color w:val="auto"/>
        </w:rPr>
      </w:pPr>
      <w:r>
        <w:rPr>
          <w:rFonts w:ascii="Courier New" w:cs="Courier New" w:eastAsia="Courier New" w:hAnsi="Courier New"/>
          <w:sz w:val="12"/>
          <w:szCs w:val="12"/>
          <w:color w:val="auto"/>
        </w:rPr>
        <w:t>will be identified through this coordinated process.</w:t>
      </w:r>
    </w:p>
    <w:p>
      <w:pPr>
        <w:spacing w:after="0" w:line="150"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(End of narrative F001)</w:t>
      </w:r>
    </w:p>
    <w:p>
      <w:pPr>
        <w:spacing w:after="0" w:line="200" w:lineRule="exact"/>
        <w:rPr>
          <w:sz w:val="20"/>
          <w:szCs w:val="20"/>
          <w:color w:val="auto"/>
        </w:rPr>
      </w:pPr>
    </w:p>
    <w:p>
      <w:pPr>
        <w:spacing w:after="0" w:line="333" w:lineRule="exact"/>
        <w:rPr>
          <w:sz w:val="20"/>
          <w:szCs w:val="20"/>
          <w:color w:val="auto"/>
        </w:rPr>
      </w:pPr>
    </w:p>
    <w:tbl>
      <w:tblPr>
        <w:tblLayout w:type="fixed"/>
        <w:tblInd w:w="320" w:type="dxa"/>
        <w:tblCellMar>
          <w:top w:w="0" w:type="dxa"/>
          <w:left w:w="0" w:type="dxa"/>
          <w:bottom w:w="0" w:type="dxa"/>
          <w:right w:w="0" w:type="dxa"/>
        </w:tblCellMar>
      </w:tblPr>
      <w:tr>
        <w:trPr>
          <w:trHeight w:val="139"/>
        </w:trPr>
        <w:tc>
          <w:tcPr>
            <w:tcW w:w="1120" w:type="dxa"/>
            <w:vAlign w:val="bottom"/>
          </w:tcPr>
          <w:p>
            <w:pPr>
              <w:spacing w:after="0"/>
              <w:rPr>
                <w:sz w:val="20"/>
                <w:szCs w:val="20"/>
                <w:color w:val="auto"/>
              </w:rPr>
            </w:pPr>
            <w:r>
              <w:rPr>
                <w:rFonts w:ascii="Courier New" w:cs="Courier New" w:eastAsia="Courier New" w:hAnsi="Courier New"/>
                <w:sz w:val="12"/>
                <w:szCs w:val="12"/>
                <w:color w:val="auto"/>
              </w:rPr>
              <w:t>0001AB</w:t>
            </w:r>
          </w:p>
        </w:tc>
        <w:tc>
          <w:tcPr>
            <w:tcW w:w="3340" w:type="dxa"/>
            <w:vAlign w:val="bottom"/>
          </w:tcPr>
          <w:p>
            <w:pPr>
              <w:spacing w:after="0"/>
              <w:rPr>
                <w:sz w:val="20"/>
                <w:szCs w:val="20"/>
                <w:color w:val="auto"/>
              </w:rPr>
            </w:pPr>
            <w:r>
              <w:rPr>
                <w:rFonts w:ascii="Courier New" w:cs="Courier New" w:eastAsia="Courier New" w:hAnsi="Courier New"/>
                <w:sz w:val="12"/>
                <w:szCs w:val="12"/>
                <w:color w:val="auto"/>
              </w:rPr>
              <w:t>COVID-19 THERAPEUTIC (REGN10987 AND REGN10933)</w:t>
            </w:r>
          </w:p>
        </w:tc>
        <w:tc>
          <w:tcPr>
            <w:tcW w:w="2000" w:type="dxa"/>
            <w:vAlign w:val="bottom"/>
          </w:tcPr>
          <w:p>
            <w:pPr>
              <w:jc w:val="right"/>
              <w:ind w:right="238"/>
              <w:spacing w:after="0"/>
              <w:rPr>
                <w:sz w:val="20"/>
                <w:szCs w:val="20"/>
                <w:color w:val="auto"/>
              </w:rPr>
            </w:pPr>
            <w:r>
              <w:rPr>
                <w:rFonts w:ascii="Courier New" w:cs="Courier New" w:eastAsia="Courier New" w:hAnsi="Courier New"/>
                <w:sz w:val="12"/>
                <w:szCs w:val="12"/>
                <w:color w:val="auto"/>
              </w:rPr>
              <w:t>[* * *]</w:t>
            </w:r>
          </w:p>
        </w:tc>
        <w:tc>
          <w:tcPr>
            <w:tcW w:w="660" w:type="dxa"/>
            <w:vAlign w:val="bottom"/>
          </w:tcPr>
          <w:p>
            <w:pPr>
              <w:ind w:left="320"/>
              <w:spacing w:after="0"/>
              <w:rPr>
                <w:sz w:val="20"/>
                <w:szCs w:val="20"/>
                <w:color w:val="auto"/>
              </w:rPr>
            </w:pPr>
            <w:r>
              <w:rPr>
                <w:rFonts w:ascii="Courier New" w:cs="Courier New" w:eastAsia="Courier New" w:hAnsi="Courier New"/>
                <w:sz w:val="12"/>
                <w:szCs w:val="12"/>
                <w:color w:val="auto"/>
              </w:rPr>
              <w:t>EA</w:t>
            </w:r>
          </w:p>
        </w:tc>
        <w:tc>
          <w:tcPr>
            <w:tcW w:w="1460" w:type="dxa"/>
            <w:vAlign w:val="bottom"/>
            <w:gridSpan w:val="3"/>
          </w:tcPr>
          <w:p>
            <w:pPr>
              <w:jc w:val="right"/>
              <w:ind w:right="300"/>
              <w:spacing w:after="0"/>
              <w:rPr>
                <w:sz w:val="20"/>
                <w:szCs w:val="20"/>
                <w:color w:val="auto"/>
              </w:rPr>
            </w:pPr>
            <w:r>
              <w:rPr>
                <w:rFonts w:ascii="Courier New" w:cs="Courier New" w:eastAsia="Courier New" w:hAnsi="Courier New"/>
                <w:sz w:val="12"/>
                <w:szCs w:val="12"/>
                <w:color w:val="auto"/>
              </w:rPr>
              <w:t>$ 2,100.00000</w:t>
            </w:r>
          </w:p>
        </w:tc>
        <w:tc>
          <w:tcPr>
            <w:tcW w:w="660" w:type="dxa"/>
            <w:vAlign w:val="bottom"/>
            <w:gridSpan w:val="2"/>
          </w:tcPr>
          <w:p>
            <w:pPr>
              <w:jc w:val="right"/>
              <w:ind w:right="300"/>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5"/>
              </w:rPr>
              <w:t>[* * *]</w:t>
            </w:r>
          </w:p>
        </w:tc>
      </w:tr>
      <w:tr>
        <w:trPr>
          <w:trHeight w:val="20"/>
        </w:trPr>
        <w:tc>
          <w:tcPr>
            <w:tcW w:w="11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89"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COMMODITY NAME: COVID THERAPEUTIC</w:t>
      </w:r>
    </w:p>
    <w:p>
      <w:pPr>
        <w:spacing w:after="0" w:line="31"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CLIN CONTRACT TYPE:</w:t>
      </w:r>
    </w:p>
    <w:p>
      <w:pPr>
        <w:ind w:left="1820"/>
        <w:spacing w:after="0"/>
        <w:rPr>
          <w:sz w:val="20"/>
          <w:szCs w:val="20"/>
          <w:color w:val="auto"/>
        </w:rPr>
      </w:pPr>
      <w:r>
        <w:rPr>
          <w:rFonts w:ascii="Courier New" w:cs="Courier New" w:eastAsia="Courier New" w:hAnsi="Courier New"/>
          <w:sz w:val="12"/>
          <w:szCs w:val="12"/>
          <w:color w:val="auto"/>
        </w:rPr>
        <w:t>Firm Fixed Price</w:t>
      </w:r>
    </w:p>
    <w:p>
      <w:pPr>
        <w:sectPr>
          <w:pgSz w:w="11900" w:h="16838" w:orient="portrait"/>
          <w:cols w:equalWidth="0" w:num="1">
            <w:col w:w="10440"/>
          </w:cols>
          <w:pgMar w:left="320" w:top="146" w:right="11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01"/>
        </w:trPr>
        <w:tc>
          <w:tcPr>
            <w:tcW w:w="3360" w:type="dxa"/>
            <w:vAlign w:val="bottom"/>
            <w:tcBorders>
              <w:top w:val="single" w:sz="8" w:color="auto"/>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20"/>
                <w:szCs w:val="20"/>
                <w:b w:val="1"/>
                <w:bCs w:val="1"/>
                <w:color w:val="auto"/>
              </w:rPr>
              <w:t>CONTINUATION SHEET</w:t>
            </w:r>
          </w:p>
        </w:tc>
        <w:tc>
          <w:tcPr>
            <w:tcW w:w="5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 xml:space="preserve">Page </w:t>
            </w:r>
            <w:r>
              <w:rPr>
                <w:rFonts w:ascii="Times New Roman" w:cs="Times New Roman" w:eastAsia="Times New Roman" w:hAnsi="Times New Roman"/>
                <w:sz w:val="16"/>
                <w:szCs w:val="16"/>
                <w:color w:val="auto"/>
              </w:rPr>
              <w:t>4</w:t>
            </w:r>
            <w:r>
              <w:rPr>
                <w:rFonts w:ascii="Times New Roman" w:cs="Times New Roman" w:eastAsia="Times New Roman" w:hAnsi="Times New Roman"/>
                <w:sz w:val="16"/>
                <w:szCs w:val="16"/>
                <w:b w:val="1"/>
                <w:bCs w:val="1"/>
                <w:color w:val="auto"/>
              </w:rPr>
              <w:t xml:space="preserve"> of </w:t>
            </w:r>
            <w:r>
              <w:rPr>
                <w:rFonts w:ascii="Times New Roman" w:cs="Times New Roman" w:eastAsia="Times New Roman" w:hAnsi="Times New Roman"/>
                <w:sz w:val="16"/>
                <w:szCs w:val="16"/>
                <w:color w:val="auto"/>
              </w:rPr>
              <w:t>7</w:t>
            </w:r>
          </w:p>
        </w:tc>
      </w:tr>
      <w:tr>
        <w:trPr>
          <w:trHeight w:val="134"/>
        </w:trPr>
        <w:tc>
          <w:tcPr>
            <w:tcW w:w="3360" w:type="dxa"/>
            <w:vAlign w:val="bottom"/>
            <w:tcBorders>
              <w:right w:val="single" w:sz="8" w:color="auto"/>
            </w:tcBorders>
          </w:tcPr>
          <w:p>
            <w:pPr>
              <w:spacing w:after="0"/>
              <w:rPr>
                <w:sz w:val="11"/>
                <w:szCs w:val="11"/>
                <w:color w:val="auto"/>
              </w:rPr>
            </w:pPr>
          </w:p>
        </w:tc>
        <w:tc>
          <w:tcPr>
            <w:tcW w:w="526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color w:val="auto"/>
              </w:rPr>
              <w:t>W15QKN-21-C-0014</w:t>
            </w:r>
          </w:p>
        </w:tc>
        <w:tc>
          <w:tcPr>
            <w:tcW w:w="1780" w:type="dxa"/>
            <w:vAlign w:val="bottom"/>
          </w:tcPr>
          <w:p>
            <w:pPr>
              <w:spacing w:after="0"/>
              <w:rPr>
                <w:sz w:val="11"/>
                <w:szCs w:val="11"/>
                <w:color w:val="auto"/>
              </w:rPr>
            </w:pPr>
          </w:p>
        </w:tc>
      </w:tr>
      <w:tr>
        <w:trPr>
          <w:trHeight w:val="212"/>
        </w:trPr>
        <w:tc>
          <w:tcPr>
            <w:tcW w:w="336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PIIN/SIIN MOD/AMD </w:t>
            </w:r>
            <w:r>
              <w:rPr>
                <w:rFonts w:ascii="Times New Roman" w:cs="Times New Roman" w:eastAsia="Times New Roman" w:hAnsi="Times New Roman"/>
                <w:sz w:val="16"/>
                <w:szCs w:val="16"/>
                <w:color w:val="auto"/>
              </w:rPr>
              <w:t>P00001</w:t>
            </w:r>
          </w:p>
        </w:tc>
        <w:tc>
          <w:tcPr>
            <w:tcW w:w="1780" w:type="dxa"/>
            <w:vAlign w:val="bottom"/>
            <w:tcBorders>
              <w:bottom w:val="single" w:sz="8" w:color="auto"/>
            </w:tcBorders>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20"/>
          <w:szCs w:val="20"/>
          <w:b w:val="1"/>
          <w:bCs w:val="1"/>
          <w:color w:val="auto"/>
        </w:rPr>
        <w:t xml:space="preserve">Name of Offeror or Contractor: </w:t>
      </w:r>
      <w:r>
        <w:rPr>
          <w:rFonts w:ascii="Times New Roman" w:cs="Times New Roman" w:eastAsia="Times New Roman" w:hAnsi="Times New Roman"/>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601345</wp:posOffset>
            </wp:positionV>
            <wp:extent cx="6496685" cy="68021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96685" cy="680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200" w:type="dxa"/>
        <w:tblCellMar>
          <w:top w:w="0" w:type="dxa"/>
          <w:left w:w="0" w:type="dxa"/>
          <w:bottom w:w="0" w:type="dxa"/>
          <w:right w:w="0" w:type="dxa"/>
        </w:tblCellMar>
      </w:tblPr>
      <w:tr>
        <w:trPr>
          <w:trHeight w:val="227"/>
        </w:trPr>
        <w:tc>
          <w:tcPr>
            <w:tcW w:w="16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ITEM NO</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SUPPLIES/SERVICES</w:t>
            </w: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6"/>
                <w:szCs w:val="16"/>
                <w:b w:val="1"/>
                <w:bCs w:val="1"/>
                <w:color w:val="auto"/>
              </w:rPr>
              <w:t>QUANTITY    UNIT    UNIT PRICE</w:t>
            </w:r>
          </w:p>
        </w:tc>
        <w:tc>
          <w:tcPr>
            <w:tcW w:w="15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85"/>
        </w:trPr>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8"/>
          </w:tcPr>
          <w:p>
            <w:pPr>
              <w:spacing w:after="0"/>
              <w:rPr>
                <w:sz w:val="20"/>
                <w:szCs w:val="20"/>
                <w:color w:val="auto"/>
              </w:rPr>
            </w:pPr>
            <w:r>
              <w:rPr>
                <w:rFonts w:ascii="Courier New" w:cs="Courier New" w:eastAsia="Courier New" w:hAnsi="Courier New"/>
                <w:sz w:val="12"/>
                <w:szCs w:val="12"/>
                <w:color w:val="auto"/>
              </w:rPr>
              <w:t>PRON: CB1RD14381</w:t>
            </w:r>
          </w:p>
        </w:tc>
        <w:tc>
          <w:tcPr>
            <w:tcW w:w="1260" w:type="dxa"/>
            <w:vAlign w:val="bottom"/>
            <w:gridSpan w:val="6"/>
          </w:tcPr>
          <w:p>
            <w:pPr>
              <w:ind w:left="120"/>
              <w:spacing w:after="0"/>
              <w:rPr>
                <w:sz w:val="20"/>
                <w:szCs w:val="20"/>
                <w:color w:val="auto"/>
              </w:rPr>
            </w:pPr>
            <w:r>
              <w:rPr>
                <w:rFonts w:ascii="Courier New" w:cs="Courier New" w:eastAsia="Courier New" w:hAnsi="Courier New"/>
                <w:sz w:val="12"/>
                <w:szCs w:val="12"/>
                <w:color w:val="auto"/>
              </w:rPr>
              <w:t>PRON AMD: 04</w:t>
            </w:r>
          </w:p>
        </w:tc>
        <w:tc>
          <w:tcPr>
            <w:tcW w:w="4900" w:type="dxa"/>
            <w:vAlign w:val="bottom"/>
            <w:gridSpan w:val="4"/>
          </w:tcPr>
          <w:p>
            <w:pPr>
              <w:ind w:left="20"/>
              <w:spacing w:after="0"/>
              <w:rPr>
                <w:sz w:val="20"/>
                <w:szCs w:val="20"/>
                <w:color w:val="auto"/>
              </w:rPr>
            </w:pPr>
            <w:r>
              <w:rPr>
                <w:rFonts w:ascii="Courier New" w:cs="Courier New" w:eastAsia="Courier New" w:hAnsi="Courier New"/>
                <w:sz w:val="12"/>
                <w:szCs w:val="12"/>
                <w:color w:val="auto"/>
              </w:rPr>
              <w:t>ACRN: AB</w:t>
            </w:r>
          </w:p>
        </w:tc>
        <w:tc>
          <w:tcPr>
            <w:tcW w:w="152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5"/>
          </w:tcPr>
          <w:p>
            <w:pPr>
              <w:spacing w:after="0"/>
              <w:rPr>
                <w:sz w:val="20"/>
                <w:szCs w:val="20"/>
                <w:color w:val="auto"/>
              </w:rPr>
            </w:pPr>
            <w:r>
              <w:rPr>
                <w:rFonts w:ascii="Courier New" w:cs="Courier New" w:eastAsia="Courier New" w:hAnsi="Courier New"/>
                <w:sz w:val="12"/>
                <w:szCs w:val="12"/>
                <w:color w:val="auto"/>
              </w:rPr>
              <w:t>PSC: 6505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57"/>
        </w:trPr>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11"/>
          </w:tcPr>
          <w:p>
            <w:pPr>
              <w:spacing w:after="0"/>
              <w:rPr>
                <w:sz w:val="20"/>
                <w:szCs w:val="20"/>
                <w:color w:val="auto"/>
              </w:rPr>
            </w:pPr>
            <w:r>
              <w:rPr>
                <w:rFonts w:ascii="Courier New" w:cs="Courier New" w:eastAsia="Courier New" w:hAnsi="Courier New"/>
                <w:sz w:val="12"/>
                <w:szCs w:val="12"/>
                <w:color w:val="auto"/>
              </w:rPr>
              <w:t>Packaging and Marking</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08"/>
        </w:trPr>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Borders>
              <w:bottom w:val="single" w:sz="8" w:color="auto"/>
            </w:tcBorders>
            <w:gridSpan w:val="10"/>
          </w:tcPr>
          <w:p>
            <w:pPr>
              <w:spacing w:after="0"/>
              <w:rPr>
                <w:sz w:val="20"/>
                <w:szCs w:val="20"/>
                <w:color w:val="auto"/>
              </w:rPr>
            </w:pPr>
            <w:r>
              <w:rPr>
                <w:rFonts w:ascii="Courier New" w:cs="Courier New" w:eastAsia="Courier New" w:hAnsi="Courier New"/>
                <w:sz w:val="12"/>
                <w:szCs w:val="12"/>
                <w:color w:val="auto"/>
                <w:w w:val="98"/>
              </w:rPr>
              <w:t>Inspection and Acceptance</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1"/>
        </w:trPr>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11"/>
          </w:tcPr>
          <w:p>
            <w:pPr>
              <w:spacing w:after="0"/>
              <w:rPr>
                <w:sz w:val="20"/>
                <w:szCs w:val="20"/>
                <w:color w:val="auto"/>
              </w:rPr>
            </w:pPr>
            <w:r>
              <w:rPr>
                <w:rFonts w:ascii="Courier New" w:cs="Courier New" w:eastAsia="Courier New" w:hAnsi="Courier New"/>
                <w:sz w:val="12"/>
                <w:szCs w:val="12"/>
                <w:color w:val="auto"/>
              </w:rPr>
              <w:t>INSPECTION: Destination</w:t>
            </w:r>
          </w:p>
        </w:tc>
        <w:tc>
          <w:tcPr>
            <w:tcW w:w="5520" w:type="dxa"/>
            <w:vAlign w:val="bottom"/>
            <w:gridSpan w:val="7"/>
          </w:tcPr>
          <w:p>
            <w:pPr>
              <w:spacing w:after="0"/>
              <w:rPr>
                <w:sz w:val="20"/>
                <w:szCs w:val="20"/>
                <w:color w:val="auto"/>
              </w:rPr>
            </w:pPr>
            <w:r>
              <w:rPr>
                <w:rFonts w:ascii="Courier New" w:cs="Courier New" w:eastAsia="Courier New" w:hAnsi="Courier New"/>
                <w:sz w:val="12"/>
                <w:szCs w:val="12"/>
                <w:color w:val="auto"/>
              </w:rPr>
              <w:t>ACCEPTANCE: Destination</w:t>
            </w:r>
          </w:p>
        </w:tc>
        <w:tc>
          <w:tcPr>
            <w:tcW w:w="1520" w:type="dxa"/>
            <w:vAlign w:val="bottom"/>
          </w:tcPr>
          <w:p>
            <w:pPr>
              <w:spacing w:after="0"/>
              <w:rPr>
                <w:sz w:val="21"/>
                <w:szCs w:val="21"/>
                <w:color w:val="auto"/>
              </w:rPr>
            </w:pPr>
          </w:p>
        </w:tc>
      </w:tr>
      <w:tr>
        <w:trPr>
          <w:trHeight w:val="357"/>
        </w:trPr>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11"/>
          </w:tcPr>
          <w:p>
            <w:pPr>
              <w:spacing w:after="0"/>
              <w:rPr>
                <w:sz w:val="20"/>
                <w:szCs w:val="20"/>
                <w:color w:val="auto"/>
              </w:rPr>
            </w:pPr>
            <w:r>
              <w:rPr>
                <w:rFonts w:ascii="Courier New" w:cs="Courier New" w:eastAsia="Courier New" w:hAnsi="Courier New"/>
                <w:sz w:val="12"/>
                <w:szCs w:val="12"/>
                <w:color w:val="auto"/>
              </w:rPr>
              <w:t>Deliveries or Performance</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2"/>
        </w:trPr>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Borders>
              <w:top w:val="single" w:sz="8" w:color="auto"/>
            </w:tcBorders>
            <w:gridSpan w:val="2"/>
          </w:tcPr>
          <w:p>
            <w:pPr>
              <w:spacing w:after="0"/>
              <w:rPr>
                <w:sz w:val="20"/>
                <w:szCs w:val="20"/>
                <w:color w:val="auto"/>
              </w:rPr>
            </w:pPr>
            <w:r>
              <w:rPr>
                <w:rFonts w:ascii="Courier New" w:cs="Courier New" w:eastAsia="Courier New" w:hAnsi="Courier New"/>
                <w:sz w:val="12"/>
                <w:szCs w:val="12"/>
                <w:color w:val="auto"/>
              </w:rPr>
              <w:t>DOC</w:t>
            </w:r>
          </w:p>
        </w:tc>
        <w:tc>
          <w:tcPr>
            <w:tcW w:w="480" w:type="dxa"/>
            <w:vAlign w:val="bottom"/>
            <w:tcBorders>
              <w:top w:val="single" w:sz="8" w:color="auto"/>
            </w:tcBorders>
            <w:gridSpan w:val="3"/>
          </w:tcPr>
          <w:p>
            <w:pPr>
              <w:ind w:left="100"/>
              <w:spacing w:after="0"/>
              <w:rPr>
                <w:sz w:val="20"/>
                <w:szCs w:val="20"/>
                <w:color w:val="auto"/>
              </w:rPr>
            </w:pPr>
            <w:r>
              <w:rPr>
                <w:rFonts w:ascii="Courier New" w:cs="Courier New" w:eastAsia="Courier New" w:hAnsi="Courier New"/>
                <w:sz w:val="12"/>
                <w:szCs w:val="12"/>
                <w:color w:val="auto"/>
                <w:w w:val="99"/>
              </w:rPr>
              <w:t>SUPPL</w:t>
            </w: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139"/>
        </w:trPr>
        <w:tc>
          <w:tcPr>
            <w:tcW w:w="1120" w:type="dxa"/>
            <w:vAlign w:val="bottom"/>
          </w:tcPr>
          <w:p>
            <w:pPr>
              <w:spacing w:after="0"/>
              <w:rPr>
                <w:sz w:val="12"/>
                <w:szCs w:val="12"/>
                <w:color w:val="auto"/>
              </w:rPr>
            </w:pPr>
          </w:p>
        </w:tc>
        <w:tc>
          <w:tcPr>
            <w:tcW w:w="540" w:type="dxa"/>
            <w:vAlign w:val="bottom"/>
            <w:gridSpan w:val="3"/>
          </w:tcPr>
          <w:p>
            <w:pPr>
              <w:spacing w:after="0"/>
              <w:rPr>
                <w:sz w:val="20"/>
                <w:szCs w:val="20"/>
                <w:color w:val="auto"/>
              </w:rPr>
            </w:pPr>
            <w:r>
              <w:rPr>
                <w:rFonts w:ascii="Courier New" w:cs="Courier New" w:eastAsia="Courier New" w:hAnsi="Courier New"/>
                <w:sz w:val="12"/>
                <w:szCs w:val="12"/>
                <w:color w:val="auto"/>
              </w:rPr>
              <w:t>REL CD</w:t>
            </w:r>
          </w:p>
        </w:tc>
        <w:tc>
          <w:tcPr>
            <w:tcW w:w="900" w:type="dxa"/>
            <w:vAlign w:val="bottom"/>
            <w:gridSpan w:val="6"/>
          </w:tcPr>
          <w:p>
            <w:pPr>
              <w:jc w:val="center"/>
              <w:spacing w:after="0"/>
              <w:rPr>
                <w:sz w:val="20"/>
                <w:szCs w:val="20"/>
                <w:color w:val="auto"/>
              </w:rPr>
            </w:pPr>
            <w:r>
              <w:rPr>
                <w:rFonts w:ascii="Courier New" w:cs="Courier New" w:eastAsia="Courier New" w:hAnsi="Courier New"/>
                <w:sz w:val="12"/>
                <w:szCs w:val="12"/>
                <w:color w:val="auto"/>
              </w:rPr>
              <w:t>MILSTRIP</w:t>
            </w:r>
          </w:p>
        </w:tc>
        <w:tc>
          <w:tcPr>
            <w:tcW w:w="6160" w:type="dxa"/>
            <w:vAlign w:val="bottom"/>
            <w:gridSpan w:val="10"/>
          </w:tcPr>
          <w:p>
            <w:pPr>
              <w:ind w:left="160"/>
              <w:spacing w:after="0"/>
              <w:rPr>
                <w:sz w:val="20"/>
                <w:szCs w:val="20"/>
                <w:color w:val="auto"/>
              </w:rPr>
            </w:pPr>
            <w:r>
              <w:rPr>
                <w:rFonts w:ascii="Courier New" w:cs="Courier New" w:eastAsia="Courier New" w:hAnsi="Courier New"/>
                <w:sz w:val="12"/>
                <w:szCs w:val="12"/>
                <w:color w:val="auto"/>
              </w:rPr>
              <w:t>ADDR SIG CD MARK FOR TP CD</w:t>
            </w:r>
          </w:p>
        </w:tc>
        <w:tc>
          <w:tcPr>
            <w:tcW w:w="1520" w:type="dxa"/>
            <w:vAlign w:val="bottom"/>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42"/>
        </w:trPr>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11"/>
          </w:tcPr>
          <w:p>
            <w:pPr>
              <w:ind w:left="60"/>
              <w:spacing w:after="0"/>
              <w:rPr>
                <w:sz w:val="20"/>
                <w:szCs w:val="20"/>
                <w:color w:val="auto"/>
              </w:rPr>
            </w:pPr>
            <w:r>
              <w:rPr>
                <w:rFonts w:ascii="Courier New" w:cs="Courier New" w:eastAsia="Courier New" w:hAnsi="Courier New"/>
                <w:sz w:val="12"/>
                <w:szCs w:val="12"/>
                <w:color w:val="auto"/>
              </w:rPr>
              <w:t>001 W56XNH10011002 W90ZQ2</w:t>
            </w:r>
          </w:p>
        </w:tc>
        <w:tc>
          <w:tcPr>
            <w:tcW w:w="620" w:type="dxa"/>
            <w:vAlign w:val="bottom"/>
            <w:gridSpan w:val="3"/>
          </w:tcPr>
          <w:p>
            <w:pPr>
              <w:ind w:left="220"/>
              <w:spacing w:after="0"/>
              <w:rPr>
                <w:sz w:val="20"/>
                <w:szCs w:val="20"/>
                <w:color w:val="auto"/>
              </w:rPr>
            </w:pPr>
            <w:r>
              <w:rPr>
                <w:rFonts w:ascii="Courier New" w:cs="Courier New" w:eastAsia="Courier New" w:hAnsi="Courier New"/>
                <w:sz w:val="12"/>
                <w:szCs w:val="12"/>
                <w:color w:val="auto"/>
              </w:rPr>
              <w:t>J 3</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139"/>
        </w:trPr>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5"/>
          </w:tcPr>
          <w:p>
            <w:pPr>
              <w:spacing w:after="0"/>
              <w:rPr>
                <w:sz w:val="20"/>
                <w:szCs w:val="20"/>
                <w:color w:val="auto"/>
              </w:rPr>
            </w:pPr>
            <w:r>
              <w:rPr>
                <w:rFonts w:ascii="Courier New" w:cs="Courier New" w:eastAsia="Courier New" w:hAnsi="Courier New"/>
                <w:sz w:val="12"/>
                <w:szCs w:val="12"/>
                <w:color w:val="auto"/>
              </w:rPr>
              <w:t>DEL REL CD</w:t>
            </w:r>
          </w:p>
        </w:tc>
        <w:tc>
          <w:tcPr>
            <w:tcW w:w="120" w:type="dxa"/>
            <w:vAlign w:val="bottom"/>
          </w:tcPr>
          <w:p>
            <w:pPr>
              <w:spacing w:after="0"/>
              <w:rPr>
                <w:sz w:val="12"/>
                <w:szCs w:val="12"/>
                <w:color w:val="auto"/>
              </w:rPr>
            </w:pPr>
          </w:p>
        </w:tc>
        <w:tc>
          <w:tcPr>
            <w:tcW w:w="94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QUANTITY</w:t>
            </w:r>
          </w:p>
        </w:tc>
        <w:tc>
          <w:tcPr>
            <w:tcW w:w="300" w:type="dxa"/>
            <w:vAlign w:val="bottom"/>
          </w:tcPr>
          <w:p>
            <w:pPr>
              <w:spacing w:after="0"/>
              <w:rPr>
                <w:sz w:val="12"/>
                <w:szCs w:val="12"/>
                <w:color w:val="auto"/>
              </w:rPr>
            </w:pPr>
          </w:p>
        </w:tc>
        <w:tc>
          <w:tcPr>
            <w:tcW w:w="5220" w:type="dxa"/>
            <w:vAlign w:val="bottom"/>
            <w:gridSpan w:val="6"/>
          </w:tcPr>
          <w:p>
            <w:pPr>
              <w:ind w:left="60"/>
              <w:spacing w:after="0"/>
              <w:rPr>
                <w:sz w:val="20"/>
                <w:szCs w:val="20"/>
                <w:color w:val="auto"/>
              </w:rPr>
            </w:pPr>
            <w:r>
              <w:rPr>
                <w:rFonts w:ascii="Courier New" w:cs="Courier New" w:eastAsia="Courier New" w:hAnsi="Courier New"/>
                <w:sz w:val="12"/>
                <w:szCs w:val="12"/>
                <w:color w:val="auto"/>
              </w:rPr>
              <w:t>DEL DATE</w:t>
            </w:r>
          </w:p>
        </w:tc>
        <w:tc>
          <w:tcPr>
            <w:tcW w:w="1520" w:type="dxa"/>
            <w:vAlign w:val="bottom"/>
          </w:tcPr>
          <w:p>
            <w:pPr>
              <w:spacing w:after="0"/>
              <w:rPr>
                <w:sz w:val="12"/>
                <w:szCs w:val="12"/>
                <w:color w:val="auto"/>
              </w:rPr>
            </w:pPr>
          </w:p>
        </w:tc>
      </w:tr>
      <w:tr>
        <w:trPr>
          <w:trHeight w:val="20"/>
        </w:trPr>
        <w:tc>
          <w:tcPr>
            <w:tcW w:w="1260" w:type="dxa"/>
            <w:vAlign w:val="bottom"/>
            <w:gridSpan w:val="2"/>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1"/>
        </w:trPr>
        <w:tc>
          <w:tcPr>
            <w:tcW w:w="1260" w:type="dxa"/>
            <w:vAlign w:val="bottom"/>
            <w:gridSpan w:val="2"/>
          </w:tcPr>
          <w:p>
            <w:pPr>
              <w:spacing w:after="0"/>
              <w:rPr>
                <w:sz w:val="21"/>
                <w:szCs w:val="21"/>
                <w:color w:val="auto"/>
              </w:rPr>
            </w:pPr>
          </w:p>
        </w:tc>
        <w:tc>
          <w:tcPr>
            <w:tcW w:w="1800" w:type="dxa"/>
            <w:vAlign w:val="bottom"/>
            <w:gridSpan w:val="10"/>
          </w:tcPr>
          <w:p>
            <w:pPr>
              <w:jc w:val="right"/>
              <w:ind w:right="220"/>
              <w:spacing w:after="0"/>
              <w:rPr>
                <w:sz w:val="20"/>
                <w:szCs w:val="20"/>
                <w:color w:val="auto"/>
              </w:rPr>
            </w:pPr>
            <w:r>
              <w:rPr>
                <w:rFonts w:ascii="Courier New" w:cs="Courier New" w:eastAsia="Courier New" w:hAnsi="Courier New"/>
                <w:sz w:val="12"/>
                <w:szCs w:val="12"/>
                <w:color w:val="auto"/>
              </w:rPr>
              <w:t>001 [* * *] [* *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spacing w:after="0" w:line="218" w:lineRule="exact"/>
        <w:rPr>
          <w:sz w:val="20"/>
          <w:szCs w:val="20"/>
          <w:color w:val="auto"/>
        </w:rPr>
      </w:pPr>
    </w:p>
    <w:p>
      <w:pPr>
        <w:ind w:left="1440"/>
        <w:spacing w:after="0"/>
        <w:rPr>
          <w:sz w:val="20"/>
          <w:szCs w:val="20"/>
          <w:color w:val="auto"/>
        </w:rPr>
      </w:pPr>
      <w:r>
        <w:rPr>
          <w:rFonts w:ascii="Courier New" w:cs="Courier New" w:eastAsia="Courier New" w:hAnsi="Courier New"/>
          <w:sz w:val="12"/>
          <w:szCs w:val="12"/>
          <w:color w:val="auto"/>
        </w:rPr>
        <w:t>FOB POINT: Destination</w:t>
      </w:r>
    </w:p>
    <w:p>
      <w:pPr>
        <w:spacing w:after="0" w:line="145" w:lineRule="exact"/>
        <w:rPr>
          <w:sz w:val="20"/>
          <w:szCs w:val="20"/>
          <w:color w:val="auto"/>
        </w:rPr>
      </w:pPr>
    </w:p>
    <w:p>
      <w:pPr>
        <w:ind w:left="1440"/>
        <w:spacing w:after="0"/>
        <w:rPr>
          <w:sz w:val="20"/>
          <w:szCs w:val="20"/>
          <w:color w:val="auto"/>
        </w:rPr>
      </w:pPr>
      <w:r>
        <w:rPr>
          <w:rFonts w:ascii="Courier New" w:cs="Courier New" w:eastAsia="Courier New" w:hAnsi="Courier New"/>
          <w:sz w:val="12"/>
          <w:szCs w:val="12"/>
          <w:color w:val="auto"/>
        </w:rPr>
        <w:t>SHIP TO:</w:t>
      </w:r>
    </w:p>
    <w:p>
      <w:pPr>
        <w:spacing w:after="0" w:line="74" w:lineRule="exact"/>
        <w:rPr>
          <w:sz w:val="20"/>
          <w:szCs w:val="20"/>
          <w:color w:val="auto"/>
        </w:rPr>
      </w:pPr>
    </w:p>
    <w:p>
      <w:pPr>
        <w:ind w:left="1440"/>
        <w:spacing w:after="0"/>
        <w:tabs>
          <w:tab w:leader="none" w:pos="2300" w:val="left"/>
        </w:tabs>
        <w:rPr>
          <w:sz w:val="20"/>
          <w:szCs w:val="20"/>
          <w:color w:val="auto"/>
        </w:rPr>
      </w:pPr>
      <w:r>
        <w:rPr>
          <w:rFonts w:ascii="Courier New" w:cs="Courier New" w:eastAsia="Courier New" w:hAnsi="Courier New"/>
          <w:sz w:val="12"/>
          <w:szCs w:val="12"/>
          <w:color w:val="auto"/>
        </w:rPr>
        <w:t>(W90ZQ2)</w:t>
      </w:r>
      <w:r>
        <w:rPr>
          <w:sz w:val="20"/>
          <w:szCs w:val="20"/>
          <w:color w:val="auto"/>
        </w:rPr>
        <w:tab/>
      </w:r>
      <w:r>
        <w:rPr>
          <w:rFonts w:ascii="Courier New" w:cs="Courier New" w:eastAsia="Courier New" w:hAnsi="Courier New"/>
          <w:sz w:val="12"/>
          <w:szCs w:val="12"/>
          <w:color w:val="auto"/>
        </w:rPr>
        <w:t>XR JOINT PROGRAM EX OFC FOR CHEM, B</w:t>
      </w:r>
    </w:p>
    <w:p>
      <w:pPr>
        <w:spacing w:after="0" w:line="65"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HQ JPEO</w:t>
      </w:r>
    </w:p>
    <w:p>
      <w:pPr>
        <w:spacing w:after="0" w:line="65"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5101 HOADLEY ROAD</w:t>
      </w:r>
    </w:p>
    <w:p>
      <w:pPr>
        <w:spacing w:after="0" w:line="65"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ABERDEEN PROVING GROUND,MD,21010-54</w:t>
      </w:r>
    </w:p>
    <w:p>
      <w:pPr>
        <w:spacing w:after="0" w:line="200" w:lineRule="exact"/>
        <w:rPr>
          <w:sz w:val="20"/>
          <w:szCs w:val="20"/>
          <w:color w:val="auto"/>
        </w:rPr>
      </w:pP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2"/>
          <w:szCs w:val="12"/>
          <w:color w:val="auto"/>
        </w:rPr>
        <w:t>The parties will coordinate ordering through</w:t>
      </w:r>
    </w:p>
    <w:p>
      <w:pPr>
        <w:spacing w:after="0" w:line="74" w:lineRule="exact"/>
        <w:rPr>
          <w:sz w:val="20"/>
          <w:szCs w:val="20"/>
          <w:color w:val="auto"/>
        </w:rPr>
      </w:pPr>
    </w:p>
    <w:p>
      <w:pPr>
        <w:ind w:left="1380"/>
        <w:spacing w:after="0"/>
        <w:rPr>
          <w:sz w:val="20"/>
          <w:szCs w:val="20"/>
          <w:color w:val="auto"/>
        </w:rPr>
      </w:pPr>
      <w:r>
        <w:rPr>
          <w:rFonts w:ascii="Courier New" w:cs="Courier New" w:eastAsia="Courier New" w:hAnsi="Courier New"/>
          <w:sz w:val="12"/>
          <w:szCs w:val="12"/>
          <w:color w:val="auto"/>
        </w:rPr>
        <w:t>centralized distribution via the established</w:t>
      </w:r>
    </w:p>
    <w:p>
      <w:pPr>
        <w:spacing w:after="0" w:line="65" w:lineRule="exact"/>
        <w:rPr>
          <w:sz w:val="20"/>
          <w:szCs w:val="20"/>
          <w:color w:val="auto"/>
        </w:rPr>
      </w:pPr>
    </w:p>
    <w:p>
      <w:pPr>
        <w:ind w:left="1380"/>
        <w:spacing w:after="0"/>
        <w:rPr>
          <w:sz w:val="20"/>
          <w:szCs w:val="20"/>
          <w:color w:val="auto"/>
        </w:rPr>
      </w:pPr>
      <w:r>
        <w:rPr>
          <w:rFonts w:ascii="Courier New" w:cs="Courier New" w:eastAsia="Courier New" w:hAnsi="Courier New"/>
          <w:sz w:val="12"/>
          <w:szCs w:val="12"/>
          <w:color w:val="auto"/>
        </w:rPr>
        <w:t>Memorandum of Understanding between Regeneron, ASPR,</w:t>
      </w:r>
    </w:p>
    <w:p>
      <w:pPr>
        <w:spacing w:after="0" w:line="65" w:lineRule="exact"/>
        <w:rPr>
          <w:sz w:val="20"/>
          <w:szCs w:val="20"/>
          <w:color w:val="auto"/>
        </w:rPr>
      </w:pPr>
    </w:p>
    <w:p>
      <w:pPr>
        <w:ind w:left="1380"/>
        <w:spacing w:after="0"/>
        <w:rPr>
          <w:sz w:val="20"/>
          <w:szCs w:val="20"/>
          <w:color w:val="auto"/>
        </w:rPr>
      </w:pPr>
      <w:r>
        <w:rPr>
          <w:rFonts w:ascii="Courier New" w:cs="Courier New" w:eastAsia="Courier New" w:hAnsi="Courier New"/>
          <w:sz w:val="12"/>
          <w:szCs w:val="12"/>
          <w:color w:val="auto"/>
        </w:rPr>
        <w:t>and AmerisourceBergen. Exact ship-to locations for</w:t>
      </w:r>
    </w:p>
    <w:p>
      <w:pPr>
        <w:spacing w:after="0" w:line="65" w:lineRule="exact"/>
        <w:rPr>
          <w:sz w:val="20"/>
          <w:szCs w:val="20"/>
          <w:color w:val="auto"/>
        </w:rPr>
      </w:pPr>
    </w:p>
    <w:p>
      <w:pPr>
        <w:ind w:left="1380"/>
        <w:spacing w:after="0"/>
        <w:rPr>
          <w:sz w:val="20"/>
          <w:szCs w:val="20"/>
          <w:color w:val="auto"/>
        </w:rPr>
      </w:pPr>
      <w:r>
        <w:rPr>
          <w:rFonts w:ascii="Courier New" w:cs="Courier New" w:eastAsia="Courier New" w:hAnsi="Courier New"/>
          <w:sz w:val="12"/>
          <w:szCs w:val="12"/>
          <w:color w:val="auto"/>
        </w:rPr>
        <w:t>product will be identified through this coordinated</w:t>
      </w:r>
    </w:p>
    <w:p>
      <w:pPr>
        <w:spacing w:after="0" w:line="51" w:lineRule="exact"/>
        <w:rPr>
          <w:sz w:val="20"/>
          <w:szCs w:val="20"/>
          <w:color w:val="auto"/>
        </w:rPr>
      </w:pPr>
    </w:p>
    <w:p>
      <w:pPr>
        <w:ind w:left="1380"/>
        <w:spacing w:after="0"/>
        <w:rPr>
          <w:sz w:val="20"/>
          <w:szCs w:val="20"/>
          <w:color w:val="auto"/>
        </w:rPr>
      </w:pPr>
      <w:r>
        <w:rPr>
          <w:rFonts w:ascii="Courier New" w:cs="Courier New" w:eastAsia="Courier New" w:hAnsi="Courier New"/>
          <w:sz w:val="12"/>
          <w:szCs w:val="12"/>
          <w:color w:val="auto"/>
        </w:rPr>
        <w:t>process.</w:t>
      </w:r>
    </w:p>
    <w:p>
      <w:pPr>
        <w:spacing w:after="0" w:line="123"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(End of narrative F001)</w:t>
      </w:r>
    </w:p>
    <w:p>
      <w:pPr>
        <w:spacing w:after="0" w:line="200" w:lineRule="exact"/>
        <w:rPr>
          <w:sz w:val="20"/>
          <w:szCs w:val="20"/>
          <w:color w:val="auto"/>
        </w:rPr>
      </w:pPr>
    </w:p>
    <w:p>
      <w:pPr>
        <w:spacing w:after="0" w:line="333" w:lineRule="exact"/>
        <w:rPr>
          <w:sz w:val="20"/>
          <w:szCs w:val="20"/>
          <w:color w:val="auto"/>
        </w:rPr>
      </w:pPr>
    </w:p>
    <w:tbl>
      <w:tblPr>
        <w:tblLayout w:type="fixed"/>
        <w:tblInd w:w="320" w:type="dxa"/>
        <w:tblCellMar>
          <w:top w:w="0" w:type="dxa"/>
          <w:left w:w="0" w:type="dxa"/>
          <w:bottom w:w="0" w:type="dxa"/>
          <w:right w:w="0" w:type="dxa"/>
        </w:tblCellMar>
      </w:tblPr>
      <w:tr>
        <w:trPr>
          <w:trHeight w:val="139"/>
        </w:trPr>
        <w:tc>
          <w:tcPr>
            <w:tcW w:w="1120" w:type="dxa"/>
            <w:vAlign w:val="bottom"/>
          </w:tcPr>
          <w:p>
            <w:pPr>
              <w:spacing w:after="0"/>
              <w:rPr>
                <w:sz w:val="20"/>
                <w:szCs w:val="20"/>
                <w:color w:val="auto"/>
              </w:rPr>
            </w:pPr>
            <w:r>
              <w:rPr>
                <w:rFonts w:ascii="Courier New" w:cs="Courier New" w:eastAsia="Courier New" w:hAnsi="Courier New"/>
                <w:sz w:val="12"/>
                <w:szCs w:val="12"/>
                <w:color w:val="auto"/>
              </w:rPr>
              <w:t>0001AC</w:t>
            </w:r>
          </w:p>
        </w:tc>
        <w:tc>
          <w:tcPr>
            <w:tcW w:w="3340" w:type="dxa"/>
            <w:vAlign w:val="bottom"/>
          </w:tcPr>
          <w:p>
            <w:pPr>
              <w:spacing w:after="0"/>
              <w:rPr>
                <w:sz w:val="20"/>
                <w:szCs w:val="20"/>
                <w:color w:val="auto"/>
              </w:rPr>
            </w:pPr>
            <w:r>
              <w:rPr>
                <w:rFonts w:ascii="Courier New" w:cs="Courier New" w:eastAsia="Courier New" w:hAnsi="Courier New"/>
                <w:sz w:val="12"/>
                <w:szCs w:val="12"/>
                <w:color w:val="auto"/>
              </w:rPr>
              <w:t>COVID-19 THERAPEUTIC (REGN10987 AND REGN10933)</w:t>
            </w:r>
          </w:p>
        </w:tc>
        <w:tc>
          <w:tcPr>
            <w:tcW w:w="2000" w:type="dxa"/>
            <w:vAlign w:val="bottom"/>
          </w:tcPr>
          <w:p>
            <w:pPr>
              <w:jc w:val="right"/>
              <w:ind w:right="238"/>
              <w:spacing w:after="0"/>
              <w:rPr>
                <w:sz w:val="20"/>
                <w:szCs w:val="20"/>
                <w:color w:val="auto"/>
              </w:rPr>
            </w:pPr>
            <w:r>
              <w:rPr>
                <w:rFonts w:ascii="Courier New" w:cs="Courier New" w:eastAsia="Courier New" w:hAnsi="Courier New"/>
                <w:sz w:val="12"/>
                <w:szCs w:val="12"/>
                <w:color w:val="auto"/>
              </w:rPr>
              <w:t>[* * *]</w:t>
            </w:r>
          </w:p>
        </w:tc>
        <w:tc>
          <w:tcPr>
            <w:tcW w:w="660" w:type="dxa"/>
            <w:vAlign w:val="bottom"/>
          </w:tcPr>
          <w:p>
            <w:pPr>
              <w:ind w:left="320"/>
              <w:spacing w:after="0"/>
              <w:rPr>
                <w:sz w:val="20"/>
                <w:szCs w:val="20"/>
                <w:color w:val="auto"/>
              </w:rPr>
            </w:pPr>
            <w:r>
              <w:rPr>
                <w:rFonts w:ascii="Courier New" w:cs="Courier New" w:eastAsia="Courier New" w:hAnsi="Courier New"/>
                <w:sz w:val="12"/>
                <w:szCs w:val="12"/>
                <w:color w:val="auto"/>
              </w:rPr>
              <w:t>EA</w:t>
            </w:r>
          </w:p>
        </w:tc>
        <w:tc>
          <w:tcPr>
            <w:tcW w:w="1460" w:type="dxa"/>
            <w:vAlign w:val="bottom"/>
            <w:gridSpan w:val="3"/>
          </w:tcPr>
          <w:p>
            <w:pPr>
              <w:jc w:val="right"/>
              <w:ind w:right="300"/>
              <w:spacing w:after="0"/>
              <w:rPr>
                <w:sz w:val="20"/>
                <w:szCs w:val="20"/>
                <w:color w:val="auto"/>
              </w:rPr>
            </w:pPr>
            <w:r>
              <w:rPr>
                <w:rFonts w:ascii="Courier New" w:cs="Courier New" w:eastAsia="Courier New" w:hAnsi="Courier New"/>
                <w:sz w:val="12"/>
                <w:szCs w:val="12"/>
                <w:color w:val="auto"/>
              </w:rPr>
              <w:t>$ 2,100.00000</w:t>
            </w:r>
          </w:p>
        </w:tc>
        <w:tc>
          <w:tcPr>
            <w:tcW w:w="660" w:type="dxa"/>
            <w:vAlign w:val="bottom"/>
            <w:gridSpan w:val="2"/>
          </w:tcPr>
          <w:p>
            <w:pPr>
              <w:jc w:val="right"/>
              <w:ind w:right="300"/>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5"/>
              </w:rPr>
              <w:t>[* * *]</w:t>
            </w:r>
          </w:p>
        </w:tc>
      </w:tr>
      <w:tr>
        <w:trPr>
          <w:trHeight w:val="20"/>
        </w:trPr>
        <w:tc>
          <w:tcPr>
            <w:tcW w:w="11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62" w:lineRule="exact"/>
        <w:rPr>
          <w:sz w:val="20"/>
          <w:szCs w:val="20"/>
          <w:color w:val="auto"/>
        </w:rPr>
      </w:pPr>
    </w:p>
    <w:p>
      <w:pPr>
        <w:ind w:left="1440"/>
        <w:spacing w:after="0"/>
        <w:rPr>
          <w:sz w:val="20"/>
          <w:szCs w:val="20"/>
          <w:color w:val="auto"/>
        </w:rPr>
      </w:pPr>
      <w:r>
        <w:rPr>
          <w:rFonts w:ascii="Courier New" w:cs="Courier New" w:eastAsia="Courier New" w:hAnsi="Courier New"/>
          <w:sz w:val="12"/>
          <w:szCs w:val="12"/>
          <w:color w:val="auto"/>
        </w:rPr>
        <w:t>COMMODITY NAME: COVID THERAPEUTIC</w:t>
      </w:r>
    </w:p>
    <w:p>
      <w:pPr>
        <w:spacing w:after="0" w:line="74" w:lineRule="exact"/>
        <w:rPr>
          <w:sz w:val="20"/>
          <w:szCs w:val="20"/>
          <w:color w:val="auto"/>
        </w:rPr>
      </w:pPr>
    </w:p>
    <w:p>
      <w:pPr>
        <w:ind w:left="1440"/>
        <w:spacing w:after="0"/>
        <w:rPr>
          <w:sz w:val="20"/>
          <w:szCs w:val="20"/>
          <w:color w:val="auto"/>
        </w:rPr>
      </w:pPr>
      <w:r>
        <w:rPr>
          <w:rFonts w:ascii="Courier New" w:cs="Courier New" w:eastAsia="Courier New" w:hAnsi="Courier New"/>
          <w:sz w:val="12"/>
          <w:szCs w:val="12"/>
          <w:color w:val="auto"/>
        </w:rPr>
        <w:t>CLIN CONTRACT TYPE:</w:t>
      </w:r>
    </w:p>
    <w:p>
      <w:pPr>
        <w:spacing w:after="0" w:line="65" w:lineRule="exact"/>
        <w:rPr>
          <w:sz w:val="20"/>
          <w:szCs w:val="20"/>
          <w:color w:val="auto"/>
        </w:rPr>
      </w:pPr>
    </w:p>
    <w:p>
      <w:pPr>
        <w:ind w:left="1820"/>
        <w:spacing w:after="0"/>
        <w:rPr>
          <w:sz w:val="20"/>
          <w:szCs w:val="20"/>
          <w:color w:val="auto"/>
        </w:rPr>
      </w:pPr>
      <w:r>
        <w:rPr>
          <w:rFonts w:ascii="Courier New" w:cs="Courier New" w:eastAsia="Courier New" w:hAnsi="Courier New"/>
          <w:sz w:val="12"/>
          <w:szCs w:val="12"/>
          <w:color w:val="auto"/>
        </w:rPr>
        <w:t>Firm Fixed Price</w:t>
      </w:r>
    </w:p>
    <w:p>
      <w:pPr>
        <w:spacing w:after="0" w:line="65" w:lineRule="exact"/>
        <w:rPr>
          <w:sz w:val="20"/>
          <w:szCs w:val="20"/>
          <w:color w:val="auto"/>
        </w:rPr>
      </w:pPr>
    </w:p>
    <w:p>
      <w:pPr>
        <w:ind w:left="1440"/>
        <w:spacing w:after="0"/>
        <w:tabs>
          <w:tab w:leader="none" w:pos="2860" w:val="left"/>
          <w:tab w:leader="none" w:pos="4020" w:val="left"/>
        </w:tabs>
        <w:rPr>
          <w:sz w:val="20"/>
          <w:szCs w:val="20"/>
          <w:color w:val="auto"/>
        </w:rPr>
      </w:pPr>
      <w:r>
        <w:rPr>
          <w:rFonts w:ascii="Courier New" w:cs="Courier New" w:eastAsia="Courier New" w:hAnsi="Courier New"/>
          <w:sz w:val="12"/>
          <w:szCs w:val="12"/>
          <w:color w:val="auto"/>
        </w:rPr>
        <w:t>PRON: CB1RD41544</w:t>
      </w:r>
      <w:r>
        <w:rPr>
          <w:sz w:val="20"/>
          <w:szCs w:val="20"/>
          <w:color w:val="auto"/>
        </w:rPr>
        <w:tab/>
      </w:r>
      <w:r>
        <w:rPr>
          <w:rFonts w:ascii="Courier New" w:cs="Courier New" w:eastAsia="Courier New" w:hAnsi="Courier New"/>
          <w:sz w:val="12"/>
          <w:szCs w:val="12"/>
          <w:color w:val="auto"/>
        </w:rPr>
        <w:t>PRON AMD: 04</w:t>
      </w:r>
      <w:r>
        <w:rPr>
          <w:sz w:val="20"/>
          <w:szCs w:val="20"/>
          <w:color w:val="auto"/>
        </w:rPr>
        <w:tab/>
      </w:r>
      <w:r>
        <w:rPr>
          <w:rFonts w:ascii="Courier New" w:cs="Courier New" w:eastAsia="Courier New" w:hAnsi="Courier New"/>
          <w:sz w:val="12"/>
          <w:szCs w:val="12"/>
          <w:color w:val="auto"/>
        </w:rPr>
        <w:t>ACRN: AC</w:t>
      </w:r>
    </w:p>
    <w:p>
      <w:pPr>
        <w:spacing w:after="0" w:line="65" w:lineRule="exact"/>
        <w:rPr>
          <w:sz w:val="20"/>
          <w:szCs w:val="20"/>
          <w:color w:val="auto"/>
        </w:rPr>
      </w:pPr>
    </w:p>
    <w:p>
      <w:pPr>
        <w:ind w:left="1440"/>
        <w:spacing w:after="0"/>
        <w:rPr>
          <w:sz w:val="20"/>
          <w:szCs w:val="20"/>
          <w:color w:val="auto"/>
        </w:rPr>
      </w:pPr>
      <w:r>
        <w:rPr>
          <w:rFonts w:ascii="Courier New" w:cs="Courier New" w:eastAsia="Courier New" w:hAnsi="Courier New"/>
          <w:sz w:val="12"/>
          <w:szCs w:val="12"/>
          <w:color w:val="auto"/>
        </w:rPr>
        <w:t>PSC: 6505</w:t>
      </w:r>
    </w:p>
    <w:p>
      <w:pPr>
        <w:spacing w:after="0" w:line="283" w:lineRule="exact"/>
        <w:rPr>
          <w:sz w:val="20"/>
          <w:szCs w:val="20"/>
          <w:color w:val="auto"/>
        </w:rPr>
      </w:pPr>
    </w:p>
    <w:p>
      <w:pPr>
        <w:ind w:left="1440"/>
        <w:spacing w:after="0"/>
        <w:rPr>
          <w:sz w:val="20"/>
          <w:szCs w:val="20"/>
          <w:color w:val="auto"/>
        </w:rPr>
      </w:pPr>
      <w:r>
        <w:rPr>
          <w:rFonts w:ascii="Courier New" w:cs="Courier New" w:eastAsia="Courier New" w:hAnsi="Courier New"/>
          <w:sz w:val="12"/>
          <w:szCs w:val="12"/>
          <w:u w:val="single" w:color="auto"/>
          <w:color w:val="auto"/>
        </w:rPr>
        <w:t>Packaging and Marking</w:t>
      </w:r>
    </w:p>
    <w:p>
      <w:pPr>
        <w:spacing w:after="0" w:line="292" w:lineRule="exact"/>
        <w:rPr>
          <w:sz w:val="20"/>
          <w:szCs w:val="20"/>
          <w:color w:val="auto"/>
        </w:rPr>
      </w:pPr>
    </w:p>
    <w:tbl>
      <w:tblPr>
        <w:tblLayout w:type="fixed"/>
        <w:tblInd w:w="1320" w:type="dxa"/>
        <w:tblCellMar>
          <w:top w:w="0" w:type="dxa"/>
          <w:left w:w="0" w:type="dxa"/>
          <w:bottom w:w="0" w:type="dxa"/>
          <w:right w:w="0" w:type="dxa"/>
        </w:tblCellMar>
      </w:tblPr>
      <w:tr>
        <w:trPr>
          <w:trHeight w:val="139"/>
        </w:trPr>
        <w:tc>
          <w:tcPr>
            <w:tcW w:w="120" w:type="dxa"/>
            <w:vAlign w:val="bottom"/>
          </w:tcPr>
          <w:p>
            <w:pPr>
              <w:spacing w:after="0"/>
              <w:rPr>
                <w:sz w:val="12"/>
                <w:szCs w:val="12"/>
                <w:color w:val="auto"/>
              </w:rPr>
            </w:pPr>
          </w:p>
        </w:tc>
        <w:tc>
          <w:tcPr>
            <w:tcW w:w="1820" w:type="dxa"/>
            <w:vAlign w:val="bottom"/>
            <w:tcBorders>
              <w:bottom w:val="single" w:sz="8" w:color="auto"/>
            </w:tcBorders>
            <w:gridSpan w:val="9"/>
          </w:tcPr>
          <w:p>
            <w:pPr>
              <w:spacing w:after="0"/>
              <w:rPr>
                <w:sz w:val="20"/>
                <w:szCs w:val="20"/>
                <w:color w:val="auto"/>
              </w:rPr>
            </w:pPr>
            <w:r>
              <w:rPr>
                <w:rFonts w:ascii="Courier New" w:cs="Courier New" w:eastAsia="Courier New" w:hAnsi="Courier New"/>
                <w:sz w:val="12"/>
                <w:szCs w:val="12"/>
                <w:color w:val="auto"/>
                <w:w w:val="99"/>
              </w:rPr>
              <w:t>Inspection and Acceptance</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51"/>
        </w:trPr>
        <w:tc>
          <w:tcPr>
            <w:tcW w:w="120" w:type="dxa"/>
            <w:vAlign w:val="bottom"/>
          </w:tcPr>
          <w:p>
            <w:pPr>
              <w:spacing w:after="0"/>
              <w:rPr>
                <w:sz w:val="21"/>
                <w:szCs w:val="21"/>
                <w:color w:val="auto"/>
              </w:rPr>
            </w:pPr>
          </w:p>
        </w:tc>
        <w:tc>
          <w:tcPr>
            <w:tcW w:w="1960" w:type="dxa"/>
            <w:vAlign w:val="bottom"/>
            <w:gridSpan w:val="10"/>
          </w:tcPr>
          <w:p>
            <w:pPr>
              <w:spacing w:after="0"/>
              <w:rPr>
                <w:sz w:val="20"/>
                <w:szCs w:val="20"/>
                <w:color w:val="auto"/>
              </w:rPr>
            </w:pPr>
            <w:r>
              <w:rPr>
                <w:rFonts w:ascii="Courier New" w:cs="Courier New" w:eastAsia="Courier New" w:hAnsi="Courier New"/>
                <w:sz w:val="12"/>
                <w:szCs w:val="12"/>
                <w:color w:val="auto"/>
              </w:rPr>
              <w:t>INSPECTION: Destination</w:t>
            </w:r>
          </w:p>
        </w:tc>
        <w:tc>
          <w:tcPr>
            <w:tcW w:w="1660" w:type="dxa"/>
            <w:vAlign w:val="bottom"/>
            <w:gridSpan w:val="6"/>
          </w:tcPr>
          <w:p>
            <w:pPr>
              <w:spacing w:after="0"/>
              <w:rPr>
                <w:sz w:val="20"/>
                <w:szCs w:val="20"/>
                <w:color w:val="auto"/>
              </w:rPr>
            </w:pPr>
            <w:r>
              <w:rPr>
                <w:rFonts w:ascii="Courier New" w:cs="Courier New" w:eastAsia="Courier New" w:hAnsi="Courier New"/>
                <w:sz w:val="12"/>
                <w:szCs w:val="12"/>
                <w:color w:val="auto"/>
                <w:w w:val="98"/>
              </w:rPr>
              <w:t>ACCEPTANCE: Destination</w:t>
            </w:r>
          </w:p>
        </w:tc>
      </w:tr>
      <w:tr>
        <w:trPr>
          <w:trHeight w:val="357"/>
        </w:trPr>
        <w:tc>
          <w:tcPr>
            <w:tcW w:w="120" w:type="dxa"/>
            <w:vAlign w:val="bottom"/>
          </w:tcPr>
          <w:p>
            <w:pPr>
              <w:spacing w:after="0"/>
              <w:rPr>
                <w:sz w:val="24"/>
                <w:szCs w:val="24"/>
                <w:color w:val="auto"/>
              </w:rPr>
            </w:pPr>
          </w:p>
        </w:tc>
        <w:tc>
          <w:tcPr>
            <w:tcW w:w="1960" w:type="dxa"/>
            <w:vAlign w:val="bottom"/>
            <w:gridSpan w:val="10"/>
          </w:tcPr>
          <w:p>
            <w:pPr>
              <w:spacing w:after="0"/>
              <w:rPr>
                <w:sz w:val="20"/>
                <w:szCs w:val="20"/>
                <w:color w:val="auto"/>
              </w:rPr>
            </w:pPr>
            <w:r>
              <w:rPr>
                <w:rFonts w:ascii="Courier New" w:cs="Courier New" w:eastAsia="Courier New" w:hAnsi="Courier New"/>
                <w:sz w:val="12"/>
                <w:szCs w:val="12"/>
                <w:color w:val="auto"/>
              </w:rPr>
              <w:t>Deliveries or Performance</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42"/>
        </w:trPr>
        <w:tc>
          <w:tcPr>
            <w:tcW w:w="120" w:type="dxa"/>
            <w:vAlign w:val="bottom"/>
          </w:tcPr>
          <w:p>
            <w:pPr>
              <w:spacing w:after="0"/>
              <w:rPr>
                <w:sz w:val="21"/>
                <w:szCs w:val="21"/>
                <w:color w:val="auto"/>
              </w:rPr>
            </w:pPr>
          </w:p>
        </w:tc>
        <w:tc>
          <w:tcPr>
            <w:tcW w:w="420" w:type="dxa"/>
            <w:vAlign w:val="bottom"/>
            <w:tcBorders>
              <w:top w:val="single" w:sz="8" w:color="auto"/>
            </w:tcBorders>
            <w:gridSpan w:val="2"/>
          </w:tcPr>
          <w:p>
            <w:pPr>
              <w:spacing w:after="0"/>
              <w:rPr>
                <w:sz w:val="20"/>
                <w:szCs w:val="20"/>
                <w:color w:val="auto"/>
              </w:rPr>
            </w:pPr>
            <w:r>
              <w:rPr>
                <w:rFonts w:ascii="Courier New" w:cs="Courier New" w:eastAsia="Courier New" w:hAnsi="Courier New"/>
                <w:sz w:val="12"/>
                <w:szCs w:val="12"/>
                <w:color w:val="auto"/>
              </w:rPr>
              <w:t>DOC</w:t>
            </w:r>
          </w:p>
        </w:tc>
        <w:tc>
          <w:tcPr>
            <w:tcW w:w="600" w:type="dxa"/>
            <w:vAlign w:val="bottom"/>
            <w:tcBorders>
              <w:top w:val="single" w:sz="8" w:color="auto"/>
            </w:tcBorders>
            <w:gridSpan w:val="3"/>
          </w:tcPr>
          <w:p>
            <w:pPr>
              <w:ind w:left="100"/>
              <w:spacing w:after="0"/>
              <w:rPr>
                <w:sz w:val="20"/>
                <w:szCs w:val="20"/>
                <w:color w:val="auto"/>
              </w:rPr>
            </w:pPr>
            <w:r>
              <w:rPr>
                <w:rFonts w:ascii="Courier New" w:cs="Courier New" w:eastAsia="Courier New" w:hAnsi="Courier New"/>
                <w:sz w:val="12"/>
                <w:szCs w:val="12"/>
                <w:color w:val="auto"/>
              </w:rPr>
              <w:t>SUPPL</w:t>
            </w:r>
          </w:p>
        </w:tc>
        <w:tc>
          <w:tcPr>
            <w:tcW w:w="1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139"/>
        </w:trPr>
        <w:tc>
          <w:tcPr>
            <w:tcW w:w="540" w:type="dxa"/>
            <w:vAlign w:val="bottom"/>
            <w:gridSpan w:val="3"/>
          </w:tcPr>
          <w:p>
            <w:pPr>
              <w:spacing w:after="0"/>
              <w:rPr>
                <w:sz w:val="20"/>
                <w:szCs w:val="20"/>
                <w:color w:val="auto"/>
              </w:rPr>
            </w:pPr>
            <w:r>
              <w:rPr>
                <w:rFonts w:ascii="Courier New" w:cs="Courier New" w:eastAsia="Courier New" w:hAnsi="Courier New"/>
                <w:sz w:val="12"/>
                <w:szCs w:val="12"/>
                <w:color w:val="auto"/>
              </w:rPr>
              <w:t>REL CD</w:t>
            </w:r>
          </w:p>
        </w:tc>
        <w:tc>
          <w:tcPr>
            <w:tcW w:w="920" w:type="dxa"/>
            <w:vAlign w:val="bottom"/>
            <w:gridSpan w:val="5"/>
          </w:tcPr>
          <w:p>
            <w:pPr>
              <w:ind w:left="180"/>
              <w:spacing w:after="0"/>
              <w:rPr>
                <w:sz w:val="20"/>
                <w:szCs w:val="20"/>
                <w:color w:val="auto"/>
              </w:rPr>
            </w:pPr>
            <w:r>
              <w:rPr>
                <w:rFonts w:ascii="Courier New" w:cs="Courier New" w:eastAsia="Courier New" w:hAnsi="Courier New"/>
                <w:sz w:val="12"/>
                <w:szCs w:val="12"/>
                <w:color w:val="auto"/>
              </w:rPr>
              <w:t>MILSTRIP</w:t>
            </w:r>
          </w:p>
        </w:tc>
        <w:tc>
          <w:tcPr>
            <w:tcW w:w="2280" w:type="dxa"/>
            <w:vAlign w:val="bottom"/>
            <w:gridSpan w:val="9"/>
          </w:tcPr>
          <w:p>
            <w:pPr>
              <w:ind w:left="140"/>
              <w:spacing w:after="0"/>
              <w:rPr>
                <w:sz w:val="20"/>
                <w:szCs w:val="20"/>
                <w:color w:val="auto"/>
              </w:rPr>
            </w:pPr>
            <w:r>
              <w:rPr>
                <w:rFonts w:ascii="Courier New" w:cs="Courier New" w:eastAsia="Courier New" w:hAnsi="Courier New"/>
                <w:sz w:val="12"/>
                <w:szCs w:val="12"/>
                <w:color w:val="auto"/>
              </w:rPr>
              <w:t>ADDR SIG CD MARK FOR TP CD</w:t>
            </w:r>
          </w:p>
        </w:tc>
      </w:tr>
      <w:tr>
        <w:trPr>
          <w:trHeight w:val="20"/>
        </w:trPr>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42"/>
        </w:trPr>
        <w:tc>
          <w:tcPr>
            <w:tcW w:w="120" w:type="dxa"/>
            <w:vAlign w:val="bottom"/>
          </w:tcPr>
          <w:p>
            <w:pPr>
              <w:spacing w:after="0"/>
              <w:rPr>
                <w:sz w:val="21"/>
                <w:szCs w:val="21"/>
                <w:color w:val="auto"/>
              </w:rPr>
            </w:pPr>
          </w:p>
        </w:tc>
        <w:tc>
          <w:tcPr>
            <w:tcW w:w="196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001 W56XNH10011003 W90ZQ2</w:t>
            </w:r>
          </w:p>
        </w:tc>
        <w:tc>
          <w:tcPr>
            <w:tcW w:w="1660" w:type="dxa"/>
            <w:vAlign w:val="bottom"/>
            <w:gridSpan w:val="6"/>
          </w:tcPr>
          <w:p>
            <w:pPr>
              <w:ind w:left="220"/>
              <w:spacing w:after="0"/>
              <w:rPr>
                <w:sz w:val="20"/>
                <w:szCs w:val="20"/>
                <w:color w:val="auto"/>
              </w:rPr>
            </w:pPr>
            <w:r>
              <w:rPr>
                <w:rFonts w:ascii="Courier New" w:cs="Courier New" w:eastAsia="Courier New" w:hAnsi="Courier New"/>
                <w:sz w:val="12"/>
                <w:szCs w:val="12"/>
                <w:color w:val="auto"/>
              </w:rPr>
              <w:t>J 3</w:t>
            </w:r>
          </w:p>
        </w:tc>
      </w:tr>
      <w:tr>
        <w:trPr>
          <w:trHeight w:val="139"/>
        </w:trPr>
        <w:tc>
          <w:tcPr>
            <w:tcW w:w="120" w:type="dxa"/>
            <w:vAlign w:val="bottom"/>
          </w:tcPr>
          <w:p>
            <w:pPr>
              <w:spacing w:after="0"/>
              <w:rPr>
                <w:sz w:val="12"/>
                <w:szCs w:val="12"/>
                <w:color w:val="auto"/>
              </w:rPr>
            </w:pPr>
          </w:p>
        </w:tc>
        <w:tc>
          <w:tcPr>
            <w:tcW w:w="1020" w:type="dxa"/>
            <w:vAlign w:val="bottom"/>
            <w:gridSpan w:val="5"/>
          </w:tcPr>
          <w:p>
            <w:pPr>
              <w:spacing w:after="0"/>
              <w:rPr>
                <w:sz w:val="20"/>
                <w:szCs w:val="20"/>
                <w:color w:val="auto"/>
              </w:rPr>
            </w:pPr>
            <w:r>
              <w:rPr>
                <w:rFonts w:ascii="Courier New" w:cs="Courier New" w:eastAsia="Courier New" w:hAnsi="Courier New"/>
                <w:sz w:val="12"/>
                <w:szCs w:val="12"/>
                <w:color w:val="auto"/>
              </w:rPr>
              <w:t>DEL REL CD</w:t>
            </w:r>
          </w:p>
        </w:tc>
        <w:tc>
          <w:tcPr>
            <w:tcW w:w="94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QUANTITY</w:t>
            </w:r>
          </w:p>
        </w:tc>
        <w:tc>
          <w:tcPr>
            <w:tcW w:w="300" w:type="dxa"/>
            <w:vAlign w:val="bottom"/>
          </w:tcPr>
          <w:p>
            <w:pPr>
              <w:spacing w:after="0"/>
              <w:rPr>
                <w:sz w:val="12"/>
                <w:szCs w:val="12"/>
                <w:color w:val="auto"/>
              </w:rPr>
            </w:pPr>
          </w:p>
        </w:tc>
        <w:tc>
          <w:tcPr>
            <w:tcW w:w="136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DEL DATE</w:t>
            </w:r>
          </w:p>
        </w:tc>
      </w:tr>
      <w:tr>
        <w:trPr>
          <w:trHeight w:val="20"/>
        </w:trPr>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ectPr>
          <w:pgSz w:w="11900" w:h="16838" w:orient="portrait"/>
          <w:cols w:equalWidth="0" w:num="1">
            <w:col w:w="10440"/>
          </w:cols>
          <w:pgMar w:left="320" w:top="146" w:right="1139" w:bottom="1440" w:gutter="0" w:footer="0" w:header="0"/>
        </w:sectPr>
      </w:pPr>
    </w:p>
    <w:bookmarkStart w:id="154" w:name="page155"/>
    <w:bookmarkEnd w:id="1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360" w:type="dxa"/>
            <w:vAlign w:val="bottom"/>
            <w:tcBorders>
              <w:top w:val="single" w:sz="8" w:color="auto"/>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20"/>
                <w:szCs w:val="20"/>
                <w:b w:val="1"/>
                <w:bCs w:val="1"/>
                <w:color w:val="auto"/>
              </w:rPr>
              <w:t>CONTINUATION SHEET</w:t>
            </w:r>
          </w:p>
        </w:tc>
        <w:tc>
          <w:tcPr>
            <w:tcW w:w="5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 xml:space="preserve">Page </w:t>
            </w:r>
            <w:r>
              <w:rPr>
                <w:rFonts w:ascii="Times New Roman" w:cs="Times New Roman" w:eastAsia="Times New Roman" w:hAnsi="Times New Roman"/>
                <w:sz w:val="16"/>
                <w:szCs w:val="16"/>
                <w:color w:val="auto"/>
              </w:rPr>
              <w:t>5</w:t>
            </w:r>
            <w:r>
              <w:rPr>
                <w:rFonts w:ascii="Times New Roman" w:cs="Times New Roman" w:eastAsia="Times New Roman" w:hAnsi="Times New Roman"/>
                <w:sz w:val="16"/>
                <w:szCs w:val="16"/>
                <w:b w:val="1"/>
                <w:bCs w:val="1"/>
                <w:color w:val="auto"/>
              </w:rPr>
              <w:t xml:space="preserve"> of </w:t>
            </w:r>
            <w:r>
              <w:rPr>
                <w:rFonts w:ascii="Times New Roman" w:cs="Times New Roman" w:eastAsia="Times New Roman" w:hAnsi="Times New Roman"/>
                <w:sz w:val="16"/>
                <w:szCs w:val="16"/>
                <w:color w:val="auto"/>
              </w:rPr>
              <w:t>7</w:t>
            </w:r>
          </w:p>
        </w:tc>
      </w:tr>
      <w:tr>
        <w:trPr>
          <w:trHeight w:val="134"/>
        </w:trPr>
        <w:tc>
          <w:tcPr>
            <w:tcW w:w="3360" w:type="dxa"/>
            <w:vAlign w:val="bottom"/>
            <w:tcBorders>
              <w:right w:val="single" w:sz="8" w:color="auto"/>
            </w:tcBorders>
          </w:tcPr>
          <w:p>
            <w:pPr>
              <w:spacing w:after="0"/>
              <w:rPr>
                <w:sz w:val="11"/>
                <w:szCs w:val="11"/>
                <w:color w:val="auto"/>
              </w:rPr>
            </w:pPr>
          </w:p>
        </w:tc>
        <w:tc>
          <w:tcPr>
            <w:tcW w:w="526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color w:val="auto"/>
              </w:rPr>
              <w:t>W15QKN-21-C-0014</w:t>
            </w:r>
          </w:p>
        </w:tc>
        <w:tc>
          <w:tcPr>
            <w:tcW w:w="1780" w:type="dxa"/>
            <w:vAlign w:val="bottom"/>
          </w:tcPr>
          <w:p>
            <w:pPr>
              <w:spacing w:after="0"/>
              <w:rPr>
                <w:sz w:val="11"/>
                <w:szCs w:val="11"/>
                <w:color w:val="auto"/>
              </w:rPr>
            </w:pPr>
          </w:p>
        </w:tc>
      </w:tr>
      <w:tr>
        <w:trPr>
          <w:trHeight w:val="212"/>
        </w:trPr>
        <w:tc>
          <w:tcPr>
            <w:tcW w:w="336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PIIN/SIIN MOD/AMD </w:t>
            </w:r>
            <w:r>
              <w:rPr>
                <w:rFonts w:ascii="Times New Roman" w:cs="Times New Roman" w:eastAsia="Times New Roman" w:hAnsi="Times New Roman"/>
                <w:sz w:val="16"/>
                <w:szCs w:val="16"/>
                <w:color w:val="auto"/>
              </w:rPr>
              <w:t>P00001</w:t>
            </w:r>
          </w:p>
        </w:tc>
        <w:tc>
          <w:tcPr>
            <w:tcW w:w="1780" w:type="dxa"/>
            <w:vAlign w:val="bottom"/>
            <w:tcBorders>
              <w:bottom w:val="single" w:sz="8" w:color="auto"/>
            </w:tcBorders>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20"/>
          <w:szCs w:val="20"/>
          <w:b w:val="1"/>
          <w:bCs w:val="1"/>
          <w:color w:val="auto"/>
        </w:rPr>
        <w:t>Name of Offeror or Contractor: 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601345</wp:posOffset>
            </wp:positionV>
            <wp:extent cx="6496685" cy="26073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9668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200" w:type="dxa"/>
        <w:tblCellMar>
          <w:top w:w="0" w:type="dxa"/>
          <w:left w:w="0" w:type="dxa"/>
          <w:bottom w:w="0" w:type="dxa"/>
          <w:right w:w="0" w:type="dxa"/>
        </w:tblCellMar>
      </w:tblPr>
      <w:tr>
        <w:trPr>
          <w:trHeight w:val="227"/>
        </w:trPr>
        <w:tc>
          <w:tcPr>
            <w:tcW w:w="184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6"/>
                <w:szCs w:val="16"/>
                <w:b w:val="1"/>
                <w:bCs w:val="1"/>
                <w:color w:val="auto"/>
              </w:rPr>
              <w:t>ITEM NO</w:t>
            </w:r>
          </w:p>
        </w:tc>
        <w:tc>
          <w:tcPr>
            <w:tcW w:w="286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6"/>
                <w:szCs w:val="16"/>
                <w:b w:val="1"/>
                <w:bCs w:val="1"/>
                <w:color w:val="auto"/>
              </w:rPr>
              <w:t>SUPPLIES/SERVICES</w:t>
            </w:r>
          </w:p>
        </w:tc>
        <w:tc>
          <w:tcPr>
            <w:tcW w:w="39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b w:val="1"/>
                <w:bCs w:val="1"/>
                <w:color w:val="auto"/>
              </w:rPr>
              <w:t>QUANTITY    UNIT   UNIT PRICE</w:t>
            </w:r>
          </w:p>
        </w:tc>
        <w:tc>
          <w:tcPr>
            <w:tcW w:w="1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94"/>
        </w:trPr>
        <w:tc>
          <w:tcPr>
            <w:tcW w:w="1840" w:type="dxa"/>
            <w:vAlign w:val="bottom"/>
          </w:tcPr>
          <w:p>
            <w:pPr>
              <w:jc w:val="right"/>
              <w:ind w:right="89"/>
              <w:spacing w:after="0"/>
              <w:rPr>
                <w:sz w:val="20"/>
                <w:szCs w:val="20"/>
                <w:color w:val="auto"/>
              </w:rPr>
            </w:pPr>
            <w:r>
              <w:rPr>
                <w:rFonts w:ascii="Courier New" w:cs="Courier New" w:eastAsia="Courier New" w:hAnsi="Courier New"/>
                <w:sz w:val="12"/>
                <w:szCs w:val="12"/>
                <w:color w:val="auto"/>
              </w:rPr>
              <w:t>001</w:t>
            </w:r>
          </w:p>
        </w:tc>
        <w:tc>
          <w:tcPr>
            <w:tcW w:w="2860" w:type="dxa"/>
            <w:vAlign w:val="bottom"/>
          </w:tcPr>
          <w:p>
            <w:pPr>
              <w:jc w:val="right"/>
              <w:ind w:right="1369"/>
              <w:spacing w:after="0"/>
              <w:rPr>
                <w:sz w:val="20"/>
                <w:szCs w:val="20"/>
                <w:color w:val="auto"/>
              </w:rPr>
            </w:pPr>
            <w:r>
              <w:rPr>
                <w:rFonts w:ascii="Courier New" w:cs="Courier New" w:eastAsia="Courier New" w:hAnsi="Courier New"/>
                <w:sz w:val="12"/>
                <w:szCs w:val="12"/>
                <w:color w:val="auto"/>
              </w:rPr>
              <w:t>[* * *][* * *]</w:t>
            </w:r>
          </w:p>
        </w:tc>
        <w:tc>
          <w:tcPr>
            <w:tcW w:w="39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98" w:lineRule="exact"/>
        <w:rPr>
          <w:sz w:val="20"/>
          <w:szCs w:val="20"/>
          <w:color w:val="auto"/>
        </w:rPr>
      </w:pPr>
    </w:p>
    <w:p>
      <w:pPr>
        <w:ind w:left="1440"/>
        <w:spacing w:after="0"/>
        <w:rPr>
          <w:sz w:val="20"/>
          <w:szCs w:val="20"/>
          <w:color w:val="auto"/>
        </w:rPr>
      </w:pPr>
      <w:r>
        <w:rPr>
          <w:rFonts w:ascii="Courier New" w:cs="Courier New" w:eastAsia="Courier New" w:hAnsi="Courier New"/>
          <w:sz w:val="12"/>
          <w:szCs w:val="12"/>
          <w:color w:val="auto"/>
        </w:rPr>
        <w:t>FOB POINT: Destination</w:t>
      </w:r>
    </w:p>
    <w:p>
      <w:pPr>
        <w:spacing w:after="0" w:line="145" w:lineRule="exact"/>
        <w:rPr>
          <w:sz w:val="20"/>
          <w:szCs w:val="20"/>
          <w:color w:val="auto"/>
        </w:rPr>
      </w:pPr>
    </w:p>
    <w:p>
      <w:pPr>
        <w:ind w:left="1320"/>
        <w:spacing w:after="0"/>
        <w:rPr>
          <w:sz w:val="20"/>
          <w:szCs w:val="20"/>
          <w:color w:val="auto"/>
        </w:rPr>
      </w:pPr>
      <w:r>
        <w:rPr>
          <w:rFonts w:ascii="Courier New" w:cs="Courier New" w:eastAsia="Courier New" w:hAnsi="Courier New"/>
          <w:sz w:val="12"/>
          <w:szCs w:val="12"/>
          <w:color w:val="auto"/>
        </w:rPr>
        <w:t>SHIP TO:</w:t>
      </w:r>
    </w:p>
    <w:p>
      <w:pPr>
        <w:spacing w:after="0" w:line="73" w:lineRule="exact"/>
        <w:rPr>
          <w:sz w:val="20"/>
          <w:szCs w:val="20"/>
          <w:color w:val="auto"/>
        </w:rPr>
      </w:pPr>
    </w:p>
    <w:p>
      <w:pPr>
        <w:ind w:left="1440"/>
        <w:spacing w:after="0"/>
        <w:tabs>
          <w:tab w:leader="none" w:pos="2300" w:val="left"/>
        </w:tabs>
        <w:rPr>
          <w:sz w:val="20"/>
          <w:szCs w:val="20"/>
          <w:color w:val="auto"/>
        </w:rPr>
      </w:pPr>
      <w:r>
        <w:rPr>
          <w:rFonts w:ascii="Courier New" w:cs="Courier New" w:eastAsia="Courier New" w:hAnsi="Courier New"/>
          <w:sz w:val="12"/>
          <w:szCs w:val="12"/>
          <w:color w:val="auto"/>
        </w:rPr>
        <w:t>(W90ZQ2)</w:t>
      </w:r>
      <w:r>
        <w:rPr>
          <w:sz w:val="20"/>
          <w:szCs w:val="20"/>
          <w:color w:val="auto"/>
        </w:rPr>
        <w:tab/>
      </w:r>
      <w:r>
        <w:rPr>
          <w:rFonts w:ascii="Courier New" w:cs="Courier New" w:eastAsia="Courier New" w:hAnsi="Courier New"/>
          <w:sz w:val="12"/>
          <w:szCs w:val="12"/>
          <w:color w:val="auto"/>
        </w:rPr>
        <w:t>XR JOINT PROGRAM EX OFC FOR CHEM, B HQ</w:t>
      </w:r>
    </w:p>
    <w:p>
      <w:pPr>
        <w:spacing w:after="0" w:line="38"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JPEO</w:t>
      </w:r>
    </w:p>
    <w:p>
      <w:pPr>
        <w:spacing w:after="0" w:line="25"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5101 HOADLEY ROAD</w:t>
      </w:r>
    </w:p>
    <w:p>
      <w:pPr>
        <w:spacing w:after="0" w:line="25"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ABERDEEN PROVING GROUND,MD,21010-54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380"/>
        <w:spacing w:after="0"/>
        <w:rPr>
          <w:sz w:val="20"/>
          <w:szCs w:val="20"/>
          <w:color w:val="auto"/>
        </w:rPr>
      </w:pPr>
      <w:r>
        <w:rPr>
          <w:rFonts w:ascii="Courier New" w:cs="Courier New" w:eastAsia="Courier New" w:hAnsi="Courier New"/>
          <w:sz w:val="12"/>
          <w:szCs w:val="12"/>
          <w:color w:val="auto"/>
        </w:rPr>
        <w:t>The parties will coordinate ordering through centralized</w:t>
      </w:r>
    </w:p>
    <w:p>
      <w:pPr>
        <w:spacing w:after="0" w:line="73" w:lineRule="exact"/>
        <w:rPr>
          <w:sz w:val="20"/>
          <w:szCs w:val="20"/>
          <w:color w:val="auto"/>
        </w:rPr>
      </w:pPr>
    </w:p>
    <w:p>
      <w:pPr>
        <w:ind w:left="1380"/>
        <w:spacing w:after="0"/>
        <w:rPr>
          <w:sz w:val="20"/>
          <w:szCs w:val="20"/>
          <w:color w:val="auto"/>
        </w:rPr>
      </w:pPr>
      <w:r>
        <w:rPr>
          <w:rFonts w:ascii="Courier New" w:cs="Courier New" w:eastAsia="Courier New" w:hAnsi="Courier New"/>
          <w:sz w:val="12"/>
          <w:szCs w:val="12"/>
          <w:color w:val="auto"/>
        </w:rPr>
        <w:t>distribution via the established Memorandum of</w:t>
      </w:r>
    </w:p>
    <w:p>
      <w:pPr>
        <w:spacing w:after="0" w:line="38" w:lineRule="exact"/>
        <w:rPr>
          <w:sz w:val="20"/>
          <w:szCs w:val="20"/>
          <w:color w:val="auto"/>
        </w:rPr>
      </w:pPr>
    </w:p>
    <w:p>
      <w:pPr>
        <w:ind w:left="1380"/>
        <w:spacing w:after="0"/>
        <w:rPr>
          <w:sz w:val="20"/>
          <w:szCs w:val="20"/>
          <w:color w:val="auto"/>
        </w:rPr>
      </w:pPr>
      <w:r>
        <w:rPr>
          <w:rFonts w:ascii="Courier New" w:cs="Courier New" w:eastAsia="Courier New" w:hAnsi="Courier New"/>
          <w:sz w:val="12"/>
          <w:szCs w:val="12"/>
          <w:color w:val="auto"/>
        </w:rPr>
        <w:t>Understanding between Regeneron, ASPR, and</w:t>
      </w:r>
    </w:p>
    <w:p>
      <w:pPr>
        <w:spacing w:after="0" w:line="51" w:lineRule="exact"/>
        <w:rPr>
          <w:sz w:val="20"/>
          <w:szCs w:val="20"/>
          <w:color w:val="auto"/>
        </w:rPr>
      </w:pPr>
    </w:p>
    <w:p>
      <w:pPr>
        <w:ind w:left="1380"/>
        <w:spacing w:after="0"/>
        <w:rPr>
          <w:sz w:val="20"/>
          <w:szCs w:val="20"/>
          <w:color w:val="auto"/>
        </w:rPr>
      </w:pPr>
      <w:r>
        <w:rPr>
          <w:rFonts w:ascii="Courier New" w:cs="Courier New" w:eastAsia="Courier New" w:hAnsi="Courier New"/>
          <w:sz w:val="12"/>
          <w:szCs w:val="12"/>
          <w:color w:val="auto"/>
        </w:rPr>
        <w:t>AmerisourceBergen. Exact ship-to locations for product</w:t>
      </w:r>
    </w:p>
    <w:p>
      <w:pPr>
        <w:spacing w:after="0" w:line="51" w:lineRule="exact"/>
        <w:rPr>
          <w:sz w:val="20"/>
          <w:szCs w:val="20"/>
          <w:color w:val="auto"/>
        </w:rPr>
      </w:pPr>
    </w:p>
    <w:p>
      <w:pPr>
        <w:ind w:left="1380"/>
        <w:spacing w:after="0"/>
        <w:rPr>
          <w:sz w:val="20"/>
          <w:szCs w:val="20"/>
          <w:color w:val="auto"/>
        </w:rPr>
      </w:pPr>
      <w:r>
        <w:rPr>
          <w:rFonts w:ascii="Courier New" w:cs="Courier New" w:eastAsia="Courier New" w:hAnsi="Courier New"/>
          <w:sz w:val="12"/>
          <w:szCs w:val="12"/>
          <w:color w:val="auto"/>
        </w:rPr>
        <w:t>will be identified through this coordinated process.</w:t>
      </w:r>
    </w:p>
    <w:p>
      <w:pPr>
        <w:spacing w:after="0" w:line="243"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(End of narrative F001)</w:t>
      </w:r>
    </w:p>
    <w:p>
      <w:pPr>
        <w:sectPr>
          <w:pgSz w:w="11900" w:h="16838" w:orient="portrait"/>
          <w:cols w:equalWidth="0" w:num="1">
            <w:col w:w="10440"/>
          </w:cols>
          <w:pgMar w:left="320" w:top="146" w:right="11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01"/>
        </w:trPr>
        <w:tc>
          <w:tcPr>
            <w:tcW w:w="3360" w:type="dxa"/>
            <w:vAlign w:val="bottom"/>
            <w:tcBorders>
              <w:top w:val="single" w:sz="8" w:color="auto"/>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20"/>
                <w:szCs w:val="20"/>
                <w:b w:val="1"/>
                <w:bCs w:val="1"/>
                <w:color w:val="auto"/>
              </w:rPr>
              <w:t>CONTINUATION SHEET</w:t>
            </w:r>
          </w:p>
        </w:tc>
        <w:tc>
          <w:tcPr>
            <w:tcW w:w="5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 xml:space="preserve">Page </w:t>
            </w:r>
            <w:r>
              <w:rPr>
                <w:rFonts w:ascii="Times New Roman" w:cs="Times New Roman" w:eastAsia="Times New Roman" w:hAnsi="Times New Roman"/>
                <w:sz w:val="16"/>
                <w:szCs w:val="16"/>
                <w:color w:val="auto"/>
              </w:rPr>
              <w:t>6</w:t>
            </w:r>
            <w:r>
              <w:rPr>
                <w:rFonts w:ascii="Times New Roman" w:cs="Times New Roman" w:eastAsia="Times New Roman" w:hAnsi="Times New Roman"/>
                <w:sz w:val="16"/>
                <w:szCs w:val="16"/>
                <w:b w:val="1"/>
                <w:bCs w:val="1"/>
                <w:color w:val="auto"/>
              </w:rPr>
              <w:t xml:space="preserve"> of </w:t>
            </w:r>
            <w:r>
              <w:rPr>
                <w:rFonts w:ascii="Times New Roman" w:cs="Times New Roman" w:eastAsia="Times New Roman" w:hAnsi="Times New Roman"/>
                <w:sz w:val="16"/>
                <w:szCs w:val="16"/>
                <w:color w:val="auto"/>
              </w:rPr>
              <w:t>7</w:t>
            </w:r>
          </w:p>
        </w:tc>
      </w:tr>
      <w:tr>
        <w:trPr>
          <w:trHeight w:val="134"/>
        </w:trPr>
        <w:tc>
          <w:tcPr>
            <w:tcW w:w="3360" w:type="dxa"/>
            <w:vAlign w:val="bottom"/>
            <w:tcBorders>
              <w:right w:val="single" w:sz="8" w:color="auto"/>
            </w:tcBorders>
          </w:tcPr>
          <w:p>
            <w:pPr>
              <w:spacing w:after="0"/>
              <w:rPr>
                <w:sz w:val="11"/>
                <w:szCs w:val="11"/>
                <w:color w:val="auto"/>
              </w:rPr>
            </w:pPr>
          </w:p>
        </w:tc>
        <w:tc>
          <w:tcPr>
            <w:tcW w:w="526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color w:val="auto"/>
              </w:rPr>
              <w:t>W15QKN-21-C-0014</w:t>
            </w:r>
          </w:p>
        </w:tc>
        <w:tc>
          <w:tcPr>
            <w:tcW w:w="1780" w:type="dxa"/>
            <w:vAlign w:val="bottom"/>
          </w:tcPr>
          <w:p>
            <w:pPr>
              <w:spacing w:after="0"/>
              <w:rPr>
                <w:sz w:val="11"/>
                <w:szCs w:val="11"/>
                <w:color w:val="auto"/>
              </w:rPr>
            </w:pPr>
          </w:p>
        </w:tc>
      </w:tr>
      <w:tr>
        <w:trPr>
          <w:trHeight w:val="212"/>
        </w:trPr>
        <w:tc>
          <w:tcPr>
            <w:tcW w:w="336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PIIN/SIIN MOD/AMD </w:t>
            </w:r>
            <w:r>
              <w:rPr>
                <w:rFonts w:ascii="Times New Roman" w:cs="Times New Roman" w:eastAsia="Times New Roman" w:hAnsi="Times New Roman"/>
                <w:sz w:val="16"/>
                <w:szCs w:val="16"/>
                <w:color w:val="auto"/>
              </w:rPr>
              <w:t>P00001</w:t>
            </w:r>
          </w:p>
        </w:tc>
        <w:tc>
          <w:tcPr>
            <w:tcW w:w="1780" w:type="dxa"/>
            <w:vAlign w:val="bottom"/>
            <w:tcBorders>
              <w:bottom w:val="single" w:sz="8" w:color="auto"/>
            </w:tcBorders>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20"/>
          <w:szCs w:val="20"/>
          <w:b w:val="1"/>
          <w:bCs w:val="1"/>
          <w:color w:val="auto"/>
        </w:rPr>
        <w:t>Name of Offeror or Contractor: 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3200" w:type="dxa"/>
            <w:vAlign w:val="bottom"/>
            <w:gridSpan w:val="4"/>
          </w:tcPr>
          <w:p>
            <w:pPr>
              <w:spacing w:after="0"/>
              <w:rPr>
                <w:sz w:val="20"/>
                <w:szCs w:val="20"/>
                <w:color w:val="auto"/>
              </w:rPr>
            </w:pPr>
            <w:r>
              <w:rPr>
                <w:rFonts w:ascii="Courier New" w:cs="Courier New" w:eastAsia="Courier New" w:hAnsi="Courier New"/>
                <w:sz w:val="12"/>
                <w:szCs w:val="12"/>
                <w:color w:val="auto"/>
              </w:rPr>
              <w:t>SECTION G - CONTRACT ADMINISTRATION DATA</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4"/>
        </w:trPr>
        <w:tc>
          <w:tcPr>
            <w:tcW w:w="60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Courier New" w:cs="Courier New" w:eastAsia="Courier New" w:hAnsi="Courier New"/>
                <w:sz w:val="12"/>
                <w:szCs w:val="12"/>
                <w:color w:val="auto"/>
              </w:rPr>
              <w:t>Status Regulatory Cite</w:t>
            </w:r>
          </w:p>
        </w:tc>
        <w:tc>
          <w:tcPr>
            <w:tcW w:w="940" w:type="dxa"/>
            <w:vAlign w:val="bottom"/>
          </w:tcPr>
          <w:p>
            <w:pPr>
              <w:ind w:left="280"/>
              <w:spacing w:after="0"/>
              <w:rPr>
                <w:sz w:val="20"/>
                <w:szCs w:val="20"/>
                <w:color w:val="auto"/>
              </w:rPr>
            </w:pPr>
            <w:r>
              <w:rPr>
                <w:rFonts w:ascii="Courier New" w:cs="Courier New" w:eastAsia="Courier New" w:hAnsi="Courier New"/>
                <w:sz w:val="12"/>
                <w:szCs w:val="12"/>
                <w:color w:val="auto"/>
              </w:rPr>
              <w:t>Title</w:t>
            </w:r>
          </w:p>
        </w:tc>
        <w:tc>
          <w:tcPr>
            <w:tcW w:w="60" w:type="dxa"/>
            <w:vAlign w:val="bottom"/>
          </w:tcPr>
          <w:p>
            <w:pPr>
              <w:spacing w:after="0"/>
              <w:rPr>
                <w:sz w:val="24"/>
                <w:szCs w:val="24"/>
                <w:color w:val="auto"/>
              </w:rPr>
            </w:pPr>
          </w:p>
        </w:tc>
        <w:tc>
          <w:tcPr>
            <w:tcW w:w="2020" w:type="dxa"/>
            <w:vAlign w:val="bottom"/>
            <w:gridSpan w:val="2"/>
          </w:tcPr>
          <w:p>
            <w:pPr>
              <w:ind w:left="300"/>
              <w:spacing w:after="0"/>
              <w:rPr>
                <w:sz w:val="20"/>
                <w:szCs w:val="20"/>
                <w:color w:val="auto"/>
              </w:rPr>
            </w:pPr>
            <w:r>
              <w:rPr>
                <w:rFonts w:ascii="Courier New" w:cs="Courier New" w:eastAsia="Courier New" w:hAnsi="Courier New"/>
                <w:sz w:val="12"/>
                <w:szCs w:val="12"/>
                <w:color w:val="auto"/>
              </w:rPr>
              <w:t>Date</w:t>
            </w:r>
          </w:p>
        </w:tc>
        <w:tc>
          <w:tcPr>
            <w:tcW w:w="72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505"/>
        </w:trPr>
        <w:tc>
          <w:tcPr>
            <w:tcW w:w="2260" w:type="dxa"/>
            <w:vAlign w:val="bottom"/>
            <w:gridSpan w:val="3"/>
          </w:tcPr>
          <w:p>
            <w:pPr>
              <w:ind w:left="300"/>
              <w:spacing w:after="0"/>
              <w:rPr>
                <w:sz w:val="20"/>
                <w:szCs w:val="20"/>
                <w:color w:val="auto"/>
              </w:rPr>
            </w:pPr>
            <w:r>
              <w:rPr>
                <w:rFonts w:ascii="Courier New" w:cs="Courier New" w:eastAsia="Courier New" w:hAnsi="Courier New"/>
                <w:sz w:val="12"/>
                <w:szCs w:val="12"/>
                <w:color w:val="auto"/>
              </w:rPr>
              <w:t>G-1 CHANGED 252.232-7006</w:t>
            </w:r>
          </w:p>
        </w:tc>
        <w:tc>
          <w:tcPr>
            <w:tcW w:w="302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WIDE AREA WORKFLOW PAYMENT INSTRUCTIONS</w:t>
            </w:r>
          </w:p>
        </w:tc>
        <w:tc>
          <w:tcPr>
            <w:tcW w:w="720" w:type="dxa"/>
            <w:vAlign w:val="bottom"/>
          </w:tcPr>
          <w:p>
            <w:pPr>
              <w:ind w:left="140"/>
              <w:spacing w:after="0"/>
              <w:rPr>
                <w:sz w:val="20"/>
                <w:szCs w:val="20"/>
                <w:color w:val="auto"/>
              </w:rPr>
            </w:pPr>
            <w:r>
              <w:rPr>
                <w:rFonts w:ascii="Courier New" w:cs="Courier New" w:eastAsia="Courier New" w:hAnsi="Courier New"/>
                <w:sz w:val="12"/>
                <w:szCs w:val="12"/>
                <w:color w:val="auto"/>
                <w:w w:val="97"/>
              </w:rPr>
              <w:t>DEC/2018</w:t>
            </w:r>
          </w:p>
        </w:tc>
      </w:tr>
    </w:tbl>
    <w:p>
      <w:pPr>
        <w:spacing w:after="0" w:line="165"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(a) Definitions. As used in this clause--</w:t>
      </w:r>
    </w:p>
    <w:p>
      <w:pPr>
        <w:spacing w:after="0" w:line="252"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"Department of Defense Activity Address Code (DoDAAC)" is a six position code that uniquely identifies a unit, activity, or organization.</w:t>
      </w:r>
    </w:p>
    <w:p>
      <w:pPr>
        <w:spacing w:after="0" w:line="265"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"Document type" means the type of payment request or receiving report available for creation in Wide Area WorkFlow (WAWF).</w:t>
      </w:r>
    </w:p>
    <w:p>
      <w:pPr>
        <w:spacing w:after="0" w:line="265" w:lineRule="exact"/>
        <w:rPr>
          <w:sz w:val="20"/>
          <w:szCs w:val="20"/>
          <w:color w:val="auto"/>
        </w:rPr>
      </w:pPr>
    </w:p>
    <w:p>
      <w:pPr>
        <w:ind w:left="140" w:right="360"/>
        <w:spacing w:after="0" w:line="437" w:lineRule="auto"/>
        <w:rPr>
          <w:sz w:val="20"/>
          <w:szCs w:val="20"/>
          <w:color w:val="auto"/>
        </w:rPr>
      </w:pPr>
      <w:r>
        <w:rPr>
          <w:rFonts w:ascii="Courier New" w:cs="Courier New" w:eastAsia="Courier New" w:hAnsi="Courier New"/>
          <w:sz w:val="12"/>
          <w:szCs w:val="12"/>
          <w:color w:val="auto"/>
        </w:rPr>
        <w:t>"Local Processing Office (LPO)" is the office responsible for payment certification when payment certification is done external to the entitlement system.</w:t>
      </w:r>
    </w:p>
    <w:p>
      <w:pPr>
        <w:spacing w:after="0" w:line="120" w:lineRule="exact"/>
        <w:rPr>
          <w:sz w:val="20"/>
          <w:szCs w:val="20"/>
          <w:color w:val="auto"/>
        </w:rPr>
      </w:pPr>
    </w:p>
    <w:p>
      <w:pPr>
        <w:ind w:left="140" w:right="860"/>
        <w:spacing w:after="0" w:line="437" w:lineRule="auto"/>
        <w:rPr>
          <w:sz w:val="20"/>
          <w:szCs w:val="20"/>
          <w:color w:val="auto"/>
        </w:rPr>
      </w:pPr>
      <w:r>
        <w:rPr>
          <w:rFonts w:ascii="Courier New" w:cs="Courier New" w:eastAsia="Courier New" w:hAnsi="Courier New"/>
          <w:sz w:val="12"/>
          <w:szCs w:val="12"/>
          <w:color w:val="auto"/>
        </w:rPr>
        <w:t>"Payment request" and "receiving report" are defined in the clause at 252.232-7003, Electronic Submission of Payment Requests and Receiving Reports.</w:t>
      </w:r>
    </w:p>
    <w:p>
      <w:pPr>
        <w:spacing w:after="0" w:line="107" w:lineRule="exact"/>
        <w:rPr>
          <w:sz w:val="20"/>
          <w:szCs w:val="20"/>
          <w:color w:val="auto"/>
        </w:rPr>
      </w:pPr>
    </w:p>
    <w:p>
      <w:pPr>
        <w:jc w:val="both"/>
        <w:ind w:left="140" w:right="60" w:hanging="8"/>
        <w:spacing w:after="0" w:line="461" w:lineRule="auto"/>
        <w:tabs>
          <w:tab w:leader="none" w:pos="637"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Electronic invoicing. The WAWF system provides the method to electronically process vendor payment requests and receiving reports, as authorized by Defense Federal Acquisition Regulation Supplement (DFARS) 252.232-7003, Electronic Submission of Payment Requests and Receiving Reports.</w:t>
      </w:r>
    </w:p>
    <w:p>
      <w:pPr>
        <w:spacing w:after="0" w:line="66" w:lineRule="exact"/>
        <w:rPr>
          <w:rFonts w:ascii="Courier New" w:cs="Courier New" w:eastAsia="Courier New" w:hAnsi="Courier New"/>
          <w:sz w:val="12"/>
          <w:szCs w:val="12"/>
          <w:color w:val="auto"/>
        </w:rPr>
      </w:pPr>
    </w:p>
    <w:p>
      <w:pPr>
        <w:ind w:left="420" w:hanging="289"/>
        <w:spacing w:after="0"/>
        <w:tabs>
          <w:tab w:leader="none" w:pos="420"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WAWF access. To access WAWF, the Contractor shall--</w:t>
      </w:r>
    </w:p>
    <w:p>
      <w:pPr>
        <w:spacing w:after="0" w:line="239"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260" w:type="dxa"/>
            <w:vAlign w:val="bottom"/>
          </w:tcPr>
          <w:p>
            <w:pPr>
              <w:jc w:val="right"/>
              <w:spacing w:after="0"/>
              <w:rPr>
                <w:sz w:val="20"/>
                <w:szCs w:val="20"/>
                <w:color w:val="auto"/>
              </w:rPr>
            </w:pPr>
            <w:r>
              <w:rPr>
                <w:rFonts w:ascii="Courier New" w:cs="Courier New" w:eastAsia="Courier New" w:hAnsi="Courier New"/>
                <w:sz w:val="12"/>
                <w:szCs w:val="12"/>
                <w:color w:val="auto"/>
                <w:w w:val="92"/>
              </w:rPr>
              <w:t>(1)</w:t>
            </w:r>
          </w:p>
        </w:tc>
        <w:tc>
          <w:tcPr>
            <w:tcW w:w="826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Have a designated electronic business point of contact in the System for Award Management at https://www.sam.gov</w:t>
            </w:r>
          </w:p>
        </w:tc>
        <w:tc>
          <w:tcPr>
            <w:tcW w:w="1940" w:type="dxa"/>
            <w:vAlign w:val="bottom"/>
          </w:tcPr>
          <w:p>
            <w:pPr>
              <w:ind w:left="140"/>
              <w:spacing w:after="0"/>
              <w:rPr>
                <w:sz w:val="20"/>
                <w:szCs w:val="20"/>
                <w:color w:val="auto"/>
              </w:rPr>
            </w:pPr>
            <w:r>
              <w:rPr>
                <w:rFonts w:ascii="Courier New" w:cs="Courier New" w:eastAsia="Courier New" w:hAnsi="Courier New"/>
                <w:sz w:val="12"/>
                <w:szCs w:val="12"/>
                <w:color w:val="auto"/>
              </w:rPr>
              <w:t>; and</w:t>
            </w:r>
          </w:p>
        </w:tc>
      </w:tr>
      <w:tr>
        <w:trPr>
          <w:trHeight w:val="388"/>
        </w:trPr>
        <w:tc>
          <w:tcPr>
            <w:tcW w:w="260" w:type="dxa"/>
            <w:vAlign w:val="bottom"/>
          </w:tcPr>
          <w:p>
            <w:pPr>
              <w:jc w:val="right"/>
              <w:spacing w:after="0"/>
              <w:rPr>
                <w:sz w:val="20"/>
                <w:szCs w:val="20"/>
                <w:color w:val="auto"/>
              </w:rPr>
            </w:pPr>
            <w:r>
              <w:rPr>
                <w:rFonts w:ascii="Courier New" w:cs="Courier New" w:eastAsia="Courier New" w:hAnsi="Courier New"/>
                <w:sz w:val="12"/>
                <w:szCs w:val="12"/>
                <w:color w:val="auto"/>
                <w:w w:val="92"/>
              </w:rPr>
              <w:t>(2)</w:t>
            </w:r>
          </w:p>
        </w:tc>
        <w:tc>
          <w:tcPr>
            <w:tcW w:w="3780" w:type="dxa"/>
            <w:vAlign w:val="bottom"/>
          </w:tcPr>
          <w:p>
            <w:pPr>
              <w:ind w:left="100"/>
              <w:spacing w:after="0"/>
              <w:rPr>
                <w:sz w:val="20"/>
                <w:szCs w:val="20"/>
                <w:color w:val="auto"/>
              </w:rPr>
            </w:pPr>
            <w:r>
              <w:rPr>
                <w:rFonts w:ascii="Courier New" w:cs="Courier New" w:eastAsia="Courier New" w:hAnsi="Courier New"/>
                <w:sz w:val="12"/>
                <w:szCs w:val="12"/>
                <w:color w:val="auto"/>
              </w:rPr>
              <w:t>Be registered to use WAWF at https://wawf.eb.mil/</w:t>
            </w:r>
          </w:p>
        </w:tc>
        <w:tc>
          <w:tcPr>
            <w:tcW w:w="64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9"/>
              </w:rPr>
              <w:t>following the step-by-step procedures for self-registration available at this Web site.</w:t>
            </w:r>
          </w:p>
        </w:tc>
      </w:tr>
    </w:tbl>
    <w:p>
      <w:pPr>
        <w:spacing w:after="0" w:line="218" w:lineRule="exact"/>
        <w:rPr>
          <w:sz w:val="20"/>
          <w:szCs w:val="20"/>
          <w:color w:val="auto"/>
        </w:rPr>
      </w:pPr>
    </w:p>
    <w:p>
      <w:pPr>
        <w:ind w:left="140" w:right="160" w:hanging="8"/>
        <w:spacing w:after="0" w:line="349" w:lineRule="auto"/>
        <w:tabs>
          <w:tab w:leader="none" w:pos="637" w:val="left"/>
        </w:tabs>
        <w:numPr>
          <w:ilvl w:val="0"/>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WAWF training. The Contractor should follow the training instructions of the WAWF Web-Based Training Course and use the Practice Training Site before submitting payment requests through WAWF. Both can be accessed by selecting the "Web Based Training" link on the WAWF home page at</w:t>
      </w:r>
    </w:p>
    <w:p>
      <w:pPr>
        <w:spacing w:after="0" w:line="1" w:lineRule="exact"/>
        <w:rPr>
          <w:rFonts w:ascii="Courier New" w:cs="Courier New" w:eastAsia="Courier New" w:hAnsi="Courier New"/>
          <w:sz w:val="12"/>
          <w:szCs w:val="12"/>
          <w:color w:val="auto"/>
        </w:rPr>
      </w:pPr>
    </w:p>
    <w:p>
      <w:pPr>
        <w:ind w:left="1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https://wawf.eb.mil/.</w:t>
      </w:r>
    </w:p>
    <w:p>
      <w:pPr>
        <w:spacing w:after="0" w:line="270" w:lineRule="exact"/>
        <w:rPr>
          <w:rFonts w:ascii="Courier New" w:cs="Courier New" w:eastAsia="Courier New" w:hAnsi="Courier New"/>
          <w:sz w:val="12"/>
          <w:szCs w:val="12"/>
          <w:color w:val="auto"/>
        </w:rPr>
      </w:pPr>
    </w:p>
    <w:p>
      <w:pPr>
        <w:ind w:left="620" w:hanging="488"/>
        <w:spacing w:after="0"/>
        <w:tabs>
          <w:tab w:leader="none" w:pos="620" w:val="left"/>
        </w:tabs>
        <w:numPr>
          <w:ilvl w:val="0"/>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WAWF methods of document submission. Document submissions may be via Web entry, Electronic Data Interchange, or File Transfer Protocol.</w:t>
      </w:r>
    </w:p>
    <w:p>
      <w:pPr>
        <w:spacing w:after="0" w:line="292" w:lineRule="exact"/>
        <w:rPr>
          <w:rFonts w:ascii="Courier New" w:cs="Courier New" w:eastAsia="Courier New" w:hAnsi="Courier New"/>
          <w:sz w:val="12"/>
          <w:szCs w:val="12"/>
          <w:color w:val="auto"/>
        </w:rPr>
      </w:pPr>
    </w:p>
    <w:p>
      <w:pPr>
        <w:ind w:left="140" w:hanging="8"/>
        <w:spacing w:after="0" w:line="437" w:lineRule="auto"/>
        <w:tabs>
          <w:tab w:leader="none" w:pos="637" w:val="left"/>
        </w:tabs>
        <w:numPr>
          <w:ilvl w:val="0"/>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WAWF payment instructions. The Contractor shall use the following information when submitting payment requests and receiving reports in WAWF for this contract or task or delivery order:</w:t>
      </w:r>
    </w:p>
    <w:p>
      <w:pPr>
        <w:spacing w:after="0" w:line="93" w:lineRule="exact"/>
        <w:rPr>
          <w:rFonts w:ascii="Courier New" w:cs="Courier New" w:eastAsia="Courier New" w:hAnsi="Courier New"/>
          <w:sz w:val="12"/>
          <w:szCs w:val="12"/>
          <w:color w:val="auto"/>
        </w:rPr>
      </w:pPr>
    </w:p>
    <w:p>
      <w:pPr>
        <w:ind w:left="560" w:hanging="279"/>
        <w:spacing w:after="0"/>
        <w:tabs>
          <w:tab w:leader="none" w:pos="560" w:val="left"/>
        </w:tabs>
        <w:numPr>
          <w:ilvl w:val="1"/>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Document type. The Contractor shall submit payment requests using the following document type(s):</w:t>
      </w:r>
    </w:p>
    <w:p>
      <w:pPr>
        <w:spacing w:after="0" w:line="225" w:lineRule="exact"/>
        <w:rPr>
          <w:rFonts w:ascii="Courier New" w:cs="Courier New" w:eastAsia="Courier New" w:hAnsi="Courier New"/>
          <w:sz w:val="12"/>
          <w:szCs w:val="12"/>
          <w:color w:val="auto"/>
        </w:rPr>
      </w:pPr>
    </w:p>
    <w:p>
      <w:pPr>
        <w:ind w:left="720" w:hanging="289"/>
        <w:spacing w:after="0"/>
        <w:tabs>
          <w:tab w:leader="none" w:pos="720" w:val="left"/>
        </w:tabs>
        <w:numPr>
          <w:ilvl w:val="2"/>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cost-type line items, including labor-hour or time-and-materials, submit a cost voucher.</w:t>
      </w:r>
    </w:p>
    <w:p>
      <w:pPr>
        <w:spacing w:after="0" w:line="238" w:lineRule="exact"/>
        <w:rPr>
          <w:rFonts w:ascii="Courier New" w:cs="Courier New" w:eastAsia="Courier New" w:hAnsi="Courier New"/>
          <w:sz w:val="12"/>
          <w:szCs w:val="12"/>
          <w:color w:val="auto"/>
        </w:rPr>
      </w:pPr>
    </w:p>
    <w:p>
      <w:pPr>
        <w:ind w:left="780" w:hanging="350"/>
        <w:spacing w:after="0"/>
        <w:tabs>
          <w:tab w:leader="none" w:pos="780" w:val="left"/>
        </w:tabs>
        <w:numPr>
          <w:ilvl w:val="2"/>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fixed price line items--</w:t>
      </w:r>
    </w:p>
    <w:p>
      <w:pPr>
        <w:spacing w:after="0" w:line="225" w:lineRule="exact"/>
        <w:rPr>
          <w:rFonts w:ascii="Courier New" w:cs="Courier New" w:eastAsia="Courier New" w:hAnsi="Courier New"/>
          <w:sz w:val="12"/>
          <w:szCs w:val="12"/>
          <w:color w:val="auto"/>
        </w:rPr>
      </w:pPr>
    </w:p>
    <w:p>
      <w:pPr>
        <w:ind w:left="860" w:hanging="280"/>
        <w:spacing w:after="0"/>
        <w:tabs>
          <w:tab w:leader="none" w:pos="860" w:val="left"/>
        </w:tabs>
        <w:numPr>
          <w:ilvl w:val="3"/>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That require shipment of a deliverable, submit the invoice and receiving report specified by the Contracting Officer.</w:t>
      </w:r>
    </w:p>
    <w:p>
      <w:pPr>
        <w:spacing w:after="0" w:line="239"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Invoice (Contractor Only)</w:t>
      </w:r>
    </w:p>
    <w:p>
      <w:pPr>
        <w:spacing w:after="0" w:line="252" w:lineRule="exact"/>
        <w:rPr>
          <w:sz w:val="20"/>
          <w:szCs w:val="20"/>
          <w:color w:val="auto"/>
        </w:rPr>
      </w:pPr>
    </w:p>
    <w:p>
      <w:pPr>
        <w:ind w:left="140" w:right="360" w:firstLine="441"/>
        <w:spacing w:after="0" w:line="461" w:lineRule="auto"/>
        <w:tabs>
          <w:tab w:leader="none" w:pos="1287"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services that do not require shipment of a deliverable, submit either the Invoice 2-in-1, which meets the requirements for the invoice and receiving report, or the applicable invoice and receiving report, as specified by the Contracting Officer.</w:t>
      </w:r>
    </w:p>
    <w:p>
      <w:pPr>
        <w:spacing w:after="0" w:line="66"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Invoice as 2-in-1</w:t>
      </w:r>
    </w:p>
    <w:p>
      <w:pPr>
        <w:spacing w:after="0" w:line="239" w:lineRule="exact"/>
        <w:rPr>
          <w:sz w:val="20"/>
          <w:szCs w:val="20"/>
          <w:color w:val="auto"/>
        </w:rPr>
      </w:pPr>
    </w:p>
    <w:p>
      <w:pPr>
        <w:ind w:left="860" w:hanging="429"/>
        <w:spacing w:after="0"/>
        <w:tabs>
          <w:tab w:leader="none" w:pos="860" w:val="left"/>
        </w:tabs>
        <w:numPr>
          <w:ilvl w:val="1"/>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customary progress payments based on costs incurred, submit a progress payment request.</w:t>
      </w:r>
    </w:p>
    <w:p>
      <w:pPr>
        <w:spacing w:after="0" w:line="225" w:lineRule="exact"/>
        <w:rPr>
          <w:rFonts w:ascii="Courier New" w:cs="Courier New" w:eastAsia="Courier New" w:hAnsi="Courier New"/>
          <w:sz w:val="12"/>
          <w:szCs w:val="12"/>
          <w:color w:val="auto"/>
        </w:rPr>
      </w:pPr>
    </w:p>
    <w:p>
      <w:pPr>
        <w:ind w:left="780" w:hanging="350"/>
        <w:spacing w:after="0"/>
        <w:tabs>
          <w:tab w:leader="none" w:pos="780" w:val="left"/>
        </w:tabs>
        <w:numPr>
          <w:ilvl w:val="1"/>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performance based payments, submit a performance based payment request.</w:t>
      </w:r>
    </w:p>
    <w:p>
      <w:pPr>
        <w:spacing w:after="0" w:line="238" w:lineRule="exact"/>
        <w:rPr>
          <w:rFonts w:ascii="Courier New" w:cs="Courier New" w:eastAsia="Courier New" w:hAnsi="Courier New"/>
          <w:sz w:val="12"/>
          <w:szCs w:val="12"/>
          <w:color w:val="auto"/>
        </w:rPr>
      </w:pPr>
    </w:p>
    <w:p>
      <w:pPr>
        <w:ind w:left="720" w:hanging="289"/>
        <w:spacing w:after="0"/>
        <w:tabs>
          <w:tab w:leader="none" w:pos="720" w:val="left"/>
        </w:tabs>
        <w:numPr>
          <w:ilvl w:val="1"/>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commercial item financing, submit a commercial item financing request.</w:t>
      </w:r>
    </w:p>
    <w:p>
      <w:pPr>
        <w:spacing w:after="0" w:line="225" w:lineRule="exact"/>
        <w:rPr>
          <w:rFonts w:ascii="Courier New" w:cs="Courier New" w:eastAsia="Courier New" w:hAnsi="Courier New"/>
          <w:sz w:val="12"/>
          <w:szCs w:val="12"/>
          <w:color w:val="auto"/>
        </w:rPr>
      </w:pPr>
    </w:p>
    <w:p>
      <w:pPr>
        <w:ind w:left="560" w:hanging="279"/>
        <w:spacing w:after="0"/>
        <w:tabs>
          <w:tab w:leader="none" w:pos="560"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Fast Pay requests are only permitted when Federal Acquisition Regulation (FAR) 52.213-1 is included in the contract.</w:t>
      </w:r>
    </w:p>
    <w:p>
      <w:pPr>
        <w:spacing w:after="0" w:line="239"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[Note: The Contractor may use a WAWF "combo" document type to create some Combinations of invoice and receiving report in one step.]</w:t>
      </w:r>
    </w:p>
    <w:p>
      <w:pPr>
        <w:sectPr>
          <w:pgSz w:w="11900" w:h="16838" w:orient="portrait"/>
          <w:cols w:equalWidth="0" w:num="1">
            <w:col w:w="11040"/>
          </w:cols>
          <w:pgMar w:left="320" w:top="146" w:right="5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01"/>
        </w:trPr>
        <w:tc>
          <w:tcPr>
            <w:tcW w:w="3360" w:type="dxa"/>
            <w:vAlign w:val="bottom"/>
            <w:tcBorders>
              <w:top w:val="single" w:sz="8" w:color="auto"/>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20"/>
                <w:szCs w:val="20"/>
                <w:b w:val="1"/>
                <w:bCs w:val="1"/>
                <w:color w:val="auto"/>
              </w:rPr>
              <w:t>CONTINUATION SHEET</w:t>
            </w:r>
          </w:p>
        </w:tc>
        <w:tc>
          <w:tcPr>
            <w:tcW w:w="5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 xml:space="preserve">Page </w:t>
            </w:r>
            <w:r>
              <w:rPr>
                <w:rFonts w:ascii="Times New Roman" w:cs="Times New Roman" w:eastAsia="Times New Roman" w:hAnsi="Times New Roman"/>
                <w:sz w:val="16"/>
                <w:szCs w:val="16"/>
                <w:color w:val="auto"/>
              </w:rPr>
              <w:t>7</w:t>
            </w:r>
            <w:r>
              <w:rPr>
                <w:rFonts w:ascii="Times New Roman" w:cs="Times New Roman" w:eastAsia="Times New Roman" w:hAnsi="Times New Roman"/>
                <w:sz w:val="16"/>
                <w:szCs w:val="16"/>
                <w:b w:val="1"/>
                <w:bCs w:val="1"/>
                <w:color w:val="auto"/>
              </w:rPr>
              <w:t xml:space="preserve"> of </w:t>
            </w:r>
            <w:r>
              <w:rPr>
                <w:rFonts w:ascii="Times New Roman" w:cs="Times New Roman" w:eastAsia="Times New Roman" w:hAnsi="Times New Roman"/>
                <w:sz w:val="16"/>
                <w:szCs w:val="16"/>
                <w:color w:val="auto"/>
              </w:rPr>
              <w:t>7</w:t>
            </w:r>
          </w:p>
        </w:tc>
      </w:tr>
      <w:tr>
        <w:trPr>
          <w:trHeight w:val="134"/>
        </w:trPr>
        <w:tc>
          <w:tcPr>
            <w:tcW w:w="3360" w:type="dxa"/>
            <w:vAlign w:val="bottom"/>
            <w:tcBorders>
              <w:right w:val="single" w:sz="8" w:color="auto"/>
            </w:tcBorders>
          </w:tcPr>
          <w:p>
            <w:pPr>
              <w:spacing w:after="0"/>
              <w:rPr>
                <w:sz w:val="11"/>
                <w:szCs w:val="11"/>
                <w:color w:val="auto"/>
              </w:rPr>
            </w:pPr>
          </w:p>
        </w:tc>
        <w:tc>
          <w:tcPr>
            <w:tcW w:w="526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color w:val="auto"/>
              </w:rPr>
              <w:t>W15QKN-21-C-0014</w:t>
            </w:r>
          </w:p>
        </w:tc>
        <w:tc>
          <w:tcPr>
            <w:tcW w:w="1780" w:type="dxa"/>
            <w:vAlign w:val="bottom"/>
          </w:tcPr>
          <w:p>
            <w:pPr>
              <w:spacing w:after="0"/>
              <w:rPr>
                <w:sz w:val="11"/>
                <w:szCs w:val="11"/>
                <w:color w:val="auto"/>
              </w:rPr>
            </w:pPr>
          </w:p>
        </w:tc>
      </w:tr>
      <w:tr>
        <w:trPr>
          <w:trHeight w:val="212"/>
        </w:trPr>
        <w:tc>
          <w:tcPr>
            <w:tcW w:w="336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PIIN/SIIN MOD/AMD </w:t>
            </w:r>
            <w:r>
              <w:rPr>
                <w:rFonts w:ascii="Times New Roman" w:cs="Times New Roman" w:eastAsia="Times New Roman" w:hAnsi="Times New Roman"/>
                <w:sz w:val="16"/>
                <w:szCs w:val="16"/>
                <w:color w:val="auto"/>
              </w:rPr>
              <w:t>P00001</w:t>
            </w:r>
          </w:p>
        </w:tc>
        <w:tc>
          <w:tcPr>
            <w:tcW w:w="1780" w:type="dxa"/>
            <w:vAlign w:val="bottom"/>
            <w:tcBorders>
              <w:bottom w:val="single" w:sz="8" w:color="auto"/>
            </w:tcBorders>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20"/>
          <w:szCs w:val="20"/>
          <w:b w:val="1"/>
          <w:bCs w:val="1"/>
          <w:color w:val="auto"/>
        </w:rPr>
        <w:t>Name of Offeror or Contractor: 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0" w:right="320" w:firstLine="168"/>
        <w:spacing w:after="0" w:line="461" w:lineRule="auto"/>
        <w:tabs>
          <w:tab w:leader="none" w:pos="529"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Document routing. The Contractor shall use the information in the Routing Data Table below only to fill in applicable fields in WAWF when creating payment requests and receiving reports in the system.</w:t>
      </w:r>
    </w:p>
    <w:p>
      <w:pPr>
        <w:spacing w:after="0" w:line="120"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2840" w:type="dxa"/>
            <w:vAlign w:val="bottom"/>
          </w:tcPr>
          <w:p>
            <w:pPr>
              <w:ind w:left="1280"/>
              <w:spacing w:after="0"/>
              <w:rPr>
                <w:sz w:val="20"/>
                <w:szCs w:val="20"/>
                <w:color w:val="auto"/>
              </w:rPr>
            </w:pPr>
            <w:r>
              <w:rPr>
                <w:rFonts w:ascii="Courier New" w:cs="Courier New" w:eastAsia="Courier New" w:hAnsi="Courier New"/>
                <w:sz w:val="12"/>
                <w:szCs w:val="12"/>
                <w:color w:val="464646"/>
              </w:rPr>
              <w:t>Routing Data Table*</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6"/>
        </w:trPr>
        <w:tc>
          <w:tcPr>
            <w:tcW w:w="2840" w:type="dxa"/>
            <w:vAlign w:val="bottom"/>
          </w:tcPr>
          <w:p>
            <w:pPr>
              <w:spacing w:after="0"/>
              <w:rPr>
                <w:sz w:val="20"/>
                <w:szCs w:val="20"/>
                <w:color w:val="auto"/>
              </w:rPr>
            </w:pPr>
            <w:r>
              <w:rPr>
                <w:rFonts w:ascii="Courier New" w:cs="Courier New" w:eastAsia="Courier New" w:hAnsi="Courier New"/>
                <w:sz w:val="12"/>
                <w:szCs w:val="12"/>
                <w:color w:val="auto"/>
              </w:rPr>
              <w:t>Field Name in WAWF</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w w:val="99"/>
              </w:rPr>
              <w:t>Data to be entered in WAWF</w:t>
            </w:r>
          </w:p>
        </w:tc>
        <w:tc>
          <w:tcPr>
            <w:tcW w:w="0" w:type="dxa"/>
            <w:vAlign w:val="bottom"/>
          </w:tcPr>
          <w:p>
            <w:pPr>
              <w:spacing w:after="0"/>
              <w:rPr>
                <w:sz w:val="1"/>
                <w:szCs w:val="1"/>
                <w:color w:val="auto"/>
              </w:rPr>
            </w:pPr>
          </w:p>
        </w:tc>
      </w:tr>
      <w:tr>
        <w:trPr>
          <w:trHeight w:val="210"/>
        </w:trPr>
        <w:tc>
          <w:tcPr>
            <w:tcW w:w="2840" w:type="dxa"/>
            <w:vAlign w:val="bottom"/>
            <w:vMerge w:val="restart"/>
          </w:tcPr>
          <w:p>
            <w:pPr>
              <w:spacing w:after="0"/>
              <w:rPr>
                <w:sz w:val="20"/>
                <w:szCs w:val="20"/>
                <w:color w:val="auto"/>
              </w:rPr>
            </w:pPr>
            <w:r>
              <w:rPr>
                <w:rFonts w:ascii="Courier New" w:cs="Courier New" w:eastAsia="Courier New" w:hAnsi="Courier New"/>
                <w:sz w:val="12"/>
                <w:szCs w:val="12"/>
                <w:color w:val="auto"/>
              </w:rPr>
              <w:t>Pay Official DoDAAC</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HQ0490</w:t>
            </w:r>
          </w:p>
        </w:tc>
        <w:tc>
          <w:tcPr>
            <w:tcW w:w="0" w:type="dxa"/>
            <w:vAlign w:val="bottom"/>
          </w:tcPr>
          <w:p>
            <w:pPr>
              <w:spacing w:after="0"/>
              <w:rPr>
                <w:sz w:val="1"/>
                <w:szCs w:val="1"/>
                <w:color w:val="auto"/>
              </w:rPr>
            </w:pPr>
          </w:p>
        </w:tc>
      </w:tr>
      <w:tr>
        <w:trPr>
          <w:trHeight w:val="84"/>
        </w:trPr>
        <w:tc>
          <w:tcPr>
            <w:tcW w:w="2840" w:type="dxa"/>
            <w:vAlign w:val="bottom"/>
            <w:vMerge w:val="continue"/>
          </w:tcPr>
          <w:p>
            <w:pPr>
              <w:spacing w:after="0"/>
              <w:rPr>
                <w:sz w:val="7"/>
                <w:szCs w:val="7"/>
                <w:color w:val="auto"/>
              </w:rPr>
            </w:pPr>
          </w:p>
        </w:tc>
        <w:tc>
          <w:tcPr>
            <w:tcW w:w="2040" w:type="dxa"/>
            <w:vAlign w:val="bottom"/>
            <w:vMerge w:val="restart"/>
          </w:tcPr>
          <w:p>
            <w:pPr>
              <w:ind w:left="160"/>
              <w:spacing w:after="0"/>
              <w:rPr>
                <w:sz w:val="20"/>
                <w:szCs w:val="20"/>
                <w:color w:val="auto"/>
              </w:rPr>
            </w:pPr>
            <w:r>
              <w:rPr>
                <w:rFonts w:ascii="Courier New" w:cs="Courier New" w:eastAsia="Courier New" w:hAnsi="Courier New"/>
                <w:sz w:val="12"/>
                <w:szCs w:val="12"/>
                <w:color w:val="auto"/>
              </w:rPr>
              <w:t>W15QKN</w:t>
            </w:r>
          </w:p>
        </w:tc>
        <w:tc>
          <w:tcPr>
            <w:tcW w:w="0" w:type="dxa"/>
            <w:vAlign w:val="bottom"/>
          </w:tcPr>
          <w:p>
            <w:pPr>
              <w:spacing w:after="0"/>
              <w:rPr>
                <w:sz w:val="1"/>
                <w:szCs w:val="1"/>
                <w:color w:val="auto"/>
              </w:rPr>
            </w:pPr>
          </w:p>
        </w:tc>
      </w:tr>
      <w:tr>
        <w:trPr>
          <w:trHeight w:val="187"/>
        </w:trPr>
        <w:tc>
          <w:tcPr>
            <w:tcW w:w="2840" w:type="dxa"/>
            <w:vAlign w:val="bottom"/>
          </w:tcPr>
          <w:p>
            <w:pPr>
              <w:spacing w:after="0"/>
              <w:rPr>
                <w:sz w:val="20"/>
                <w:szCs w:val="20"/>
                <w:color w:val="auto"/>
              </w:rPr>
            </w:pPr>
            <w:r>
              <w:rPr>
                <w:rFonts w:ascii="Courier New" w:cs="Courier New" w:eastAsia="Courier New" w:hAnsi="Courier New"/>
                <w:sz w:val="12"/>
                <w:szCs w:val="12"/>
                <w:color w:val="auto"/>
              </w:rPr>
              <w:t>Issue By DoDAAC</w:t>
            </w:r>
          </w:p>
        </w:tc>
        <w:tc>
          <w:tcPr>
            <w:tcW w:w="2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40" w:type="dxa"/>
            <w:vAlign w:val="bottom"/>
          </w:tcPr>
          <w:p>
            <w:pPr>
              <w:spacing w:after="0"/>
              <w:rPr>
                <w:sz w:val="20"/>
                <w:szCs w:val="20"/>
                <w:color w:val="auto"/>
              </w:rPr>
            </w:pPr>
            <w:r>
              <w:rPr>
                <w:rFonts w:ascii="Courier New" w:cs="Courier New" w:eastAsia="Courier New" w:hAnsi="Courier New"/>
                <w:sz w:val="12"/>
                <w:szCs w:val="12"/>
                <w:color w:val="auto"/>
              </w:rPr>
              <w:t>Admin DoDAAC</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W15QKN</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20"/>
                <w:szCs w:val="20"/>
                <w:color w:val="auto"/>
              </w:rPr>
            </w:pPr>
            <w:r>
              <w:rPr>
                <w:rFonts w:ascii="Courier New" w:cs="Courier New" w:eastAsia="Courier New" w:hAnsi="Courier New"/>
                <w:sz w:val="12"/>
                <w:szCs w:val="12"/>
                <w:color w:val="auto"/>
              </w:rPr>
              <w:t>Inspect By DoDAAC</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TBD</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20"/>
                <w:szCs w:val="20"/>
                <w:color w:val="auto"/>
              </w:rPr>
            </w:pPr>
            <w:r>
              <w:rPr>
                <w:rFonts w:ascii="Courier New" w:cs="Courier New" w:eastAsia="Courier New" w:hAnsi="Courier New"/>
                <w:sz w:val="12"/>
                <w:szCs w:val="12"/>
                <w:color w:val="auto"/>
              </w:rPr>
              <w:t>Ship To Code</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W90ZQ2</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20"/>
                <w:szCs w:val="20"/>
                <w:color w:val="auto"/>
              </w:rPr>
            </w:pPr>
            <w:r>
              <w:rPr>
                <w:rFonts w:ascii="Courier New" w:cs="Courier New" w:eastAsia="Courier New" w:hAnsi="Courier New"/>
                <w:sz w:val="12"/>
                <w:szCs w:val="12"/>
                <w:color w:val="auto"/>
              </w:rPr>
              <w:t>Ship From Code</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TBD</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20"/>
                <w:szCs w:val="20"/>
                <w:color w:val="auto"/>
              </w:rPr>
            </w:pPr>
            <w:r>
              <w:rPr>
                <w:rFonts w:ascii="Courier New" w:cs="Courier New" w:eastAsia="Courier New" w:hAnsi="Courier New"/>
                <w:sz w:val="12"/>
                <w:szCs w:val="12"/>
                <w:color w:val="auto"/>
              </w:rPr>
              <w:t>Mark For Code</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TBD</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20"/>
                <w:szCs w:val="20"/>
                <w:color w:val="auto"/>
              </w:rPr>
            </w:pPr>
            <w:r>
              <w:rPr>
                <w:rFonts w:ascii="Courier New" w:cs="Courier New" w:eastAsia="Courier New" w:hAnsi="Courier New"/>
                <w:sz w:val="12"/>
                <w:szCs w:val="12"/>
                <w:color w:val="auto"/>
              </w:rPr>
              <w:t>Service Approver (DoDAAC)</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N/A</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20"/>
                <w:szCs w:val="20"/>
                <w:color w:val="auto"/>
              </w:rPr>
            </w:pPr>
            <w:r>
              <w:rPr>
                <w:rFonts w:ascii="Courier New" w:cs="Courier New" w:eastAsia="Courier New" w:hAnsi="Courier New"/>
                <w:sz w:val="12"/>
                <w:szCs w:val="12"/>
                <w:color w:val="auto"/>
              </w:rPr>
              <w:t>Service Acceptor (DoDAAC)</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N/A</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20"/>
                <w:szCs w:val="20"/>
                <w:color w:val="auto"/>
              </w:rPr>
            </w:pPr>
            <w:r>
              <w:rPr>
                <w:rFonts w:ascii="Courier New" w:cs="Courier New" w:eastAsia="Courier New" w:hAnsi="Courier New"/>
                <w:sz w:val="12"/>
                <w:szCs w:val="12"/>
                <w:color w:val="auto"/>
              </w:rPr>
              <w:t>Accept at Other DoDAAC</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N/A</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20"/>
                <w:szCs w:val="20"/>
                <w:color w:val="auto"/>
              </w:rPr>
            </w:pPr>
            <w:r>
              <w:rPr>
                <w:rFonts w:ascii="Courier New" w:cs="Courier New" w:eastAsia="Courier New" w:hAnsi="Courier New"/>
                <w:sz w:val="12"/>
                <w:szCs w:val="12"/>
                <w:color w:val="auto"/>
              </w:rPr>
              <w:t>LPO DoDAAC</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N/A</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20"/>
                <w:szCs w:val="20"/>
                <w:color w:val="auto"/>
              </w:rPr>
            </w:pPr>
            <w:r>
              <w:rPr>
                <w:rFonts w:ascii="Courier New" w:cs="Courier New" w:eastAsia="Courier New" w:hAnsi="Courier New"/>
                <w:sz w:val="12"/>
                <w:szCs w:val="12"/>
                <w:color w:val="auto"/>
              </w:rPr>
              <w:t>DCAA Auditor DoDAAC</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N/A</w:t>
            </w:r>
          </w:p>
        </w:tc>
        <w:tc>
          <w:tcPr>
            <w:tcW w:w="0" w:type="dxa"/>
            <w:vAlign w:val="bottom"/>
          </w:tcPr>
          <w:p>
            <w:pPr>
              <w:spacing w:after="0"/>
              <w:rPr>
                <w:sz w:val="1"/>
                <w:szCs w:val="1"/>
                <w:color w:val="auto"/>
              </w:rPr>
            </w:pPr>
          </w:p>
        </w:tc>
      </w:tr>
      <w:tr>
        <w:trPr>
          <w:trHeight w:val="223"/>
        </w:trPr>
        <w:tc>
          <w:tcPr>
            <w:tcW w:w="2840" w:type="dxa"/>
            <w:vAlign w:val="bottom"/>
          </w:tcPr>
          <w:p>
            <w:pPr>
              <w:spacing w:after="0"/>
              <w:rPr>
                <w:sz w:val="20"/>
                <w:szCs w:val="20"/>
                <w:color w:val="auto"/>
              </w:rPr>
            </w:pPr>
            <w:r>
              <w:rPr>
                <w:rFonts w:ascii="Courier New" w:cs="Courier New" w:eastAsia="Courier New" w:hAnsi="Courier New"/>
                <w:sz w:val="12"/>
                <w:szCs w:val="12"/>
                <w:color w:val="auto"/>
              </w:rPr>
              <w:t>Other DoDAAC(s)</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-2239645</wp:posOffset>
            </wp:positionV>
            <wp:extent cx="3201670" cy="336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01670" cy="33655"/>
                    </a:xfrm>
                    <a:prstGeom prst="rect">
                      <a:avLst/>
                    </a:prstGeom>
                    <a:noFill/>
                  </pic:spPr>
                </pic:pic>
              </a:graphicData>
            </a:graphic>
          </wp:anchor>
        </w:drawing>
        <w:drawing>
          <wp:anchor simplePos="0" relativeHeight="251657728" behindDoc="1" locked="0" layoutInCell="0" allowOverlap="1">
            <wp:simplePos x="0" y="0"/>
            <wp:positionH relativeFrom="column">
              <wp:posOffset>76835</wp:posOffset>
            </wp:positionH>
            <wp:positionV relativeFrom="paragraph">
              <wp:posOffset>-22860</wp:posOffset>
            </wp:positionV>
            <wp:extent cx="3677285" cy="336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77285" cy="33655"/>
                    </a:xfrm>
                    <a:prstGeom prst="rect">
                      <a:avLst/>
                    </a:prstGeom>
                    <a:noFill/>
                  </pic:spPr>
                </pic:pic>
              </a:graphicData>
            </a:graphic>
          </wp:anchor>
        </w:drawing>
        <w:drawing>
          <wp:anchor simplePos="0" relativeHeight="251657728" behindDoc="1" locked="0" layoutInCell="0" allowOverlap="1">
            <wp:simplePos x="0" y="0"/>
            <wp:positionH relativeFrom="column">
              <wp:posOffset>76835</wp:posOffset>
            </wp:positionH>
            <wp:positionV relativeFrom="paragraph">
              <wp:posOffset>-1738630</wp:posOffset>
            </wp:positionV>
            <wp:extent cx="3677285" cy="336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677285" cy="336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0" w:firstLine="152"/>
        <w:spacing w:after="0" w:line="437" w:lineRule="auto"/>
        <w:tabs>
          <w:tab w:leader="none" w:pos="509" w:val="left"/>
        </w:tabs>
        <w:numPr>
          <w:ilvl w:val="2"/>
          <w:numId w:val="1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 request. The Contractor shall ensure a payment request includes documentation appropriate to the type of payment request in accordance with the payment clause, contract financing clause, or Federal Acquisition Regulation 52.216-7, Allowable Cost and Payment, as applicable.</w:t>
      </w:r>
    </w:p>
    <w:p>
      <w:pPr>
        <w:spacing w:after="0" w:line="80" w:lineRule="exact"/>
        <w:rPr>
          <w:rFonts w:ascii="Courier New" w:cs="Courier New" w:eastAsia="Courier New" w:hAnsi="Courier New"/>
          <w:sz w:val="12"/>
          <w:szCs w:val="12"/>
          <w:color w:val="auto"/>
        </w:rPr>
      </w:pPr>
    </w:p>
    <w:p>
      <w:pPr>
        <w:ind w:left="460" w:hanging="293"/>
        <w:spacing w:after="0"/>
        <w:tabs>
          <w:tab w:leader="none" w:pos="460" w:val="left"/>
        </w:tabs>
        <w:numPr>
          <w:ilvl w:val="1"/>
          <w:numId w:val="109"/>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Receiving report. The Contractor shall ensure a receiving report meets the requirements of DFARS Appendix F.</w:t>
      </w:r>
    </w:p>
    <w:p>
      <w:pPr>
        <w:spacing w:after="0" w:line="238" w:lineRule="exact"/>
        <w:rPr>
          <w:rFonts w:ascii="Courier New" w:cs="Courier New" w:eastAsia="Courier New" w:hAnsi="Courier New"/>
          <w:sz w:val="12"/>
          <w:szCs w:val="12"/>
          <w:color w:val="auto"/>
        </w:rPr>
      </w:pPr>
    </w:p>
    <w:p>
      <w:pPr>
        <w:ind w:left="300" w:hanging="293"/>
        <w:spacing w:after="0"/>
        <w:tabs>
          <w:tab w:leader="none" w:pos="300" w:val="left"/>
        </w:tabs>
        <w:numPr>
          <w:ilvl w:val="0"/>
          <w:numId w:val="1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WAWF point of contact.</w:t>
      </w:r>
    </w:p>
    <w:p>
      <w:pPr>
        <w:spacing w:after="0" w:line="251" w:lineRule="exact"/>
        <w:rPr>
          <w:rFonts w:ascii="Courier New" w:cs="Courier New" w:eastAsia="Courier New" w:hAnsi="Courier New"/>
          <w:sz w:val="12"/>
          <w:szCs w:val="12"/>
          <w:color w:val="auto"/>
        </w:rPr>
      </w:pPr>
    </w:p>
    <w:p>
      <w:pPr>
        <w:ind w:left="640" w:hanging="359"/>
        <w:spacing w:after="0"/>
        <w:tabs>
          <w:tab w:leader="none" w:pos="640" w:val="left"/>
        </w:tabs>
        <w:numPr>
          <w:ilvl w:val="3"/>
          <w:numId w:val="1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Contractor may obtain clarification regarding invoicing in WAWF from the following contracting activity's WAWF point of contact.</w:t>
      </w:r>
    </w:p>
    <w:p>
      <w:pPr>
        <w:spacing w:after="0" w:line="200" w:lineRule="exact"/>
        <w:rPr>
          <w:rFonts w:ascii="Courier New" w:cs="Courier New" w:eastAsia="Courier New" w:hAnsi="Courier New"/>
          <w:sz w:val="12"/>
          <w:szCs w:val="12"/>
          <w:color w:val="auto"/>
        </w:rPr>
      </w:pPr>
    </w:p>
    <w:p>
      <w:pPr>
        <w:spacing w:after="0" w:line="200" w:lineRule="exact"/>
        <w:rPr>
          <w:rFonts w:ascii="Courier New" w:cs="Courier New" w:eastAsia="Courier New" w:hAnsi="Courier New"/>
          <w:sz w:val="12"/>
          <w:szCs w:val="12"/>
          <w:color w:val="auto"/>
        </w:rPr>
      </w:pPr>
    </w:p>
    <w:p>
      <w:pPr>
        <w:spacing w:after="0" w:line="360" w:lineRule="exact"/>
        <w:rPr>
          <w:rFonts w:ascii="Courier New" w:cs="Courier New" w:eastAsia="Courier New" w:hAnsi="Courier New"/>
          <w:sz w:val="12"/>
          <w:szCs w:val="12"/>
          <w:color w:val="auto"/>
        </w:rPr>
      </w:pPr>
    </w:p>
    <w:p>
      <w:pPr>
        <w:ind w:left="560" w:hanging="279"/>
        <w:spacing w:after="0"/>
        <w:tabs>
          <w:tab w:leader="none" w:pos="560" w:val="left"/>
        </w:tabs>
        <w:numPr>
          <w:ilvl w:val="3"/>
          <w:numId w:val="1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Contact the WAWF helpdesk at , if assistance is needed.</w:t>
      </w:r>
    </w:p>
    <w:p>
      <w:pPr>
        <w:spacing w:after="0" w:line="225"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2"/>
          <w:szCs w:val="12"/>
          <w:color w:val="auto"/>
        </w:rPr>
        <w:t>(End of clause)</w:t>
      </w:r>
    </w:p>
    <w:p>
      <w:pPr>
        <w:sectPr>
          <w:pgSz w:w="11900" w:h="16838" w:orient="portrait"/>
          <w:cols w:equalWidth="0" w:num="1">
            <w:col w:w="10760"/>
          </w:cols>
          <w:pgMar w:left="320" w:top="146" w:right="819" w:bottom="1440" w:gutter="0" w:footer="0" w:header="0"/>
        </w:sectPr>
      </w:pPr>
    </w:p>
    <w:bookmarkStart w:id="157" w:name="page158"/>
    <w:bookmarkEnd w:id="157"/>
    <w:p>
      <w:pPr>
        <w:spacing w:after="0" w:line="191" w:lineRule="auto"/>
        <w:framePr w:w="3520" w:h="119" w:wrap="auto" w:vAnchor="page" w:hAnchor="page" w:x="5780" w:y="12539"/>
        <w:rPr>
          <w:rFonts w:ascii="Times New Roman" w:cs="Times New Roman" w:eastAsia="Times New Roman" w:hAnsi="Times New Roman"/>
          <w:sz w:val="13"/>
          <w:szCs w:val="13"/>
          <w:b w:val="1"/>
          <w:bCs w:val="1"/>
          <w:color w:val="464646"/>
        </w:rPr>
      </w:pPr>
      <w:r>
        <w:rPr>
          <w:rFonts w:ascii="Times New Roman" w:cs="Times New Roman" w:eastAsia="Times New Roman" w:hAnsi="Times New Roman"/>
          <w:sz w:val="13"/>
          <w:szCs w:val="13"/>
          <w:b w:val="1"/>
          <w:bCs w:val="1"/>
          <w:color w:val="464646"/>
        </w:rPr>
        <w:t>16A. Name And Title Of Contracting Officer (Type or print)</w:t>
      </w:r>
    </w:p>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9" w:lineRule="exact"/>
        <w:rPr>
          <w:rFonts w:ascii="Times New Roman" w:cs="Times New Roman" w:eastAsia="Times New Roman" w:hAnsi="Times New Roman"/>
          <w:sz w:val="13"/>
          <w:szCs w:val="13"/>
          <w:b w:val="1"/>
          <w:bCs w:val="1"/>
          <w:color w:val="464646"/>
        </w:rPr>
      </w:pPr>
    </w:p>
    <w:p>
      <w:pPr>
        <w:jc w:val="center"/>
        <w:ind w:right="100"/>
        <w:spacing w:after="0" w:line="239" w:lineRule="auto"/>
        <w:rPr>
          <w:sz w:val="20"/>
          <w:szCs w:val="20"/>
          <w:color w:val="auto"/>
        </w:rPr>
      </w:pPr>
      <w:r>
        <w:rPr>
          <w:rFonts w:ascii="Times New Roman" w:cs="Times New Roman" w:eastAsia="Times New Roman" w:hAnsi="Times New Roman"/>
          <w:sz w:val="14"/>
          <w:szCs w:val="14"/>
          <w:b w:val="1"/>
          <w:bCs w:val="1"/>
          <w:color w:val="auto"/>
        </w:rPr>
        <w:t>CERTAIN CONFIDENTIAL PORTIONS OF THIS EXHIBIT, MARKED BY BRACKETS, WERE OMITTED BECAUSE THOSE PORTIONS ARE NOT MATERIAL AND WOULD BE COMPETITIVELY HARMFUL TO THE COMPANY IF PUBLICLY DISCLOSED.</w:t>
      </w:r>
    </w:p>
    <w:p>
      <w:pPr>
        <w:spacing w:after="0" w:line="259" w:lineRule="exact"/>
        <w:rPr>
          <w:rFonts w:ascii="Times New Roman" w:cs="Times New Roman" w:eastAsia="Times New Roman" w:hAnsi="Times New Roman"/>
          <w:sz w:val="13"/>
          <w:szCs w:val="13"/>
          <w:b w:val="1"/>
          <w:bCs w:val="1"/>
          <w:color w:val="464646"/>
        </w:rPr>
      </w:pPr>
    </w:p>
    <w:tbl>
      <w:tblPr>
        <w:tblLayout w:type="fixed"/>
        <w:tblInd w:w="0" w:type="dxa"/>
        <w:tblCellMar>
          <w:top w:w="0" w:type="dxa"/>
          <w:left w:w="0" w:type="dxa"/>
          <w:bottom w:w="0" w:type="dxa"/>
          <w:right w:w="0" w:type="dxa"/>
        </w:tblCellMar>
      </w:tblPr>
      <w:tr>
        <w:trPr>
          <w:trHeight w:val="147"/>
        </w:trPr>
        <w:tc>
          <w:tcPr>
            <w:tcW w:w="4880" w:type="dxa"/>
            <w:vAlign w:val="bottom"/>
            <w:tcBorders>
              <w:top w:val="single" w:sz="8" w:color="auto"/>
            </w:tcBorders>
            <w:gridSpan w:val="4"/>
          </w:tcPr>
          <w:p>
            <w:pPr>
              <w:ind w:left="100"/>
              <w:spacing w:after="0" w:line="147" w:lineRule="exact"/>
              <w:rPr>
                <w:sz w:val="20"/>
                <w:szCs w:val="20"/>
                <w:color w:val="auto"/>
              </w:rPr>
            </w:pPr>
            <w:r>
              <w:rPr>
                <w:rFonts w:ascii="Times New Roman" w:cs="Times New Roman" w:eastAsia="Times New Roman" w:hAnsi="Times New Roman"/>
                <w:sz w:val="13"/>
                <w:szCs w:val="13"/>
                <w:b w:val="1"/>
                <w:bCs w:val="1"/>
                <w:color w:val="464646"/>
              </w:rPr>
              <w:t>AMENDMENT OF SOLICITATION/MODIFICATION OF CONTRACT</w:t>
            </w:r>
          </w:p>
        </w:tc>
        <w:tc>
          <w:tcPr>
            <w:tcW w:w="240" w:type="dxa"/>
            <w:vAlign w:val="bottom"/>
            <w:tcBorders>
              <w:top w:val="single" w:sz="8" w:color="auto"/>
            </w:tcBorders>
          </w:tcPr>
          <w:p>
            <w:pPr>
              <w:spacing w:after="0"/>
              <w:rPr>
                <w:sz w:val="12"/>
                <w:szCs w:val="12"/>
                <w:color w:val="auto"/>
              </w:rPr>
            </w:pPr>
          </w:p>
        </w:tc>
        <w:tc>
          <w:tcPr>
            <w:tcW w:w="1880" w:type="dxa"/>
            <w:vAlign w:val="bottom"/>
            <w:tcBorders>
              <w:top w:val="single" w:sz="8" w:color="auto"/>
              <w:right w:val="single" w:sz="8" w:color="auto"/>
            </w:tcBorders>
          </w:tcPr>
          <w:p>
            <w:pPr>
              <w:spacing w:after="0"/>
              <w:rPr>
                <w:sz w:val="12"/>
                <w:szCs w:val="12"/>
                <w:color w:val="auto"/>
              </w:rPr>
            </w:pPr>
          </w:p>
        </w:tc>
        <w:tc>
          <w:tcPr>
            <w:tcW w:w="2000" w:type="dxa"/>
            <w:vAlign w:val="bottom"/>
            <w:tcBorders>
              <w:top w:val="single" w:sz="8" w:color="auto"/>
              <w:right w:val="single" w:sz="8" w:color="auto"/>
            </w:tcBorders>
            <w:gridSpan w:val="2"/>
          </w:tcPr>
          <w:p>
            <w:pPr>
              <w:ind w:left="120"/>
              <w:spacing w:after="0" w:line="147" w:lineRule="exact"/>
              <w:rPr>
                <w:sz w:val="20"/>
                <w:szCs w:val="20"/>
                <w:color w:val="auto"/>
              </w:rPr>
            </w:pPr>
            <w:r>
              <w:rPr>
                <w:rFonts w:ascii="Times New Roman" w:cs="Times New Roman" w:eastAsia="Times New Roman" w:hAnsi="Times New Roman"/>
                <w:sz w:val="13"/>
                <w:szCs w:val="13"/>
                <w:b w:val="1"/>
                <w:bCs w:val="1"/>
                <w:color w:val="464646"/>
              </w:rPr>
              <w:t>1. Contract ID Code</w:t>
            </w:r>
          </w:p>
        </w:tc>
        <w:tc>
          <w:tcPr>
            <w:tcW w:w="1760" w:type="dxa"/>
            <w:vAlign w:val="bottom"/>
            <w:tcBorders>
              <w:top w:val="single" w:sz="8" w:color="auto"/>
            </w:tcBorders>
            <w:gridSpan w:val="2"/>
          </w:tcPr>
          <w:p>
            <w:pPr>
              <w:ind w:left="100"/>
              <w:spacing w:after="0" w:line="147" w:lineRule="exact"/>
              <w:rPr>
                <w:sz w:val="20"/>
                <w:szCs w:val="20"/>
                <w:color w:val="auto"/>
              </w:rPr>
            </w:pPr>
            <w:r>
              <w:rPr>
                <w:rFonts w:ascii="Times New Roman" w:cs="Times New Roman" w:eastAsia="Times New Roman" w:hAnsi="Times New Roman"/>
                <w:sz w:val="13"/>
                <w:szCs w:val="13"/>
                <w:b w:val="1"/>
                <w:bCs w:val="1"/>
                <w:color w:val="464646"/>
              </w:rPr>
              <w:t xml:space="preserve">Page  </w:t>
            </w:r>
            <w:r>
              <w:rPr>
                <w:rFonts w:ascii="Times New Roman" w:cs="Times New Roman" w:eastAsia="Times New Roman" w:hAnsi="Times New Roman"/>
                <w:sz w:val="12"/>
                <w:szCs w:val="12"/>
                <w:color w:val="464646"/>
              </w:rPr>
              <w:t>1</w:t>
            </w:r>
            <w:r>
              <w:rPr>
                <w:rFonts w:ascii="Times New Roman" w:cs="Times New Roman" w:eastAsia="Times New Roman" w:hAnsi="Times New Roman"/>
                <w:sz w:val="13"/>
                <w:szCs w:val="13"/>
                <w:b w:val="1"/>
                <w:bCs w:val="1"/>
                <w:color w:val="464646"/>
              </w:rPr>
              <w:t xml:space="preserve"> Of </w:t>
            </w:r>
            <w:r>
              <w:rPr>
                <w:rFonts w:ascii="Times New Roman" w:cs="Times New Roman" w:eastAsia="Times New Roman" w:hAnsi="Times New Roman"/>
                <w:sz w:val="13"/>
                <w:szCs w:val="13"/>
                <w:color w:val="464646"/>
              </w:rPr>
              <w:t>9</w:t>
            </w:r>
          </w:p>
        </w:tc>
      </w:tr>
      <w:tr>
        <w:trPr>
          <w:trHeight w:val="174"/>
        </w:trPr>
        <w:tc>
          <w:tcPr>
            <w:tcW w:w="22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200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color w:val="464646"/>
              </w:rPr>
              <w:t>Firm Fixed Price</w:t>
            </w:r>
          </w:p>
        </w:tc>
        <w:tc>
          <w:tcPr>
            <w:tcW w:w="1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71"/>
        </w:trPr>
        <w:tc>
          <w:tcPr>
            <w:tcW w:w="2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464646"/>
              </w:rPr>
              <w:t>2.</w:t>
            </w:r>
          </w:p>
        </w:tc>
        <w:tc>
          <w:tcPr>
            <w:tcW w:w="2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464646"/>
              </w:rPr>
              <w:t>Amendment/Modification No.</w:t>
            </w: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464646"/>
              </w:rPr>
              <w:t>3. Effective Date</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464646"/>
              </w:rPr>
              <w:t>4.</w:t>
            </w:r>
          </w:p>
        </w:tc>
        <w:tc>
          <w:tcPr>
            <w:tcW w:w="1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464646"/>
              </w:rPr>
              <w:t>Requisition/Purchase Req No.</w:t>
            </w:r>
          </w:p>
        </w:tc>
        <w:tc>
          <w:tcPr>
            <w:tcW w:w="960" w:type="dxa"/>
            <w:vAlign w:val="bottom"/>
            <w:tcBorders>
              <w:right w:val="single" w:sz="8" w:color="auto"/>
            </w:tcBorders>
          </w:tcPr>
          <w:p>
            <w:pPr>
              <w:spacing w:after="0"/>
              <w:rPr>
                <w:sz w:val="14"/>
                <w:szCs w:val="14"/>
                <w:color w:val="auto"/>
              </w:rPr>
            </w:pPr>
          </w:p>
        </w:tc>
        <w:tc>
          <w:tcPr>
            <w:tcW w:w="280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464646"/>
              </w:rPr>
              <w:t>5. Project No. (If applicable)</w:t>
            </w:r>
          </w:p>
        </w:tc>
      </w:tr>
      <w:tr>
        <w:trPr>
          <w:trHeight w:val="358"/>
        </w:trPr>
        <w:tc>
          <w:tcPr>
            <w:tcW w:w="31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color w:val="464646"/>
              </w:rPr>
              <w:t>P00002</w:t>
            </w:r>
          </w:p>
        </w:tc>
        <w:tc>
          <w:tcPr>
            <w:tcW w:w="17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color w:val="464646"/>
              </w:rPr>
              <w:t>2021-JUN-17</w:t>
            </w: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464646"/>
              </w:rPr>
              <w:t>SEE SCHEDULE</w:t>
            </w:r>
          </w:p>
        </w:tc>
        <w:tc>
          <w:tcPr>
            <w:tcW w:w="9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74"/>
        </w:trPr>
        <w:tc>
          <w:tcPr>
            <w:tcW w:w="2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464646"/>
              </w:rPr>
              <w:t>6.</w:t>
            </w:r>
          </w:p>
        </w:tc>
        <w:tc>
          <w:tcPr>
            <w:tcW w:w="2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464646"/>
              </w:rPr>
              <w:t>Issued By  Code</w:t>
            </w:r>
          </w:p>
        </w:tc>
        <w:tc>
          <w:tcPr>
            <w:tcW w:w="940" w:type="dxa"/>
            <w:vAlign w:val="bottom"/>
            <w:tcBorders>
              <w:right w:val="single" w:sz="8" w:color="auto"/>
            </w:tcBorders>
          </w:tcPr>
          <w:p>
            <w:pPr>
              <w:spacing w:after="0"/>
              <w:rPr>
                <w:sz w:val="15"/>
                <w:szCs w:val="15"/>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464646"/>
              </w:rPr>
              <w:t>W15QKN</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464646"/>
              </w:rPr>
              <w:t>7.</w:t>
            </w:r>
          </w:p>
        </w:tc>
        <w:tc>
          <w:tcPr>
            <w:tcW w:w="3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464646"/>
              </w:rPr>
              <w:t>Administered By (If other than Item 6)</w:t>
            </w:r>
          </w:p>
        </w:tc>
        <w:tc>
          <w:tcPr>
            <w:tcW w:w="11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464646"/>
              </w:rPr>
              <w:t>Code</w:t>
            </w:r>
          </w:p>
        </w:tc>
        <w:tc>
          <w:tcPr>
            <w:tcW w:w="640" w:type="dxa"/>
            <w:vAlign w:val="bottom"/>
            <w:tcBorders>
              <w:bottom w:val="single" w:sz="8" w:color="auto"/>
            </w:tcBorders>
          </w:tcPr>
          <w:p>
            <w:pPr>
              <w:spacing w:after="0"/>
              <w:rPr>
                <w:sz w:val="15"/>
                <w:szCs w:val="15"/>
                <w:color w:val="auto"/>
              </w:rPr>
            </w:pPr>
          </w:p>
        </w:tc>
      </w:tr>
      <w:tr>
        <w:trPr>
          <w:trHeight w:val="150"/>
        </w:trPr>
        <w:tc>
          <w:tcPr>
            <w:tcW w:w="220" w:type="dxa"/>
            <w:vAlign w:val="bottom"/>
          </w:tcPr>
          <w:p>
            <w:pPr>
              <w:spacing w:after="0"/>
              <w:rPr>
                <w:sz w:val="13"/>
                <w:szCs w:val="13"/>
                <w:color w:val="auto"/>
              </w:rPr>
            </w:pPr>
          </w:p>
        </w:tc>
        <w:tc>
          <w:tcPr>
            <w:tcW w:w="2940" w:type="dxa"/>
            <w:vAlign w:val="bottom"/>
          </w:tcPr>
          <w:p>
            <w:pPr>
              <w:ind w:left="80"/>
              <w:spacing w:after="0"/>
              <w:rPr>
                <w:sz w:val="20"/>
                <w:szCs w:val="20"/>
                <w:color w:val="auto"/>
              </w:rPr>
            </w:pPr>
            <w:r>
              <w:rPr>
                <w:rFonts w:ascii="Times New Roman" w:cs="Times New Roman" w:eastAsia="Times New Roman" w:hAnsi="Times New Roman"/>
                <w:sz w:val="13"/>
                <w:szCs w:val="13"/>
                <w:color w:val="464646"/>
              </w:rPr>
              <w:t>ARMY CONTRACTING COMMAND - NJ</w:t>
            </w: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38"/>
        </w:trPr>
        <w:tc>
          <w:tcPr>
            <w:tcW w:w="220" w:type="dxa"/>
            <w:vAlign w:val="bottom"/>
          </w:tcPr>
          <w:p>
            <w:pPr>
              <w:spacing w:after="0"/>
              <w:rPr>
                <w:sz w:val="20"/>
                <w:szCs w:val="20"/>
                <w:color w:val="auto"/>
              </w:rPr>
            </w:pPr>
          </w:p>
        </w:tc>
        <w:tc>
          <w:tcPr>
            <w:tcW w:w="2940" w:type="dxa"/>
            <w:vAlign w:val="bottom"/>
          </w:tcPr>
          <w:p>
            <w:pPr>
              <w:ind w:left="80"/>
              <w:spacing w:after="0"/>
              <w:rPr>
                <w:sz w:val="20"/>
                <w:szCs w:val="20"/>
                <w:color w:val="auto"/>
              </w:rPr>
            </w:pPr>
            <w:r>
              <w:rPr>
                <w:rFonts w:ascii="Times New Roman" w:cs="Times New Roman" w:eastAsia="Times New Roman" w:hAnsi="Times New Roman"/>
                <w:sz w:val="13"/>
                <w:szCs w:val="13"/>
                <w:color w:val="464646"/>
              </w:rPr>
              <w:t>PICATINNY ARSENAL, NJ 07806-5000</w:t>
            </w: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spacing w:after="0" w:line="20" w:lineRule="exact"/>
        <w:rPr>
          <w:rFonts w:ascii="Times New Roman" w:cs="Times New Roman" w:eastAsia="Times New Roman" w:hAnsi="Times New Roman"/>
          <w:sz w:val="13"/>
          <w:szCs w:val="13"/>
          <w:b w:val="1"/>
          <w:bCs w:val="1"/>
          <w:color w:val="464646"/>
        </w:rPr>
      </w:pPr>
      <w:r>
        <w:rPr>
          <w:rFonts w:ascii="Times New Roman" w:cs="Times New Roman" w:eastAsia="Times New Roman" w:hAnsi="Times New Roman"/>
          <w:sz w:val="13"/>
          <w:szCs w:val="13"/>
          <w:b w:val="1"/>
          <w:bCs w:val="1"/>
          <w:color w:val="464646"/>
        </w:rPr>
        <w:drawing>
          <wp:anchor simplePos="0" relativeHeight="251657728" behindDoc="1" locked="0" layoutInCell="0" allowOverlap="1">
            <wp:simplePos x="0" y="0"/>
            <wp:positionH relativeFrom="column">
              <wp:posOffset>3095625</wp:posOffset>
            </wp:positionH>
            <wp:positionV relativeFrom="paragraph">
              <wp:posOffset>-729615</wp:posOffset>
            </wp:positionV>
            <wp:extent cx="8255" cy="17576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1757680"/>
                    </a:xfrm>
                    <a:prstGeom prst="rect">
                      <a:avLst/>
                    </a:prstGeom>
                    <a:noFill/>
                  </pic:spPr>
                </pic:pic>
              </a:graphicData>
            </a:graphic>
          </wp:anchor>
        </w:drawing>
      </w:r>
    </w:p>
    <w:p>
      <w:pPr>
        <w:spacing w:after="0" w:line="200" w:lineRule="exact"/>
        <w:rPr>
          <w:rFonts w:ascii="Times New Roman" w:cs="Times New Roman" w:eastAsia="Times New Roman" w:hAnsi="Times New Roman"/>
          <w:sz w:val="13"/>
          <w:szCs w:val="13"/>
          <w:b w:val="1"/>
          <w:bCs w:val="1"/>
          <w:color w:val="464646"/>
        </w:rPr>
      </w:pPr>
    </w:p>
    <w:p>
      <w:pPr>
        <w:spacing w:after="0" w:line="200" w:lineRule="exact"/>
        <w:rPr>
          <w:rFonts w:ascii="Times New Roman" w:cs="Times New Roman" w:eastAsia="Times New Roman" w:hAnsi="Times New Roman"/>
          <w:sz w:val="13"/>
          <w:szCs w:val="13"/>
          <w:b w:val="1"/>
          <w:bCs w:val="1"/>
          <w:color w:val="464646"/>
        </w:rPr>
      </w:pPr>
    </w:p>
    <w:p>
      <w:pPr>
        <w:spacing w:after="0" w:line="200" w:lineRule="exact"/>
        <w:rPr>
          <w:rFonts w:ascii="Times New Roman" w:cs="Times New Roman" w:eastAsia="Times New Roman" w:hAnsi="Times New Roman"/>
          <w:sz w:val="13"/>
          <w:szCs w:val="13"/>
          <w:b w:val="1"/>
          <w:bCs w:val="1"/>
          <w:color w:val="464646"/>
        </w:rPr>
      </w:pPr>
    </w:p>
    <w:p>
      <w:pPr>
        <w:spacing w:after="0" w:line="200" w:lineRule="exact"/>
        <w:rPr>
          <w:rFonts w:ascii="Times New Roman" w:cs="Times New Roman" w:eastAsia="Times New Roman" w:hAnsi="Times New Roman"/>
          <w:sz w:val="13"/>
          <w:szCs w:val="13"/>
          <w:b w:val="1"/>
          <w:bCs w:val="1"/>
          <w:color w:val="464646"/>
        </w:rPr>
      </w:pPr>
    </w:p>
    <w:p>
      <w:pPr>
        <w:spacing w:after="0" w:line="200" w:lineRule="exact"/>
        <w:rPr>
          <w:rFonts w:ascii="Times New Roman" w:cs="Times New Roman" w:eastAsia="Times New Roman" w:hAnsi="Times New Roman"/>
          <w:sz w:val="13"/>
          <w:szCs w:val="13"/>
          <w:b w:val="1"/>
          <w:bCs w:val="1"/>
          <w:color w:val="464646"/>
        </w:rPr>
      </w:pPr>
    </w:p>
    <w:p>
      <w:pPr>
        <w:spacing w:after="0" w:line="200" w:lineRule="exact"/>
        <w:rPr>
          <w:rFonts w:ascii="Times New Roman" w:cs="Times New Roman" w:eastAsia="Times New Roman" w:hAnsi="Times New Roman"/>
          <w:sz w:val="13"/>
          <w:szCs w:val="13"/>
          <w:b w:val="1"/>
          <w:bCs w:val="1"/>
          <w:color w:val="464646"/>
        </w:rPr>
      </w:pPr>
    </w:p>
    <w:p>
      <w:pPr>
        <w:spacing w:after="0" w:line="220" w:lineRule="exact"/>
        <w:rPr>
          <w:rFonts w:ascii="Times New Roman" w:cs="Times New Roman" w:eastAsia="Times New Roman" w:hAnsi="Times New Roman"/>
          <w:sz w:val="13"/>
          <w:szCs w:val="13"/>
          <w:b w:val="1"/>
          <w:bCs w:val="1"/>
          <w:color w:val="464646"/>
        </w:rPr>
      </w:pPr>
    </w:p>
    <w:p>
      <w:pPr>
        <w:ind w:left="300"/>
        <w:spacing w:after="0"/>
        <w:rPr>
          <w:sz w:val="20"/>
          <w:szCs w:val="20"/>
          <w:color w:val="auto"/>
        </w:rPr>
      </w:pPr>
      <w:r>
        <w:rPr>
          <w:rFonts w:ascii="Times New Roman" w:cs="Times New Roman" w:eastAsia="Times New Roman" w:hAnsi="Times New Roman"/>
          <w:sz w:val="12"/>
          <w:szCs w:val="12"/>
          <w:color w:val="464646"/>
        </w:rPr>
        <w:t>EMAIL:</w:t>
      </w:r>
    </w:p>
    <w:p>
      <w:pPr>
        <w:spacing w:after="0" w:line="25" w:lineRule="exact"/>
        <w:rPr>
          <w:rFonts w:ascii="Times New Roman" w:cs="Times New Roman" w:eastAsia="Times New Roman" w:hAnsi="Times New Roman"/>
          <w:sz w:val="13"/>
          <w:szCs w:val="13"/>
          <w:b w:val="1"/>
          <w:bCs w:val="1"/>
          <w:color w:val="464646"/>
        </w:rPr>
      </w:pPr>
    </w:p>
    <w:tbl>
      <w:tblPr>
        <w:tblLayout w:type="fixed"/>
        <w:tblInd w:w="0" w:type="dxa"/>
        <w:tblCellMar>
          <w:top w:w="0" w:type="dxa"/>
          <w:left w:w="0" w:type="dxa"/>
          <w:bottom w:w="0" w:type="dxa"/>
          <w:right w:w="0" w:type="dxa"/>
        </w:tblCellMar>
      </w:tblPr>
      <w:tr>
        <w:trPr>
          <w:trHeight w:val="169"/>
        </w:trPr>
        <w:tc>
          <w:tcPr>
            <w:tcW w:w="636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464646"/>
              </w:rPr>
              <w:t>8. Name And Address Of Contractor (No., Street, City, County, State and Zip Code)</w:t>
            </w:r>
          </w:p>
        </w:tc>
        <w:tc>
          <w:tcPr>
            <w:tcW w:w="480" w:type="dxa"/>
            <w:vAlign w:val="bottom"/>
            <w:tcBorders>
              <w:top w:val="single" w:sz="8" w:color="auto"/>
              <w:right w:val="single" w:sz="8" w:color="auto"/>
            </w:tcBorders>
          </w:tcPr>
          <w:p>
            <w:pPr>
              <w:spacing w:after="0"/>
              <w:rPr>
                <w:sz w:val="14"/>
                <w:szCs w:val="14"/>
                <w:color w:val="auto"/>
              </w:rPr>
            </w:pPr>
          </w:p>
        </w:tc>
        <w:tc>
          <w:tcPr>
            <w:tcW w:w="39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464646"/>
              </w:rPr>
              <w:t>9A. Amendment Of Solicitation No.</w:t>
            </w:r>
          </w:p>
        </w:tc>
        <w:tc>
          <w:tcPr>
            <w:tcW w:w="0" w:type="dxa"/>
            <w:vAlign w:val="bottom"/>
          </w:tcPr>
          <w:p>
            <w:pPr>
              <w:spacing w:after="0"/>
              <w:rPr>
                <w:sz w:val="1"/>
                <w:szCs w:val="1"/>
                <w:color w:val="auto"/>
              </w:rPr>
            </w:pPr>
          </w:p>
        </w:tc>
      </w:tr>
      <w:tr>
        <w:trPr>
          <w:trHeight w:val="295"/>
        </w:trPr>
        <w:tc>
          <w:tcPr>
            <w:tcW w:w="6360" w:type="dxa"/>
            <w:vAlign w:val="bottom"/>
            <w:tcBorders>
              <w:right w:val="single" w:sz="8" w:color="auto"/>
            </w:tcBorders>
            <w:gridSpan w:val="2"/>
            <w:vMerge w:val="restart"/>
          </w:tcPr>
          <w:p>
            <w:pPr>
              <w:ind w:left="400"/>
              <w:spacing w:after="0"/>
              <w:rPr>
                <w:sz w:val="20"/>
                <w:szCs w:val="20"/>
                <w:color w:val="auto"/>
              </w:rPr>
            </w:pPr>
            <w:r>
              <w:rPr>
                <w:rFonts w:ascii="Courier New" w:cs="Courier New" w:eastAsia="Courier New" w:hAnsi="Courier New"/>
                <w:sz w:val="12"/>
                <w:szCs w:val="12"/>
                <w:color w:val="auto"/>
              </w:rPr>
              <w:t>REGENERON PHARMACEUTICALS, INC.</w:t>
            </w:r>
          </w:p>
        </w:tc>
        <w:tc>
          <w:tcPr>
            <w:tcW w:w="480" w:type="dxa"/>
            <w:vAlign w:val="bottom"/>
            <w:tcBorders>
              <w:bottom w:val="single" w:sz="8" w:color="auto"/>
              <w:right w:val="single" w:sz="8" w:color="auto"/>
            </w:tcBorders>
          </w:tcPr>
          <w:p>
            <w:pPr>
              <w:spacing w:after="0" w:line="201" w:lineRule="exact"/>
              <w:rPr>
                <w:sz w:val="20"/>
                <w:szCs w:val="20"/>
                <w:color w:val="auto"/>
              </w:rPr>
            </w:pPr>
            <w:r>
              <w:rPr>
                <w:rFonts w:ascii="MS PGothic" w:cs="MS PGothic" w:eastAsia="MS PGothic" w:hAnsi="MS PGothic"/>
                <w:sz w:val="20"/>
                <w:szCs w:val="20"/>
                <w:color w:val="auto"/>
              </w:rPr>
              <w:t>☐</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360" w:type="dxa"/>
            <w:vAlign w:val="bottom"/>
            <w:tcBorders>
              <w:right w:val="single" w:sz="8" w:color="auto"/>
            </w:tcBorders>
            <w:gridSpan w:val="2"/>
            <w:vMerge w:val="continue"/>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3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6360" w:type="dxa"/>
            <w:vAlign w:val="bottom"/>
            <w:tcBorders>
              <w:right w:val="single" w:sz="8" w:color="auto"/>
            </w:tcBorders>
            <w:gridSpan w:val="2"/>
            <w:vMerge w:val="restart"/>
          </w:tcPr>
          <w:p>
            <w:pPr>
              <w:ind w:left="400"/>
              <w:spacing w:after="0"/>
              <w:rPr>
                <w:sz w:val="20"/>
                <w:szCs w:val="20"/>
                <w:color w:val="auto"/>
              </w:rPr>
            </w:pPr>
            <w:r>
              <w:rPr>
                <w:rFonts w:ascii="Courier New" w:cs="Courier New" w:eastAsia="Courier New" w:hAnsi="Courier New"/>
                <w:sz w:val="12"/>
                <w:szCs w:val="12"/>
                <w:color w:val="auto"/>
              </w:rPr>
              <w:t>777 OLD SAW MILL RIVER RD</w:t>
            </w:r>
          </w:p>
        </w:tc>
        <w:tc>
          <w:tcPr>
            <w:tcW w:w="480" w:type="dxa"/>
            <w:vAlign w:val="bottom"/>
            <w:tcBorders>
              <w:right w:val="single" w:sz="8" w:color="auto"/>
            </w:tcBorders>
            <w:vMerge w:val="restart"/>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6360" w:type="dxa"/>
            <w:vAlign w:val="bottom"/>
            <w:tcBorders>
              <w:right w:val="single" w:sz="8" w:color="auto"/>
            </w:tcBorders>
            <w:gridSpan w:val="2"/>
            <w:vMerge w:val="continue"/>
          </w:tcPr>
          <w:p>
            <w:pPr>
              <w:spacing w:after="0"/>
              <w:rPr>
                <w:sz w:val="9"/>
                <w:szCs w:val="9"/>
                <w:color w:val="auto"/>
              </w:rPr>
            </w:pPr>
          </w:p>
        </w:tc>
        <w:tc>
          <w:tcPr>
            <w:tcW w:w="480" w:type="dxa"/>
            <w:vAlign w:val="bottom"/>
            <w:tcBorders>
              <w:right w:val="single" w:sz="8" w:color="auto"/>
            </w:tcBorders>
            <w:vMerge w:val="continue"/>
          </w:tcPr>
          <w:p>
            <w:pPr>
              <w:spacing w:after="0"/>
              <w:rPr>
                <w:sz w:val="9"/>
                <w:szCs w:val="9"/>
                <w:color w:val="auto"/>
              </w:rPr>
            </w:pPr>
          </w:p>
        </w:tc>
        <w:tc>
          <w:tcPr>
            <w:tcW w:w="3920" w:type="dxa"/>
            <w:vAlign w:val="bottom"/>
          </w:tcPr>
          <w:p>
            <w:pPr>
              <w:ind w:left="100"/>
              <w:spacing w:after="0" w:line="114" w:lineRule="exact"/>
              <w:rPr>
                <w:sz w:val="20"/>
                <w:szCs w:val="20"/>
                <w:color w:val="auto"/>
              </w:rPr>
            </w:pPr>
            <w:r>
              <w:rPr>
                <w:rFonts w:ascii="Times New Roman" w:cs="Times New Roman" w:eastAsia="Times New Roman" w:hAnsi="Times New Roman"/>
                <w:sz w:val="13"/>
                <w:szCs w:val="13"/>
                <w:b w:val="1"/>
                <w:bCs w:val="1"/>
                <w:color w:val="464646"/>
              </w:rPr>
              <w:t>9B. Dated (See Item 11)</w:t>
            </w:r>
          </w:p>
        </w:tc>
        <w:tc>
          <w:tcPr>
            <w:tcW w:w="0" w:type="dxa"/>
            <w:vAlign w:val="bottom"/>
          </w:tcPr>
          <w:p>
            <w:pPr>
              <w:spacing w:after="0"/>
              <w:rPr>
                <w:sz w:val="1"/>
                <w:szCs w:val="1"/>
                <w:color w:val="auto"/>
              </w:rPr>
            </w:pPr>
          </w:p>
        </w:tc>
      </w:tr>
      <w:tr>
        <w:trPr>
          <w:trHeight w:val="210"/>
        </w:trPr>
        <w:tc>
          <w:tcPr>
            <w:tcW w:w="6360" w:type="dxa"/>
            <w:vAlign w:val="bottom"/>
            <w:tcBorders>
              <w:right w:val="single" w:sz="8" w:color="auto"/>
            </w:tcBorders>
            <w:gridSpan w:val="2"/>
          </w:tcPr>
          <w:p>
            <w:pPr>
              <w:ind w:left="400"/>
              <w:spacing w:after="0"/>
              <w:rPr>
                <w:sz w:val="20"/>
                <w:szCs w:val="20"/>
                <w:color w:val="auto"/>
              </w:rPr>
            </w:pPr>
            <w:r>
              <w:rPr>
                <w:rFonts w:ascii="Courier New" w:cs="Courier New" w:eastAsia="Courier New" w:hAnsi="Courier New"/>
                <w:sz w:val="12"/>
                <w:szCs w:val="12"/>
                <w:color w:val="auto"/>
              </w:rPr>
              <w:t>TARRYTOWN, NY 10591-6717</w:t>
            </w:r>
          </w:p>
        </w:tc>
        <w:tc>
          <w:tcPr>
            <w:tcW w:w="480" w:type="dxa"/>
            <w:vAlign w:val="bottom"/>
            <w:tcBorders>
              <w:right w:val="single" w:sz="8" w:color="auto"/>
            </w:tcBorders>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800" w:type="dxa"/>
            <w:vAlign w:val="bottom"/>
          </w:tcPr>
          <w:p>
            <w:pPr>
              <w:spacing w:after="0"/>
              <w:rPr>
                <w:sz w:val="2"/>
                <w:szCs w:val="2"/>
                <w:color w:val="auto"/>
              </w:rPr>
            </w:pPr>
          </w:p>
        </w:tc>
        <w:tc>
          <w:tcPr>
            <w:tcW w:w="4560" w:type="dxa"/>
            <w:vAlign w:val="bottom"/>
            <w:tcBorders>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1800" w:type="dxa"/>
            <w:vAlign w:val="bottom"/>
          </w:tcPr>
          <w:p>
            <w:pPr>
              <w:spacing w:after="0"/>
              <w:rPr>
                <w:sz w:val="24"/>
                <w:szCs w:val="24"/>
                <w:color w:val="auto"/>
              </w:rPr>
            </w:pPr>
          </w:p>
        </w:tc>
        <w:tc>
          <w:tcPr>
            <w:tcW w:w="4560" w:type="dxa"/>
            <w:vAlign w:val="bottom"/>
            <w:tcBorders>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ind w:left="100"/>
              <w:spacing w:after="0" w:line="201" w:lineRule="exact"/>
              <w:rPr>
                <w:sz w:val="20"/>
                <w:szCs w:val="20"/>
                <w:color w:val="auto"/>
              </w:rPr>
            </w:pPr>
            <w:r>
              <w:rPr>
                <w:rFonts w:ascii="MS PGothic" w:cs="MS PGothic" w:eastAsia="MS PGothic" w:hAnsi="MS PGothic"/>
                <w:sz w:val="20"/>
                <w:szCs w:val="20"/>
                <w:color w:val="auto"/>
              </w:rPr>
              <w:t>☒</w:t>
            </w:r>
          </w:p>
        </w:tc>
        <w:tc>
          <w:tcPr>
            <w:tcW w:w="39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464646"/>
              </w:rPr>
              <w:t>10A. Modification Of Contract/Order No.</w:t>
            </w:r>
          </w:p>
        </w:tc>
        <w:tc>
          <w:tcPr>
            <w:tcW w:w="0" w:type="dxa"/>
            <w:vAlign w:val="bottom"/>
          </w:tcPr>
          <w:p>
            <w:pPr>
              <w:spacing w:after="0"/>
              <w:rPr>
                <w:sz w:val="1"/>
                <w:szCs w:val="1"/>
                <w:color w:val="auto"/>
              </w:rPr>
            </w:pPr>
          </w:p>
        </w:tc>
      </w:tr>
      <w:tr>
        <w:trPr>
          <w:trHeight w:val="207"/>
        </w:trPr>
        <w:tc>
          <w:tcPr>
            <w:tcW w:w="1800" w:type="dxa"/>
            <w:vAlign w:val="bottom"/>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464646"/>
              </w:rPr>
              <w:t>W15QKN-21-C-0014</w:t>
            </w:r>
          </w:p>
        </w:tc>
        <w:tc>
          <w:tcPr>
            <w:tcW w:w="0" w:type="dxa"/>
            <w:vAlign w:val="bottom"/>
          </w:tcPr>
          <w:p>
            <w:pPr>
              <w:spacing w:after="0"/>
              <w:rPr>
                <w:sz w:val="1"/>
                <w:szCs w:val="1"/>
                <w:color w:val="auto"/>
              </w:rPr>
            </w:pPr>
          </w:p>
        </w:tc>
      </w:tr>
      <w:tr>
        <w:trPr>
          <w:trHeight w:val="167"/>
        </w:trPr>
        <w:tc>
          <w:tcPr>
            <w:tcW w:w="1800" w:type="dxa"/>
            <w:vAlign w:val="bottom"/>
            <w:tcBorders>
              <w:bottom w:val="single" w:sz="8" w:color="auto"/>
            </w:tcBorders>
          </w:tcPr>
          <w:p>
            <w:pPr>
              <w:spacing w:after="0"/>
              <w:rPr>
                <w:sz w:val="14"/>
                <w:szCs w:val="14"/>
                <w:color w:val="auto"/>
              </w:rPr>
            </w:pPr>
          </w:p>
        </w:tc>
        <w:tc>
          <w:tcPr>
            <w:tcW w:w="4560" w:type="dxa"/>
            <w:vAlign w:val="bottom"/>
            <w:tcBorders>
              <w:bottom w:val="single" w:sz="8" w:color="auto"/>
              <w:right w:val="single" w:sz="8" w:color="auto"/>
            </w:tcBorders>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464646"/>
              </w:rPr>
              <w:t>10B. Dated (See Item 13)</w:t>
            </w:r>
          </w:p>
        </w:tc>
        <w:tc>
          <w:tcPr>
            <w:tcW w:w="0" w:type="dxa"/>
            <w:vAlign w:val="bottom"/>
          </w:tcPr>
          <w:p>
            <w:pPr>
              <w:spacing w:after="0"/>
              <w:rPr>
                <w:sz w:val="1"/>
                <w:szCs w:val="1"/>
                <w:color w:val="auto"/>
              </w:rPr>
            </w:pPr>
          </w:p>
        </w:tc>
      </w:tr>
      <w:tr>
        <w:trPr>
          <w:trHeight w:val="201"/>
        </w:trPr>
        <w:tc>
          <w:tcPr>
            <w:tcW w:w="1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464646"/>
              </w:rPr>
              <w:t xml:space="preserve">Code </w:t>
            </w:r>
            <w:r>
              <w:rPr>
                <w:rFonts w:ascii="Times New Roman" w:cs="Times New Roman" w:eastAsia="Times New Roman" w:hAnsi="Times New Roman"/>
                <w:sz w:val="13"/>
                <w:szCs w:val="13"/>
                <w:color w:val="464646"/>
              </w:rPr>
              <w:t>544P9</w:t>
            </w:r>
          </w:p>
        </w:tc>
        <w:tc>
          <w:tcPr>
            <w:tcW w:w="4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464646"/>
              </w:rPr>
              <w:t>Facility Code</w:t>
            </w:r>
          </w:p>
        </w:tc>
        <w:tc>
          <w:tcPr>
            <w:tcW w:w="480" w:type="dxa"/>
            <w:vAlign w:val="bottom"/>
            <w:tcBorders>
              <w:bottom w:val="single" w:sz="8" w:color="auto"/>
              <w:right w:val="single" w:sz="8" w:color="auto"/>
            </w:tcBorders>
          </w:tcPr>
          <w:p>
            <w:pPr>
              <w:spacing w:after="0"/>
              <w:rPr>
                <w:sz w:val="17"/>
                <w:szCs w:val="17"/>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464646"/>
              </w:rPr>
              <w:t>2021JAN12</w:t>
            </w:r>
          </w:p>
        </w:tc>
        <w:tc>
          <w:tcPr>
            <w:tcW w:w="0" w:type="dxa"/>
            <w:vAlign w:val="bottom"/>
          </w:tcPr>
          <w:p>
            <w:pPr>
              <w:spacing w:after="0"/>
              <w:rPr>
                <w:sz w:val="1"/>
                <w:szCs w:val="1"/>
                <w:color w:val="auto"/>
              </w:rPr>
            </w:pPr>
          </w:p>
        </w:tc>
      </w:tr>
      <w:tr>
        <w:trPr>
          <w:trHeight w:val="182"/>
        </w:trPr>
        <w:tc>
          <w:tcPr>
            <w:tcW w:w="1800" w:type="dxa"/>
            <w:vAlign w:val="bottom"/>
            <w:tcBorders>
              <w:bottom w:val="single" w:sz="8" w:color="auto"/>
            </w:tcBorders>
          </w:tcPr>
          <w:p>
            <w:pPr>
              <w:spacing w:after="0"/>
              <w:rPr>
                <w:sz w:val="15"/>
                <w:szCs w:val="15"/>
                <w:color w:val="auto"/>
              </w:rPr>
            </w:pPr>
          </w:p>
        </w:tc>
        <w:tc>
          <w:tcPr>
            <w:tcW w:w="8960" w:type="dxa"/>
            <w:vAlign w:val="bottom"/>
            <w:tcBorders>
              <w:bottom w:val="single" w:sz="8" w:color="auto"/>
            </w:tcBorders>
            <w:gridSpan w:val="3"/>
          </w:tcPr>
          <w:p>
            <w:pPr>
              <w:ind w:left="1340"/>
              <w:spacing w:after="0"/>
              <w:rPr>
                <w:sz w:val="20"/>
                <w:szCs w:val="20"/>
                <w:color w:val="auto"/>
              </w:rPr>
            </w:pPr>
            <w:r>
              <w:rPr>
                <w:rFonts w:ascii="Times New Roman" w:cs="Times New Roman" w:eastAsia="Times New Roman" w:hAnsi="Times New Roman"/>
                <w:sz w:val="13"/>
                <w:szCs w:val="13"/>
                <w:b w:val="1"/>
                <w:bCs w:val="1"/>
                <w:color w:val="464646"/>
              </w:rPr>
              <w:t>11. THIS ITEM ONLY APPLIES TO AMENDMENTS OF SOLICITATIONS</w:t>
            </w:r>
          </w:p>
        </w:tc>
        <w:tc>
          <w:tcPr>
            <w:tcW w:w="0" w:type="dxa"/>
            <w:vAlign w:val="bottom"/>
          </w:tcPr>
          <w:p>
            <w:pPr>
              <w:spacing w:after="0"/>
              <w:rPr>
                <w:sz w:val="1"/>
                <w:szCs w:val="1"/>
                <w:color w:val="auto"/>
              </w:rPr>
            </w:pPr>
          </w:p>
        </w:tc>
      </w:tr>
    </w:tbl>
    <w:p>
      <w:pPr>
        <w:spacing w:after="0" w:line="134" w:lineRule="exact"/>
        <w:rPr>
          <w:rFonts w:ascii="Times New Roman" w:cs="Times New Roman" w:eastAsia="Times New Roman" w:hAnsi="Times New Roman"/>
          <w:sz w:val="13"/>
          <w:szCs w:val="13"/>
          <w:b w:val="1"/>
          <w:bCs w:val="1"/>
          <w:color w:val="464646"/>
        </w:rPr>
      </w:pPr>
    </w:p>
    <w:p>
      <w:pPr>
        <w:ind w:left="440" w:hanging="217"/>
        <w:spacing w:after="0"/>
        <w:tabs>
          <w:tab w:leader="none" w:pos="440" w:val="left"/>
        </w:tabs>
        <w:numPr>
          <w:ilvl w:val="0"/>
          <w:numId w:val="111"/>
        </w:numPr>
        <w:rPr>
          <w:rFonts w:ascii="MS PGothic" w:cs="MS PGothic" w:eastAsia="MS PGothic" w:hAnsi="MS PGothic"/>
          <w:sz w:val="20"/>
          <w:szCs w:val="20"/>
          <w:color w:val="auto"/>
        </w:rPr>
      </w:pPr>
      <w:r>
        <w:rPr>
          <w:rFonts w:ascii="Times New Roman" w:cs="Times New Roman" w:eastAsia="Times New Roman" w:hAnsi="Times New Roman"/>
          <w:sz w:val="13"/>
          <w:szCs w:val="13"/>
          <w:b w:val="1"/>
          <w:bCs w:val="1"/>
          <w:color w:val="464646"/>
        </w:rPr>
        <w:t xml:space="preserve">The </w:t>
      </w:r>
      <w:r>
        <w:rPr>
          <w:rFonts w:ascii="Times New Roman" w:cs="Times New Roman" w:eastAsia="Times New Roman" w:hAnsi="Times New Roman"/>
          <w:sz w:val="13"/>
          <w:szCs w:val="13"/>
          <w:b w:val="1"/>
          <w:bCs w:val="1"/>
          <w:color w:val="363636"/>
        </w:rPr>
        <w:t>above numbered</w:t>
      </w:r>
      <w:r>
        <w:rPr>
          <w:rFonts w:ascii="Times New Roman" w:cs="Times New Roman" w:eastAsia="Times New Roman" w:hAnsi="Times New Roman"/>
          <w:sz w:val="13"/>
          <w:szCs w:val="13"/>
          <w:b w:val="1"/>
          <w:bCs w:val="1"/>
          <w:color w:val="464646"/>
        </w:rPr>
        <w:t xml:space="preserve"> solicitation </w:t>
      </w:r>
      <w:r>
        <w:rPr>
          <w:rFonts w:ascii="Times New Roman" w:cs="Times New Roman" w:eastAsia="Times New Roman" w:hAnsi="Times New Roman"/>
          <w:sz w:val="13"/>
          <w:szCs w:val="13"/>
          <w:b w:val="1"/>
          <w:bCs w:val="1"/>
          <w:color w:val="363636"/>
        </w:rPr>
        <w:t>is amended as</w:t>
      </w:r>
      <w:r>
        <w:rPr>
          <w:rFonts w:ascii="Times New Roman" w:cs="Times New Roman" w:eastAsia="Times New Roman" w:hAnsi="Times New Roman"/>
          <w:sz w:val="13"/>
          <w:szCs w:val="13"/>
          <w:b w:val="1"/>
          <w:bCs w:val="1"/>
          <w:color w:val="464646"/>
        </w:rPr>
        <w:t xml:space="preserve"> set </w:t>
      </w:r>
      <w:r>
        <w:rPr>
          <w:rFonts w:ascii="Times New Roman" w:cs="Times New Roman" w:eastAsia="Times New Roman" w:hAnsi="Times New Roman"/>
          <w:sz w:val="13"/>
          <w:szCs w:val="13"/>
          <w:b w:val="1"/>
          <w:bCs w:val="1"/>
          <w:color w:val="363636"/>
        </w:rPr>
        <w:t>forth in item 14.</w:t>
      </w:r>
      <w:r>
        <w:rPr>
          <w:rFonts w:ascii="Times New Roman" w:cs="Times New Roman" w:eastAsia="Times New Roman" w:hAnsi="Times New Roman"/>
          <w:sz w:val="13"/>
          <w:szCs w:val="13"/>
          <w:b w:val="1"/>
          <w:bCs w:val="1"/>
          <w:color w:val="464646"/>
        </w:rPr>
        <w:t xml:space="preserve"> The </w:t>
      </w:r>
      <w:r>
        <w:rPr>
          <w:rFonts w:ascii="Times New Roman" w:cs="Times New Roman" w:eastAsia="Times New Roman" w:hAnsi="Times New Roman"/>
          <w:sz w:val="13"/>
          <w:szCs w:val="13"/>
          <w:b w:val="1"/>
          <w:bCs w:val="1"/>
          <w:color w:val="363636"/>
        </w:rPr>
        <w:t>hour and date specified for receipt of Offers</w:t>
      </w:r>
    </w:p>
    <w:p>
      <w:pPr>
        <w:spacing w:after="0" w:line="40" w:lineRule="exact"/>
        <w:rPr>
          <w:rFonts w:ascii="Times New Roman" w:cs="Times New Roman" w:eastAsia="Times New Roman" w:hAnsi="Times New Roman"/>
          <w:sz w:val="13"/>
          <w:szCs w:val="13"/>
          <w:b w:val="1"/>
          <w:bCs w:val="1"/>
          <w:color w:val="464646"/>
        </w:rPr>
      </w:pPr>
    </w:p>
    <w:p>
      <w:pPr>
        <w:ind w:left="780" w:hanging="206"/>
        <w:spacing w:after="0" w:line="219" w:lineRule="exact"/>
        <w:tabs>
          <w:tab w:leader="none" w:pos="780" w:val="left"/>
        </w:tabs>
        <w:numPr>
          <w:ilvl w:val="0"/>
          <w:numId w:val="112"/>
        </w:numPr>
        <w:rPr>
          <w:rFonts w:ascii="MS PGothic" w:cs="MS PGothic" w:eastAsia="MS PGothic" w:hAnsi="MS PGothic"/>
          <w:sz w:val="20"/>
          <w:szCs w:val="20"/>
          <w:color w:val="auto"/>
        </w:rPr>
      </w:pPr>
      <w:r>
        <w:rPr>
          <w:rFonts w:ascii="Times New Roman" w:cs="Times New Roman" w:eastAsia="Times New Roman" w:hAnsi="Times New Roman"/>
          <w:sz w:val="13"/>
          <w:szCs w:val="13"/>
          <w:b w:val="1"/>
          <w:bCs w:val="1"/>
          <w:color w:val="363636"/>
        </w:rPr>
        <w:t xml:space="preserve">is extended, </w:t>
      </w:r>
      <w:r>
        <w:rPr>
          <w:rFonts w:ascii="MS PGothic" w:cs="MS PGothic" w:eastAsia="MS PGothic" w:hAnsi="MS PGothic"/>
          <w:sz w:val="19"/>
          <w:szCs w:val="19"/>
          <w:color w:val="000000"/>
        </w:rPr>
        <w:t>☐</w:t>
      </w:r>
      <w:r>
        <w:rPr>
          <w:rFonts w:ascii="Times New Roman" w:cs="Times New Roman" w:eastAsia="Times New Roman" w:hAnsi="Times New Roman"/>
          <w:sz w:val="13"/>
          <w:szCs w:val="13"/>
          <w:b w:val="1"/>
          <w:bCs w:val="1"/>
          <w:color w:val="363636"/>
        </w:rPr>
        <w:t xml:space="preserve"> is not extended.</w:t>
      </w:r>
    </w:p>
    <w:p>
      <w:pPr>
        <w:spacing w:after="0" w:line="139" w:lineRule="exact"/>
        <w:rPr>
          <w:rFonts w:ascii="Times New Roman" w:cs="Times New Roman" w:eastAsia="Times New Roman" w:hAnsi="Times New Roman"/>
          <w:sz w:val="13"/>
          <w:szCs w:val="13"/>
          <w:b w:val="1"/>
          <w:bCs w:val="1"/>
          <w:color w:val="464646"/>
        </w:rPr>
      </w:pPr>
    </w:p>
    <w:p>
      <w:pPr>
        <w:ind w:left="340"/>
        <w:spacing w:after="0"/>
        <w:rPr>
          <w:sz w:val="20"/>
          <w:szCs w:val="20"/>
          <w:color w:val="auto"/>
        </w:rPr>
      </w:pPr>
      <w:r>
        <w:rPr>
          <w:rFonts w:ascii="Times New Roman" w:cs="Times New Roman" w:eastAsia="Times New Roman" w:hAnsi="Times New Roman"/>
          <w:sz w:val="13"/>
          <w:szCs w:val="13"/>
          <w:b w:val="1"/>
          <w:bCs w:val="1"/>
          <w:color w:val="363636"/>
        </w:rPr>
        <w:t xml:space="preserve">Offers must </w:t>
      </w:r>
      <w:r>
        <w:rPr>
          <w:rFonts w:ascii="Times New Roman" w:cs="Times New Roman" w:eastAsia="Times New Roman" w:hAnsi="Times New Roman"/>
          <w:sz w:val="13"/>
          <w:szCs w:val="13"/>
          <w:b w:val="1"/>
          <w:bCs w:val="1"/>
          <w:color w:val="464646"/>
        </w:rPr>
        <w:t>acknowledge</w:t>
      </w:r>
      <w:r>
        <w:rPr>
          <w:rFonts w:ascii="Times New Roman" w:cs="Times New Roman" w:eastAsia="Times New Roman" w:hAnsi="Times New Roman"/>
          <w:sz w:val="13"/>
          <w:szCs w:val="13"/>
          <w:b w:val="1"/>
          <w:bCs w:val="1"/>
          <w:color w:val="363636"/>
        </w:rPr>
        <w:t xml:space="preserve"> receipt of </w:t>
      </w:r>
      <w:r>
        <w:rPr>
          <w:rFonts w:ascii="Times New Roman" w:cs="Times New Roman" w:eastAsia="Times New Roman" w:hAnsi="Times New Roman"/>
          <w:sz w:val="13"/>
          <w:szCs w:val="13"/>
          <w:b w:val="1"/>
          <w:bCs w:val="1"/>
          <w:color w:val="464646"/>
        </w:rPr>
        <w:t>this</w:t>
      </w:r>
      <w:r>
        <w:rPr>
          <w:rFonts w:ascii="Times New Roman" w:cs="Times New Roman" w:eastAsia="Times New Roman" w:hAnsi="Times New Roman"/>
          <w:sz w:val="13"/>
          <w:szCs w:val="13"/>
          <w:b w:val="1"/>
          <w:bCs w:val="1"/>
          <w:color w:val="363636"/>
        </w:rPr>
        <w:t xml:space="preserve"> amendment </w:t>
      </w:r>
      <w:r>
        <w:rPr>
          <w:rFonts w:ascii="Times New Roman" w:cs="Times New Roman" w:eastAsia="Times New Roman" w:hAnsi="Times New Roman"/>
          <w:sz w:val="13"/>
          <w:szCs w:val="13"/>
          <w:b w:val="1"/>
          <w:bCs w:val="1"/>
          <w:color w:val="464646"/>
        </w:rPr>
        <w:t>prior to</w:t>
      </w:r>
      <w:r>
        <w:rPr>
          <w:rFonts w:ascii="Times New Roman" w:cs="Times New Roman" w:eastAsia="Times New Roman" w:hAnsi="Times New Roman"/>
          <w:sz w:val="13"/>
          <w:szCs w:val="13"/>
          <w:b w:val="1"/>
          <w:bCs w:val="1"/>
          <w:color w:val="363636"/>
        </w:rPr>
        <w:t xml:space="preserve"> the hour and date </w:t>
      </w:r>
      <w:r>
        <w:rPr>
          <w:rFonts w:ascii="Times New Roman" w:cs="Times New Roman" w:eastAsia="Times New Roman" w:hAnsi="Times New Roman"/>
          <w:sz w:val="13"/>
          <w:szCs w:val="13"/>
          <w:b w:val="1"/>
          <w:bCs w:val="1"/>
          <w:color w:val="464646"/>
        </w:rPr>
        <w:t>specified</w:t>
      </w:r>
      <w:r>
        <w:rPr>
          <w:rFonts w:ascii="Times New Roman" w:cs="Times New Roman" w:eastAsia="Times New Roman" w:hAnsi="Times New Roman"/>
          <w:sz w:val="13"/>
          <w:szCs w:val="13"/>
          <w:b w:val="1"/>
          <w:bCs w:val="1"/>
          <w:color w:val="363636"/>
        </w:rPr>
        <w:t xml:space="preserve"> in the solicitation or </w:t>
      </w:r>
      <w:r>
        <w:rPr>
          <w:rFonts w:ascii="Times New Roman" w:cs="Times New Roman" w:eastAsia="Times New Roman" w:hAnsi="Times New Roman"/>
          <w:sz w:val="13"/>
          <w:szCs w:val="13"/>
          <w:b w:val="1"/>
          <w:bCs w:val="1"/>
          <w:color w:val="464646"/>
        </w:rPr>
        <w:t>as amended</w:t>
      </w:r>
      <w:r>
        <w:rPr>
          <w:rFonts w:ascii="Times New Roman" w:cs="Times New Roman" w:eastAsia="Times New Roman" w:hAnsi="Times New Roman"/>
          <w:sz w:val="13"/>
          <w:szCs w:val="13"/>
          <w:b w:val="1"/>
          <w:bCs w:val="1"/>
          <w:color w:val="363636"/>
        </w:rPr>
        <w:t xml:space="preserve"> by one of the following methods:</w:t>
      </w:r>
    </w:p>
    <w:p>
      <w:pPr>
        <w:spacing w:after="0" w:line="16" w:lineRule="exact"/>
        <w:rPr>
          <w:rFonts w:ascii="Times New Roman" w:cs="Times New Roman" w:eastAsia="Times New Roman" w:hAnsi="Times New Roman"/>
          <w:sz w:val="13"/>
          <w:szCs w:val="13"/>
          <w:b w:val="1"/>
          <w:bCs w:val="1"/>
          <w:color w:val="464646"/>
        </w:rPr>
      </w:pPr>
    </w:p>
    <w:p>
      <w:pPr>
        <w:ind w:left="340"/>
        <w:spacing w:after="0"/>
        <w:tabs>
          <w:tab w:leader="none" w:pos="4180" w:val="left"/>
        </w:tabs>
        <w:rPr>
          <w:sz w:val="20"/>
          <w:szCs w:val="20"/>
          <w:color w:val="auto"/>
        </w:rPr>
      </w:pPr>
      <w:r>
        <w:rPr>
          <w:rFonts w:ascii="Times New Roman" w:cs="Times New Roman" w:eastAsia="Times New Roman" w:hAnsi="Times New Roman"/>
          <w:sz w:val="13"/>
          <w:szCs w:val="13"/>
          <w:b w:val="1"/>
          <w:bCs w:val="1"/>
          <w:color w:val="363636"/>
        </w:rPr>
        <w:t xml:space="preserve">(a) By completing </w:t>
      </w:r>
      <w:r>
        <w:rPr>
          <w:rFonts w:ascii="Times New Roman" w:cs="Times New Roman" w:eastAsia="Times New Roman" w:hAnsi="Times New Roman"/>
          <w:sz w:val="13"/>
          <w:szCs w:val="13"/>
          <w:b w:val="1"/>
          <w:bCs w:val="1"/>
          <w:color w:val="464646"/>
        </w:rPr>
        <w:t>items</w:t>
      </w:r>
      <w:r>
        <w:rPr>
          <w:rFonts w:ascii="Times New Roman" w:cs="Times New Roman" w:eastAsia="Times New Roman" w:hAnsi="Times New Roman"/>
          <w:sz w:val="13"/>
          <w:szCs w:val="13"/>
          <w:b w:val="1"/>
          <w:bCs w:val="1"/>
          <w:color w:val="363636"/>
        </w:rPr>
        <w:t xml:space="preserve"> 8 </w:t>
      </w:r>
      <w:r>
        <w:rPr>
          <w:rFonts w:ascii="Times New Roman" w:cs="Times New Roman" w:eastAsia="Times New Roman" w:hAnsi="Times New Roman"/>
          <w:sz w:val="13"/>
          <w:szCs w:val="13"/>
          <w:b w:val="1"/>
          <w:bCs w:val="1"/>
          <w:color w:val="464646"/>
        </w:rPr>
        <w:t>and</w:t>
      </w:r>
      <w:r>
        <w:rPr>
          <w:rFonts w:ascii="Times New Roman" w:cs="Times New Roman" w:eastAsia="Times New Roman" w:hAnsi="Times New Roman"/>
          <w:sz w:val="13"/>
          <w:szCs w:val="13"/>
          <w:b w:val="1"/>
          <w:bCs w:val="1"/>
          <w:color w:val="363636"/>
        </w:rPr>
        <w:t xml:space="preserve"> 15, and </w:t>
      </w:r>
      <w:r>
        <w:rPr>
          <w:rFonts w:ascii="Times New Roman" w:cs="Times New Roman" w:eastAsia="Times New Roman" w:hAnsi="Times New Roman"/>
          <w:sz w:val="13"/>
          <w:szCs w:val="13"/>
          <w:b w:val="1"/>
          <w:bCs w:val="1"/>
          <w:color w:val="464646"/>
        </w:rPr>
        <w:t>returning ______________</w:t>
        <w:tab/>
        <w:t xml:space="preserve">copies </w:t>
      </w:r>
      <w:r>
        <w:rPr>
          <w:rFonts w:ascii="Times New Roman" w:cs="Times New Roman" w:eastAsia="Times New Roman" w:hAnsi="Times New Roman"/>
          <w:sz w:val="13"/>
          <w:szCs w:val="13"/>
          <w:b w:val="1"/>
          <w:bCs w:val="1"/>
          <w:color w:val="363636"/>
        </w:rPr>
        <w:t>of the amendments: (b) By acknowledging receipt of this amendment on each copy</w:t>
      </w:r>
      <w:r>
        <w:rPr>
          <w:rFonts w:ascii="Times New Roman" w:cs="Times New Roman" w:eastAsia="Times New Roman" w:hAnsi="Times New Roman"/>
          <w:sz w:val="13"/>
          <w:szCs w:val="13"/>
          <w:b w:val="1"/>
          <w:bCs w:val="1"/>
          <w:color w:val="464646"/>
        </w:rPr>
        <w:t xml:space="preserve"> of the </w:t>
      </w:r>
      <w:r>
        <w:rPr>
          <w:rFonts w:ascii="Times New Roman" w:cs="Times New Roman" w:eastAsia="Times New Roman" w:hAnsi="Times New Roman"/>
          <w:sz w:val="13"/>
          <w:szCs w:val="13"/>
          <w:b w:val="1"/>
          <w:bCs w:val="1"/>
          <w:color w:val="363636"/>
        </w:rPr>
        <w:t>offer</w:t>
      </w:r>
    </w:p>
    <w:p>
      <w:pPr>
        <w:spacing w:after="0" w:line="20" w:lineRule="exact"/>
        <w:rPr>
          <w:rFonts w:ascii="Times New Roman" w:cs="Times New Roman" w:eastAsia="Times New Roman" w:hAnsi="Times New Roman"/>
          <w:sz w:val="13"/>
          <w:szCs w:val="13"/>
          <w:b w:val="1"/>
          <w:bCs w:val="1"/>
          <w:color w:val="464646"/>
        </w:rPr>
      </w:pPr>
      <w:r>
        <w:rPr>
          <w:rFonts w:ascii="Times New Roman" w:cs="Times New Roman" w:eastAsia="Times New Roman" w:hAnsi="Times New Roman"/>
          <w:sz w:val="13"/>
          <w:szCs w:val="13"/>
          <w:b w:val="1"/>
          <w:bCs w:val="1"/>
          <w:color w:val="464646"/>
        </w:rPr>
        <w:drawing>
          <wp:anchor simplePos="0" relativeHeight="251657728" behindDoc="1" locked="0" layoutInCell="0" allowOverlap="1">
            <wp:simplePos x="0" y="0"/>
            <wp:positionH relativeFrom="column">
              <wp:posOffset>2565400</wp:posOffset>
            </wp:positionH>
            <wp:positionV relativeFrom="paragraph">
              <wp:posOffset>-10160</wp:posOffset>
            </wp:positionV>
            <wp:extent cx="850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ind w:left="340" w:right="840"/>
        <w:spacing w:after="0" w:line="263" w:lineRule="auto"/>
        <w:rPr>
          <w:sz w:val="20"/>
          <w:szCs w:val="20"/>
          <w:color w:val="auto"/>
        </w:rPr>
      </w:pPr>
      <w:r>
        <w:rPr>
          <w:rFonts w:ascii="Times New Roman" w:cs="Times New Roman" w:eastAsia="Times New Roman" w:hAnsi="Times New Roman"/>
          <w:sz w:val="13"/>
          <w:szCs w:val="13"/>
          <w:b w:val="1"/>
          <w:bCs w:val="1"/>
          <w:color w:val="464646"/>
        </w:rPr>
        <w:t xml:space="preserve">submitted; </w:t>
      </w:r>
      <w:r>
        <w:rPr>
          <w:rFonts w:ascii="Times New Roman" w:cs="Times New Roman" w:eastAsia="Times New Roman" w:hAnsi="Times New Roman"/>
          <w:sz w:val="13"/>
          <w:szCs w:val="13"/>
          <w:b w:val="1"/>
          <w:bCs w:val="1"/>
          <w:color w:val="363636"/>
        </w:rPr>
        <w:t>or (c) By</w:t>
      </w:r>
      <w:r>
        <w:rPr>
          <w:rFonts w:ascii="Times New Roman" w:cs="Times New Roman" w:eastAsia="Times New Roman" w:hAnsi="Times New Roman"/>
          <w:sz w:val="13"/>
          <w:szCs w:val="13"/>
          <w:b w:val="1"/>
          <w:bCs w:val="1"/>
          <w:color w:val="464646"/>
        </w:rPr>
        <w:t xml:space="preserve"> separate </w:t>
      </w:r>
      <w:r>
        <w:rPr>
          <w:rFonts w:ascii="Times New Roman" w:cs="Times New Roman" w:eastAsia="Times New Roman" w:hAnsi="Times New Roman"/>
          <w:sz w:val="13"/>
          <w:szCs w:val="13"/>
          <w:b w:val="1"/>
          <w:bCs w:val="1"/>
          <w:color w:val="363636"/>
        </w:rPr>
        <w:t>letter or telegram which includes a reference to the</w:t>
      </w:r>
      <w:r>
        <w:rPr>
          <w:rFonts w:ascii="Times New Roman" w:cs="Times New Roman" w:eastAsia="Times New Roman" w:hAnsi="Times New Roman"/>
          <w:sz w:val="13"/>
          <w:szCs w:val="13"/>
          <w:b w:val="1"/>
          <w:bCs w:val="1"/>
          <w:color w:val="464646"/>
        </w:rPr>
        <w:t xml:space="preserve"> solicitation </w:t>
      </w:r>
      <w:r>
        <w:rPr>
          <w:rFonts w:ascii="Times New Roman" w:cs="Times New Roman" w:eastAsia="Times New Roman" w:hAnsi="Times New Roman"/>
          <w:sz w:val="13"/>
          <w:szCs w:val="13"/>
          <w:b w:val="1"/>
          <w:bCs w:val="1"/>
          <w:color w:val="363636"/>
        </w:rPr>
        <w:t>and amendment numbers.</w:t>
      </w:r>
      <w:r>
        <w:rPr>
          <w:rFonts w:ascii="Times New Roman" w:cs="Times New Roman" w:eastAsia="Times New Roman" w:hAnsi="Times New Roman"/>
          <w:sz w:val="13"/>
          <w:szCs w:val="13"/>
          <w:b w:val="1"/>
          <w:bCs w:val="1"/>
          <w:color w:val="464646"/>
        </w:rPr>
        <w:t xml:space="preserve"> FAILURE </w:t>
      </w:r>
      <w:r>
        <w:rPr>
          <w:rFonts w:ascii="Times New Roman" w:cs="Times New Roman" w:eastAsia="Times New Roman" w:hAnsi="Times New Roman"/>
          <w:sz w:val="13"/>
          <w:szCs w:val="13"/>
          <w:b w:val="1"/>
          <w:bCs w:val="1"/>
          <w:color w:val="363636"/>
        </w:rPr>
        <w:t>OF</w:t>
      </w:r>
      <w:r>
        <w:rPr>
          <w:rFonts w:ascii="Times New Roman" w:cs="Times New Roman" w:eastAsia="Times New Roman" w:hAnsi="Times New Roman"/>
          <w:sz w:val="13"/>
          <w:szCs w:val="13"/>
          <w:b w:val="1"/>
          <w:bCs w:val="1"/>
          <w:color w:val="464646"/>
        </w:rPr>
        <w:t xml:space="preserve"> YOUR ACKNOWLEDGMENT TO </w:t>
      </w:r>
      <w:r>
        <w:rPr>
          <w:rFonts w:ascii="Times New Roman" w:cs="Times New Roman" w:eastAsia="Times New Roman" w:hAnsi="Times New Roman"/>
          <w:sz w:val="13"/>
          <w:szCs w:val="13"/>
          <w:b w:val="1"/>
          <w:bCs w:val="1"/>
          <w:color w:val="363636"/>
        </w:rPr>
        <w:t>BE</w:t>
      </w:r>
      <w:r>
        <w:rPr>
          <w:rFonts w:ascii="Times New Roman" w:cs="Times New Roman" w:eastAsia="Times New Roman" w:hAnsi="Times New Roman"/>
          <w:sz w:val="13"/>
          <w:szCs w:val="13"/>
          <w:b w:val="1"/>
          <w:bCs w:val="1"/>
          <w:color w:val="464646"/>
        </w:rPr>
        <w:t xml:space="preserve"> </w:t>
      </w:r>
      <w:r>
        <w:rPr>
          <w:rFonts w:ascii="Times New Roman" w:cs="Times New Roman" w:eastAsia="Times New Roman" w:hAnsi="Times New Roman"/>
          <w:sz w:val="13"/>
          <w:szCs w:val="13"/>
          <w:b w:val="1"/>
          <w:bCs w:val="1"/>
          <w:color w:val="363636"/>
        </w:rPr>
        <w:t xml:space="preserve">RECEIVED </w:t>
      </w:r>
      <w:r>
        <w:rPr>
          <w:rFonts w:ascii="Times New Roman" w:cs="Times New Roman" w:eastAsia="Times New Roman" w:hAnsi="Times New Roman"/>
          <w:sz w:val="13"/>
          <w:szCs w:val="13"/>
          <w:b w:val="1"/>
          <w:bCs w:val="1"/>
          <w:color w:val="464646"/>
        </w:rPr>
        <w:t>AT</w:t>
      </w:r>
      <w:r>
        <w:rPr>
          <w:rFonts w:ascii="Times New Roman" w:cs="Times New Roman" w:eastAsia="Times New Roman" w:hAnsi="Times New Roman"/>
          <w:sz w:val="13"/>
          <w:szCs w:val="13"/>
          <w:b w:val="1"/>
          <w:bCs w:val="1"/>
          <w:color w:val="363636"/>
        </w:rPr>
        <w:t xml:space="preserve"> THE PLACE DESIGNATED </w:t>
      </w:r>
      <w:r>
        <w:rPr>
          <w:rFonts w:ascii="Times New Roman" w:cs="Times New Roman" w:eastAsia="Times New Roman" w:hAnsi="Times New Roman"/>
          <w:sz w:val="13"/>
          <w:szCs w:val="13"/>
          <w:b w:val="1"/>
          <w:bCs w:val="1"/>
          <w:color w:val="464646"/>
        </w:rPr>
        <w:t>FOR THE</w:t>
      </w:r>
      <w:r>
        <w:rPr>
          <w:rFonts w:ascii="Times New Roman" w:cs="Times New Roman" w:eastAsia="Times New Roman" w:hAnsi="Times New Roman"/>
          <w:sz w:val="13"/>
          <w:szCs w:val="13"/>
          <w:b w:val="1"/>
          <w:bCs w:val="1"/>
          <w:color w:val="363636"/>
        </w:rPr>
        <w:t xml:space="preserve"> RECEIPT OF OFFERS PRIOR </w:t>
      </w:r>
      <w:r>
        <w:rPr>
          <w:rFonts w:ascii="Times New Roman" w:cs="Times New Roman" w:eastAsia="Times New Roman" w:hAnsi="Times New Roman"/>
          <w:sz w:val="13"/>
          <w:szCs w:val="13"/>
          <w:b w:val="1"/>
          <w:bCs w:val="1"/>
          <w:color w:val="464646"/>
        </w:rPr>
        <w:t>TO THE</w:t>
      </w:r>
      <w:r>
        <w:rPr>
          <w:rFonts w:ascii="Times New Roman" w:cs="Times New Roman" w:eastAsia="Times New Roman" w:hAnsi="Times New Roman"/>
          <w:sz w:val="13"/>
          <w:szCs w:val="13"/>
          <w:b w:val="1"/>
          <w:bCs w:val="1"/>
          <w:color w:val="363636"/>
        </w:rPr>
        <w:t xml:space="preserve"> HOUR </w:t>
      </w:r>
      <w:r>
        <w:rPr>
          <w:rFonts w:ascii="Times New Roman" w:cs="Times New Roman" w:eastAsia="Times New Roman" w:hAnsi="Times New Roman"/>
          <w:sz w:val="13"/>
          <w:szCs w:val="13"/>
          <w:b w:val="1"/>
          <w:bCs w:val="1"/>
          <w:color w:val="464646"/>
        </w:rPr>
        <w:t>AND</w:t>
      </w:r>
      <w:r>
        <w:rPr>
          <w:rFonts w:ascii="Times New Roman" w:cs="Times New Roman" w:eastAsia="Times New Roman" w:hAnsi="Times New Roman"/>
          <w:sz w:val="13"/>
          <w:szCs w:val="13"/>
          <w:b w:val="1"/>
          <w:bCs w:val="1"/>
          <w:color w:val="363636"/>
        </w:rPr>
        <w:t xml:space="preserve"> DATE SPECIFIED </w:t>
      </w:r>
      <w:r>
        <w:rPr>
          <w:rFonts w:ascii="Times New Roman" w:cs="Times New Roman" w:eastAsia="Times New Roman" w:hAnsi="Times New Roman"/>
          <w:sz w:val="13"/>
          <w:szCs w:val="13"/>
          <w:b w:val="1"/>
          <w:bCs w:val="1"/>
          <w:color w:val="464646"/>
        </w:rPr>
        <w:t>MAY RESULT IN REJECTION</w:t>
      </w:r>
      <w:r>
        <w:rPr>
          <w:rFonts w:ascii="Times New Roman" w:cs="Times New Roman" w:eastAsia="Times New Roman" w:hAnsi="Times New Roman"/>
          <w:sz w:val="13"/>
          <w:szCs w:val="13"/>
          <w:b w:val="1"/>
          <w:bCs w:val="1"/>
          <w:color w:val="363636"/>
        </w:rPr>
        <w:t xml:space="preserve"> OF </w:t>
      </w:r>
      <w:r>
        <w:rPr>
          <w:rFonts w:ascii="Times New Roman" w:cs="Times New Roman" w:eastAsia="Times New Roman" w:hAnsi="Times New Roman"/>
          <w:sz w:val="13"/>
          <w:szCs w:val="13"/>
          <w:b w:val="1"/>
          <w:bCs w:val="1"/>
          <w:color w:val="464646"/>
        </w:rPr>
        <w:t xml:space="preserve">YOUR </w:t>
      </w:r>
      <w:r>
        <w:rPr>
          <w:rFonts w:ascii="Times New Roman" w:cs="Times New Roman" w:eastAsia="Times New Roman" w:hAnsi="Times New Roman"/>
          <w:sz w:val="13"/>
          <w:szCs w:val="13"/>
          <w:b w:val="1"/>
          <w:bCs w:val="1"/>
          <w:color w:val="363636"/>
        </w:rPr>
        <w:t>OFFER.</w:t>
      </w:r>
      <w:r>
        <w:rPr>
          <w:rFonts w:ascii="Times New Roman" w:cs="Times New Roman" w:eastAsia="Times New Roman" w:hAnsi="Times New Roman"/>
          <w:sz w:val="13"/>
          <w:szCs w:val="13"/>
          <w:b w:val="1"/>
          <w:bCs w:val="1"/>
          <w:color w:val="464646"/>
        </w:rPr>
        <w:t xml:space="preserve"> If </w:t>
      </w:r>
      <w:r>
        <w:rPr>
          <w:rFonts w:ascii="Times New Roman" w:cs="Times New Roman" w:eastAsia="Times New Roman" w:hAnsi="Times New Roman"/>
          <w:sz w:val="13"/>
          <w:szCs w:val="13"/>
          <w:b w:val="1"/>
          <w:bCs w:val="1"/>
          <w:color w:val="363636"/>
        </w:rPr>
        <w:t>by</w:t>
      </w:r>
      <w:r>
        <w:rPr>
          <w:rFonts w:ascii="Times New Roman" w:cs="Times New Roman" w:eastAsia="Times New Roman" w:hAnsi="Times New Roman"/>
          <w:sz w:val="13"/>
          <w:szCs w:val="13"/>
          <w:b w:val="1"/>
          <w:bCs w:val="1"/>
          <w:color w:val="464646"/>
        </w:rPr>
        <w:t xml:space="preserve"> virtue </w:t>
      </w:r>
      <w:r>
        <w:rPr>
          <w:rFonts w:ascii="Times New Roman" w:cs="Times New Roman" w:eastAsia="Times New Roman" w:hAnsi="Times New Roman"/>
          <w:sz w:val="13"/>
          <w:szCs w:val="13"/>
          <w:b w:val="1"/>
          <w:bCs w:val="1"/>
          <w:color w:val="363636"/>
        </w:rPr>
        <w:t>of</w:t>
      </w:r>
      <w:r>
        <w:rPr>
          <w:rFonts w:ascii="Times New Roman" w:cs="Times New Roman" w:eastAsia="Times New Roman" w:hAnsi="Times New Roman"/>
          <w:sz w:val="13"/>
          <w:szCs w:val="13"/>
          <w:b w:val="1"/>
          <w:bCs w:val="1"/>
          <w:color w:val="464646"/>
        </w:rPr>
        <w:t xml:space="preserve"> this </w:t>
      </w:r>
      <w:r>
        <w:rPr>
          <w:rFonts w:ascii="Times New Roman" w:cs="Times New Roman" w:eastAsia="Times New Roman" w:hAnsi="Times New Roman"/>
          <w:sz w:val="13"/>
          <w:szCs w:val="13"/>
          <w:b w:val="1"/>
          <w:bCs w:val="1"/>
          <w:color w:val="363636"/>
        </w:rPr>
        <w:t>amendment you desire to change an</w:t>
      </w:r>
      <w:r>
        <w:rPr>
          <w:rFonts w:ascii="Times New Roman" w:cs="Times New Roman" w:eastAsia="Times New Roman" w:hAnsi="Times New Roman"/>
          <w:sz w:val="13"/>
          <w:szCs w:val="13"/>
          <w:b w:val="1"/>
          <w:bCs w:val="1"/>
          <w:color w:val="464646"/>
        </w:rPr>
        <w:t xml:space="preserve"> offer </w:t>
      </w:r>
      <w:r>
        <w:rPr>
          <w:rFonts w:ascii="Times New Roman" w:cs="Times New Roman" w:eastAsia="Times New Roman" w:hAnsi="Times New Roman"/>
          <w:sz w:val="13"/>
          <w:szCs w:val="13"/>
          <w:b w:val="1"/>
          <w:bCs w:val="1"/>
          <w:color w:val="363636"/>
        </w:rPr>
        <w:t>already submitted,</w:t>
      </w:r>
      <w:r>
        <w:rPr>
          <w:rFonts w:ascii="Times New Roman" w:cs="Times New Roman" w:eastAsia="Times New Roman" w:hAnsi="Times New Roman"/>
          <w:sz w:val="13"/>
          <w:szCs w:val="13"/>
          <w:b w:val="1"/>
          <w:bCs w:val="1"/>
          <w:color w:val="464646"/>
        </w:rPr>
        <w:t xml:space="preserve"> such </w:t>
      </w:r>
      <w:r>
        <w:rPr>
          <w:rFonts w:ascii="Times New Roman" w:cs="Times New Roman" w:eastAsia="Times New Roman" w:hAnsi="Times New Roman"/>
          <w:sz w:val="13"/>
          <w:szCs w:val="13"/>
          <w:b w:val="1"/>
          <w:bCs w:val="1"/>
          <w:color w:val="363636"/>
        </w:rPr>
        <w:t>change may be made by telegram or letter, provided each telegram or</w:t>
      </w:r>
      <w:r>
        <w:rPr>
          <w:rFonts w:ascii="Times New Roman" w:cs="Times New Roman" w:eastAsia="Times New Roman" w:hAnsi="Times New Roman"/>
          <w:sz w:val="13"/>
          <w:szCs w:val="13"/>
          <w:b w:val="1"/>
          <w:bCs w:val="1"/>
          <w:color w:val="464646"/>
        </w:rPr>
        <w:t xml:space="preserve"> </w:t>
      </w:r>
      <w:r>
        <w:rPr>
          <w:rFonts w:ascii="Times New Roman" w:cs="Times New Roman" w:eastAsia="Times New Roman" w:hAnsi="Times New Roman"/>
          <w:sz w:val="13"/>
          <w:szCs w:val="13"/>
          <w:b w:val="1"/>
          <w:bCs w:val="1"/>
          <w:color w:val="363636"/>
        </w:rPr>
        <w:t xml:space="preserve">letter </w:t>
      </w:r>
      <w:r>
        <w:rPr>
          <w:rFonts w:ascii="Times New Roman" w:cs="Times New Roman" w:eastAsia="Times New Roman" w:hAnsi="Times New Roman"/>
          <w:sz w:val="13"/>
          <w:szCs w:val="13"/>
          <w:b w:val="1"/>
          <w:bCs w:val="1"/>
          <w:color w:val="464646"/>
        </w:rPr>
        <w:t>makes reference</w:t>
      </w:r>
      <w:r>
        <w:rPr>
          <w:rFonts w:ascii="Times New Roman" w:cs="Times New Roman" w:eastAsia="Times New Roman" w:hAnsi="Times New Roman"/>
          <w:sz w:val="13"/>
          <w:szCs w:val="13"/>
          <w:b w:val="1"/>
          <w:bCs w:val="1"/>
          <w:color w:val="363636"/>
        </w:rPr>
        <w:t xml:space="preserve"> to the </w:t>
      </w:r>
      <w:r>
        <w:rPr>
          <w:rFonts w:ascii="Times New Roman" w:cs="Times New Roman" w:eastAsia="Times New Roman" w:hAnsi="Times New Roman"/>
          <w:sz w:val="13"/>
          <w:szCs w:val="13"/>
          <w:b w:val="1"/>
          <w:bCs w:val="1"/>
          <w:color w:val="464646"/>
        </w:rPr>
        <w:t>solicitation</w:t>
      </w:r>
      <w:r>
        <w:rPr>
          <w:rFonts w:ascii="Times New Roman" w:cs="Times New Roman" w:eastAsia="Times New Roman" w:hAnsi="Times New Roman"/>
          <w:sz w:val="13"/>
          <w:szCs w:val="13"/>
          <w:b w:val="1"/>
          <w:bCs w:val="1"/>
          <w:color w:val="363636"/>
        </w:rPr>
        <w:t xml:space="preserve"> and this amendment, and is </w:t>
      </w:r>
      <w:r>
        <w:rPr>
          <w:rFonts w:ascii="Times New Roman" w:cs="Times New Roman" w:eastAsia="Times New Roman" w:hAnsi="Times New Roman"/>
          <w:sz w:val="13"/>
          <w:szCs w:val="13"/>
          <w:b w:val="1"/>
          <w:bCs w:val="1"/>
          <w:color w:val="464646"/>
        </w:rPr>
        <w:t>received</w:t>
      </w:r>
      <w:r>
        <w:rPr>
          <w:rFonts w:ascii="Times New Roman" w:cs="Times New Roman" w:eastAsia="Times New Roman" w:hAnsi="Times New Roman"/>
          <w:sz w:val="13"/>
          <w:szCs w:val="13"/>
          <w:b w:val="1"/>
          <w:bCs w:val="1"/>
          <w:color w:val="363636"/>
        </w:rPr>
        <w:t xml:space="preserve"> prior to </w:t>
      </w:r>
      <w:r>
        <w:rPr>
          <w:rFonts w:ascii="Times New Roman" w:cs="Times New Roman" w:eastAsia="Times New Roman" w:hAnsi="Times New Roman"/>
          <w:sz w:val="13"/>
          <w:szCs w:val="13"/>
          <w:b w:val="1"/>
          <w:bCs w:val="1"/>
          <w:color w:val="464646"/>
        </w:rPr>
        <w:t>the</w:t>
      </w:r>
      <w:r>
        <w:rPr>
          <w:rFonts w:ascii="Times New Roman" w:cs="Times New Roman" w:eastAsia="Times New Roman" w:hAnsi="Times New Roman"/>
          <w:sz w:val="13"/>
          <w:szCs w:val="13"/>
          <w:b w:val="1"/>
          <w:bCs w:val="1"/>
          <w:color w:val="363636"/>
        </w:rPr>
        <w:t xml:space="preserve"> opening hour and date specified.</w:t>
      </w:r>
    </w:p>
    <w:p>
      <w:pPr>
        <w:spacing w:after="0" w:line="20" w:lineRule="exact"/>
        <w:rPr>
          <w:rFonts w:ascii="Times New Roman" w:cs="Times New Roman" w:eastAsia="Times New Roman" w:hAnsi="Times New Roman"/>
          <w:sz w:val="13"/>
          <w:szCs w:val="13"/>
          <w:b w:val="1"/>
          <w:bCs w:val="1"/>
          <w:color w:val="464646"/>
        </w:rPr>
      </w:pPr>
      <w:r>
        <w:rPr>
          <w:rFonts w:ascii="Times New Roman" w:cs="Times New Roman" w:eastAsia="Times New Roman" w:hAnsi="Times New Roman"/>
          <w:sz w:val="13"/>
          <w:szCs w:val="13"/>
          <w:b w:val="1"/>
          <w:bCs w:val="1"/>
          <w:color w:val="464646"/>
        </w:rPr>
        <w:drawing>
          <wp:anchor simplePos="0" relativeHeight="251657728" behindDoc="1" locked="0" layoutInCell="0" allowOverlap="1">
            <wp:simplePos x="0" y="0"/>
            <wp:positionH relativeFrom="column">
              <wp:posOffset>55880</wp:posOffset>
            </wp:positionH>
            <wp:positionV relativeFrom="paragraph">
              <wp:posOffset>170180</wp:posOffset>
            </wp:positionV>
            <wp:extent cx="65900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90030" cy="8255"/>
                    </a:xfrm>
                    <a:prstGeom prst="rect">
                      <a:avLst/>
                    </a:prstGeom>
                    <a:noFill/>
                  </pic:spPr>
                </pic:pic>
              </a:graphicData>
            </a:graphic>
          </wp:anchor>
        </w:drawing>
      </w:r>
    </w:p>
    <w:p>
      <w:pPr>
        <w:spacing w:after="0" w:line="298" w:lineRule="exact"/>
        <w:rPr>
          <w:rFonts w:ascii="Times New Roman" w:cs="Times New Roman" w:eastAsia="Times New Roman" w:hAnsi="Times New Roman"/>
          <w:sz w:val="13"/>
          <w:szCs w:val="13"/>
          <w:b w:val="1"/>
          <w:bCs w:val="1"/>
          <w:color w:val="464646"/>
        </w:rPr>
      </w:pPr>
    </w:p>
    <w:p>
      <w:pPr>
        <w:ind w:left="360" w:hanging="192"/>
        <w:spacing w:after="0"/>
        <w:tabs>
          <w:tab w:leader="none" w:pos="360" w:val="left"/>
        </w:tabs>
        <w:numPr>
          <w:ilvl w:val="0"/>
          <w:numId w:val="113"/>
        </w:numPr>
        <w:rPr>
          <w:rFonts w:ascii="Times New Roman" w:cs="Times New Roman" w:eastAsia="Times New Roman" w:hAnsi="Times New Roman"/>
          <w:sz w:val="13"/>
          <w:szCs w:val="13"/>
          <w:b w:val="1"/>
          <w:bCs w:val="1"/>
          <w:color w:val="464646"/>
        </w:rPr>
      </w:pPr>
      <w:r>
        <w:rPr>
          <w:rFonts w:ascii="Times New Roman" w:cs="Times New Roman" w:eastAsia="Times New Roman" w:hAnsi="Times New Roman"/>
          <w:sz w:val="13"/>
          <w:szCs w:val="13"/>
          <w:b w:val="1"/>
          <w:bCs w:val="1"/>
          <w:color w:val="464646"/>
        </w:rPr>
        <w:t xml:space="preserve">Accounting </w:t>
      </w:r>
      <w:r>
        <w:rPr>
          <w:rFonts w:ascii="Times New Roman" w:cs="Times New Roman" w:eastAsia="Times New Roman" w:hAnsi="Times New Roman"/>
          <w:sz w:val="13"/>
          <w:szCs w:val="13"/>
          <w:b w:val="1"/>
          <w:bCs w:val="1"/>
          <w:color w:val="363636"/>
        </w:rPr>
        <w:t>And</w:t>
      </w:r>
      <w:r>
        <w:rPr>
          <w:rFonts w:ascii="Times New Roman" w:cs="Times New Roman" w:eastAsia="Times New Roman" w:hAnsi="Times New Roman"/>
          <w:sz w:val="13"/>
          <w:szCs w:val="13"/>
          <w:b w:val="1"/>
          <w:bCs w:val="1"/>
          <w:color w:val="464646"/>
        </w:rPr>
        <w:t xml:space="preserve"> Appropriation </w:t>
      </w:r>
      <w:r>
        <w:rPr>
          <w:rFonts w:ascii="Times New Roman" w:cs="Times New Roman" w:eastAsia="Times New Roman" w:hAnsi="Times New Roman"/>
          <w:sz w:val="13"/>
          <w:szCs w:val="13"/>
          <w:b w:val="1"/>
          <w:bCs w:val="1"/>
          <w:color w:val="363636"/>
        </w:rPr>
        <w:t>Data (lf required)</w:t>
      </w:r>
    </w:p>
    <w:p>
      <w:pPr>
        <w:spacing w:after="0" w:line="41" w:lineRule="exact"/>
        <w:rPr>
          <w:rFonts w:ascii="Times New Roman" w:cs="Times New Roman" w:eastAsia="Times New Roman" w:hAnsi="Times New Roman"/>
          <w:sz w:val="13"/>
          <w:szCs w:val="13"/>
          <w:b w:val="1"/>
          <w:bCs w:val="1"/>
          <w:color w:val="464646"/>
        </w:rPr>
      </w:pPr>
    </w:p>
    <w:p>
      <w:pPr>
        <w:ind w:left="100"/>
        <w:spacing w:after="0"/>
        <w:rPr>
          <w:rFonts w:ascii="Times New Roman" w:cs="Times New Roman" w:eastAsia="Times New Roman" w:hAnsi="Times New Roman"/>
          <w:sz w:val="13"/>
          <w:szCs w:val="13"/>
          <w:b w:val="1"/>
          <w:bCs w:val="1"/>
          <w:color w:val="464646"/>
        </w:rPr>
      </w:pPr>
      <w:r>
        <w:rPr>
          <w:rFonts w:ascii="Times New Roman" w:cs="Times New Roman" w:eastAsia="Times New Roman" w:hAnsi="Times New Roman"/>
          <w:sz w:val="13"/>
          <w:szCs w:val="13"/>
          <w:color w:val="676767"/>
        </w:rPr>
        <w:t xml:space="preserve">NO CHANGE TO OBLIGATION </w:t>
      </w:r>
      <w:r>
        <w:rPr>
          <w:rFonts w:ascii="Times New Roman" w:cs="Times New Roman" w:eastAsia="Times New Roman" w:hAnsi="Times New Roman"/>
          <w:sz w:val="13"/>
          <w:szCs w:val="13"/>
          <w:color w:val="464646"/>
        </w:rPr>
        <w:t>DATA</w:t>
      </w:r>
    </w:p>
    <w:p>
      <w:pPr>
        <w:spacing w:after="0" w:line="20" w:lineRule="exact"/>
        <w:rPr>
          <w:rFonts w:ascii="Times New Roman" w:cs="Times New Roman" w:eastAsia="Times New Roman" w:hAnsi="Times New Roman"/>
          <w:sz w:val="13"/>
          <w:szCs w:val="13"/>
          <w:b w:val="1"/>
          <w:bCs w:val="1"/>
          <w:color w:val="464646"/>
        </w:rPr>
      </w:pPr>
      <w:r>
        <w:rPr>
          <w:rFonts w:ascii="Times New Roman" w:cs="Times New Roman" w:eastAsia="Times New Roman" w:hAnsi="Times New Roman"/>
          <w:sz w:val="13"/>
          <w:szCs w:val="13"/>
          <w:b w:val="1"/>
          <w:bCs w:val="1"/>
          <w:color w:val="464646"/>
        </w:rPr>
        <w:drawing>
          <wp:anchor simplePos="0" relativeHeight="251657728" behindDoc="1" locked="0" layoutInCell="0" allowOverlap="1">
            <wp:simplePos x="0" y="0"/>
            <wp:positionH relativeFrom="column">
              <wp:posOffset>55880</wp:posOffset>
            </wp:positionH>
            <wp:positionV relativeFrom="paragraph">
              <wp:posOffset>48895</wp:posOffset>
            </wp:positionV>
            <wp:extent cx="65900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90030" cy="8255"/>
                    </a:xfrm>
                    <a:prstGeom prst="rect">
                      <a:avLst/>
                    </a:prstGeom>
                    <a:noFill/>
                  </pic:spPr>
                </pic:pic>
              </a:graphicData>
            </a:graphic>
          </wp:anchor>
        </w:drawing>
      </w:r>
    </w:p>
    <w:p>
      <w:pPr>
        <w:spacing w:after="0" w:line="102" w:lineRule="exact"/>
        <w:rPr>
          <w:rFonts w:ascii="Times New Roman" w:cs="Times New Roman" w:eastAsia="Times New Roman" w:hAnsi="Times New Roman"/>
          <w:sz w:val="13"/>
          <w:szCs w:val="13"/>
          <w:b w:val="1"/>
          <w:bCs w:val="1"/>
          <w:color w:val="464646"/>
        </w:rPr>
      </w:pPr>
    </w:p>
    <w:p>
      <w:pPr>
        <w:jc w:val="center"/>
        <w:ind w:right="580"/>
        <w:spacing w:after="0"/>
        <w:rPr>
          <w:sz w:val="20"/>
          <w:szCs w:val="20"/>
          <w:color w:val="auto"/>
        </w:rPr>
      </w:pPr>
      <w:r>
        <w:rPr>
          <w:rFonts w:ascii="Times New Roman" w:cs="Times New Roman" w:eastAsia="Times New Roman" w:hAnsi="Times New Roman"/>
          <w:sz w:val="13"/>
          <w:szCs w:val="13"/>
          <w:b w:val="1"/>
          <w:bCs w:val="1"/>
          <w:color w:val="464646"/>
        </w:rPr>
        <w:t xml:space="preserve">13. THIS ITEM </w:t>
      </w:r>
      <w:r>
        <w:rPr>
          <w:rFonts w:ascii="Times New Roman" w:cs="Times New Roman" w:eastAsia="Times New Roman" w:hAnsi="Times New Roman"/>
          <w:sz w:val="13"/>
          <w:szCs w:val="13"/>
          <w:b w:val="1"/>
          <w:bCs w:val="1"/>
          <w:color w:val="363636"/>
        </w:rPr>
        <w:t>ONLY APPLIES</w:t>
      </w:r>
      <w:r>
        <w:rPr>
          <w:rFonts w:ascii="Times New Roman" w:cs="Times New Roman" w:eastAsia="Times New Roman" w:hAnsi="Times New Roman"/>
          <w:sz w:val="13"/>
          <w:szCs w:val="13"/>
          <w:b w:val="1"/>
          <w:bCs w:val="1"/>
          <w:color w:val="464646"/>
        </w:rPr>
        <w:t xml:space="preserve"> TO MODIFICATIONS </w:t>
      </w:r>
      <w:r>
        <w:rPr>
          <w:rFonts w:ascii="Times New Roman" w:cs="Times New Roman" w:eastAsia="Times New Roman" w:hAnsi="Times New Roman"/>
          <w:sz w:val="13"/>
          <w:szCs w:val="13"/>
          <w:b w:val="1"/>
          <w:bCs w:val="1"/>
          <w:color w:val="363636"/>
        </w:rPr>
        <w:t>OF CONTRACTS/ORDERS</w:t>
      </w:r>
    </w:p>
    <w:p>
      <w:pPr>
        <w:jc w:val="center"/>
        <w:ind w:right="580"/>
        <w:spacing w:after="0"/>
        <w:rPr>
          <w:sz w:val="20"/>
          <w:szCs w:val="20"/>
          <w:color w:val="auto"/>
        </w:rPr>
      </w:pPr>
      <w:r>
        <w:rPr>
          <w:rFonts w:ascii="Times New Roman" w:cs="Times New Roman" w:eastAsia="Times New Roman" w:hAnsi="Times New Roman"/>
          <w:sz w:val="14"/>
          <w:szCs w:val="14"/>
          <w:b w:val="1"/>
          <w:bCs w:val="1"/>
          <w:color w:val="464646"/>
        </w:rPr>
        <w:t xml:space="preserve">It </w:t>
      </w:r>
      <w:r>
        <w:rPr>
          <w:rFonts w:ascii="Times New Roman" w:cs="Times New Roman" w:eastAsia="Times New Roman" w:hAnsi="Times New Roman"/>
          <w:sz w:val="13"/>
          <w:szCs w:val="13"/>
          <w:b w:val="1"/>
          <w:bCs w:val="1"/>
          <w:color w:val="464646"/>
        </w:rPr>
        <w:t>Modifies</w:t>
      </w:r>
      <w:r>
        <w:rPr>
          <w:rFonts w:ascii="Times New Roman" w:cs="Times New Roman" w:eastAsia="Times New Roman" w:hAnsi="Times New Roman"/>
          <w:sz w:val="14"/>
          <w:szCs w:val="14"/>
          <w:b w:val="1"/>
          <w:bCs w:val="1"/>
          <w:color w:val="464646"/>
        </w:rPr>
        <w:t xml:space="preserve"> </w:t>
      </w:r>
      <w:r>
        <w:rPr>
          <w:rFonts w:ascii="Times New Roman" w:cs="Times New Roman" w:eastAsia="Times New Roman" w:hAnsi="Times New Roman"/>
          <w:sz w:val="13"/>
          <w:szCs w:val="13"/>
          <w:b w:val="1"/>
          <w:bCs w:val="1"/>
          <w:color w:val="363636"/>
        </w:rPr>
        <w:t>The Contract/Order</w:t>
      </w:r>
      <w:r>
        <w:rPr>
          <w:rFonts w:ascii="Times New Roman" w:cs="Times New Roman" w:eastAsia="Times New Roman" w:hAnsi="Times New Roman"/>
          <w:sz w:val="14"/>
          <w:szCs w:val="14"/>
          <w:b w:val="1"/>
          <w:bCs w:val="1"/>
          <w:color w:val="464646"/>
        </w:rPr>
        <w:t xml:space="preserve"> </w:t>
      </w:r>
      <w:r>
        <w:rPr>
          <w:rFonts w:ascii="Times New Roman" w:cs="Times New Roman" w:eastAsia="Times New Roman" w:hAnsi="Times New Roman"/>
          <w:sz w:val="13"/>
          <w:szCs w:val="13"/>
          <w:b w:val="1"/>
          <w:bCs w:val="1"/>
          <w:color w:val="464646"/>
        </w:rPr>
        <w:t>No. As</w:t>
      </w:r>
      <w:r>
        <w:rPr>
          <w:rFonts w:ascii="Times New Roman" w:cs="Times New Roman" w:eastAsia="Times New Roman" w:hAnsi="Times New Roman"/>
          <w:sz w:val="14"/>
          <w:szCs w:val="14"/>
          <w:b w:val="1"/>
          <w:bCs w:val="1"/>
          <w:color w:val="464646"/>
        </w:rPr>
        <w:t xml:space="preserve"> </w:t>
      </w:r>
      <w:r>
        <w:rPr>
          <w:rFonts w:ascii="Times New Roman" w:cs="Times New Roman" w:eastAsia="Times New Roman" w:hAnsi="Times New Roman"/>
          <w:sz w:val="13"/>
          <w:szCs w:val="13"/>
          <w:b w:val="1"/>
          <w:bCs w:val="1"/>
          <w:color w:val="363636"/>
        </w:rPr>
        <w:t>Described In</w:t>
      </w:r>
      <w:r>
        <w:rPr>
          <w:rFonts w:ascii="Times New Roman" w:cs="Times New Roman" w:eastAsia="Times New Roman" w:hAnsi="Times New Roman"/>
          <w:sz w:val="14"/>
          <w:szCs w:val="14"/>
          <w:b w:val="1"/>
          <w:bCs w:val="1"/>
          <w:color w:val="464646"/>
        </w:rPr>
        <w:t xml:space="preserve"> </w:t>
      </w:r>
      <w:r>
        <w:rPr>
          <w:rFonts w:ascii="Times New Roman" w:cs="Times New Roman" w:eastAsia="Times New Roman" w:hAnsi="Times New Roman"/>
          <w:sz w:val="13"/>
          <w:szCs w:val="13"/>
          <w:b w:val="1"/>
          <w:bCs w:val="1"/>
          <w:color w:val="464646"/>
        </w:rPr>
        <w:t>Item</w:t>
      </w:r>
      <w:r>
        <w:rPr>
          <w:rFonts w:ascii="Times New Roman" w:cs="Times New Roman" w:eastAsia="Times New Roman" w:hAnsi="Times New Roman"/>
          <w:sz w:val="14"/>
          <w:szCs w:val="14"/>
          <w:b w:val="1"/>
          <w:bCs w:val="1"/>
          <w:color w:val="464646"/>
        </w:rPr>
        <w:t xml:space="preserve"> </w:t>
      </w:r>
      <w:r>
        <w:rPr>
          <w:rFonts w:ascii="Times New Roman" w:cs="Times New Roman" w:eastAsia="Times New Roman" w:hAnsi="Times New Roman"/>
          <w:sz w:val="13"/>
          <w:szCs w:val="13"/>
          <w:b w:val="1"/>
          <w:bCs w:val="1"/>
          <w:color w:val="363636"/>
        </w:rPr>
        <w:t>14.</w:t>
      </w:r>
    </w:p>
    <w:p>
      <w:pPr>
        <w:spacing w:after="0" w:line="13" w:lineRule="exact"/>
        <w:rPr>
          <w:rFonts w:ascii="Times New Roman" w:cs="Times New Roman" w:eastAsia="Times New Roman" w:hAnsi="Times New Roman"/>
          <w:sz w:val="13"/>
          <w:szCs w:val="13"/>
          <w:b w:val="1"/>
          <w:bCs w:val="1"/>
          <w:color w:val="464646"/>
        </w:rPr>
      </w:pPr>
    </w:p>
    <w:tbl>
      <w:tblPr>
        <w:tblLayout w:type="fixed"/>
        <w:tblInd w:w="40" w:type="dxa"/>
        <w:tblCellMar>
          <w:top w:w="0" w:type="dxa"/>
          <w:left w:w="0" w:type="dxa"/>
          <w:bottom w:w="0" w:type="dxa"/>
          <w:right w:w="0" w:type="dxa"/>
        </w:tblCellMar>
      </w:tblPr>
      <w:tr>
        <w:trPr>
          <w:trHeight w:val="147"/>
        </w:trPr>
        <w:tc>
          <w:tcPr>
            <w:tcW w:w="40" w:type="dxa"/>
            <w:vAlign w:val="bottom"/>
          </w:tcPr>
          <w:p>
            <w:pPr>
              <w:spacing w:after="0"/>
              <w:rPr>
                <w:sz w:val="12"/>
                <w:szCs w:val="12"/>
                <w:color w:val="auto"/>
              </w:rPr>
            </w:pPr>
          </w:p>
        </w:tc>
        <w:tc>
          <w:tcPr>
            <w:tcW w:w="500" w:type="dxa"/>
            <w:vAlign w:val="bottom"/>
            <w:tcBorders>
              <w:top w:val="single" w:sz="8" w:color="auto"/>
              <w:right w:val="single" w:sz="8" w:color="auto"/>
            </w:tcBorders>
            <w:vMerge w:val="restart"/>
          </w:tcPr>
          <w:p>
            <w:pPr>
              <w:ind w:left="20"/>
              <w:spacing w:after="0" w:line="211" w:lineRule="exact"/>
              <w:rPr>
                <w:sz w:val="20"/>
                <w:szCs w:val="20"/>
                <w:color w:val="auto"/>
              </w:rPr>
            </w:pPr>
            <w:r>
              <w:rPr>
                <w:rFonts w:ascii="MS PGothic" w:cs="MS PGothic" w:eastAsia="MS PGothic" w:hAnsi="MS PGothic"/>
                <w:sz w:val="21"/>
                <w:szCs w:val="21"/>
                <w:color w:val="auto"/>
              </w:rPr>
              <w:t>☐</w:t>
            </w:r>
          </w:p>
        </w:tc>
        <w:tc>
          <w:tcPr>
            <w:tcW w:w="48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464646"/>
              </w:rPr>
              <w:t xml:space="preserve">A. This Change </w:t>
            </w:r>
            <w:r>
              <w:rPr>
                <w:rFonts w:ascii="Times New Roman" w:cs="Times New Roman" w:eastAsia="Times New Roman" w:hAnsi="Times New Roman"/>
                <w:sz w:val="12"/>
                <w:szCs w:val="12"/>
                <w:b w:val="1"/>
                <w:bCs w:val="1"/>
                <w:color w:val="363636"/>
              </w:rPr>
              <w:t>Order is</w:t>
            </w:r>
            <w:r>
              <w:rPr>
                <w:rFonts w:ascii="Times New Roman" w:cs="Times New Roman" w:eastAsia="Times New Roman" w:hAnsi="Times New Roman"/>
                <w:sz w:val="12"/>
                <w:szCs w:val="12"/>
                <w:b w:val="1"/>
                <w:bCs w:val="1"/>
                <w:color w:val="464646"/>
              </w:rPr>
              <w:t xml:space="preserve"> Issued Pursuant </w:t>
            </w:r>
            <w:r>
              <w:rPr>
                <w:rFonts w:ascii="Times New Roman" w:cs="Times New Roman" w:eastAsia="Times New Roman" w:hAnsi="Times New Roman"/>
                <w:sz w:val="12"/>
                <w:szCs w:val="12"/>
                <w:b w:val="1"/>
                <w:bCs w:val="1"/>
                <w:color w:val="363636"/>
              </w:rPr>
              <w:t>To:</w:t>
            </w:r>
          </w:p>
        </w:tc>
        <w:tc>
          <w:tcPr>
            <w:tcW w:w="5020" w:type="dxa"/>
            <w:vAlign w:val="bottom"/>
            <w:tcBorders>
              <w:top w:val="single" w:sz="8" w:color="auto"/>
            </w:tcBorders>
          </w:tcPr>
          <w:p>
            <w:pPr>
              <w:ind w:left="1720"/>
              <w:spacing w:after="0" w:line="147" w:lineRule="exact"/>
              <w:rPr>
                <w:sz w:val="20"/>
                <w:szCs w:val="20"/>
                <w:color w:val="auto"/>
              </w:rPr>
            </w:pPr>
            <w:r>
              <w:rPr>
                <w:rFonts w:ascii="Times New Roman" w:cs="Times New Roman" w:eastAsia="Times New Roman" w:hAnsi="Times New Roman"/>
                <w:sz w:val="13"/>
                <w:szCs w:val="13"/>
                <w:b w:val="1"/>
                <w:bCs w:val="1"/>
                <w:color w:val="464646"/>
              </w:rPr>
              <w:t xml:space="preserve">The </w:t>
            </w:r>
            <w:r>
              <w:rPr>
                <w:rFonts w:ascii="Times New Roman" w:cs="Times New Roman" w:eastAsia="Times New Roman" w:hAnsi="Times New Roman"/>
                <w:sz w:val="13"/>
                <w:szCs w:val="13"/>
                <w:b w:val="1"/>
                <w:bCs w:val="1"/>
                <w:color w:val="363636"/>
              </w:rPr>
              <w:t>Changes</w:t>
            </w:r>
            <w:r>
              <w:rPr>
                <w:rFonts w:ascii="Times New Roman" w:cs="Times New Roman" w:eastAsia="Times New Roman" w:hAnsi="Times New Roman"/>
                <w:sz w:val="13"/>
                <w:szCs w:val="13"/>
                <w:b w:val="1"/>
                <w:bCs w:val="1"/>
                <w:color w:val="464646"/>
              </w:rPr>
              <w:t xml:space="preserve"> Set Forth </w:t>
            </w:r>
            <w:r>
              <w:rPr>
                <w:rFonts w:ascii="Times New Roman" w:cs="Times New Roman" w:eastAsia="Times New Roman" w:hAnsi="Times New Roman"/>
                <w:sz w:val="13"/>
                <w:szCs w:val="13"/>
                <w:b w:val="1"/>
                <w:bCs w:val="1"/>
                <w:color w:val="363636"/>
              </w:rPr>
              <w:t>In Item 14</w:t>
            </w:r>
            <w:r>
              <w:rPr>
                <w:rFonts w:ascii="Times New Roman" w:cs="Times New Roman" w:eastAsia="Times New Roman" w:hAnsi="Times New Roman"/>
                <w:sz w:val="13"/>
                <w:szCs w:val="13"/>
                <w:b w:val="1"/>
                <w:bCs w:val="1"/>
                <w:color w:val="464646"/>
              </w:rPr>
              <w:t xml:space="preserve"> Are Made </w:t>
            </w:r>
            <w:r>
              <w:rPr>
                <w:rFonts w:ascii="Times New Roman" w:cs="Times New Roman" w:eastAsia="Times New Roman" w:hAnsi="Times New Roman"/>
                <w:sz w:val="13"/>
                <w:szCs w:val="13"/>
                <w:b w:val="1"/>
                <w:bCs w:val="1"/>
                <w:color w:val="363636"/>
              </w:rPr>
              <w:t>In</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500" w:type="dxa"/>
            <w:vAlign w:val="bottom"/>
            <w:tcBorders>
              <w:bottom w:val="single" w:sz="8" w:color="auto"/>
              <w:right w:val="single" w:sz="8" w:color="auto"/>
            </w:tcBorders>
            <w:vMerge w:val="continue"/>
          </w:tcPr>
          <w:p>
            <w:pPr>
              <w:spacing w:after="0"/>
              <w:rPr>
                <w:sz w:val="11"/>
                <w:szCs w:val="11"/>
                <w:color w:val="auto"/>
              </w:rPr>
            </w:pPr>
          </w:p>
        </w:tc>
        <w:tc>
          <w:tcPr>
            <w:tcW w:w="4860" w:type="dxa"/>
            <w:vAlign w:val="bottom"/>
            <w:tcBorders>
              <w:bottom w:val="single" w:sz="8" w:color="auto"/>
            </w:tcBorders>
          </w:tcPr>
          <w:p>
            <w:pPr>
              <w:ind w:left="280"/>
              <w:spacing w:after="0" w:line="134" w:lineRule="exact"/>
              <w:rPr>
                <w:sz w:val="20"/>
                <w:szCs w:val="20"/>
                <w:color w:val="auto"/>
              </w:rPr>
            </w:pPr>
            <w:r>
              <w:rPr>
                <w:rFonts w:ascii="Times New Roman" w:cs="Times New Roman" w:eastAsia="Times New Roman" w:hAnsi="Times New Roman"/>
                <w:sz w:val="12"/>
                <w:szCs w:val="12"/>
                <w:b w:val="1"/>
                <w:bCs w:val="1"/>
                <w:color w:val="363636"/>
              </w:rPr>
              <w:t xml:space="preserve">The </w:t>
            </w:r>
            <w:r>
              <w:rPr>
                <w:rFonts w:ascii="Times New Roman" w:cs="Times New Roman" w:eastAsia="Times New Roman" w:hAnsi="Times New Roman"/>
                <w:sz w:val="12"/>
                <w:szCs w:val="12"/>
                <w:b w:val="1"/>
                <w:bCs w:val="1"/>
                <w:color w:val="464646"/>
              </w:rPr>
              <w:t>Contract/Order No.</w:t>
            </w:r>
            <w:r>
              <w:rPr>
                <w:rFonts w:ascii="Times New Roman" w:cs="Times New Roman" w:eastAsia="Times New Roman" w:hAnsi="Times New Roman"/>
                <w:sz w:val="12"/>
                <w:szCs w:val="12"/>
                <w:b w:val="1"/>
                <w:bCs w:val="1"/>
                <w:color w:val="363636"/>
              </w:rPr>
              <w:t xml:space="preserve"> In Item 10A.</w:t>
            </w:r>
          </w:p>
        </w:tc>
        <w:tc>
          <w:tcPr>
            <w:tcW w:w="5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500" w:type="dxa"/>
            <w:vAlign w:val="bottom"/>
            <w:tcBorders>
              <w:right w:val="single" w:sz="8" w:color="auto"/>
            </w:tcBorders>
            <w:vMerge w:val="restart"/>
          </w:tcPr>
          <w:p>
            <w:pPr>
              <w:ind w:left="20"/>
              <w:spacing w:after="0" w:line="211" w:lineRule="exact"/>
              <w:rPr>
                <w:sz w:val="20"/>
                <w:szCs w:val="20"/>
                <w:color w:val="auto"/>
              </w:rPr>
            </w:pPr>
            <w:r>
              <w:rPr>
                <w:rFonts w:ascii="MS PGothic" w:cs="MS PGothic" w:eastAsia="MS PGothic" w:hAnsi="MS PGothic"/>
                <w:sz w:val="21"/>
                <w:szCs w:val="21"/>
                <w:color w:val="auto"/>
              </w:rPr>
              <w:t>☐</w:t>
            </w:r>
          </w:p>
        </w:tc>
        <w:tc>
          <w:tcPr>
            <w:tcW w:w="988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3"/>
                <w:szCs w:val="13"/>
                <w:b w:val="1"/>
                <w:bCs w:val="1"/>
                <w:color w:val="464646"/>
              </w:rPr>
              <w:t>B. The Above Numbered Contract/Order Is Modified To Reflect The Administrative Changes (such as changes in paying office</w:t>
            </w:r>
            <w:r>
              <w:rPr>
                <w:rFonts w:ascii="Times New Roman" w:cs="Times New Roman" w:eastAsia="Times New Roman" w:hAnsi="Times New Roman"/>
                <w:sz w:val="13"/>
                <w:szCs w:val="13"/>
                <w:b w:val="1"/>
                <w:bCs w:val="1"/>
                <w:color w:val="676767"/>
              </w:rPr>
              <w:t>,</w:t>
            </w:r>
            <w:r>
              <w:rPr>
                <w:rFonts w:ascii="Times New Roman" w:cs="Times New Roman" w:eastAsia="Times New Roman" w:hAnsi="Times New Roman"/>
                <w:sz w:val="13"/>
                <w:szCs w:val="13"/>
                <w:b w:val="1"/>
                <w:bCs w:val="1"/>
                <w:color w:val="464646"/>
              </w:rPr>
              <w:t xml:space="preserve"> appropriation data, etc.) Set Forth In Item</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500" w:type="dxa"/>
            <w:vAlign w:val="bottom"/>
            <w:tcBorders>
              <w:bottom w:val="single" w:sz="8" w:color="auto"/>
              <w:right w:val="single" w:sz="8" w:color="auto"/>
            </w:tcBorders>
            <w:vMerge w:val="continue"/>
          </w:tcPr>
          <w:p>
            <w:pPr>
              <w:spacing w:after="0"/>
              <w:rPr>
                <w:sz w:val="12"/>
                <w:szCs w:val="12"/>
                <w:color w:val="auto"/>
              </w:rPr>
            </w:pPr>
          </w:p>
        </w:tc>
        <w:tc>
          <w:tcPr>
            <w:tcW w:w="4860" w:type="dxa"/>
            <w:vAlign w:val="bottom"/>
            <w:tcBorders>
              <w:bottom w:val="single" w:sz="8" w:color="auto"/>
            </w:tcBorders>
          </w:tcPr>
          <w:p>
            <w:pPr>
              <w:ind w:left="100"/>
              <w:spacing w:after="0" w:line="147" w:lineRule="exact"/>
              <w:rPr>
                <w:sz w:val="20"/>
                <w:szCs w:val="20"/>
                <w:color w:val="auto"/>
              </w:rPr>
            </w:pPr>
            <w:r>
              <w:rPr>
                <w:rFonts w:ascii="Times New Roman" w:cs="Times New Roman" w:eastAsia="Times New Roman" w:hAnsi="Times New Roman"/>
                <w:sz w:val="13"/>
                <w:szCs w:val="13"/>
                <w:b w:val="1"/>
                <w:bCs w:val="1"/>
                <w:color w:val="464646"/>
              </w:rPr>
              <w:t>14, Pursuant To The Authority of FAR 43.103(b).</w:t>
            </w:r>
          </w:p>
        </w:tc>
        <w:tc>
          <w:tcPr>
            <w:tcW w:w="5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500" w:type="dxa"/>
            <w:vAlign w:val="bottom"/>
            <w:tcBorders>
              <w:bottom w:val="single" w:sz="8" w:color="auto"/>
              <w:right w:val="single" w:sz="8" w:color="auto"/>
            </w:tcBorders>
          </w:tcPr>
          <w:p>
            <w:pPr>
              <w:ind w:left="140"/>
              <w:spacing w:after="0" w:line="211" w:lineRule="exact"/>
              <w:rPr>
                <w:sz w:val="20"/>
                <w:szCs w:val="20"/>
                <w:color w:val="auto"/>
              </w:rPr>
            </w:pPr>
            <w:r>
              <w:rPr>
                <w:rFonts w:ascii="MS PGothic" w:cs="MS PGothic" w:eastAsia="MS PGothic" w:hAnsi="MS PGothic"/>
                <w:sz w:val="21"/>
                <w:szCs w:val="21"/>
                <w:color w:val="auto"/>
              </w:rPr>
              <w:t>☒</w:t>
            </w:r>
          </w:p>
        </w:tc>
        <w:tc>
          <w:tcPr>
            <w:tcW w:w="4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464646"/>
              </w:rPr>
              <w:t xml:space="preserve">C. This Supplemental Agreement Is Entered </w:t>
            </w:r>
            <w:r>
              <w:rPr>
                <w:rFonts w:ascii="Times New Roman" w:cs="Times New Roman" w:eastAsia="Times New Roman" w:hAnsi="Times New Roman"/>
                <w:sz w:val="13"/>
                <w:szCs w:val="13"/>
                <w:b w:val="1"/>
                <w:bCs w:val="1"/>
                <w:color w:val="363636"/>
              </w:rPr>
              <w:t>Into Pursuant To</w:t>
            </w:r>
            <w:r>
              <w:rPr>
                <w:rFonts w:ascii="Times New Roman" w:cs="Times New Roman" w:eastAsia="Times New Roman" w:hAnsi="Times New Roman"/>
                <w:sz w:val="13"/>
                <w:szCs w:val="13"/>
                <w:b w:val="1"/>
                <w:bCs w:val="1"/>
                <w:color w:val="464646"/>
              </w:rPr>
              <w:t xml:space="preserve"> Authority </w:t>
            </w:r>
            <w:r>
              <w:rPr>
                <w:rFonts w:ascii="Times New Roman" w:cs="Times New Roman" w:eastAsia="Times New Roman" w:hAnsi="Times New Roman"/>
                <w:sz w:val="13"/>
                <w:szCs w:val="13"/>
                <w:b w:val="1"/>
                <w:bCs w:val="1"/>
                <w:color w:val="363636"/>
              </w:rPr>
              <w:t>Of:</w:t>
            </w:r>
          </w:p>
        </w:tc>
        <w:tc>
          <w:tcPr>
            <w:tcW w:w="50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color w:val="464646"/>
              </w:rPr>
              <w:t>FAR 43.103(a)</w:t>
            </w: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500" w:type="dxa"/>
            <w:vAlign w:val="bottom"/>
            <w:tcBorders>
              <w:right w:val="single" w:sz="8" w:color="auto"/>
            </w:tcBorders>
          </w:tcPr>
          <w:p>
            <w:pPr>
              <w:ind w:left="20"/>
              <w:spacing w:after="0" w:line="127" w:lineRule="exact"/>
              <w:rPr>
                <w:sz w:val="20"/>
                <w:szCs w:val="20"/>
                <w:color w:val="auto"/>
              </w:rPr>
            </w:pPr>
            <w:r>
              <w:rPr>
                <w:rFonts w:ascii="MS PGothic" w:cs="MS PGothic" w:eastAsia="MS PGothic" w:hAnsi="MS PGothic"/>
                <w:sz w:val="16"/>
                <w:szCs w:val="16"/>
                <w:color w:val="auto"/>
              </w:rPr>
              <w:t>☐</w:t>
            </w:r>
          </w:p>
        </w:tc>
        <w:tc>
          <w:tcPr>
            <w:tcW w:w="48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464646"/>
              </w:rPr>
              <w:t xml:space="preserve">D. </w:t>
            </w:r>
            <w:r>
              <w:rPr>
                <w:rFonts w:ascii="Times New Roman" w:cs="Times New Roman" w:eastAsia="Times New Roman" w:hAnsi="Times New Roman"/>
                <w:sz w:val="13"/>
                <w:szCs w:val="13"/>
                <w:b w:val="1"/>
                <w:bCs w:val="1"/>
                <w:color w:val="363636"/>
              </w:rPr>
              <w:t>Other</w:t>
            </w:r>
            <w:r>
              <w:rPr>
                <w:rFonts w:ascii="Times New Roman" w:cs="Times New Roman" w:eastAsia="Times New Roman" w:hAnsi="Times New Roman"/>
                <w:sz w:val="13"/>
                <w:szCs w:val="13"/>
                <w:b w:val="1"/>
                <w:bCs w:val="1"/>
                <w:color w:val="464646"/>
              </w:rPr>
              <w:t xml:space="preserve"> (Specify type </w:t>
            </w:r>
            <w:r>
              <w:rPr>
                <w:rFonts w:ascii="Times New Roman" w:cs="Times New Roman" w:eastAsia="Times New Roman" w:hAnsi="Times New Roman"/>
                <w:sz w:val="13"/>
                <w:szCs w:val="13"/>
                <w:b w:val="1"/>
                <w:bCs w:val="1"/>
                <w:color w:val="363636"/>
              </w:rPr>
              <w:t>of</w:t>
            </w:r>
            <w:r>
              <w:rPr>
                <w:rFonts w:ascii="Times New Roman" w:cs="Times New Roman" w:eastAsia="Times New Roman" w:hAnsi="Times New Roman"/>
                <w:sz w:val="13"/>
                <w:szCs w:val="13"/>
                <w:b w:val="1"/>
                <w:bCs w:val="1"/>
                <w:color w:val="464646"/>
              </w:rPr>
              <w:t xml:space="preserve"> modification </w:t>
            </w:r>
            <w:r>
              <w:rPr>
                <w:rFonts w:ascii="Times New Roman" w:cs="Times New Roman" w:eastAsia="Times New Roman" w:hAnsi="Times New Roman"/>
                <w:sz w:val="13"/>
                <w:szCs w:val="13"/>
                <w:b w:val="1"/>
                <w:bCs w:val="1"/>
                <w:color w:val="363636"/>
              </w:rPr>
              <w:t>and authority)</w:t>
            </w: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4860" w:type="dxa"/>
            <w:vAlign w:val="bottom"/>
            <w:vMerge w:val="continue"/>
          </w:tcPr>
          <w:p>
            <w:pPr>
              <w:spacing w:after="0"/>
              <w:rPr>
                <w:sz w:val="3"/>
                <w:szCs w:val="3"/>
                <w:color w:val="auto"/>
              </w:rPr>
            </w:pP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988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380" w:type="dxa"/>
            <w:vAlign w:val="bottom"/>
            <w:tcBorders>
              <w:bottom w:val="single" w:sz="8" w:color="auto"/>
            </w:tcBorders>
            <w:gridSpan w:val="3"/>
          </w:tcPr>
          <w:p>
            <w:pPr>
              <w:ind w:left="220"/>
              <w:spacing w:after="0" w:line="150" w:lineRule="exact"/>
              <w:rPr>
                <w:sz w:val="20"/>
                <w:szCs w:val="20"/>
                <w:color w:val="auto"/>
              </w:rPr>
            </w:pPr>
            <w:r>
              <w:rPr>
                <w:rFonts w:ascii="Times New Roman" w:cs="Times New Roman" w:eastAsia="Times New Roman" w:hAnsi="Times New Roman"/>
                <w:sz w:val="13"/>
                <w:szCs w:val="13"/>
                <w:b w:val="1"/>
                <w:bCs w:val="1"/>
                <w:color w:val="363636"/>
              </w:rPr>
              <w:t xml:space="preserve">E. IMPORTANT:  Contractor </w:t>
            </w:r>
            <w:r>
              <w:rPr>
                <w:rFonts w:ascii="MS PGothic" w:cs="MS PGothic" w:eastAsia="MS PGothic" w:hAnsi="MS PGothic"/>
                <w:sz w:val="13"/>
                <w:szCs w:val="13"/>
                <w:color w:val="000000"/>
                <w:shd w:val="clear" w:color="auto" w:fill="363636"/>
              </w:rPr>
              <w:t>☐</w:t>
            </w:r>
            <w:r>
              <w:rPr>
                <w:rFonts w:ascii="Times New Roman" w:cs="Times New Roman" w:eastAsia="Times New Roman" w:hAnsi="Times New Roman"/>
                <w:sz w:val="13"/>
                <w:szCs w:val="13"/>
                <w:b w:val="1"/>
                <w:bCs w:val="1"/>
                <w:color w:val="363636"/>
              </w:rPr>
              <w:t xml:space="preserve"> is not </w:t>
            </w:r>
            <w:r>
              <w:rPr>
                <w:rFonts w:ascii="MS PGothic" w:cs="MS PGothic" w:eastAsia="MS PGothic" w:hAnsi="MS PGothic"/>
                <w:sz w:val="13"/>
                <w:szCs w:val="13"/>
                <w:color w:val="000000"/>
                <w:shd w:val="clear" w:color="auto" w:fill="363636"/>
              </w:rPr>
              <w:t>☒</w:t>
            </w:r>
            <w:r>
              <w:rPr>
                <w:rFonts w:ascii="Times New Roman" w:cs="Times New Roman" w:eastAsia="Times New Roman" w:hAnsi="Times New Roman"/>
                <w:sz w:val="13"/>
                <w:szCs w:val="13"/>
                <w:b w:val="1"/>
                <w:bCs w:val="1"/>
                <w:color w:val="363636"/>
              </w:rPr>
              <w:t xml:space="preserve"> is required to sign this document and return_______ copies to the Issuing Office.</w:t>
            </w:r>
          </w:p>
        </w:tc>
        <w:tc>
          <w:tcPr>
            <w:tcW w:w="0" w:type="dxa"/>
            <w:vAlign w:val="bottom"/>
          </w:tcPr>
          <w:p>
            <w:pPr>
              <w:spacing w:after="0"/>
              <w:rPr>
                <w:sz w:val="1"/>
                <w:szCs w:val="1"/>
                <w:color w:val="auto"/>
              </w:rPr>
            </w:pPr>
          </w:p>
        </w:tc>
      </w:tr>
      <w:tr>
        <w:trPr>
          <w:trHeight w:val="368"/>
        </w:trPr>
        <w:tc>
          <w:tcPr>
            <w:tcW w:w="104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363636"/>
              </w:rPr>
              <w:t xml:space="preserve">14. Description Of </w:t>
            </w:r>
            <w:r>
              <w:rPr>
                <w:rFonts w:ascii="Times New Roman" w:cs="Times New Roman" w:eastAsia="Times New Roman" w:hAnsi="Times New Roman"/>
                <w:sz w:val="13"/>
                <w:szCs w:val="13"/>
                <w:b w:val="1"/>
                <w:bCs w:val="1"/>
                <w:color w:val="464646"/>
              </w:rPr>
              <w:t>Amendment/Modification (Organized</w:t>
            </w:r>
            <w:r>
              <w:rPr>
                <w:rFonts w:ascii="Times New Roman" w:cs="Times New Roman" w:eastAsia="Times New Roman" w:hAnsi="Times New Roman"/>
                <w:sz w:val="13"/>
                <w:szCs w:val="13"/>
                <w:b w:val="1"/>
                <w:bCs w:val="1"/>
                <w:color w:val="363636"/>
              </w:rPr>
              <w:t xml:space="preserve"> by </w:t>
            </w:r>
            <w:r>
              <w:rPr>
                <w:rFonts w:ascii="Times New Roman" w:cs="Times New Roman" w:eastAsia="Times New Roman" w:hAnsi="Times New Roman"/>
                <w:sz w:val="13"/>
                <w:szCs w:val="13"/>
                <w:b w:val="1"/>
                <w:bCs w:val="1"/>
                <w:color w:val="464646"/>
              </w:rPr>
              <w:t>UCF section</w:t>
            </w:r>
            <w:r>
              <w:rPr>
                <w:rFonts w:ascii="Times New Roman" w:cs="Times New Roman" w:eastAsia="Times New Roman" w:hAnsi="Times New Roman"/>
                <w:sz w:val="13"/>
                <w:szCs w:val="13"/>
                <w:b w:val="1"/>
                <w:bCs w:val="1"/>
                <w:color w:val="363636"/>
              </w:rPr>
              <w:t xml:space="preserve"> headings, including </w:t>
            </w:r>
            <w:r>
              <w:rPr>
                <w:rFonts w:ascii="Times New Roman" w:cs="Times New Roman" w:eastAsia="Times New Roman" w:hAnsi="Times New Roman"/>
                <w:sz w:val="13"/>
                <w:szCs w:val="13"/>
                <w:b w:val="1"/>
                <w:bCs w:val="1"/>
                <w:color w:val="464646"/>
              </w:rPr>
              <w:t>solicitation/contract subject</w:t>
            </w:r>
            <w:r>
              <w:rPr>
                <w:rFonts w:ascii="Times New Roman" w:cs="Times New Roman" w:eastAsia="Times New Roman" w:hAnsi="Times New Roman"/>
                <w:sz w:val="13"/>
                <w:szCs w:val="13"/>
                <w:b w:val="1"/>
                <w:bCs w:val="1"/>
                <w:color w:val="363636"/>
              </w:rPr>
              <w:t xml:space="preserve"> matter where </w:t>
            </w:r>
            <w:r>
              <w:rPr>
                <w:rFonts w:ascii="Times New Roman" w:cs="Times New Roman" w:eastAsia="Times New Roman" w:hAnsi="Times New Roman"/>
                <w:sz w:val="13"/>
                <w:szCs w:val="13"/>
                <w:b w:val="1"/>
                <w:bCs w:val="1"/>
                <w:color w:val="464646"/>
              </w:rPr>
              <w:t>feasible.)</w:t>
            </w:r>
          </w:p>
        </w:tc>
        <w:tc>
          <w:tcPr>
            <w:tcW w:w="0" w:type="dxa"/>
            <w:vAlign w:val="bottom"/>
          </w:tcPr>
          <w:p>
            <w:pPr>
              <w:spacing w:after="0"/>
              <w:rPr>
                <w:sz w:val="1"/>
                <w:szCs w:val="1"/>
                <w:color w:val="auto"/>
              </w:rPr>
            </w:pPr>
          </w:p>
        </w:tc>
      </w:tr>
      <w:tr>
        <w:trPr>
          <w:trHeight w:val="281"/>
        </w:trPr>
        <w:tc>
          <w:tcPr>
            <w:tcW w:w="5400" w:type="dxa"/>
            <w:vAlign w:val="bottom"/>
            <w:gridSpan w:val="3"/>
          </w:tcPr>
          <w:p>
            <w:pPr>
              <w:spacing w:after="0"/>
              <w:rPr>
                <w:sz w:val="20"/>
                <w:szCs w:val="20"/>
                <w:color w:val="auto"/>
              </w:rPr>
            </w:pPr>
            <w:r>
              <w:rPr>
                <w:rFonts w:ascii="Times New Roman" w:cs="Times New Roman" w:eastAsia="Times New Roman" w:hAnsi="Times New Roman"/>
                <w:sz w:val="13"/>
                <w:szCs w:val="13"/>
                <w:color w:val="676767"/>
              </w:rPr>
              <w:t xml:space="preserve">SEE SECOND PAGE </w:t>
            </w:r>
            <w:r>
              <w:rPr>
                <w:rFonts w:ascii="Arial" w:cs="Arial" w:eastAsia="Arial" w:hAnsi="Arial"/>
                <w:sz w:val="9"/>
                <w:szCs w:val="9"/>
                <w:color w:val="676767"/>
              </w:rPr>
              <w:t>FOR</w:t>
            </w:r>
            <w:r>
              <w:rPr>
                <w:rFonts w:ascii="Times New Roman" w:cs="Times New Roman" w:eastAsia="Times New Roman" w:hAnsi="Times New Roman"/>
                <w:sz w:val="13"/>
                <w:szCs w:val="13"/>
                <w:color w:val="676767"/>
              </w:rPr>
              <w:t xml:space="preserve"> </w:t>
            </w:r>
            <w:r>
              <w:rPr>
                <w:rFonts w:ascii="Times New Roman" w:cs="Times New Roman" w:eastAsia="Times New Roman" w:hAnsi="Times New Roman"/>
                <w:sz w:val="13"/>
                <w:szCs w:val="13"/>
                <w:color w:val="464646"/>
              </w:rPr>
              <w:t>DESCRIPTION</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3"/>
          <w:szCs w:val="13"/>
          <w:b w:val="1"/>
          <w:bCs w:val="1"/>
          <w:color w:val="464646"/>
        </w:rPr>
      </w:pPr>
    </w:p>
    <w:p>
      <w:pPr>
        <w:spacing w:after="0" w:line="200" w:lineRule="exact"/>
        <w:rPr>
          <w:rFonts w:ascii="Times New Roman" w:cs="Times New Roman" w:eastAsia="Times New Roman" w:hAnsi="Times New Roman"/>
          <w:sz w:val="13"/>
          <w:szCs w:val="13"/>
          <w:b w:val="1"/>
          <w:bCs w:val="1"/>
          <w:color w:val="464646"/>
        </w:rPr>
      </w:pPr>
    </w:p>
    <w:p>
      <w:pPr>
        <w:spacing w:after="0" w:line="200" w:lineRule="exact"/>
        <w:rPr>
          <w:rFonts w:ascii="Times New Roman" w:cs="Times New Roman" w:eastAsia="Times New Roman" w:hAnsi="Times New Roman"/>
          <w:sz w:val="13"/>
          <w:szCs w:val="13"/>
          <w:b w:val="1"/>
          <w:bCs w:val="1"/>
          <w:color w:val="464646"/>
        </w:rPr>
      </w:pPr>
    </w:p>
    <w:p>
      <w:pPr>
        <w:spacing w:after="0" w:line="200" w:lineRule="exact"/>
        <w:rPr>
          <w:rFonts w:ascii="Times New Roman" w:cs="Times New Roman" w:eastAsia="Times New Roman" w:hAnsi="Times New Roman"/>
          <w:sz w:val="13"/>
          <w:szCs w:val="13"/>
          <w:b w:val="1"/>
          <w:bCs w:val="1"/>
          <w:color w:val="464646"/>
        </w:rPr>
      </w:pPr>
    </w:p>
    <w:p>
      <w:pPr>
        <w:spacing w:after="0" w:line="219" w:lineRule="exact"/>
        <w:rPr>
          <w:rFonts w:ascii="Times New Roman" w:cs="Times New Roman" w:eastAsia="Times New Roman" w:hAnsi="Times New Roman"/>
          <w:sz w:val="13"/>
          <w:szCs w:val="13"/>
          <w:b w:val="1"/>
          <w:bCs w:val="1"/>
          <w:color w:val="464646"/>
        </w:rPr>
      </w:pPr>
    </w:p>
    <w:p>
      <w:pPr>
        <w:ind w:left="180"/>
        <w:spacing w:after="0"/>
        <w:rPr>
          <w:sz w:val="20"/>
          <w:szCs w:val="20"/>
          <w:color w:val="auto"/>
        </w:rPr>
      </w:pPr>
      <w:r>
        <w:rPr>
          <w:rFonts w:ascii="Times New Roman" w:cs="Times New Roman" w:eastAsia="Times New Roman" w:hAnsi="Times New Roman"/>
          <w:sz w:val="13"/>
          <w:szCs w:val="13"/>
          <w:b w:val="1"/>
          <w:bCs w:val="1"/>
          <w:color w:val="363636"/>
        </w:rPr>
        <w:t xml:space="preserve">Except </w:t>
      </w:r>
      <w:r>
        <w:rPr>
          <w:rFonts w:ascii="Times New Roman" w:cs="Times New Roman" w:eastAsia="Times New Roman" w:hAnsi="Times New Roman"/>
          <w:sz w:val="14"/>
          <w:szCs w:val="14"/>
          <w:b w:val="1"/>
          <w:bCs w:val="1"/>
          <w:color w:val="363636"/>
        </w:rPr>
        <w:t>as</w:t>
      </w:r>
      <w:r>
        <w:rPr>
          <w:rFonts w:ascii="Times New Roman" w:cs="Times New Roman" w:eastAsia="Times New Roman" w:hAnsi="Times New Roman"/>
          <w:sz w:val="13"/>
          <w:szCs w:val="13"/>
          <w:b w:val="1"/>
          <w:bCs w:val="1"/>
          <w:color w:val="363636"/>
        </w:rPr>
        <w:t xml:space="preserve"> provided herein, all terms and </w:t>
      </w:r>
      <w:r>
        <w:rPr>
          <w:rFonts w:ascii="Times New Roman" w:cs="Times New Roman" w:eastAsia="Times New Roman" w:hAnsi="Times New Roman"/>
          <w:sz w:val="13"/>
          <w:szCs w:val="13"/>
          <w:b w:val="1"/>
          <w:bCs w:val="1"/>
          <w:color w:val="464646"/>
        </w:rPr>
        <w:t>conditions</w:t>
      </w:r>
      <w:r>
        <w:rPr>
          <w:rFonts w:ascii="Times New Roman" w:cs="Times New Roman" w:eastAsia="Times New Roman" w:hAnsi="Times New Roman"/>
          <w:sz w:val="13"/>
          <w:szCs w:val="13"/>
          <w:b w:val="1"/>
          <w:bCs w:val="1"/>
          <w:color w:val="363636"/>
        </w:rPr>
        <w:t xml:space="preserve"> of the document referenced in item 9A or 10A, </w:t>
      </w:r>
      <w:r>
        <w:rPr>
          <w:rFonts w:ascii="Times New Roman" w:cs="Times New Roman" w:eastAsia="Times New Roman" w:hAnsi="Times New Roman"/>
          <w:sz w:val="13"/>
          <w:szCs w:val="13"/>
          <w:b w:val="1"/>
          <w:bCs w:val="1"/>
          <w:color w:val="464646"/>
        </w:rPr>
        <w:t>as</w:t>
      </w:r>
      <w:r>
        <w:rPr>
          <w:rFonts w:ascii="Times New Roman" w:cs="Times New Roman" w:eastAsia="Times New Roman" w:hAnsi="Times New Roman"/>
          <w:sz w:val="13"/>
          <w:szCs w:val="13"/>
          <w:b w:val="1"/>
          <w:bCs w:val="1"/>
          <w:color w:val="363636"/>
        </w:rPr>
        <w:t xml:space="preserve"> heretofore changed, remains unchanged and in full force and effect.</w:t>
      </w:r>
    </w:p>
    <w:p>
      <w:pPr>
        <w:spacing w:after="0" w:line="47" w:lineRule="exact"/>
        <w:rPr>
          <w:rFonts w:ascii="Times New Roman" w:cs="Times New Roman" w:eastAsia="Times New Roman" w:hAnsi="Times New Roman"/>
          <w:sz w:val="13"/>
          <w:szCs w:val="13"/>
          <w:b w:val="1"/>
          <w:bCs w:val="1"/>
          <w:color w:val="464646"/>
        </w:rPr>
      </w:pPr>
    </w:p>
    <w:p>
      <w:pPr>
        <w:ind w:left="200"/>
        <w:spacing w:after="0"/>
        <w:rPr>
          <w:sz w:val="20"/>
          <w:szCs w:val="20"/>
          <w:color w:val="auto"/>
        </w:rPr>
      </w:pPr>
      <w:r>
        <w:rPr>
          <w:rFonts w:ascii="Times New Roman" w:cs="Times New Roman" w:eastAsia="Times New Roman" w:hAnsi="Times New Roman"/>
          <w:sz w:val="13"/>
          <w:szCs w:val="13"/>
          <w:b w:val="1"/>
          <w:bCs w:val="1"/>
          <w:color w:val="464646"/>
        </w:rPr>
        <w:t>15A. Name And Title Of Signer (Type or print)</w:t>
      </w:r>
    </w:p>
    <w:p>
      <w:pPr>
        <w:spacing w:after="0" w:line="20" w:lineRule="exact"/>
        <w:rPr>
          <w:rFonts w:ascii="Times New Roman" w:cs="Times New Roman" w:eastAsia="Times New Roman" w:hAnsi="Times New Roman"/>
          <w:sz w:val="13"/>
          <w:szCs w:val="13"/>
          <w:b w:val="1"/>
          <w:bCs w:val="1"/>
          <w:color w:val="464646"/>
        </w:rPr>
      </w:pPr>
      <w:r>
        <w:rPr>
          <w:rFonts w:ascii="Times New Roman" w:cs="Times New Roman" w:eastAsia="Times New Roman" w:hAnsi="Times New Roman"/>
          <w:sz w:val="13"/>
          <w:szCs w:val="13"/>
          <w:b w:val="1"/>
          <w:bCs w:val="1"/>
          <w:color w:val="464646"/>
        </w:rPr>
        <w:drawing>
          <wp:anchor simplePos="0" relativeHeight="251657728" behindDoc="1" locked="0" layoutInCell="0" allowOverlap="1">
            <wp:simplePos x="0" y="0"/>
            <wp:positionH relativeFrom="column">
              <wp:posOffset>55880</wp:posOffset>
            </wp:positionH>
            <wp:positionV relativeFrom="paragraph">
              <wp:posOffset>-92075</wp:posOffset>
            </wp:positionV>
            <wp:extent cx="6607175" cy="9340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07175" cy="934085"/>
                    </a:xfrm>
                    <a:prstGeom prst="rect">
                      <a:avLst/>
                    </a:prstGeom>
                    <a:noFill/>
                  </pic:spPr>
                </pic:pic>
              </a:graphicData>
            </a:graphic>
          </wp:anchor>
        </w:drawing>
      </w:r>
    </w:p>
    <w:p>
      <w:pPr>
        <w:spacing w:after="0" w:line="209" w:lineRule="exact"/>
        <w:rPr>
          <w:rFonts w:ascii="Times New Roman" w:cs="Times New Roman" w:eastAsia="Times New Roman" w:hAnsi="Times New Roman"/>
          <w:sz w:val="13"/>
          <w:szCs w:val="13"/>
          <w:b w:val="1"/>
          <w:bCs w:val="1"/>
          <w:color w:val="464646"/>
        </w:rPr>
      </w:pPr>
    </w:p>
    <w:tbl>
      <w:tblPr>
        <w:tblLayout w:type="fixed"/>
        <w:tblInd w:w="80" w:type="dxa"/>
        <w:tblCellMar>
          <w:top w:w="0" w:type="dxa"/>
          <w:left w:w="0" w:type="dxa"/>
          <w:bottom w:w="0" w:type="dxa"/>
          <w:right w:w="0" w:type="dxa"/>
        </w:tblCellMar>
      </w:tblPr>
      <w:tr>
        <w:trPr>
          <w:trHeight w:val="173"/>
        </w:trPr>
        <w:tc>
          <w:tcPr>
            <w:tcW w:w="35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3"/>
                <w:szCs w:val="13"/>
                <w:color w:val="464646"/>
              </w:rPr>
              <w:t>Robert E. Landry, Executive Vice President - CFO</w:t>
            </w:r>
          </w:p>
        </w:tc>
        <w:tc>
          <w:tcPr>
            <w:tcW w:w="1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4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3"/>
                <w:szCs w:val="13"/>
                <w:b w:val="1"/>
                <w:bCs w:val="1"/>
                <w:color w:val="464646"/>
              </w:rPr>
              <w:t>15.B. Contractor/Officer</w:t>
            </w:r>
          </w:p>
        </w:tc>
        <w:tc>
          <w:tcPr>
            <w:tcW w:w="14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464646"/>
              </w:rPr>
              <w:t>15C. Date Signed</w:t>
            </w:r>
          </w:p>
        </w:tc>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464646"/>
              </w:rPr>
              <w:t xml:space="preserve">16B. </w:t>
            </w:r>
            <w:r>
              <w:rPr>
                <w:rFonts w:ascii="Times New Roman" w:cs="Times New Roman" w:eastAsia="Times New Roman" w:hAnsi="Times New Roman"/>
                <w:sz w:val="13"/>
                <w:szCs w:val="13"/>
                <w:color w:val="464646"/>
              </w:rPr>
              <w:t>United States Of America</w:t>
            </w:r>
          </w:p>
        </w:tc>
        <w:tc>
          <w:tcPr>
            <w:tcW w:w="1180" w:type="dxa"/>
            <w:vAlign w:val="bottom"/>
            <w:tcBorders>
              <w:right w:val="single" w:sz="8" w:color="auto"/>
            </w:tcBorders>
          </w:tcPr>
          <w:p>
            <w:pPr>
              <w:spacing w:after="0"/>
              <w:rPr>
                <w:sz w:val="14"/>
                <w:szCs w:val="14"/>
                <w:color w:val="auto"/>
              </w:rPr>
            </w:pPr>
          </w:p>
        </w:tc>
        <w:tc>
          <w:tcPr>
            <w:tcW w:w="16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464646"/>
              </w:rPr>
              <w:t>16C. Date Signed</w:t>
            </w:r>
          </w:p>
        </w:tc>
        <w:tc>
          <w:tcPr>
            <w:tcW w:w="0" w:type="dxa"/>
            <w:vAlign w:val="bottom"/>
          </w:tcPr>
          <w:p>
            <w:pPr>
              <w:spacing w:after="0"/>
              <w:rPr>
                <w:sz w:val="1"/>
                <w:szCs w:val="1"/>
                <w:color w:val="auto"/>
              </w:rPr>
            </w:pPr>
          </w:p>
        </w:tc>
      </w:tr>
      <w:tr>
        <w:trPr>
          <w:trHeight w:val="318"/>
        </w:trPr>
        <w:tc>
          <w:tcPr>
            <w:tcW w:w="300" w:type="dxa"/>
            <w:vAlign w:val="bottom"/>
          </w:tcPr>
          <w:p>
            <w:pPr>
              <w:spacing w:after="0"/>
              <w:rPr>
                <w:sz w:val="24"/>
                <w:szCs w:val="24"/>
                <w:color w:val="auto"/>
              </w:rPr>
            </w:pPr>
          </w:p>
        </w:tc>
        <w:tc>
          <w:tcPr>
            <w:tcW w:w="32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464646"/>
              </w:rPr>
              <w:t>/s/ Robert E. Landry</w:t>
            </w: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464646"/>
              </w:rPr>
              <w:t>(</w:t>
            </w:r>
          </w:p>
        </w:tc>
        <w:tc>
          <w:tcPr>
            <w:tcW w:w="1500" w:type="dxa"/>
            <w:vAlign w:val="bottom"/>
          </w:tcPr>
          <w:p>
            <w:pPr>
              <w:spacing w:after="0"/>
              <w:rPr>
                <w:sz w:val="20"/>
                <w:szCs w:val="20"/>
                <w:color w:val="auto"/>
              </w:rPr>
            </w:pPr>
            <w:r>
              <w:rPr>
                <w:rFonts w:ascii="Times New Roman" w:cs="Times New Roman" w:eastAsia="Times New Roman" w:hAnsi="Times New Roman"/>
                <w:sz w:val="13"/>
                <w:szCs w:val="13"/>
                <w:color w:val="464646"/>
                <w:strike w:val="1"/>
              </w:rPr>
              <w:t>Signature of person authoriz</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464646"/>
              </w:rPr>
              <w:t>ed to sign)</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464646"/>
              </w:rPr>
              <w:t>6/16/21</w:t>
            </w:r>
          </w:p>
        </w:tc>
        <w:tc>
          <w:tcPr>
            <w:tcW w:w="2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color w:val="464646"/>
              </w:rPr>
              <w:t>By  /s/</w:t>
            </w:r>
          </w:p>
        </w:tc>
        <w:tc>
          <w:tcPr>
            <w:tcW w:w="1180" w:type="dxa"/>
            <w:vAlign w:val="bottom"/>
            <w:tcBorders>
              <w:right w:val="single" w:sz="8" w:color="auto"/>
            </w:tcBorders>
          </w:tcPr>
          <w:p>
            <w:pPr>
              <w:spacing w:after="0"/>
              <w:rPr>
                <w:sz w:val="15"/>
                <w:szCs w:val="15"/>
                <w:color w:val="auto"/>
              </w:rPr>
            </w:pP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464646"/>
              </w:rPr>
              <w:t>2021-JUN-17</w:t>
            </w: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740" w:type="dxa"/>
            <w:vAlign w:val="bottom"/>
            <w:tcBorders>
              <w:right w:val="single" w:sz="8" w:color="auto"/>
            </w:tcBorders>
          </w:tcPr>
          <w:p>
            <w:pPr>
              <w:spacing w:after="0"/>
              <w:rPr>
                <w:sz w:val="5"/>
                <w:szCs w:val="5"/>
                <w:color w:val="auto"/>
              </w:rPr>
            </w:pPr>
          </w:p>
        </w:tc>
        <w:tc>
          <w:tcPr>
            <w:tcW w:w="1420" w:type="dxa"/>
            <w:vAlign w:val="bottom"/>
            <w:vMerge w:val="continue"/>
          </w:tcPr>
          <w:p>
            <w:pPr>
              <w:spacing w:after="0"/>
              <w:rPr>
                <w:sz w:val="5"/>
                <w:szCs w:val="5"/>
                <w:color w:val="auto"/>
              </w:rPr>
            </w:pPr>
          </w:p>
        </w:tc>
        <w:tc>
          <w:tcPr>
            <w:tcW w:w="2680" w:type="dxa"/>
            <w:vAlign w:val="bottom"/>
            <w:gridSpan w:val="2"/>
            <w:vMerge w:val="continue"/>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464646"/>
                <w:strike w:val="1"/>
                <w:w w:val="97"/>
              </w:rPr>
              <w:t>(Signature of C</w:t>
            </w: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464646"/>
              </w:rPr>
              <w:t>ontracting Officer)</w:t>
            </w:r>
          </w:p>
        </w:tc>
        <w:tc>
          <w:tcPr>
            <w:tcW w:w="118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00" w:type="dxa"/>
            <w:vAlign w:val="bottom"/>
          </w:tcPr>
          <w:p>
            <w:pPr>
              <w:spacing w:after="0"/>
              <w:rPr>
                <w:sz w:val="11"/>
                <w:szCs w:val="11"/>
                <w:color w:val="auto"/>
              </w:rPr>
            </w:pPr>
          </w:p>
        </w:tc>
        <w:tc>
          <w:tcPr>
            <w:tcW w:w="32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464646"/>
              </w:rPr>
              <w:t xml:space="preserve">NSN </w:t>
            </w:r>
            <w:r>
              <w:rPr>
                <w:rFonts w:ascii="Times New Roman" w:cs="Times New Roman" w:eastAsia="Times New Roman" w:hAnsi="Times New Roman"/>
                <w:sz w:val="13"/>
                <w:szCs w:val="13"/>
                <w:b w:val="1"/>
                <w:bCs w:val="1"/>
                <w:color w:val="363636"/>
              </w:rPr>
              <w:t>7540-01-152-8070</w:t>
            </w:r>
          </w:p>
        </w:tc>
        <w:tc>
          <w:tcPr>
            <w:tcW w:w="1420" w:type="dxa"/>
            <w:vAlign w:val="bottom"/>
          </w:tcPr>
          <w:p>
            <w:pPr>
              <w:jc w:val="right"/>
              <w:ind w:right="513"/>
              <w:spacing w:after="0" w:line="128" w:lineRule="exact"/>
              <w:rPr>
                <w:sz w:val="20"/>
                <w:szCs w:val="20"/>
                <w:color w:val="auto"/>
              </w:rPr>
            </w:pPr>
            <w:r>
              <w:rPr>
                <w:rFonts w:ascii="Times New Roman" w:cs="Times New Roman" w:eastAsia="Times New Roman" w:hAnsi="Times New Roman"/>
                <w:sz w:val="13"/>
                <w:szCs w:val="13"/>
                <w:b w:val="1"/>
                <w:bCs w:val="1"/>
                <w:color w:val="464646"/>
              </w:rPr>
              <w:t>30-105-02</w:t>
            </w:r>
          </w:p>
        </w:tc>
        <w:tc>
          <w:tcPr>
            <w:tcW w:w="1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78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464646"/>
              </w:rPr>
              <w:t xml:space="preserve">STANDARD </w:t>
            </w:r>
            <w:r>
              <w:rPr>
                <w:rFonts w:ascii="Times New Roman" w:cs="Times New Roman" w:eastAsia="Times New Roman" w:hAnsi="Times New Roman"/>
                <w:sz w:val="13"/>
                <w:szCs w:val="13"/>
                <w:b w:val="1"/>
                <w:bCs w:val="1"/>
                <w:color w:val="363636"/>
              </w:rPr>
              <w:t>FORM 30</w:t>
            </w:r>
            <w:r>
              <w:rPr>
                <w:rFonts w:ascii="Times New Roman" w:cs="Times New Roman" w:eastAsia="Times New Roman" w:hAnsi="Times New Roman"/>
                <w:sz w:val="13"/>
                <w:szCs w:val="13"/>
                <w:b w:val="1"/>
                <w:bCs w:val="1"/>
                <w:color w:val="464646"/>
              </w:rPr>
              <w:t xml:space="preserve"> (REV.10-83)</w:t>
            </w: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363636"/>
              </w:rPr>
              <w:t xml:space="preserve">PREVIOUS </w:t>
            </w:r>
            <w:r>
              <w:rPr>
                <w:rFonts w:ascii="Times New Roman" w:cs="Times New Roman" w:eastAsia="Times New Roman" w:hAnsi="Times New Roman"/>
                <w:sz w:val="13"/>
                <w:szCs w:val="13"/>
                <w:b w:val="1"/>
                <w:bCs w:val="1"/>
                <w:color w:val="464646"/>
              </w:rPr>
              <w:t>EDITIONS UNUSABLE</w:t>
            </w:r>
          </w:p>
        </w:tc>
        <w:tc>
          <w:tcPr>
            <w:tcW w:w="1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363636"/>
              </w:rPr>
              <w:t>Prescribed by GSA FAR (48 CFR) 53.243</w:t>
            </w:r>
          </w:p>
        </w:tc>
        <w:tc>
          <w:tcPr>
            <w:tcW w:w="0" w:type="dxa"/>
            <w:vAlign w:val="bottom"/>
          </w:tcPr>
          <w:p>
            <w:pPr>
              <w:spacing w:after="0"/>
              <w:rPr>
                <w:sz w:val="1"/>
                <w:szCs w:val="1"/>
                <w:color w:val="auto"/>
              </w:rPr>
            </w:pPr>
          </w:p>
        </w:tc>
      </w:tr>
    </w:tbl>
    <w:p>
      <w:pPr>
        <w:sectPr>
          <w:pgSz w:w="11900" w:h="16838" w:orient="portrait"/>
          <w:cols w:equalWidth="0" w:num="1">
            <w:col w:w="11120"/>
          </w:cols>
          <w:pgMar w:left="440" w:top="104"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color w:val="auto"/>
        </w:rPr>
        <w:t>30-105-02</w:t>
      </w:r>
    </w:p>
    <w:p>
      <w:pPr>
        <w:spacing w:after="0" w:line="219" w:lineRule="auto"/>
        <w:rPr>
          <w:sz w:val="20"/>
          <w:szCs w:val="20"/>
          <w:color w:val="auto"/>
        </w:rPr>
      </w:pPr>
      <w:r>
        <w:rPr>
          <w:rFonts w:ascii="Times New Roman" w:cs="Times New Roman" w:eastAsia="Times New Roman" w:hAnsi="Times New Roman"/>
          <w:sz w:val="14"/>
          <w:szCs w:val="14"/>
          <w:b w:val="1"/>
          <w:bCs w:val="1"/>
          <w:color w:val="auto"/>
        </w:rPr>
        <w:t>STANDARD FORM 30 (REV. 10-83)</w:t>
      </w:r>
    </w:p>
    <w:p>
      <w:pPr>
        <w:ind w:left="2720"/>
        <w:spacing w:after="0"/>
        <w:rPr>
          <w:sz w:val="20"/>
          <w:szCs w:val="20"/>
          <w:color w:val="auto"/>
        </w:rPr>
      </w:pPr>
      <w:r>
        <w:rPr>
          <w:rFonts w:ascii="Times New Roman" w:cs="Times New Roman" w:eastAsia="Times New Roman" w:hAnsi="Times New Roman"/>
          <w:sz w:val="14"/>
          <w:szCs w:val="14"/>
          <w:b w:val="1"/>
          <w:bCs w:val="1"/>
          <w:color w:val="auto"/>
        </w:rPr>
        <w:t>Prescribed by GSA FAR</w:t>
      </w:r>
    </w:p>
    <w:p>
      <w:pPr>
        <w:ind w:left="2720"/>
        <w:spacing w:after="0"/>
        <w:rPr>
          <w:sz w:val="20"/>
          <w:szCs w:val="20"/>
          <w:color w:val="auto"/>
        </w:rPr>
      </w:pPr>
      <w:r>
        <w:rPr>
          <w:rFonts w:ascii="Times New Roman" w:cs="Times New Roman" w:eastAsia="Times New Roman" w:hAnsi="Times New Roman"/>
          <w:sz w:val="14"/>
          <w:szCs w:val="14"/>
          <w:b w:val="1"/>
          <w:bCs w:val="1"/>
          <w:color w:val="auto"/>
        </w:rPr>
        <w:t>(48 CFR) 53.243</w:t>
      </w:r>
    </w:p>
    <w:p>
      <w:pPr>
        <w:sectPr>
          <w:pgSz w:w="11900" w:h="16838" w:orient="portrait"/>
          <w:cols w:equalWidth="0" w:num="1">
            <w:col w:w="9939"/>
          </w:cols>
          <w:pgMar w:left="520" w:top="975" w:right="1440"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01"/>
        </w:trPr>
        <w:tc>
          <w:tcPr>
            <w:tcW w:w="3660" w:type="dxa"/>
            <w:vAlign w:val="bottom"/>
            <w:tcBorders>
              <w:top w:val="single" w:sz="8" w:color="auto"/>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20"/>
                <w:szCs w:val="20"/>
                <w:b w:val="1"/>
                <w:bCs w:val="1"/>
                <w:color w:val="auto"/>
              </w:rPr>
              <w:t>CONTINUATION SHEET</w:t>
            </w:r>
          </w:p>
        </w:tc>
        <w:tc>
          <w:tcPr>
            <w:tcW w:w="5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Page 3 of 9</w:t>
            </w:r>
          </w:p>
        </w:tc>
      </w:tr>
      <w:tr>
        <w:trPr>
          <w:trHeight w:val="134"/>
        </w:trPr>
        <w:tc>
          <w:tcPr>
            <w:tcW w:w="3660" w:type="dxa"/>
            <w:vAlign w:val="bottom"/>
            <w:tcBorders>
              <w:right w:val="single" w:sz="8" w:color="auto"/>
            </w:tcBorders>
          </w:tcPr>
          <w:p>
            <w:pPr>
              <w:spacing w:after="0"/>
              <w:rPr>
                <w:sz w:val="11"/>
                <w:szCs w:val="11"/>
                <w:color w:val="auto"/>
              </w:rPr>
            </w:pPr>
          </w:p>
        </w:tc>
        <w:tc>
          <w:tcPr>
            <w:tcW w:w="572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color w:val="auto"/>
              </w:rPr>
              <w:t>W15QKN-21-C-0014</w:t>
            </w:r>
          </w:p>
        </w:tc>
        <w:tc>
          <w:tcPr>
            <w:tcW w:w="1160" w:type="dxa"/>
            <w:vAlign w:val="bottom"/>
          </w:tcPr>
          <w:p>
            <w:pPr>
              <w:spacing w:after="0"/>
              <w:rPr>
                <w:sz w:val="11"/>
                <w:szCs w:val="11"/>
                <w:color w:val="auto"/>
              </w:rPr>
            </w:pPr>
          </w:p>
        </w:tc>
      </w:tr>
      <w:tr>
        <w:trPr>
          <w:trHeight w:val="212"/>
        </w:trPr>
        <w:tc>
          <w:tcPr>
            <w:tcW w:w="3660" w:type="dxa"/>
            <w:vAlign w:val="bottom"/>
            <w:tcBorders>
              <w:bottom w:val="single" w:sz="8" w:color="auto"/>
              <w:right w:val="single" w:sz="8" w:color="auto"/>
            </w:tcBorders>
          </w:tcPr>
          <w:p>
            <w:pPr>
              <w:spacing w:after="0"/>
              <w:rPr>
                <w:sz w:val="18"/>
                <w:szCs w:val="18"/>
                <w:color w:val="auto"/>
              </w:rPr>
            </w:pPr>
          </w:p>
        </w:tc>
        <w:tc>
          <w:tcPr>
            <w:tcW w:w="5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PIIN/SIIN MOD/AMD </w:t>
            </w:r>
            <w:r>
              <w:rPr>
                <w:rFonts w:ascii="Times New Roman" w:cs="Times New Roman" w:eastAsia="Times New Roman" w:hAnsi="Times New Roman"/>
                <w:sz w:val="16"/>
                <w:szCs w:val="16"/>
                <w:color w:val="auto"/>
              </w:rPr>
              <w:t>P00002</w:t>
            </w:r>
          </w:p>
        </w:tc>
        <w:tc>
          <w:tcPr>
            <w:tcW w:w="1160" w:type="dxa"/>
            <w:vAlign w:val="bottom"/>
            <w:tcBorders>
              <w:bottom w:val="single" w:sz="8" w:color="auto"/>
            </w:tcBorders>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16"/>
          <w:szCs w:val="16"/>
          <w:b w:val="1"/>
          <w:bCs w:val="1"/>
          <w:color w:val="auto"/>
        </w:rPr>
        <w:t>Name of Offeror or Contractor: 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66922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92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SECTION A - SUPPLEMENTAL INFORMATION</w:t>
      </w:r>
    </w:p>
    <w:p>
      <w:pPr>
        <w:spacing w:after="0" w:line="200" w:lineRule="exact"/>
        <w:rPr>
          <w:sz w:val="20"/>
          <w:szCs w:val="20"/>
          <w:color w:val="auto"/>
        </w:rPr>
      </w:pPr>
    </w:p>
    <w:p>
      <w:pPr>
        <w:spacing w:after="0" w:line="279"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Buyer Name:</w:t>
      </w:r>
    </w:p>
    <w:p>
      <w:pPr>
        <w:spacing w:after="0" w:line="73"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Buyer Office Symbol/Telephone Number: CCNJ-CA/</w:t>
      </w:r>
    </w:p>
    <w:p>
      <w:pPr>
        <w:spacing w:after="0" w:line="51"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Type of Contract 1: Firm Fixed Price</w:t>
      </w:r>
    </w:p>
    <w:p>
      <w:pPr>
        <w:spacing w:after="0" w:line="51"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Kind of Contract: Other</w:t>
      </w:r>
    </w:p>
    <w:p>
      <w:pPr>
        <w:spacing w:after="0" w:line="38"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Kind of Modification: G</w:t>
      </w:r>
    </w:p>
    <w:p>
      <w:pPr>
        <w:spacing w:after="0" w:line="51"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Type of Business: Large Business Performing in U.S.</w:t>
      </w:r>
    </w:p>
    <w:p>
      <w:pPr>
        <w:spacing w:after="0" w:line="38"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Surveillance Criticality Designator: A</w:t>
      </w:r>
    </w:p>
    <w:p>
      <w:pPr>
        <w:spacing w:after="0" w:line="25"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Contract Expiration Date: 2022JAN11</w:t>
      </w:r>
    </w:p>
    <w:p>
      <w:pPr>
        <w:spacing w:after="0" w:line="217"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Paying Office: HQ0490</w:t>
      </w:r>
    </w:p>
    <w:p>
      <w:pPr>
        <w:spacing w:after="0" w:line="73"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DFAS-INDY VP GFEBS 8899 E.</w:t>
      </w:r>
    </w:p>
    <w:p>
      <w:pPr>
        <w:spacing w:after="0" w:line="38"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56TH STREET</w:t>
      </w:r>
    </w:p>
    <w:p>
      <w:pPr>
        <w:spacing w:after="0" w:line="25"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INDIANAPOLIS IN 46249-3800</w:t>
      </w: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2"/>
          <w:szCs w:val="12"/>
          <w:color w:val="auto"/>
        </w:rPr>
        <w:t>*** End of Narrative A0000 ***</w:t>
      </w:r>
    </w:p>
    <w:p>
      <w:pPr>
        <w:spacing w:after="0" w:line="239"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The purpose of this modification is to:</w:t>
      </w:r>
    </w:p>
    <w:p>
      <w:pPr>
        <w:spacing w:after="0" w:line="225" w:lineRule="exact"/>
        <w:rPr>
          <w:sz w:val="20"/>
          <w:szCs w:val="20"/>
          <w:color w:val="auto"/>
        </w:rPr>
      </w:pPr>
    </w:p>
    <w:p>
      <w:pPr>
        <w:ind w:left="340" w:hanging="209"/>
        <w:spacing w:after="0"/>
        <w:tabs>
          <w:tab w:leader="none" w:pos="340" w:val="left"/>
        </w:tabs>
        <w:numPr>
          <w:ilvl w:val="0"/>
          <w:numId w:val="1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Update Section H "Special Contract Requirements" to include special clause 4 section entitled, "Donation of Excess Product."</w:t>
      </w:r>
    </w:p>
    <w:p>
      <w:pPr>
        <w:spacing w:after="0" w:line="238" w:lineRule="exact"/>
        <w:rPr>
          <w:rFonts w:ascii="Courier New" w:cs="Courier New" w:eastAsia="Courier New" w:hAnsi="Courier New"/>
          <w:sz w:val="12"/>
          <w:szCs w:val="12"/>
          <w:color w:val="auto"/>
        </w:rPr>
      </w:pPr>
    </w:p>
    <w:p>
      <w:pPr>
        <w:ind w:left="340" w:hanging="209"/>
        <w:spacing w:after="0"/>
        <w:tabs>
          <w:tab w:leader="none" w:pos="340" w:val="left"/>
        </w:tabs>
        <w:numPr>
          <w:ilvl w:val="0"/>
          <w:numId w:val="1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Update the Point of Contact information in Section A for the Contracting Officer and Contract Specialist.</w:t>
      </w:r>
    </w:p>
    <w:p>
      <w:pPr>
        <w:spacing w:after="0" w:line="251" w:lineRule="exact"/>
        <w:rPr>
          <w:rFonts w:ascii="Courier New" w:cs="Courier New" w:eastAsia="Courier New" w:hAnsi="Courier New"/>
          <w:sz w:val="12"/>
          <w:szCs w:val="12"/>
          <w:color w:val="auto"/>
        </w:rPr>
      </w:pPr>
    </w:p>
    <w:p>
      <w:pPr>
        <w:ind w:left="360" w:right="720" w:hanging="229"/>
        <w:spacing w:after="0" w:line="461" w:lineRule="auto"/>
        <w:tabs>
          <w:tab w:leader="none" w:pos="346" w:val="left"/>
        </w:tabs>
        <w:numPr>
          <w:ilvl w:val="0"/>
          <w:numId w:val="1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Update WAWF Clause 252.232-7006, reflecting a transfer of Purchase Office responsibility from W15QKN (ACC-NJ Picatinny) to W58P05 (ACC-APG COVID-19 Response Division).</w:t>
      </w:r>
    </w:p>
    <w:p>
      <w:pPr>
        <w:spacing w:after="0" w:line="66"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All other terms and conditions of this contract remain in full force and effect.</w:t>
      </w:r>
    </w:p>
    <w:p>
      <w:pPr>
        <w:spacing w:after="0" w:line="200" w:lineRule="exact"/>
        <w:rPr>
          <w:sz w:val="20"/>
          <w:szCs w:val="20"/>
          <w:color w:val="auto"/>
        </w:rPr>
      </w:pPr>
    </w:p>
    <w:p>
      <w:pPr>
        <w:spacing w:after="0" w:line="26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2"/>
          <w:szCs w:val="12"/>
          <w:color w:val="auto"/>
        </w:rPr>
        <w:t>*** END OF NARRATIVE A0003 ***</w:t>
      </w:r>
    </w:p>
    <w:p>
      <w:pPr>
        <w:spacing w:after="0" w:line="200" w:lineRule="exact"/>
        <w:rPr>
          <w:sz w:val="20"/>
          <w:szCs w:val="20"/>
          <w:color w:val="auto"/>
        </w:rPr>
      </w:pPr>
    </w:p>
    <w:p>
      <w:pPr>
        <w:spacing w:after="0" w:line="279"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Executive Summary</w:t>
      </w:r>
    </w:p>
    <w:p>
      <w:pPr>
        <w:spacing w:after="0" w:line="265" w:lineRule="exact"/>
        <w:rPr>
          <w:sz w:val="20"/>
          <w:szCs w:val="20"/>
          <w:color w:val="auto"/>
        </w:rPr>
      </w:pPr>
    </w:p>
    <w:p>
      <w:pPr>
        <w:ind w:left="140" w:hanging="8"/>
        <w:spacing w:after="0" w:line="366" w:lineRule="auto"/>
        <w:tabs>
          <w:tab w:leader="none" w:pos="645" w:val="left"/>
        </w:tabs>
        <w:numPr>
          <w:ilvl w:val="0"/>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Background: The Department of Health and Human Services (DHHS) continuously monitors emerging infectious disease risk and prepares to respond to the threat of novel emerging infectious disease outbreaks in the United States. DHHS is responding to an outbreak of respiratory disease caused by a novel coronavirus that was first detected in China, and which has now spread worldwide, including in the United States. The virus has been named SARS-CoV-2 and the disease it causes has been named Coronavirus Disease 2019 (abbreviated COVID- 19).</w:t>
      </w:r>
    </w:p>
    <w:p>
      <w:pPr>
        <w:spacing w:after="0" w:line="147" w:lineRule="exact"/>
        <w:rPr>
          <w:sz w:val="20"/>
          <w:szCs w:val="20"/>
          <w:color w:val="auto"/>
        </w:rPr>
      </w:pPr>
    </w:p>
    <w:p>
      <w:pPr>
        <w:ind w:left="140" w:right="280"/>
        <w:spacing w:after="0" w:line="366" w:lineRule="auto"/>
        <w:rPr>
          <w:sz w:val="20"/>
          <w:szCs w:val="20"/>
          <w:color w:val="auto"/>
        </w:rPr>
      </w:pPr>
      <w:r>
        <w:rPr>
          <w:rFonts w:ascii="Courier New" w:cs="Courier New" w:eastAsia="Courier New" w:hAnsi="Courier New"/>
          <w:sz w:val="12"/>
          <w:szCs w:val="12"/>
          <w:color w:val="auto"/>
        </w:rPr>
        <w:t>On January 30, 2020, the International Health Regulations Emergency Committee of the World Health Organization (WHO) declared the outbreak a Public Health Emergency of International Concern (PHEIC). On January 31, Health and Human Services Secretary Alex M. Azar II declared a Public Health Emergency (PHE) for the United States to aid the nations healthcare community in responding to COVID-19. On March 11, WHO publicly characterized COVID-19 as a pandemic. On March 13, the President of the United States declared the COVID-19 outbreak a national emergency.</w:t>
      </w:r>
    </w:p>
    <w:p>
      <w:pPr>
        <w:spacing w:after="0" w:line="147" w:lineRule="exact"/>
        <w:rPr>
          <w:sz w:val="20"/>
          <w:szCs w:val="20"/>
          <w:color w:val="auto"/>
        </w:rPr>
      </w:pPr>
    </w:p>
    <w:p>
      <w:pPr>
        <w:ind w:left="140" w:right="80"/>
        <w:spacing w:after="0" w:line="351" w:lineRule="auto"/>
        <w:rPr>
          <w:sz w:val="20"/>
          <w:szCs w:val="20"/>
          <w:color w:val="auto"/>
        </w:rPr>
      </w:pPr>
      <w:r>
        <w:rPr>
          <w:rFonts w:ascii="Courier New" w:cs="Courier New" w:eastAsia="Courier New" w:hAnsi="Courier New"/>
          <w:sz w:val="12"/>
          <w:szCs w:val="12"/>
          <w:color w:val="auto"/>
        </w:rPr>
        <w:t>In July 2020, the Department of Defense (DoD) awarded an Other Transaction Agreement under the authority 10 USC 2371b to Regeneron to manufacture and sell drug product to the Government, and to distribute such drug product for the Government in the U.S. These manufacturing production activities included manufacturing at-scale, filling and finishing, and storage and shipping of REGN10987 and REGN10933 as a therapeutic cocktail (casirivimab and imdevimab) to treat COVID-19 infected patients. On November 21, 2020, Regeneron announced that the antibody cocktail casirivimab and imdevimab administered together, received Emergency Use Authorization (EUA) from the U.S. Food and Drug Administration (FDA).</w:t>
      </w:r>
    </w:p>
    <w:p>
      <w:pPr>
        <w:spacing w:after="0" w:line="170" w:lineRule="exact"/>
        <w:rPr>
          <w:sz w:val="20"/>
          <w:szCs w:val="20"/>
          <w:color w:val="auto"/>
        </w:rPr>
      </w:pPr>
    </w:p>
    <w:p>
      <w:pPr>
        <w:ind w:left="140" w:right="140" w:hanging="8"/>
        <w:spacing w:after="0" w:line="325" w:lineRule="auto"/>
        <w:tabs>
          <w:tab w:leader="none" w:pos="645" w:val="left"/>
        </w:tabs>
        <w:numPr>
          <w:ilvl w:val="0"/>
          <w:numId w:val="1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Contract Description: The U.S Army Contracting Command - New Jersey (CCNJ), on behalf of the Joint Program Executive Office for Chemical, Biological, Radiological and Nuclear Defense (JPEO-CBRND) and the Biomedical Advanced Research and Development Authority (BARDA), will execute a contract for the procurement of up to 1,250,000 doses of the EUA authorized (or Biologics License Application (BLA) approved) casirivimab and imdevimab therapeutic, enough to treat much of the targeted US population currently or projected to be infected over the coming months. This contract award is a sole-source Firm Fixed Price (FFP) contract pursuant to FAR 6.302-2, "Unusual and Compelling Urgency," to Regeneron Pharmaceuticals, Inc., Tarrytown, New York. This action has a total FFP value of</w:t>
      </w:r>
    </w:p>
    <w:p>
      <w:pPr>
        <w:jc w:val="both"/>
        <w:ind w:left="140" w:right="100"/>
        <w:spacing w:after="0" w:line="37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$2,625,000,000.00. The price per dose is inclusive of storage, distribution, insurance and administration costs, costs associated with obtaining and maintaining regulatory authorization for the product (packaging, labeling, and informational materials), and Regeneron's manufacturing facilities. The period of performance for this contract is twelve (12) months, to include distribution of the product.</w:t>
      </w:r>
    </w:p>
    <w:p>
      <w:pPr>
        <w:sectPr>
          <w:pgSz w:w="11900" w:h="16838" w:orient="portrait"/>
          <w:cols w:equalWidth="0" w:num="1">
            <w:col w:w="11040"/>
          </w:cols>
          <w:pgMar w:left="320" w:top="146" w:right="5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01"/>
        </w:trPr>
        <w:tc>
          <w:tcPr>
            <w:tcW w:w="3660" w:type="dxa"/>
            <w:vAlign w:val="bottom"/>
            <w:tcBorders>
              <w:top w:val="single" w:sz="8" w:color="auto"/>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20"/>
                <w:szCs w:val="20"/>
                <w:b w:val="1"/>
                <w:bCs w:val="1"/>
                <w:color w:val="auto"/>
              </w:rPr>
              <w:t>CONTINUATION SHEET</w:t>
            </w:r>
          </w:p>
        </w:tc>
        <w:tc>
          <w:tcPr>
            <w:tcW w:w="5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Page 4 of 9</w:t>
            </w:r>
          </w:p>
        </w:tc>
      </w:tr>
      <w:tr>
        <w:trPr>
          <w:trHeight w:val="134"/>
        </w:trPr>
        <w:tc>
          <w:tcPr>
            <w:tcW w:w="3660" w:type="dxa"/>
            <w:vAlign w:val="bottom"/>
            <w:tcBorders>
              <w:right w:val="single" w:sz="8" w:color="auto"/>
            </w:tcBorders>
          </w:tcPr>
          <w:p>
            <w:pPr>
              <w:spacing w:after="0"/>
              <w:rPr>
                <w:sz w:val="11"/>
                <w:szCs w:val="11"/>
                <w:color w:val="auto"/>
              </w:rPr>
            </w:pPr>
          </w:p>
        </w:tc>
        <w:tc>
          <w:tcPr>
            <w:tcW w:w="572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color w:val="auto"/>
              </w:rPr>
              <w:t>W15QKN-21-C-0014</w:t>
            </w:r>
          </w:p>
        </w:tc>
        <w:tc>
          <w:tcPr>
            <w:tcW w:w="1160" w:type="dxa"/>
            <w:vAlign w:val="bottom"/>
          </w:tcPr>
          <w:p>
            <w:pPr>
              <w:spacing w:after="0"/>
              <w:rPr>
                <w:sz w:val="11"/>
                <w:szCs w:val="11"/>
                <w:color w:val="auto"/>
              </w:rPr>
            </w:pPr>
          </w:p>
        </w:tc>
      </w:tr>
      <w:tr>
        <w:trPr>
          <w:trHeight w:val="212"/>
        </w:trPr>
        <w:tc>
          <w:tcPr>
            <w:tcW w:w="3660" w:type="dxa"/>
            <w:vAlign w:val="bottom"/>
            <w:tcBorders>
              <w:bottom w:val="single" w:sz="8" w:color="auto"/>
              <w:right w:val="single" w:sz="8" w:color="auto"/>
            </w:tcBorders>
          </w:tcPr>
          <w:p>
            <w:pPr>
              <w:spacing w:after="0"/>
              <w:rPr>
                <w:sz w:val="18"/>
                <w:szCs w:val="18"/>
                <w:color w:val="auto"/>
              </w:rPr>
            </w:pPr>
          </w:p>
        </w:tc>
        <w:tc>
          <w:tcPr>
            <w:tcW w:w="5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PIIN/SIIN MOD/AMD </w:t>
            </w:r>
            <w:r>
              <w:rPr>
                <w:rFonts w:ascii="Times New Roman" w:cs="Times New Roman" w:eastAsia="Times New Roman" w:hAnsi="Times New Roman"/>
                <w:sz w:val="16"/>
                <w:szCs w:val="16"/>
                <w:color w:val="auto"/>
              </w:rPr>
              <w:t>P00002</w:t>
            </w:r>
          </w:p>
        </w:tc>
        <w:tc>
          <w:tcPr>
            <w:tcW w:w="1160" w:type="dxa"/>
            <w:vAlign w:val="bottom"/>
            <w:tcBorders>
              <w:bottom w:val="single" w:sz="8" w:color="auto"/>
            </w:tcBorders>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16"/>
          <w:szCs w:val="16"/>
          <w:b w:val="1"/>
          <w:bCs w:val="1"/>
          <w:color w:val="auto"/>
        </w:rPr>
        <w:t>Name of Offeror or Contractor: 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66922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92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40" w:right="140" w:hanging="8"/>
        <w:spacing w:after="0" w:line="461" w:lineRule="auto"/>
        <w:tabs>
          <w:tab w:leader="none" w:pos="645"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Representations and Certifications made by Regeneron in the System for Award Management (SAM) are hereby incorporated into this contract by reference.</w:t>
      </w:r>
    </w:p>
    <w:p>
      <w:pPr>
        <w:spacing w:after="0" w:line="92" w:lineRule="exact"/>
        <w:rPr>
          <w:rFonts w:ascii="Courier New" w:cs="Courier New" w:eastAsia="Courier New" w:hAnsi="Courier New"/>
          <w:sz w:val="12"/>
          <w:szCs w:val="12"/>
          <w:color w:val="auto"/>
        </w:rPr>
      </w:pPr>
    </w:p>
    <w:p>
      <w:pPr>
        <w:ind w:left="140" w:hanging="8"/>
        <w:spacing w:after="0" w:line="461" w:lineRule="auto"/>
        <w:tabs>
          <w:tab w:leader="none" w:pos="645"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Regeneron Draft Small Business Subcontracting Plan, dated 30 November 2020, is hereby incorporated into this contract by attachment. It is noted that this draft plan will be replaced by the plan that is ultimately approved by the United States Department of Veterans Affairs.</w:t>
      </w:r>
    </w:p>
    <w:p>
      <w:pPr>
        <w:spacing w:after="0" w:line="66" w:lineRule="exact"/>
        <w:rPr>
          <w:rFonts w:ascii="Courier New" w:cs="Courier New" w:eastAsia="Courier New" w:hAnsi="Courier New"/>
          <w:sz w:val="12"/>
          <w:szCs w:val="12"/>
          <w:color w:val="auto"/>
        </w:rPr>
      </w:pPr>
    </w:p>
    <w:p>
      <w:pPr>
        <w:ind w:left="340" w:hanging="209"/>
        <w:spacing w:after="0"/>
        <w:tabs>
          <w:tab w:leader="none" w:pos="340"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Contract Point of Contact:</w:t>
      </w:r>
    </w:p>
    <w:p>
      <w:pPr>
        <w:spacing w:after="0" w:line="225"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Name:</w:t>
      </w:r>
    </w:p>
    <w:p>
      <w:pPr>
        <w:spacing w:after="0" w:line="47"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Title:</w:t>
      </w:r>
    </w:p>
    <w:p>
      <w:pPr>
        <w:spacing w:after="0" w:line="52"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Email:</w:t>
      </w:r>
    </w:p>
    <w:p>
      <w:pPr>
        <w:spacing w:after="0" w:line="69"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Phone:</w:t>
      </w:r>
    </w:p>
    <w:p>
      <w:pPr>
        <w:spacing w:after="0" w:line="386"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Name:</w:t>
      </w:r>
    </w:p>
    <w:p>
      <w:pPr>
        <w:spacing w:after="0" w:line="73"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Title:</w:t>
      </w:r>
    </w:p>
    <w:p>
      <w:pPr>
        <w:spacing w:after="0" w:line="38"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Email:</w:t>
      </w:r>
    </w:p>
    <w:p>
      <w:pPr>
        <w:spacing w:after="0" w:line="51"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Phone:</w:t>
      </w:r>
    </w:p>
    <w:p>
      <w:pPr>
        <w:spacing w:after="0" w:line="337"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2"/>
          <w:szCs w:val="12"/>
          <w:color w:val="auto"/>
        </w:rPr>
        <w:t>*** END OF NARRATIVE A0001 ***</w:t>
      </w:r>
    </w:p>
    <w:p>
      <w:pPr>
        <w:sectPr>
          <w:pgSz w:w="11900" w:h="16838" w:orient="portrait"/>
          <w:cols w:equalWidth="0" w:num="1">
            <w:col w:w="10900"/>
          </w:cols>
          <w:pgMar w:left="320" w:top="146" w:right="67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01"/>
        </w:trPr>
        <w:tc>
          <w:tcPr>
            <w:tcW w:w="3660" w:type="dxa"/>
            <w:vAlign w:val="bottom"/>
            <w:tcBorders>
              <w:top w:val="single" w:sz="8" w:color="auto"/>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20"/>
                <w:szCs w:val="20"/>
                <w:b w:val="1"/>
                <w:bCs w:val="1"/>
                <w:color w:val="auto"/>
              </w:rPr>
              <w:t>CONTINUATION SHEET</w:t>
            </w:r>
          </w:p>
        </w:tc>
        <w:tc>
          <w:tcPr>
            <w:tcW w:w="5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Page 5 of 9</w:t>
            </w:r>
          </w:p>
        </w:tc>
      </w:tr>
      <w:tr>
        <w:trPr>
          <w:trHeight w:val="134"/>
        </w:trPr>
        <w:tc>
          <w:tcPr>
            <w:tcW w:w="3660" w:type="dxa"/>
            <w:vAlign w:val="bottom"/>
            <w:tcBorders>
              <w:right w:val="single" w:sz="8" w:color="auto"/>
            </w:tcBorders>
          </w:tcPr>
          <w:p>
            <w:pPr>
              <w:spacing w:after="0"/>
              <w:rPr>
                <w:sz w:val="11"/>
                <w:szCs w:val="11"/>
                <w:color w:val="auto"/>
              </w:rPr>
            </w:pPr>
          </w:p>
        </w:tc>
        <w:tc>
          <w:tcPr>
            <w:tcW w:w="572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color w:val="auto"/>
              </w:rPr>
              <w:t>W15QKN-21-C-0014</w:t>
            </w:r>
          </w:p>
        </w:tc>
        <w:tc>
          <w:tcPr>
            <w:tcW w:w="1160" w:type="dxa"/>
            <w:vAlign w:val="bottom"/>
          </w:tcPr>
          <w:p>
            <w:pPr>
              <w:spacing w:after="0"/>
              <w:rPr>
                <w:sz w:val="11"/>
                <w:szCs w:val="11"/>
                <w:color w:val="auto"/>
              </w:rPr>
            </w:pPr>
          </w:p>
        </w:tc>
      </w:tr>
      <w:tr>
        <w:trPr>
          <w:trHeight w:val="212"/>
        </w:trPr>
        <w:tc>
          <w:tcPr>
            <w:tcW w:w="3660" w:type="dxa"/>
            <w:vAlign w:val="bottom"/>
            <w:tcBorders>
              <w:bottom w:val="single" w:sz="8" w:color="auto"/>
              <w:right w:val="single" w:sz="8" w:color="auto"/>
            </w:tcBorders>
          </w:tcPr>
          <w:p>
            <w:pPr>
              <w:spacing w:after="0"/>
              <w:rPr>
                <w:sz w:val="18"/>
                <w:szCs w:val="18"/>
                <w:color w:val="auto"/>
              </w:rPr>
            </w:pPr>
          </w:p>
        </w:tc>
        <w:tc>
          <w:tcPr>
            <w:tcW w:w="5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PIIN/SIIN MOD/AMD </w:t>
            </w:r>
            <w:r>
              <w:rPr>
                <w:rFonts w:ascii="Times New Roman" w:cs="Times New Roman" w:eastAsia="Times New Roman" w:hAnsi="Times New Roman"/>
                <w:sz w:val="16"/>
                <w:szCs w:val="16"/>
                <w:color w:val="auto"/>
              </w:rPr>
              <w:t>P00002</w:t>
            </w:r>
          </w:p>
        </w:tc>
        <w:tc>
          <w:tcPr>
            <w:tcW w:w="1160" w:type="dxa"/>
            <w:vAlign w:val="bottom"/>
            <w:tcBorders>
              <w:bottom w:val="single" w:sz="8" w:color="auto"/>
            </w:tcBorders>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16"/>
          <w:szCs w:val="16"/>
          <w:b w:val="1"/>
          <w:bCs w:val="1"/>
          <w:color w:val="auto"/>
        </w:rPr>
        <w:t>Name of Offeror or Contractor: 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66922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92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3360" w:type="dxa"/>
            <w:vAlign w:val="bottom"/>
            <w:gridSpan w:val="5"/>
          </w:tcPr>
          <w:p>
            <w:pPr>
              <w:spacing w:after="0"/>
              <w:rPr>
                <w:sz w:val="20"/>
                <w:szCs w:val="20"/>
                <w:color w:val="auto"/>
              </w:rPr>
            </w:pPr>
            <w:r>
              <w:rPr>
                <w:rFonts w:ascii="Courier New" w:cs="Courier New" w:eastAsia="Courier New" w:hAnsi="Courier New"/>
                <w:sz w:val="12"/>
                <w:szCs w:val="12"/>
                <w:color w:val="auto"/>
              </w:rPr>
              <w:t>SECTION G - CONTRACT ADMINISTRATION DATA</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57"/>
        </w:trPr>
        <w:tc>
          <w:tcPr>
            <w:tcW w:w="10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Courier New" w:cs="Courier New" w:eastAsia="Courier New" w:hAnsi="Courier New"/>
                <w:sz w:val="12"/>
                <w:szCs w:val="12"/>
                <w:color w:val="auto"/>
              </w:rPr>
              <w:t>Status</w:t>
            </w:r>
          </w:p>
        </w:tc>
        <w:tc>
          <w:tcPr>
            <w:tcW w:w="1480" w:type="dxa"/>
            <w:vAlign w:val="bottom"/>
            <w:gridSpan w:val="2"/>
          </w:tcPr>
          <w:p>
            <w:pPr>
              <w:spacing w:after="0"/>
              <w:rPr>
                <w:sz w:val="20"/>
                <w:szCs w:val="20"/>
                <w:color w:val="auto"/>
              </w:rPr>
            </w:pPr>
            <w:r>
              <w:rPr>
                <w:rFonts w:ascii="Courier New" w:cs="Courier New" w:eastAsia="Courier New" w:hAnsi="Courier New"/>
                <w:sz w:val="12"/>
                <w:szCs w:val="12"/>
                <w:color w:val="auto"/>
              </w:rPr>
              <w:t>Regulatory Cite</w:t>
            </w:r>
          </w:p>
        </w:tc>
        <w:tc>
          <w:tcPr>
            <w:tcW w:w="68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Courier New" w:cs="Courier New" w:eastAsia="Courier New" w:hAnsi="Courier New"/>
                <w:sz w:val="12"/>
                <w:szCs w:val="12"/>
                <w:color w:val="auto"/>
              </w:rPr>
              <w:t>Title</w:t>
            </w:r>
          </w:p>
        </w:tc>
        <w:tc>
          <w:tcPr>
            <w:tcW w:w="64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Courier New" w:cs="Courier New" w:eastAsia="Courier New" w:hAnsi="Courier New"/>
                <w:sz w:val="12"/>
                <w:szCs w:val="12"/>
                <w:color w:val="auto"/>
                <w:w w:val="90"/>
              </w:rPr>
              <w:t>Date</w:t>
            </w:r>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305"/>
        </w:trPr>
        <w:tc>
          <w:tcPr>
            <w:tcW w:w="1880" w:type="dxa"/>
            <w:vAlign w:val="bottom"/>
            <w:gridSpan w:val="3"/>
          </w:tcPr>
          <w:p>
            <w:pPr>
              <w:ind w:left="600"/>
              <w:spacing w:after="0"/>
              <w:rPr>
                <w:sz w:val="20"/>
                <w:szCs w:val="20"/>
                <w:color w:val="auto"/>
              </w:rPr>
            </w:pPr>
            <w:r>
              <w:rPr>
                <w:rFonts w:ascii="Courier New" w:cs="Courier New" w:eastAsia="Courier New" w:hAnsi="Courier New"/>
                <w:sz w:val="12"/>
                <w:szCs w:val="12"/>
                <w:color w:val="auto"/>
              </w:rPr>
              <w:t>G-1 CHANGED</w:t>
            </w:r>
          </w:p>
        </w:tc>
        <w:tc>
          <w:tcPr>
            <w:tcW w:w="1080" w:type="dxa"/>
            <w:vAlign w:val="bottom"/>
          </w:tcPr>
          <w:p>
            <w:pPr>
              <w:spacing w:after="0"/>
              <w:rPr>
                <w:sz w:val="20"/>
                <w:szCs w:val="20"/>
                <w:color w:val="auto"/>
              </w:rPr>
            </w:pPr>
            <w:r>
              <w:rPr>
                <w:rFonts w:ascii="Courier New" w:cs="Courier New" w:eastAsia="Courier New" w:hAnsi="Courier New"/>
                <w:sz w:val="12"/>
                <w:szCs w:val="12"/>
                <w:color w:val="auto"/>
              </w:rPr>
              <w:t>252.232-7006</w:t>
            </w:r>
          </w:p>
        </w:tc>
        <w:tc>
          <w:tcPr>
            <w:tcW w:w="400" w:type="dxa"/>
            <w:vAlign w:val="bottom"/>
          </w:tcPr>
          <w:p>
            <w:pPr>
              <w:spacing w:after="0"/>
              <w:rPr>
                <w:sz w:val="24"/>
                <w:szCs w:val="24"/>
                <w:color w:val="auto"/>
              </w:rPr>
            </w:pPr>
          </w:p>
        </w:tc>
        <w:tc>
          <w:tcPr>
            <w:tcW w:w="3520" w:type="dxa"/>
            <w:vAlign w:val="bottom"/>
            <w:gridSpan w:val="3"/>
          </w:tcPr>
          <w:p>
            <w:pPr>
              <w:ind w:left="380"/>
              <w:spacing w:after="0"/>
              <w:rPr>
                <w:sz w:val="20"/>
                <w:szCs w:val="20"/>
                <w:color w:val="auto"/>
              </w:rPr>
            </w:pPr>
            <w:r>
              <w:rPr>
                <w:rFonts w:ascii="Courier New" w:cs="Courier New" w:eastAsia="Courier New" w:hAnsi="Courier New"/>
                <w:sz w:val="12"/>
                <w:szCs w:val="12"/>
                <w:color w:val="auto"/>
              </w:rPr>
              <w:t>WIDE AREA WORKFLOW PAYMENT INSTRUCTIONS</w:t>
            </w:r>
          </w:p>
        </w:tc>
        <w:tc>
          <w:tcPr>
            <w:tcW w:w="920" w:type="dxa"/>
            <w:vAlign w:val="bottom"/>
            <w:gridSpan w:val="2"/>
          </w:tcPr>
          <w:p>
            <w:pPr>
              <w:ind w:left="340"/>
              <w:spacing w:after="0"/>
              <w:rPr>
                <w:sz w:val="20"/>
                <w:szCs w:val="20"/>
                <w:color w:val="auto"/>
              </w:rPr>
            </w:pPr>
            <w:r>
              <w:rPr>
                <w:rFonts w:ascii="Courier New" w:cs="Courier New" w:eastAsia="Courier New" w:hAnsi="Courier New"/>
                <w:sz w:val="12"/>
                <w:szCs w:val="12"/>
                <w:color w:val="auto"/>
                <w:w w:val="97"/>
              </w:rPr>
              <w:t>DEC/2018</w:t>
            </w:r>
          </w:p>
        </w:tc>
      </w:tr>
    </w:tbl>
    <w:p>
      <w:pPr>
        <w:spacing w:after="0" w:line="272"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(a) Definitions. As used in this clause--</w:t>
      </w:r>
    </w:p>
    <w:p>
      <w:pPr>
        <w:spacing w:after="0" w:line="265"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"Department of Defense Activity Address Code (DoDAAC)" is a six position code that uniquely identifies a unit, activity, or organization.</w:t>
      </w:r>
    </w:p>
    <w:p>
      <w:pPr>
        <w:spacing w:after="0" w:line="265"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"Document type" means the type of payment request or receiving report available for creation in Wide Area WorkFlow (WAWF).</w:t>
      </w:r>
    </w:p>
    <w:p>
      <w:pPr>
        <w:spacing w:after="0" w:line="265" w:lineRule="exact"/>
        <w:rPr>
          <w:sz w:val="20"/>
          <w:szCs w:val="20"/>
          <w:color w:val="auto"/>
        </w:rPr>
      </w:pPr>
    </w:p>
    <w:p>
      <w:pPr>
        <w:ind w:left="140" w:right="360"/>
        <w:spacing w:after="0" w:line="437" w:lineRule="auto"/>
        <w:rPr>
          <w:sz w:val="20"/>
          <w:szCs w:val="20"/>
          <w:color w:val="auto"/>
        </w:rPr>
      </w:pPr>
      <w:r>
        <w:rPr>
          <w:rFonts w:ascii="Courier New" w:cs="Courier New" w:eastAsia="Courier New" w:hAnsi="Courier New"/>
          <w:sz w:val="12"/>
          <w:szCs w:val="12"/>
          <w:color w:val="auto"/>
        </w:rPr>
        <w:t>"Local Processing Office (LPO)" is the office responsible for payment certification when payment certification is done external to the entitlement system.</w:t>
      </w:r>
    </w:p>
    <w:p>
      <w:pPr>
        <w:spacing w:after="0" w:line="120" w:lineRule="exact"/>
        <w:rPr>
          <w:sz w:val="20"/>
          <w:szCs w:val="20"/>
          <w:color w:val="auto"/>
        </w:rPr>
      </w:pPr>
    </w:p>
    <w:p>
      <w:pPr>
        <w:ind w:left="140" w:right="860"/>
        <w:spacing w:after="0" w:line="437" w:lineRule="auto"/>
        <w:rPr>
          <w:sz w:val="20"/>
          <w:szCs w:val="20"/>
          <w:color w:val="auto"/>
        </w:rPr>
      </w:pPr>
      <w:r>
        <w:rPr>
          <w:rFonts w:ascii="Courier New" w:cs="Courier New" w:eastAsia="Courier New" w:hAnsi="Courier New"/>
          <w:sz w:val="12"/>
          <w:szCs w:val="12"/>
          <w:color w:val="auto"/>
        </w:rPr>
        <w:t>"Payment request" and "receiving report" are defined in the clause at 252.232-7003, Electronic Submission of Payment Requests and Receiving Reports.</w:t>
      </w:r>
    </w:p>
    <w:p>
      <w:pPr>
        <w:spacing w:after="0" w:line="107" w:lineRule="exact"/>
        <w:rPr>
          <w:sz w:val="20"/>
          <w:szCs w:val="20"/>
          <w:color w:val="auto"/>
        </w:rPr>
      </w:pPr>
    </w:p>
    <w:p>
      <w:pPr>
        <w:jc w:val="both"/>
        <w:ind w:left="140" w:right="100" w:hanging="8"/>
        <w:spacing w:after="0" w:line="395" w:lineRule="auto"/>
        <w:tabs>
          <w:tab w:leader="none" w:pos="637" w:val="left"/>
        </w:tabs>
        <w:numPr>
          <w:ilvl w:val="0"/>
          <w:numId w:val="1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Electronic invoicing. The WAWF system provides the method to electronically process vendor payment requests and receiving reports, as authorized by Defense Federal Acquisition Regulation Supplement (DFARS) 252.232-7003, Electronic Submission of Payment Requests and Receiving Reports.</w:t>
      </w:r>
    </w:p>
    <w:p>
      <w:pPr>
        <w:spacing w:after="0" w:line="104" w:lineRule="exact"/>
        <w:rPr>
          <w:rFonts w:ascii="Courier New" w:cs="Courier New" w:eastAsia="Courier New" w:hAnsi="Courier New"/>
          <w:sz w:val="12"/>
          <w:szCs w:val="12"/>
          <w:color w:val="auto"/>
        </w:rPr>
      </w:pPr>
    </w:p>
    <w:p>
      <w:pPr>
        <w:ind w:left="420" w:hanging="289"/>
        <w:spacing w:after="0"/>
        <w:tabs>
          <w:tab w:leader="none" w:pos="420" w:val="left"/>
        </w:tabs>
        <w:numPr>
          <w:ilvl w:val="0"/>
          <w:numId w:val="1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WAWF access. To access WAWF, the Contractor shall--</w:t>
      </w:r>
    </w:p>
    <w:p>
      <w:pPr>
        <w:spacing w:after="0" w:line="225"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260" w:type="dxa"/>
            <w:vAlign w:val="bottom"/>
          </w:tcPr>
          <w:p>
            <w:pPr>
              <w:jc w:val="right"/>
              <w:spacing w:after="0"/>
              <w:rPr>
                <w:sz w:val="20"/>
                <w:szCs w:val="20"/>
                <w:color w:val="auto"/>
              </w:rPr>
            </w:pPr>
            <w:r>
              <w:rPr>
                <w:rFonts w:ascii="Courier New" w:cs="Courier New" w:eastAsia="Courier New" w:hAnsi="Courier New"/>
                <w:sz w:val="12"/>
                <w:szCs w:val="12"/>
                <w:color w:val="auto"/>
                <w:w w:val="92"/>
              </w:rPr>
              <w:t>(1)</w:t>
            </w:r>
          </w:p>
        </w:tc>
        <w:tc>
          <w:tcPr>
            <w:tcW w:w="826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Have a designated electronic business point of contact in the System for Award Management at https://www.sam.gov</w:t>
            </w:r>
          </w:p>
        </w:tc>
        <w:tc>
          <w:tcPr>
            <w:tcW w:w="1940" w:type="dxa"/>
            <w:vAlign w:val="bottom"/>
          </w:tcPr>
          <w:p>
            <w:pPr>
              <w:ind w:left="140"/>
              <w:spacing w:after="0"/>
              <w:rPr>
                <w:sz w:val="20"/>
                <w:szCs w:val="20"/>
                <w:color w:val="auto"/>
              </w:rPr>
            </w:pPr>
            <w:r>
              <w:rPr>
                <w:rFonts w:ascii="Courier New" w:cs="Courier New" w:eastAsia="Courier New" w:hAnsi="Courier New"/>
                <w:sz w:val="12"/>
                <w:szCs w:val="12"/>
                <w:color w:val="auto"/>
              </w:rPr>
              <w:t>; and</w:t>
            </w:r>
          </w:p>
        </w:tc>
      </w:tr>
      <w:tr>
        <w:trPr>
          <w:trHeight w:val="401"/>
        </w:trPr>
        <w:tc>
          <w:tcPr>
            <w:tcW w:w="260" w:type="dxa"/>
            <w:vAlign w:val="bottom"/>
          </w:tcPr>
          <w:p>
            <w:pPr>
              <w:jc w:val="right"/>
              <w:spacing w:after="0"/>
              <w:rPr>
                <w:sz w:val="20"/>
                <w:szCs w:val="20"/>
                <w:color w:val="auto"/>
              </w:rPr>
            </w:pPr>
            <w:r>
              <w:rPr>
                <w:rFonts w:ascii="Courier New" w:cs="Courier New" w:eastAsia="Courier New" w:hAnsi="Courier New"/>
                <w:sz w:val="12"/>
                <w:szCs w:val="12"/>
                <w:color w:val="auto"/>
                <w:w w:val="92"/>
              </w:rPr>
              <w:t>(2)</w:t>
            </w:r>
          </w:p>
        </w:tc>
        <w:tc>
          <w:tcPr>
            <w:tcW w:w="3780" w:type="dxa"/>
            <w:vAlign w:val="bottom"/>
          </w:tcPr>
          <w:p>
            <w:pPr>
              <w:ind w:left="100"/>
              <w:spacing w:after="0"/>
              <w:rPr>
                <w:sz w:val="20"/>
                <w:szCs w:val="20"/>
                <w:color w:val="auto"/>
              </w:rPr>
            </w:pPr>
            <w:r>
              <w:rPr>
                <w:rFonts w:ascii="Courier New" w:cs="Courier New" w:eastAsia="Courier New" w:hAnsi="Courier New"/>
                <w:sz w:val="12"/>
                <w:szCs w:val="12"/>
                <w:color w:val="auto"/>
              </w:rPr>
              <w:t>Be registered to use WAWF at https://wawf.eb.mil/</w:t>
            </w:r>
          </w:p>
        </w:tc>
        <w:tc>
          <w:tcPr>
            <w:tcW w:w="64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9"/>
              </w:rPr>
              <w:t>following the step-by-step procedures for self-registration available at this Web site.</w:t>
            </w:r>
          </w:p>
        </w:tc>
      </w:tr>
    </w:tbl>
    <w:p>
      <w:pPr>
        <w:spacing w:after="0" w:line="218" w:lineRule="exact"/>
        <w:rPr>
          <w:sz w:val="20"/>
          <w:szCs w:val="20"/>
          <w:color w:val="auto"/>
        </w:rPr>
      </w:pPr>
    </w:p>
    <w:p>
      <w:pPr>
        <w:ind w:left="140" w:right="520" w:hanging="8"/>
        <w:spacing w:after="0" w:line="338" w:lineRule="auto"/>
        <w:tabs>
          <w:tab w:leader="none" w:pos="637" w:val="left"/>
        </w:tabs>
        <w:numPr>
          <w:ilvl w:val="0"/>
          <w:numId w:val="1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WAWF training. The Contractor should follow the training instructions of the WAWF Web-Based Training Course and use the Practice Training Site before submitting payment requests through WAWF. Both can be accessed by selecting the "Web Based Training" link on the WAWF home page at</w:t>
      </w:r>
    </w:p>
    <w:p>
      <w:pPr>
        <w:ind w:left="1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https://wawf.eb.mil/.</w:t>
      </w:r>
    </w:p>
    <w:p>
      <w:pPr>
        <w:spacing w:after="0" w:line="270" w:lineRule="exact"/>
        <w:rPr>
          <w:rFonts w:ascii="Courier New" w:cs="Courier New" w:eastAsia="Courier New" w:hAnsi="Courier New"/>
          <w:sz w:val="12"/>
          <w:szCs w:val="12"/>
          <w:color w:val="auto"/>
        </w:rPr>
      </w:pPr>
    </w:p>
    <w:p>
      <w:pPr>
        <w:ind w:left="620" w:hanging="488"/>
        <w:spacing w:after="0"/>
        <w:tabs>
          <w:tab w:leader="none" w:pos="620" w:val="left"/>
        </w:tabs>
        <w:numPr>
          <w:ilvl w:val="0"/>
          <w:numId w:val="1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WAWF methods of document submission. Document submissions may be via Web entry, Electronic Data Interchange, or File Transfer Protocol.</w:t>
      </w:r>
    </w:p>
    <w:p>
      <w:pPr>
        <w:spacing w:after="0" w:line="292" w:lineRule="exact"/>
        <w:rPr>
          <w:rFonts w:ascii="Courier New" w:cs="Courier New" w:eastAsia="Courier New" w:hAnsi="Courier New"/>
          <w:sz w:val="12"/>
          <w:szCs w:val="12"/>
          <w:color w:val="auto"/>
        </w:rPr>
      </w:pPr>
    </w:p>
    <w:p>
      <w:pPr>
        <w:ind w:left="140" w:hanging="8"/>
        <w:spacing w:after="0" w:line="461" w:lineRule="auto"/>
        <w:tabs>
          <w:tab w:leader="none" w:pos="637" w:val="left"/>
        </w:tabs>
        <w:numPr>
          <w:ilvl w:val="0"/>
          <w:numId w:val="1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WAWF payment instructions. The Contractor shall use the following information when submitting payment requests and receiving reports in WAWF for this contract or task or delivery order:</w:t>
      </w:r>
    </w:p>
    <w:p>
      <w:pPr>
        <w:spacing w:after="0" w:line="66" w:lineRule="exact"/>
        <w:rPr>
          <w:rFonts w:ascii="Courier New" w:cs="Courier New" w:eastAsia="Courier New" w:hAnsi="Courier New"/>
          <w:sz w:val="12"/>
          <w:szCs w:val="12"/>
          <w:color w:val="auto"/>
        </w:rPr>
      </w:pPr>
    </w:p>
    <w:p>
      <w:pPr>
        <w:ind w:left="560" w:hanging="279"/>
        <w:spacing w:after="0"/>
        <w:tabs>
          <w:tab w:leader="none" w:pos="560" w:val="left"/>
        </w:tabs>
        <w:numPr>
          <w:ilvl w:val="1"/>
          <w:numId w:val="1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Document type. The Contractor shall submit payment requests using the following document type(s):</w:t>
      </w:r>
    </w:p>
    <w:p>
      <w:pPr>
        <w:spacing w:after="0" w:line="238" w:lineRule="exact"/>
        <w:rPr>
          <w:rFonts w:ascii="Courier New" w:cs="Courier New" w:eastAsia="Courier New" w:hAnsi="Courier New"/>
          <w:sz w:val="12"/>
          <w:szCs w:val="12"/>
          <w:color w:val="auto"/>
        </w:rPr>
      </w:pPr>
    </w:p>
    <w:p>
      <w:pPr>
        <w:ind w:left="720" w:hanging="289"/>
        <w:spacing w:after="0"/>
        <w:tabs>
          <w:tab w:leader="none" w:pos="720" w:val="left"/>
        </w:tabs>
        <w:numPr>
          <w:ilvl w:val="2"/>
          <w:numId w:val="1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cost-type line items, including labor-hour or time-and-materials, submit a cost voucher.</w:t>
      </w:r>
    </w:p>
    <w:p>
      <w:pPr>
        <w:spacing w:after="0" w:line="225" w:lineRule="exact"/>
        <w:rPr>
          <w:rFonts w:ascii="Courier New" w:cs="Courier New" w:eastAsia="Courier New" w:hAnsi="Courier New"/>
          <w:sz w:val="12"/>
          <w:szCs w:val="12"/>
          <w:color w:val="auto"/>
        </w:rPr>
      </w:pPr>
    </w:p>
    <w:p>
      <w:pPr>
        <w:ind w:left="780" w:hanging="350"/>
        <w:spacing w:after="0"/>
        <w:tabs>
          <w:tab w:leader="none" w:pos="780" w:val="left"/>
        </w:tabs>
        <w:numPr>
          <w:ilvl w:val="2"/>
          <w:numId w:val="1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fixed price line items--</w:t>
      </w:r>
    </w:p>
    <w:p>
      <w:pPr>
        <w:spacing w:after="0" w:line="239" w:lineRule="exact"/>
        <w:rPr>
          <w:sz w:val="20"/>
          <w:szCs w:val="20"/>
          <w:color w:val="auto"/>
        </w:rPr>
      </w:pPr>
    </w:p>
    <w:p>
      <w:pPr>
        <w:ind w:left="140" w:right="1720" w:firstLine="440"/>
        <w:spacing w:after="0" w:line="672" w:lineRule="auto"/>
        <w:tabs>
          <w:tab w:leader="none" w:pos="872" w:val="left"/>
        </w:tabs>
        <w:numPr>
          <w:ilvl w:val="0"/>
          <w:numId w:val="1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That require shipment of a deliverable, submit the invoice and receiving report specified by the Contracting Officer. Invoice (Contractor Only)</w:t>
      </w:r>
    </w:p>
    <w:p>
      <w:pPr>
        <w:spacing w:after="0" w:line="1" w:lineRule="exact"/>
        <w:rPr>
          <w:rFonts w:ascii="Courier New" w:cs="Courier New" w:eastAsia="Courier New" w:hAnsi="Courier New"/>
          <w:sz w:val="12"/>
          <w:szCs w:val="12"/>
          <w:color w:val="auto"/>
        </w:rPr>
      </w:pPr>
    </w:p>
    <w:p>
      <w:pPr>
        <w:ind w:left="140" w:right="360" w:firstLine="441"/>
        <w:spacing w:after="0" w:line="461" w:lineRule="auto"/>
        <w:tabs>
          <w:tab w:leader="none" w:pos="1287" w:val="left"/>
        </w:tabs>
        <w:numPr>
          <w:ilvl w:val="0"/>
          <w:numId w:val="1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services that do not require shipment of a deliverable, submit either the Invoice 2-in-1, which meets the requirements for the invoice and receiving report, or the applicable invoice and receiving report, as specified by the Contracting Officer.</w:t>
      </w:r>
    </w:p>
    <w:p>
      <w:pPr>
        <w:spacing w:after="0" w:line="66"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Invoice as 2-in-1</w:t>
      </w:r>
    </w:p>
    <w:p>
      <w:pPr>
        <w:spacing w:after="0" w:line="225" w:lineRule="exact"/>
        <w:rPr>
          <w:sz w:val="20"/>
          <w:szCs w:val="20"/>
          <w:color w:val="auto"/>
        </w:rPr>
      </w:pPr>
    </w:p>
    <w:p>
      <w:pPr>
        <w:ind w:left="860" w:hanging="429"/>
        <w:spacing w:after="0"/>
        <w:tabs>
          <w:tab w:leader="none" w:pos="860" w:val="left"/>
        </w:tabs>
        <w:numPr>
          <w:ilvl w:val="1"/>
          <w:numId w:val="1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customary progress payments based on costs incurred, submit a progress payment request.</w:t>
      </w:r>
    </w:p>
    <w:p>
      <w:pPr>
        <w:spacing w:after="0" w:line="238" w:lineRule="exact"/>
        <w:rPr>
          <w:rFonts w:ascii="Courier New" w:cs="Courier New" w:eastAsia="Courier New" w:hAnsi="Courier New"/>
          <w:sz w:val="12"/>
          <w:szCs w:val="12"/>
          <w:color w:val="auto"/>
        </w:rPr>
      </w:pPr>
    </w:p>
    <w:p>
      <w:pPr>
        <w:ind w:left="780" w:hanging="350"/>
        <w:spacing w:after="0"/>
        <w:tabs>
          <w:tab w:leader="none" w:pos="780" w:val="left"/>
        </w:tabs>
        <w:numPr>
          <w:ilvl w:val="1"/>
          <w:numId w:val="1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performance based payments, submit a performance based payment request.</w:t>
      </w:r>
    </w:p>
    <w:p>
      <w:pPr>
        <w:spacing w:after="0" w:line="225" w:lineRule="exact"/>
        <w:rPr>
          <w:rFonts w:ascii="Courier New" w:cs="Courier New" w:eastAsia="Courier New" w:hAnsi="Courier New"/>
          <w:sz w:val="12"/>
          <w:szCs w:val="12"/>
          <w:color w:val="auto"/>
        </w:rPr>
      </w:pPr>
    </w:p>
    <w:p>
      <w:pPr>
        <w:ind w:left="720" w:hanging="289"/>
        <w:spacing w:after="0"/>
        <w:tabs>
          <w:tab w:leader="none" w:pos="720" w:val="left"/>
        </w:tabs>
        <w:numPr>
          <w:ilvl w:val="1"/>
          <w:numId w:val="1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commercial item financing, submit a commercial item financing request.</w:t>
      </w:r>
    </w:p>
    <w:p>
      <w:pPr>
        <w:spacing w:after="0" w:line="238" w:lineRule="exact"/>
        <w:rPr>
          <w:rFonts w:ascii="Courier New" w:cs="Courier New" w:eastAsia="Courier New" w:hAnsi="Courier New"/>
          <w:sz w:val="12"/>
          <w:szCs w:val="12"/>
          <w:color w:val="auto"/>
        </w:rPr>
      </w:pPr>
    </w:p>
    <w:p>
      <w:pPr>
        <w:ind w:left="540" w:hanging="292"/>
        <w:spacing w:after="0"/>
        <w:tabs>
          <w:tab w:leader="none" w:pos="540" w:val="left"/>
        </w:tabs>
        <w:numPr>
          <w:ilvl w:val="0"/>
          <w:numId w:val="1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Fast Pay requests are only permitted when Federal Acquisition Regulation (FAR) 52.213-1 is included in the contract.</w:t>
      </w:r>
    </w:p>
    <w:p>
      <w:pPr>
        <w:sectPr>
          <w:pgSz w:w="11900" w:h="16838" w:orient="portrait"/>
          <w:cols w:equalWidth="0" w:num="1">
            <w:col w:w="11040"/>
          </w:cols>
          <w:pgMar w:left="320" w:top="146" w:right="539" w:bottom="1440" w:gutter="0" w:footer="0" w:header="0"/>
        </w:sectPr>
      </w:pPr>
    </w:p>
    <w:p>
      <w:pPr>
        <w:spacing w:after="0" w:line="239"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[Note: The Contractor may use a WAWF "combo" document type to create some Combinations of invoice and receiving report in one step.]</w:t>
      </w:r>
    </w:p>
    <w:p>
      <w:pPr>
        <w:sectPr>
          <w:pgSz w:w="11900" w:h="16838" w:orient="portrait"/>
          <w:cols w:equalWidth="0" w:num="1">
            <w:col w:w="11040"/>
          </w:cols>
          <w:pgMar w:left="320" w:top="146" w:right="539" w:bottom="1440" w:gutter="0" w:footer="0" w:header="0"/>
          <w:type w:val="continuous"/>
        </w:sectPr>
      </w:pPr>
    </w:p>
    <w:bookmarkStart w:id="162" w:name="page163"/>
    <w:bookmarkEnd w:id="162"/>
    <w:tbl>
      <w:tblPr>
        <w:tblLayout w:type="fixed"/>
        <w:tblInd w:w="0" w:type="dxa"/>
        <w:tblCellMar>
          <w:top w:w="0" w:type="dxa"/>
          <w:left w:w="0" w:type="dxa"/>
          <w:bottom w:w="0" w:type="dxa"/>
          <w:right w:w="0" w:type="dxa"/>
        </w:tblCellMar>
      </w:tblPr>
      <w:tr>
        <w:trPr>
          <w:trHeight w:val="201"/>
        </w:trPr>
        <w:tc>
          <w:tcPr>
            <w:tcW w:w="3660" w:type="dxa"/>
            <w:vAlign w:val="bottom"/>
            <w:tcBorders>
              <w:top w:val="single" w:sz="8" w:color="auto"/>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20"/>
                <w:szCs w:val="20"/>
                <w:b w:val="1"/>
                <w:bCs w:val="1"/>
                <w:color w:val="auto"/>
              </w:rPr>
              <w:t>CONTINUATION SHEET</w:t>
            </w:r>
          </w:p>
        </w:tc>
        <w:tc>
          <w:tcPr>
            <w:tcW w:w="5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Page 6 of 9</w:t>
            </w:r>
          </w:p>
        </w:tc>
      </w:tr>
      <w:tr>
        <w:trPr>
          <w:trHeight w:val="134"/>
        </w:trPr>
        <w:tc>
          <w:tcPr>
            <w:tcW w:w="3660" w:type="dxa"/>
            <w:vAlign w:val="bottom"/>
            <w:tcBorders>
              <w:right w:val="single" w:sz="8" w:color="auto"/>
            </w:tcBorders>
          </w:tcPr>
          <w:p>
            <w:pPr>
              <w:spacing w:after="0"/>
              <w:rPr>
                <w:sz w:val="11"/>
                <w:szCs w:val="11"/>
                <w:color w:val="auto"/>
              </w:rPr>
            </w:pPr>
          </w:p>
        </w:tc>
        <w:tc>
          <w:tcPr>
            <w:tcW w:w="572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color w:val="auto"/>
              </w:rPr>
              <w:t>W15QKN-21-C-0014</w:t>
            </w:r>
          </w:p>
        </w:tc>
        <w:tc>
          <w:tcPr>
            <w:tcW w:w="1160" w:type="dxa"/>
            <w:vAlign w:val="bottom"/>
          </w:tcPr>
          <w:p>
            <w:pPr>
              <w:spacing w:after="0"/>
              <w:rPr>
                <w:sz w:val="11"/>
                <w:szCs w:val="11"/>
                <w:color w:val="auto"/>
              </w:rPr>
            </w:pPr>
          </w:p>
        </w:tc>
      </w:tr>
      <w:tr>
        <w:trPr>
          <w:trHeight w:val="212"/>
        </w:trPr>
        <w:tc>
          <w:tcPr>
            <w:tcW w:w="3660" w:type="dxa"/>
            <w:vAlign w:val="bottom"/>
            <w:tcBorders>
              <w:bottom w:val="single" w:sz="8" w:color="auto"/>
              <w:right w:val="single" w:sz="8" w:color="auto"/>
            </w:tcBorders>
          </w:tcPr>
          <w:p>
            <w:pPr>
              <w:spacing w:after="0"/>
              <w:rPr>
                <w:sz w:val="18"/>
                <w:szCs w:val="18"/>
                <w:color w:val="auto"/>
              </w:rPr>
            </w:pPr>
          </w:p>
        </w:tc>
        <w:tc>
          <w:tcPr>
            <w:tcW w:w="5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PIIN/SIIN MOD/AMD </w:t>
            </w:r>
            <w:r>
              <w:rPr>
                <w:rFonts w:ascii="Times New Roman" w:cs="Times New Roman" w:eastAsia="Times New Roman" w:hAnsi="Times New Roman"/>
                <w:sz w:val="16"/>
                <w:szCs w:val="16"/>
                <w:color w:val="auto"/>
              </w:rPr>
              <w:t>P00002</w:t>
            </w:r>
          </w:p>
        </w:tc>
        <w:tc>
          <w:tcPr>
            <w:tcW w:w="1160" w:type="dxa"/>
            <w:vAlign w:val="bottom"/>
            <w:tcBorders>
              <w:bottom w:val="single" w:sz="8" w:color="auto"/>
            </w:tcBorders>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16"/>
          <w:szCs w:val="16"/>
          <w:b w:val="1"/>
          <w:bCs w:val="1"/>
          <w:color w:val="auto"/>
        </w:rPr>
        <w:t>Name of Offeror or Contractor: 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66922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92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60" w:firstLine="167"/>
        <w:spacing w:after="0" w:line="461" w:lineRule="auto"/>
        <w:tabs>
          <w:tab w:leader="none" w:pos="449"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Document routing. The Contractor shall use the information in the Routing Data Table below only to fill in applicable fields in WAWF when creating payment requests and receiving reports in the system.</w:t>
      </w:r>
    </w:p>
    <w:p>
      <w:pPr>
        <w:spacing w:after="0" w:line="360" w:lineRule="exact"/>
        <w:rPr>
          <w:sz w:val="20"/>
          <w:szCs w:val="20"/>
          <w:color w:val="auto"/>
        </w:rPr>
      </w:pPr>
    </w:p>
    <w:p>
      <w:pPr>
        <w:ind w:left="1800"/>
        <w:spacing w:after="0"/>
        <w:rPr>
          <w:sz w:val="20"/>
          <w:szCs w:val="20"/>
          <w:color w:val="auto"/>
        </w:rPr>
      </w:pPr>
      <w:r>
        <w:rPr>
          <w:rFonts w:ascii="Courier New" w:cs="Courier New" w:eastAsia="Courier New" w:hAnsi="Courier New"/>
          <w:sz w:val="12"/>
          <w:szCs w:val="12"/>
          <w:color w:val="464646"/>
        </w:rPr>
        <w:t>Routing Data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3184525" cy="336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84525" cy="33655"/>
                    </a:xfrm>
                    <a:prstGeom prst="rect">
                      <a:avLst/>
                    </a:prstGeom>
                    <a:noFill/>
                  </pic:spPr>
                </pic:pic>
              </a:graphicData>
            </a:graphic>
          </wp:anchor>
        </w:drawing>
      </w:r>
    </w:p>
    <w:p>
      <w:pPr>
        <w:sectPr>
          <w:pgSz w:w="11900" w:h="16838" w:orient="portrait"/>
          <w:cols w:equalWidth="0" w:num="1">
            <w:col w:w="10720"/>
          </w:cols>
          <w:pgMar w:left="320" w:top="146" w:right="85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464646"/>
        </w:rPr>
        <w:t>Field Name in WAWF</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464646"/>
        </w:rPr>
        <w:t>Data to be entered in WAWF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10795</wp:posOffset>
            </wp:positionV>
            <wp:extent cx="3660140" cy="336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60140" cy="3365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2960" w:space="720"/>
            <w:col w:w="7040"/>
          </w:cols>
          <w:pgMar w:left="320" w:top="146" w:right="85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3"/>
          <w:szCs w:val="13"/>
          <w:color w:val="464646"/>
        </w:rPr>
        <w:t>Pay Official DoDAAC</w:t>
      </w:r>
    </w:p>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464646"/>
        </w:rPr>
        <w:t>Issue By DoDAAC</w:t>
      </w:r>
    </w:p>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464646"/>
        </w:rPr>
        <w:t>Admin DoDAAC</w:t>
      </w:r>
    </w:p>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464646"/>
        </w:rPr>
        <w:t>Inspect By DoDAAC</w:t>
      </w:r>
    </w:p>
    <w:p>
      <w:pPr>
        <w:spacing w:after="0" w:line="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464646"/>
        </w:rPr>
        <w:t>Ship To Code</w:t>
      </w:r>
    </w:p>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464646"/>
        </w:rPr>
        <w:t>Ship From Code</w:t>
      </w:r>
    </w:p>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464646"/>
        </w:rPr>
        <w:t>Mark For Code</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464646"/>
        </w:rPr>
        <w:t>Service Approver (DoDAAC)</w:t>
      </w:r>
    </w:p>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464646"/>
        </w:rPr>
        <w:t>Service Acceptor (DoDAAC)</w:t>
      </w:r>
    </w:p>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464646"/>
        </w:rPr>
        <w:t>Accept at Other DoDAAC</w:t>
      </w:r>
    </w:p>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464646"/>
        </w:rPr>
        <w:t>LPO DoDAAC</w:t>
      </w:r>
    </w:p>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464646"/>
        </w:rPr>
        <w:t>DCAA Auditor DoDAAC</w:t>
      </w:r>
    </w:p>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464646"/>
        </w:rPr>
        <w:t>Other DoDAAC(s)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464646"/>
        </w:rPr>
        <w:t>HQ0490</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464646"/>
        </w:rPr>
        <w:t>W58P05</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464646"/>
        </w:rPr>
        <w:t>W58P05</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464646"/>
        </w:rPr>
        <w:t>TBD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464646"/>
        </w:rPr>
        <w:t>W90ZQ2</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464646"/>
        </w:rPr>
        <w:t>TBD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464646"/>
        </w:rPr>
        <w:t>TBD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464646"/>
        </w:rPr>
        <w:t>N/A</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464646"/>
        </w:rPr>
        <w:t>N/A</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464646"/>
        </w:rPr>
        <w:t>N/A</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464646"/>
        </w:rPr>
        <w:t>N/A</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464646"/>
        </w:rPr>
        <w:t>N/A</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464646"/>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-1929130</wp:posOffset>
            </wp:positionH>
            <wp:positionV relativeFrom="paragraph">
              <wp:posOffset>10795</wp:posOffset>
            </wp:positionV>
            <wp:extent cx="3660140" cy="336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60140" cy="33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720"/>
            <w:col w:w="7560"/>
          </w:cols>
          <w:pgMar w:left="320" w:top="146" w:right="859" w:bottom="1440" w:gutter="0" w:footer="0" w:header="0"/>
          <w:type w:val="continuous"/>
        </w:sectPr>
      </w:pPr>
    </w:p>
    <w:p>
      <w:pPr>
        <w:spacing w:after="0" w:line="286" w:lineRule="exact"/>
        <w:rPr>
          <w:sz w:val="20"/>
          <w:szCs w:val="20"/>
          <w:color w:val="auto"/>
        </w:rPr>
      </w:pPr>
    </w:p>
    <w:p>
      <w:pPr>
        <w:ind w:firstLine="167"/>
        <w:spacing w:after="0" w:line="461" w:lineRule="auto"/>
        <w:tabs>
          <w:tab w:leader="none" w:pos="449" w:val="left"/>
        </w:tabs>
        <w:numPr>
          <w:ilvl w:val="2"/>
          <w:numId w:val="1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 request. The Contractor shall ensure a payment request includes documentation appropriate to the type of payment request in accordance with the payment clause, contract financing clause, or Federal Acquisition Regulation 52.216-7, Allowable Cost and Payment, as applicable.</w:t>
      </w:r>
    </w:p>
    <w:p>
      <w:pPr>
        <w:spacing w:after="0" w:line="66" w:lineRule="exact"/>
        <w:rPr>
          <w:rFonts w:ascii="Courier New" w:cs="Courier New" w:eastAsia="Courier New" w:hAnsi="Courier New"/>
          <w:sz w:val="12"/>
          <w:szCs w:val="12"/>
          <w:color w:val="auto"/>
        </w:rPr>
      </w:pPr>
    </w:p>
    <w:p>
      <w:pPr>
        <w:ind w:left="400" w:hanging="292"/>
        <w:spacing w:after="0"/>
        <w:tabs>
          <w:tab w:leader="none" w:pos="400" w:val="left"/>
        </w:tabs>
        <w:numPr>
          <w:ilvl w:val="1"/>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Receiving report. The Contractor shall ensure a receiving report meets the requirements of DFARS Appendix F.</w:t>
      </w:r>
    </w:p>
    <w:p>
      <w:pPr>
        <w:spacing w:after="0" w:line="238" w:lineRule="exact"/>
        <w:rPr>
          <w:rFonts w:ascii="Courier New" w:cs="Courier New" w:eastAsia="Courier New" w:hAnsi="Courier New"/>
          <w:sz w:val="12"/>
          <w:szCs w:val="12"/>
          <w:color w:val="auto"/>
        </w:rPr>
      </w:pPr>
    </w:p>
    <w:p>
      <w:pPr>
        <w:ind w:left="320" w:hanging="293"/>
        <w:spacing w:after="0"/>
        <w:tabs>
          <w:tab w:leader="none" w:pos="320" w:val="left"/>
        </w:tabs>
        <w:numPr>
          <w:ilvl w:val="0"/>
          <w:numId w:val="1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WAWF point of contact.</w:t>
      </w:r>
    </w:p>
    <w:p>
      <w:pPr>
        <w:spacing w:after="0" w:line="251" w:lineRule="exact"/>
        <w:rPr>
          <w:rFonts w:ascii="Courier New" w:cs="Courier New" w:eastAsia="Courier New" w:hAnsi="Courier New"/>
          <w:sz w:val="12"/>
          <w:szCs w:val="12"/>
          <w:color w:val="auto"/>
        </w:rPr>
      </w:pPr>
    </w:p>
    <w:p>
      <w:pPr>
        <w:ind w:left="640" w:hanging="359"/>
        <w:spacing w:after="0"/>
        <w:tabs>
          <w:tab w:leader="none" w:pos="640" w:val="left"/>
        </w:tabs>
        <w:numPr>
          <w:ilvl w:val="3"/>
          <w:numId w:val="1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Contractor may obtain clarification regarding invoicing in WAWF from the following contracting activity's WAWF point of contact.</w:t>
      </w:r>
    </w:p>
    <w:p>
      <w:pPr>
        <w:spacing w:after="0" w:line="265"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u w:val="single" w:color="auto"/>
          <w:color w:val="auto"/>
        </w:rPr>
        <w:t>Sean Doyle</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sean.a.doyle4.civ@mail.mil</w:t>
      </w:r>
    </w:p>
    <w:p>
      <w:pPr>
        <w:spacing w:after="0" w:line="332" w:lineRule="exact"/>
        <w:rPr>
          <w:sz w:val="20"/>
          <w:szCs w:val="20"/>
          <w:color w:val="auto"/>
        </w:rPr>
      </w:pPr>
    </w:p>
    <w:p>
      <w:pPr>
        <w:ind w:left="280"/>
        <w:spacing w:after="0"/>
        <w:rPr>
          <w:sz w:val="20"/>
          <w:szCs w:val="20"/>
          <w:color w:val="auto"/>
        </w:rPr>
      </w:pPr>
      <w:r>
        <w:rPr>
          <w:rFonts w:ascii="Courier New" w:cs="Courier New" w:eastAsia="Courier New" w:hAnsi="Courier New"/>
          <w:sz w:val="12"/>
          <w:szCs w:val="12"/>
          <w:color w:val="auto"/>
        </w:rPr>
        <w:t>(2) Contact the WAWF helpdesk at , if assistance is needed.</w:t>
      </w:r>
    </w:p>
    <w:p>
      <w:pPr>
        <w:spacing w:after="0" w:line="225" w:lineRule="exact"/>
        <w:rPr>
          <w:sz w:val="20"/>
          <w:szCs w:val="20"/>
          <w:color w:val="auto"/>
        </w:rPr>
      </w:pPr>
    </w:p>
    <w:p>
      <w:pPr>
        <w:ind w:left="5080"/>
        <w:spacing w:after="0"/>
        <w:rPr>
          <w:sz w:val="20"/>
          <w:szCs w:val="20"/>
          <w:color w:val="auto"/>
        </w:rPr>
      </w:pPr>
      <w:r>
        <w:rPr>
          <w:rFonts w:ascii="Courier New" w:cs="Courier New" w:eastAsia="Courier New" w:hAnsi="Courier New"/>
          <w:sz w:val="12"/>
          <w:szCs w:val="12"/>
          <w:color w:val="auto"/>
        </w:rPr>
        <w:t>(End of clause)</w:t>
      </w:r>
    </w:p>
    <w:p>
      <w:pPr>
        <w:sectPr>
          <w:pgSz w:w="11900" w:h="16838" w:orient="portrait"/>
          <w:cols w:equalWidth="0" w:num="1">
            <w:col w:w="10720"/>
          </w:cols>
          <w:pgMar w:left="320" w:top="146" w:right="859" w:bottom="1440" w:gutter="0" w:footer="0" w:header="0"/>
          <w:type w:val="continuous"/>
        </w:sectPr>
      </w:pPr>
    </w:p>
    <w:bookmarkStart w:id="163" w:name="page164"/>
    <w:bookmarkEnd w:id="163"/>
    <w:tbl>
      <w:tblPr>
        <w:tblLayout w:type="fixed"/>
        <w:tblInd w:w="0" w:type="dxa"/>
        <w:tblCellMar>
          <w:top w:w="0" w:type="dxa"/>
          <w:left w:w="0" w:type="dxa"/>
          <w:bottom w:w="0" w:type="dxa"/>
          <w:right w:w="0" w:type="dxa"/>
        </w:tblCellMar>
      </w:tblPr>
      <w:tr>
        <w:trPr>
          <w:trHeight w:val="201"/>
        </w:trPr>
        <w:tc>
          <w:tcPr>
            <w:tcW w:w="3660" w:type="dxa"/>
            <w:vAlign w:val="bottom"/>
            <w:tcBorders>
              <w:top w:val="single" w:sz="8" w:color="auto"/>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20"/>
                <w:szCs w:val="20"/>
                <w:b w:val="1"/>
                <w:bCs w:val="1"/>
                <w:color w:val="auto"/>
              </w:rPr>
              <w:t>CONTINUATION SHEET</w:t>
            </w:r>
          </w:p>
        </w:tc>
        <w:tc>
          <w:tcPr>
            <w:tcW w:w="5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Page 7 of 9</w:t>
            </w:r>
          </w:p>
        </w:tc>
      </w:tr>
      <w:tr>
        <w:trPr>
          <w:trHeight w:val="134"/>
        </w:trPr>
        <w:tc>
          <w:tcPr>
            <w:tcW w:w="3660" w:type="dxa"/>
            <w:vAlign w:val="bottom"/>
            <w:tcBorders>
              <w:right w:val="single" w:sz="8" w:color="auto"/>
            </w:tcBorders>
          </w:tcPr>
          <w:p>
            <w:pPr>
              <w:spacing w:after="0"/>
              <w:rPr>
                <w:sz w:val="11"/>
                <w:szCs w:val="11"/>
                <w:color w:val="auto"/>
              </w:rPr>
            </w:pPr>
          </w:p>
        </w:tc>
        <w:tc>
          <w:tcPr>
            <w:tcW w:w="572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color w:val="auto"/>
              </w:rPr>
              <w:t>W15QKN-21-C-0014</w:t>
            </w:r>
          </w:p>
        </w:tc>
        <w:tc>
          <w:tcPr>
            <w:tcW w:w="1160" w:type="dxa"/>
            <w:vAlign w:val="bottom"/>
          </w:tcPr>
          <w:p>
            <w:pPr>
              <w:spacing w:after="0"/>
              <w:rPr>
                <w:sz w:val="11"/>
                <w:szCs w:val="11"/>
                <w:color w:val="auto"/>
              </w:rPr>
            </w:pPr>
          </w:p>
        </w:tc>
      </w:tr>
      <w:tr>
        <w:trPr>
          <w:trHeight w:val="212"/>
        </w:trPr>
        <w:tc>
          <w:tcPr>
            <w:tcW w:w="3660" w:type="dxa"/>
            <w:vAlign w:val="bottom"/>
            <w:tcBorders>
              <w:bottom w:val="single" w:sz="8" w:color="auto"/>
              <w:right w:val="single" w:sz="8" w:color="auto"/>
            </w:tcBorders>
          </w:tcPr>
          <w:p>
            <w:pPr>
              <w:spacing w:after="0"/>
              <w:rPr>
                <w:sz w:val="18"/>
                <w:szCs w:val="18"/>
                <w:color w:val="auto"/>
              </w:rPr>
            </w:pPr>
          </w:p>
        </w:tc>
        <w:tc>
          <w:tcPr>
            <w:tcW w:w="5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PIIN/SIIN MOD/AMD </w:t>
            </w:r>
            <w:r>
              <w:rPr>
                <w:rFonts w:ascii="Times New Roman" w:cs="Times New Roman" w:eastAsia="Times New Roman" w:hAnsi="Times New Roman"/>
                <w:sz w:val="16"/>
                <w:szCs w:val="16"/>
                <w:color w:val="auto"/>
              </w:rPr>
              <w:t>P00002</w:t>
            </w:r>
          </w:p>
        </w:tc>
        <w:tc>
          <w:tcPr>
            <w:tcW w:w="1160" w:type="dxa"/>
            <w:vAlign w:val="bottom"/>
            <w:tcBorders>
              <w:bottom w:val="single" w:sz="8" w:color="auto"/>
            </w:tcBorders>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16"/>
          <w:szCs w:val="16"/>
          <w:b w:val="1"/>
          <w:bCs w:val="1"/>
          <w:color w:val="auto"/>
        </w:rPr>
        <w:t>Name of Offeror or Contractor: 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66922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92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SECTION H - SPECIAL CONTRACT REQUIREMENTS</w:t>
      </w:r>
    </w:p>
    <w:p>
      <w:pPr>
        <w:spacing w:after="0" w:line="265"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As this is a commercial contract, any special requirements contained in this section and throughout the contract, are incorporated by addendum.</w:t>
      </w:r>
    </w:p>
    <w:p>
      <w:pPr>
        <w:spacing w:after="0" w:line="265" w:lineRule="exact"/>
        <w:rPr>
          <w:sz w:val="20"/>
          <w:szCs w:val="20"/>
          <w:color w:val="auto"/>
        </w:rPr>
      </w:pPr>
    </w:p>
    <w:p>
      <w:pPr>
        <w:ind w:left="140" w:right="9300" w:hanging="9"/>
        <w:spacing w:after="0" w:line="672" w:lineRule="auto"/>
        <w:tabs>
          <w:tab w:leader="none" w:pos="351" w:val="left"/>
        </w:tabs>
        <w:numPr>
          <w:ilvl w:val="0"/>
          <w:numId w:val="1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OWS REQUIRED CLAUSE I. Key Personnel</w:t>
      </w:r>
    </w:p>
    <w:p>
      <w:pPr>
        <w:spacing w:after="0" w:line="1" w:lineRule="exact"/>
        <w:rPr>
          <w:sz w:val="20"/>
          <w:szCs w:val="20"/>
          <w:color w:val="auto"/>
        </w:rPr>
      </w:pPr>
    </w:p>
    <w:p>
      <w:pPr>
        <w:ind w:left="140" w:right="60"/>
        <w:spacing w:after="0" w:line="339" w:lineRule="auto"/>
        <w:rPr>
          <w:sz w:val="20"/>
          <w:szCs w:val="20"/>
          <w:color w:val="auto"/>
        </w:rPr>
      </w:pPr>
      <w:r>
        <w:rPr>
          <w:rFonts w:ascii="Courier New" w:cs="Courier New" w:eastAsia="Courier New" w:hAnsi="Courier New"/>
          <w:sz w:val="12"/>
          <w:szCs w:val="12"/>
          <w:color w:val="auto"/>
        </w:rPr>
        <w:t>Any key personnel specified in this contract are considered to be essential to work performance. At least [* * *] prior to the Contractor voluntarily diverting any of the specified individuals to other programs or contracts, the Contractor shall notify the CO and shall submit a justification for the diversion or replacement and a request to replace the individual. The request must identify the proposed replacement and provide an explanation of how the replacement's skills, experience, and credentials meet or exceed the requirements of the contract (including, when applicable, Human Subjects Testing requirements). If the employee of the Contractor is terminated for cause or separates from the Contractor voluntarily with less than [* * *], the Contractor shall provide the maximum notice practicable under the circumstances. The Contractor shall not divert, replace, or announce any such change to key personnel without the written consent of the CO. The contract will be modified to add or delete key personnel as necessary to reflect the agreement of the parties. The following individuals are determined to be key personnel:</w:t>
      </w:r>
    </w:p>
    <w:p>
      <w:pPr>
        <w:spacing w:after="0" w:line="136"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Reference Regeneron's Technical Proposal dated 29 December 2020, Section 2.3.1.1, Program Management, for a listing of key personnel</w:t>
      </w:r>
    </w:p>
    <w:p>
      <w:pPr>
        <w:spacing w:after="0" w:line="239"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II. Substitution of Key Personnel</w:t>
      </w:r>
    </w:p>
    <w:p>
      <w:pPr>
        <w:spacing w:after="0" w:line="265" w:lineRule="exact"/>
        <w:rPr>
          <w:sz w:val="20"/>
          <w:szCs w:val="20"/>
          <w:color w:val="auto"/>
        </w:rPr>
      </w:pPr>
    </w:p>
    <w:p>
      <w:pPr>
        <w:ind w:left="140" w:right="620"/>
        <w:spacing w:after="0" w:line="437" w:lineRule="auto"/>
        <w:rPr>
          <w:sz w:val="20"/>
          <w:szCs w:val="20"/>
          <w:color w:val="auto"/>
        </w:rPr>
      </w:pPr>
      <w:r>
        <w:rPr>
          <w:rFonts w:ascii="Courier New" w:cs="Courier New" w:eastAsia="Courier New" w:hAnsi="Courier New"/>
          <w:sz w:val="12"/>
          <w:szCs w:val="12"/>
          <w:color w:val="auto"/>
        </w:rPr>
        <w:t>The Contractor agrees to assign to the contract those persons whose resumes/CVs were submitted with the proposal who are necessary to fill the requirements of the contract. No substitutions shall be made, except in accordance with this clause.</w:t>
      </w:r>
    </w:p>
    <w:p>
      <w:pPr>
        <w:spacing w:after="0" w:line="107" w:lineRule="exact"/>
        <w:rPr>
          <w:sz w:val="20"/>
          <w:szCs w:val="20"/>
          <w:color w:val="auto"/>
        </w:rPr>
      </w:pPr>
    </w:p>
    <w:p>
      <w:pPr>
        <w:ind w:left="140" w:right="120"/>
        <w:spacing w:after="0" w:line="366" w:lineRule="auto"/>
        <w:rPr>
          <w:sz w:val="20"/>
          <w:szCs w:val="20"/>
          <w:color w:val="auto"/>
        </w:rPr>
      </w:pPr>
      <w:r>
        <w:rPr>
          <w:rFonts w:ascii="Courier New" w:cs="Courier New" w:eastAsia="Courier New" w:hAnsi="Courier New"/>
          <w:sz w:val="12"/>
          <w:szCs w:val="12"/>
          <w:color w:val="auto"/>
        </w:rPr>
        <w:t>All requests for substitution must provide a detailed explanation of the circumstance necessitating the proposed substitution, a complete resume for the proposed substitute and any other information requested by the CO to approve or disapprove the proposed substitution. All proposed substitutes must have qualifications that are equal to or higher than the qualifications of the person to be replaced. The CO or authorized representative (TPOC) will evaluate such requests and promptly notify the Contractor of his approval or disapproval thereof.</w:t>
      </w:r>
    </w:p>
    <w:p>
      <w:pPr>
        <w:spacing w:after="0" w:line="120"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The Contractor further agrees to include the substance of this clause in any subcontract, which may be awarded under this contract.</w:t>
      </w:r>
    </w:p>
    <w:p>
      <w:pPr>
        <w:spacing w:after="0" w:line="239"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III. Disclosure of Information</w:t>
      </w:r>
    </w:p>
    <w:p>
      <w:pPr>
        <w:spacing w:after="0" w:line="265" w:lineRule="exact"/>
        <w:rPr>
          <w:sz w:val="20"/>
          <w:szCs w:val="20"/>
          <w:color w:val="auto"/>
        </w:rPr>
      </w:pPr>
    </w:p>
    <w:p>
      <w:pPr>
        <w:ind w:left="140" w:right="120"/>
        <w:spacing w:after="0" w:line="347" w:lineRule="auto"/>
        <w:rPr>
          <w:sz w:val="20"/>
          <w:szCs w:val="20"/>
          <w:color w:val="auto"/>
        </w:rPr>
      </w:pPr>
      <w:r>
        <w:rPr>
          <w:rFonts w:ascii="Courier New" w:cs="Courier New" w:eastAsia="Courier New" w:hAnsi="Courier New"/>
          <w:sz w:val="12"/>
          <w:szCs w:val="12"/>
          <w:color w:val="auto"/>
        </w:rPr>
        <w:t>Performance under this contract may require the Contractor to access non-public data and information proprietary to a Government agency, another Government Contractor or of such nature that its dissemination or use other than as specified in the work statement would be adverse to the interests of the Government or others. Neither the Contractor, nor Contractor personnel, shall divulge nor release data nor information obtained under performance of this contract, except authorized by Government personnel or upon written approval of the CO in accordance with OWS or other Government policies and/or guidance. The Contractor shall not use, disclose, or reproduce proprietary data that bears a restrictive legend, other than as specified in this contract, or any information at all regarding this agency.</w:t>
      </w:r>
    </w:p>
    <w:p>
      <w:pPr>
        <w:spacing w:after="0" w:line="158" w:lineRule="exact"/>
        <w:rPr>
          <w:sz w:val="20"/>
          <w:szCs w:val="20"/>
          <w:color w:val="auto"/>
        </w:rPr>
      </w:pPr>
    </w:p>
    <w:p>
      <w:pPr>
        <w:ind w:left="140" w:right="340"/>
        <w:spacing w:after="0" w:line="351" w:lineRule="auto"/>
        <w:rPr>
          <w:sz w:val="20"/>
          <w:szCs w:val="20"/>
          <w:color w:val="auto"/>
        </w:rPr>
      </w:pPr>
      <w:r>
        <w:rPr>
          <w:rFonts w:ascii="Courier New" w:cs="Courier New" w:eastAsia="Courier New" w:hAnsi="Courier New"/>
          <w:sz w:val="12"/>
          <w:szCs w:val="12"/>
          <w:color w:val="auto"/>
        </w:rPr>
        <w:t>The Contractor shall comply with all Government requirements for protection of non-public information. Unauthorized disclosure of nonpublic information is prohibited by the Governments rules. Unauthorized disclosure may result in termination of the contract, replacement of a Contractor employee, or other appropriate redress. Neither the Contractor nor the Contractors employees shall disclose or cause to be disseminated, any information concerning the operations of the activity, which could result in, or increase the likelihood of, the possibility of a breach of the activitys security or interrupt the continuity of its operations.</w:t>
      </w:r>
    </w:p>
    <w:p>
      <w:pPr>
        <w:spacing w:after="0" w:line="170" w:lineRule="exact"/>
        <w:rPr>
          <w:sz w:val="20"/>
          <w:szCs w:val="20"/>
          <w:color w:val="auto"/>
        </w:rPr>
      </w:pPr>
    </w:p>
    <w:p>
      <w:pPr>
        <w:ind w:left="140" w:right="200"/>
        <w:spacing w:after="0" w:line="347" w:lineRule="auto"/>
        <w:rPr>
          <w:sz w:val="20"/>
          <w:szCs w:val="20"/>
          <w:color w:val="auto"/>
        </w:rPr>
      </w:pPr>
      <w:r>
        <w:rPr>
          <w:rFonts w:ascii="Courier New" w:cs="Courier New" w:eastAsia="Courier New" w:hAnsi="Courier New"/>
          <w:sz w:val="12"/>
          <w:szCs w:val="12"/>
          <w:color w:val="auto"/>
        </w:rPr>
        <w:t>No information related to data obtained from the Government under this contract shall be released or publicized without the prior written consent of the TPOC, whose approval shall not be unreasonably withheld, conditioned, or delayed, provided that no such consent is required to comply with any law, rule, regulation, court ruling or similar order; for submission to any Government entity for submission to any securities exchange on which the Contractors (or its parent corporations) securities may be listed for trading; or to third parties relating to securing, seeking, establishing or maintaining regulatory or other legal approvals or compliance, financing and capital raising activities, or mergers, acquisitions, or other business transactions.</w:t>
      </w:r>
    </w:p>
    <w:p>
      <w:pPr>
        <w:spacing w:after="0" w:line="131"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IV. Publications and Publicity</w:t>
      </w:r>
    </w:p>
    <w:p>
      <w:pPr>
        <w:spacing w:after="0" w:line="252" w:lineRule="exact"/>
        <w:rPr>
          <w:sz w:val="20"/>
          <w:szCs w:val="20"/>
          <w:color w:val="auto"/>
        </w:rPr>
      </w:pPr>
    </w:p>
    <w:p>
      <w:pPr>
        <w:ind w:left="140" w:right="920"/>
        <w:spacing w:after="0" w:line="461" w:lineRule="auto"/>
        <w:rPr>
          <w:sz w:val="20"/>
          <w:szCs w:val="20"/>
          <w:color w:val="auto"/>
        </w:rPr>
      </w:pPr>
      <w:r>
        <w:rPr>
          <w:rFonts w:ascii="Courier New" w:cs="Courier New" w:eastAsia="Courier New" w:hAnsi="Courier New"/>
          <w:sz w:val="12"/>
          <w:szCs w:val="12"/>
          <w:color w:val="auto"/>
        </w:rPr>
        <w:t>The Contractor shall not release any reports, manuscripts, press releases, or abstracts about the work being performed under this contract without written notice in advance to the Government.</w:t>
      </w:r>
    </w:p>
    <w:p>
      <w:pPr>
        <w:spacing w:after="0" w:line="93" w:lineRule="exact"/>
        <w:rPr>
          <w:sz w:val="20"/>
          <w:szCs w:val="20"/>
          <w:color w:val="auto"/>
        </w:rPr>
      </w:pPr>
    </w:p>
    <w:p>
      <w:pPr>
        <w:jc w:val="both"/>
        <w:ind w:left="140" w:hanging="8"/>
        <w:spacing w:after="0" w:line="384" w:lineRule="auto"/>
        <w:tabs>
          <w:tab w:leader="none" w:pos="637" w:val="left"/>
        </w:tabs>
        <w:numPr>
          <w:ilvl w:val="0"/>
          <w:numId w:val="1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Unless otherwise specified in this contract, the Contractor may publish the results of its work under this contract. The Contractor shall promptly send a copy of each submission to the TPOC for security review prior to submission. The Contractor shall also inform the TPOC when the abstract article or other publication is published, and furnish a copy of it as finally published.</w:t>
      </w:r>
    </w:p>
    <w:p>
      <w:pPr>
        <w:sectPr>
          <w:pgSz w:w="11900" w:h="16838" w:orient="portrait"/>
          <w:cols w:equalWidth="0" w:num="1">
            <w:col w:w="11020"/>
          </w:cols>
          <w:pgMar w:left="320" w:top="146" w:right="55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01"/>
        </w:trPr>
        <w:tc>
          <w:tcPr>
            <w:tcW w:w="3660" w:type="dxa"/>
            <w:vAlign w:val="bottom"/>
            <w:tcBorders>
              <w:top w:val="single" w:sz="8" w:color="auto"/>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20"/>
                <w:szCs w:val="20"/>
                <w:b w:val="1"/>
                <w:bCs w:val="1"/>
                <w:color w:val="auto"/>
              </w:rPr>
              <w:t>CONTINUATION SHEET</w:t>
            </w:r>
          </w:p>
        </w:tc>
        <w:tc>
          <w:tcPr>
            <w:tcW w:w="5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Page 8 of 9</w:t>
            </w:r>
          </w:p>
        </w:tc>
      </w:tr>
      <w:tr>
        <w:trPr>
          <w:trHeight w:val="134"/>
        </w:trPr>
        <w:tc>
          <w:tcPr>
            <w:tcW w:w="3660" w:type="dxa"/>
            <w:vAlign w:val="bottom"/>
            <w:tcBorders>
              <w:right w:val="single" w:sz="8" w:color="auto"/>
            </w:tcBorders>
          </w:tcPr>
          <w:p>
            <w:pPr>
              <w:spacing w:after="0"/>
              <w:rPr>
                <w:sz w:val="11"/>
                <w:szCs w:val="11"/>
                <w:color w:val="auto"/>
              </w:rPr>
            </w:pPr>
          </w:p>
        </w:tc>
        <w:tc>
          <w:tcPr>
            <w:tcW w:w="572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color w:val="auto"/>
              </w:rPr>
              <w:t>W15QKN-21-C-0014</w:t>
            </w:r>
          </w:p>
        </w:tc>
        <w:tc>
          <w:tcPr>
            <w:tcW w:w="1160" w:type="dxa"/>
            <w:vAlign w:val="bottom"/>
          </w:tcPr>
          <w:p>
            <w:pPr>
              <w:spacing w:after="0"/>
              <w:rPr>
                <w:sz w:val="11"/>
                <w:szCs w:val="11"/>
                <w:color w:val="auto"/>
              </w:rPr>
            </w:pPr>
          </w:p>
        </w:tc>
      </w:tr>
      <w:tr>
        <w:trPr>
          <w:trHeight w:val="212"/>
        </w:trPr>
        <w:tc>
          <w:tcPr>
            <w:tcW w:w="3660" w:type="dxa"/>
            <w:vAlign w:val="bottom"/>
            <w:tcBorders>
              <w:bottom w:val="single" w:sz="8" w:color="auto"/>
              <w:right w:val="single" w:sz="8" w:color="auto"/>
            </w:tcBorders>
          </w:tcPr>
          <w:p>
            <w:pPr>
              <w:spacing w:after="0"/>
              <w:rPr>
                <w:sz w:val="18"/>
                <w:szCs w:val="18"/>
                <w:color w:val="auto"/>
              </w:rPr>
            </w:pPr>
          </w:p>
        </w:tc>
        <w:tc>
          <w:tcPr>
            <w:tcW w:w="5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PIIN/SIIN MOD/AMD </w:t>
            </w:r>
            <w:r>
              <w:rPr>
                <w:rFonts w:ascii="Times New Roman" w:cs="Times New Roman" w:eastAsia="Times New Roman" w:hAnsi="Times New Roman"/>
                <w:sz w:val="16"/>
                <w:szCs w:val="16"/>
                <w:color w:val="auto"/>
              </w:rPr>
              <w:t>P00002</w:t>
            </w:r>
          </w:p>
        </w:tc>
        <w:tc>
          <w:tcPr>
            <w:tcW w:w="1160" w:type="dxa"/>
            <w:vAlign w:val="bottom"/>
            <w:tcBorders>
              <w:bottom w:val="single" w:sz="8" w:color="auto"/>
            </w:tcBorders>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16"/>
          <w:szCs w:val="16"/>
          <w:b w:val="1"/>
          <w:bCs w:val="1"/>
          <w:color w:val="auto"/>
        </w:rPr>
        <w:t>Name of Offeror or Contractor: 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66922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92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0" w:right="340" w:firstLine="7"/>
        <w:spacing w:after="0" w:line="349" w:lineRule="auto"/>
        <w:tabs>
          <w:tab w:leader="none" w:pos="369"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Unless authorized in writing by the CO, the Contractor shall not display Government logos, including Operating Division or Staff Division logos on any publications.</w:t>
      </w:r>
    </w:p>
    <w:p>
      <w:pPr>
        <w:spacing w:after="0" w:line="1" w:lineRule="exact"/>
        <w:rPr>
          <w:rFonts w:ascii="Courier New" w:cs="Courier New" w:eastAsia="Courier New" w:hAnsi="Courier New"/>
          <w:sz w:val="12"/>
          <w:szCs w:val="12"/>
          <w:color w:val="auto"/>
        </w:rPr>
      </w:pPr>
    </w:p>
    <w:p>
      <w:pPr>
        <w:ind w:left="80" w:right="120" w:firstLine="7"/>
        <w:spacing w:after="0" w:line="422" w:lineRule="auto"/>
        <w:tabs>
          <w:tab w:leader="none" w:pos="369"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Contractor shall not reference the products(s) or services(s) awarded under this contract in commercial advertising, as defined in FAR 31.205-1, in any manner which states or implies Government approval or endorsement of the product(s) or service(s) provided.</w:t>
      </w:r>
    </w:p>
    <w:p>
      <w:pPr>
        <w:spacing w:after="0" w:line="115" w:lineRule="exact"/>
        <w:rPr>
          <w:rFonts w:ascii="Courier New" w:cs="Courier New" w:eastAsia="Courier New" w:hAnsi="Courier New"/>
          <w:sz w:val="12"/>
          <w:szCs w:val="12"/>
          <w:color w:val="auto"/>
        </w:rPr>
      </w:pPr>
    </w:p>
    <w:p>
      <w:pPr>
        <w:ind w:left="80" w:right="620" w:firstLine="7"/>
        <w:spacing w:after="0" w:line="384" w:lineRule="auto"/>
        <w:tabs>
          <w:tab w:leader="none" w:pos="369"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contractor shall include this clause, including this section (d) in all subcontracts where the subcontractor may propose publishing the results of its work under the subcontract. The Contractor shall acknowledge the support of the Government whenever publicizing the work under this contract in any media by including an acknowledgement substantially as follows:</w:t>
      </w:r>
    </w:p>
    <w:p>
      <w:pPr>
        <w:spacing w:after="0" w:line="137" w:lineRule="exact"/>
        <w:rPr>
          <w:sz w:val="20"/>
          <w:szCs w:val="20"/>
          <w:color w:val="auto"/>
        </w:rPr>
      </w:pPr>
    </w:p>
    <w:p>
      <w:pPr>
        <w:ind w:left="140" w:right="500"/>
        <w:spacing w:after="0" w:line="461" w:lineRule="auto"/>
        <w:rPr>
          <w:sz w:val="20"/>
          <w:szCs w:val="20"/>
          <w:color w:val="auto"/>
        </w:rPr>
      </w:pPr>
      <w:r>
        <w:rPr>
          <w:rFonts w:ascii="Courier New" w:cs="Courier New" w:eastAsia="Courier New" w:hAnsi="Courier New"/>
          <w:sz w:val="12"/>
          <w:szCs w:val="12"/>
          <w:color w:val="auto"/>
        </w:rPr>
        <w:t>"This project has been funded in whole or in part by the U.S. Government under Contract No. W15QKN-21-C-0014. The US Government is authorized to reproduce and distribute reprints for Governmental purposes notwithstanding any copyright notation thereon."</w:t>
      </w:r>
    </w:p>
    <w:p>
      <w:pPr>
        <w:spacing w:after="0" w:line="66"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V. Confidentiality of Information</w:t>
      </w:r>
    </w:p>
    <w:p>
      <w:pPr>
        <w:spacing w:after="0" w:line="265" w:lineRule="exact"/>
        <w:rPr>
          <w:sz w:val="20"/>
          <w:szCs w:val="20"/>
          <w:color w:val="auto"/>
        </w:rPr>
      </w:pPr>
    </w:p>
    <w:p>
      <w:pPr>
        <w:ind w:left="140" w:right="800" w:hanging="8"/>
        <w:spacing w:after="0" w:line="437" w:lineRule="auto"/>
        <w:tabs>
          <w:tab w:leader="none" w:pos="645"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Confidential information, as used in this article, means information or data of a personal nature about an individual, or proprietary information or data submitted by or pertaining to an institution or organization.</w:t>
      </w:r>
    </w:p>
    <w:p>
      <w:pPr>
        <w:spacing w:after="0" w:line="106" w:lineRule="exact"/>
        <w:rPr>
          <w:rFonts w:ascii="Courier New" w:cs="Courier New" w:eastAsia="Courier New" w:hAnsi="Courier New"/>
          <w:sz w:val="12"/>
          <w:szCs w:val="12"/>
          <w:color w:val="auto"/>
        </w:rPr>
      </w:pPr>
    </w:p>
    <w:p>
      <w:pPr>
        <w:ind w:left="140" w:right="220" w:hanging="8"/>
        <w:spacing w:after="0" w:line="366" w:lineRule="auto"/>
        <w:tabs>
          <w:tab w:leader="none" w:pos="645"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 and the Contractor may, by mutual consent, identify elsewhere in this contract specific information and/or categories of information which the Government will furnish to the Contractor or that the Contractor is expected to generate which is confidential. Similarly, the CO and the Contractor may, by mutual consent, identify such confidential information from time to time during the performance of the contract. Failure to agree will be settled pursuant to the "Disputes" clause.</w:t>
      </w:r>
    </w:p>
    <w:p>
      <w:pPr>
        <w:spacing w:after="0" w:line="147" w:lineRule="exact"/>
        <w:rPr>
          <w:rFonts w:ascii="Courier New" w:cs="Courier New" w:eastAsia="Courier New" w:hAnsi="Courier New"/>
          <w:sz w:val="12"/>
          <w:szCs w:val="12"/>
          <w:color w:val="auto"/>
        </w:rPr>
      </w:pPr>
    </w:p>
    <w:p>
      <w:pPr>
        <w:ind w:left="140" w:right="220" w:hanging="8"/>
        <w:spacing w:after="0" w:line="395" w:lineRule="auto"/>
        <w:tabs>
          <w:tab w:leader="none" w:pos="645"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it is established elsewhere in this contract that information to be utilized under this contract, or a portion thereof, is subject to the Privacy Act, the Contractor will follow the rules and procedures of disclosure set forth in the Privacy Act of 1974, 5 U.S.C. 552a, and implementing regulations and policies, with respect to systems of records determined to be subject to the Privacy Act.</w:t>
      </w:r>
    </w:p>
    <w:p>
      <w:pPr>
        <w:spacing w:after="0" w:line="131" w:lineRule="exact"/>
        <w:rPr>
          <w:rFonts w:ascii="Courier New" w:cs="Courier New" w:eastAsia="Courier New" w:hAnsi="Courier New"/>
          <w:sz w:val="12"/>
          <w:szCs w:val="12"/>
          <w:color w:val="auto"/>
        </w:rPr>
      </w:pPr>
    </w:p>
    <w:p>
      <w:pPr>
        <w:ind w:left="140" w:right="720" w:hanging="8"/>
        <w:spacing w:after="0" w:line="437" w:lineRule="auto"/>
        <w:tabs>
          <w:tab w:leader="none" w:pos="645"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Confidential information, as defined in paragraph (a) of this article, shall not be disclosed without the prior written consent of the individual, institution, or organization.</w:t>
      </w:r>
    </w:p>
    <w:p>
      <w:pPr>
        <w:spacing w:after="0" w:line="120" w:lineRule="exact"/>
        <w:rPr>
          <w:rFonts w:ascii="Courier New" w:cs="Courier New" w:eastAsia="Courier New" w:hAnsi="Courier New"/>
          <w:sz w:val="12"/>
          <w:szCs w:val="12"/>
          <w:color w:val="auto"/>
        </w:rPr>
      </w:pPr>
    </w:p>
    <w:p>
      <w:pPr>
        <w:ind w:left="140" w:right="500" w:hanging="8"/>
        <w:spacing w:after="0" w:line="384" w:lineRule="auto"/>
        <w:tabs>
          <w:tab w:leader="none" w:pos="645"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Whenever the Contractor is uncertain with regard to the proper handling of material under the contract, or if the material in question is subject to the Privacy Act or is confidential information subject to the provisions of this article, the Contractor shall obtain a written determination from the CO prior to any release, disclosure, dissemination, or publication.</w:t>
      </w:r>
    </w:p>
    <w:p>
      <w:pPr>
        <w:spacing w:after="0" w:line="109" w:lineRule="exact"/>
        <w:rPr>
          <w:rFonts w:ascii="Courier New" w:cs="Courier New" w:eastAsia="Courier New" w:hAnsi="Courier New"/>
          <w:sz w:val="12"/>
          <w:szCs w:val="12"/>
          <w:color w:val="auto"/>
        </w:rPr>
      </w:pPr>
    </w:p>
    <w:p>
      <w:pPr>
        <w:ind w:left="340" w:hanging="209"/>
        <w:spacing w:after="0"/>
        <w:tabs>
          <w:tab w:leader="none" w:pos="340"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Contracting Officer Determinations will reflect the result of internal coordination with appropriate program and legal officials.</w:t>
      </w:r>
    </w:p>
    <w:p>
      <w:pPr>
        <w:spacing w:after="0" w:line="251" w:lineRule="exact"/>
        <w:rPr>
          <w:rFonts w:ascii="Courier New" w:cs="Courier New" w:eastAsia="Courier New" w:hAnsi="Courier New"/>
          <w:sz w:val="12"/>
          <w:szCs w:val="12"/>
          <w:color w:val="auto"/>
        </w:rPr>
      </w:pPr>
    </w:p>
    <w:p>
      <w:pPr>
        <w:ind w:left="640" w:hanging="508"/>
        <w:spacing w:after="0"/>
        <w:tabs>
          <w:tab w:leader="none" w:pos="640"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provisions of paragraph (d) of this article shall not apply to conflicting or overlapping provisions in other Federal, State or local</w:t>
      </w:r>
    </w:p>
    <w:p>
      <w:pPr>
        <w:spacing w:after="0" w:line="73" w:lineRule="exact"/>
        <w:rPr>
          <w:rFonts w:ascii="Courier New" w:cs="Courier New" w:eastAsia="Courier New" w:hAnsi="Courier New"/>
          <w:sz w:val="12"/>
          <w:szCs w:val="12"/>
          <w:color w:val="auto"/>
        </w:rPr>
      </w:pPr>
    </w:p>
    <w:p>
      <w:pPr>
        <w:ind w:left="1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laws.</w:t>
      </w:r>
    </w:p>
    <w:p>
      <w:pPr>
        <w:spacing w:after="0" w:line="243"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All above requirements MUST be passed to all sub-contractors.</w:t>
      </w:r>
    </w:p>
    <w:p>
      <w:pPr>
        <w:spacing w:after="0" w:line="239"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VI. Organizational Conflicts of Interest</w:t>
      </w:r>
    </w:p>
    <w:p>
      <w:pPr>
        <w:spacing w:after="0" w:line="252" w:lineRule="exact"/>
        <w:rPr>
          <w:sz w:val="20"/>
          <w:szCs w:val="20"/>
          <w:color w:val="auto"/>
        </w:rPr>
      </w:pPr>
    </w:p>
    <w:p>
      <w:pPr>
        <w:ind w:left="140" w:right="140"/>
        <w:spacing w:after="0" w:line="357" w:lineRule="auto"/>
        <w:rPr>
          <w:sz w:val="20"/>
          <w:szCs w:val="20"/>
          <w:color w:val="auto"/>
        </w:rPr>
      </w:pPr>
      <w:r>
        <w:rPr>
          <w:rFonts w:ascii="Courier New" w:cs="Courier New" w:eastAsia="Courier New" w:hAnsi="Courier New"/>
          <w:sz w:val="12"/>
          <w:szCs w:val="12"/>
          <w:color w:val="auto"/>
        </w:rPr>
        <w:t>Performance under this contract may create an actual or potential organizational conflict of interest such as are contemplated by FAR Part 9.505-General Rules. The Contractor shall not engage in any other contractual or other activities which could create an Organizational Conflict of Interest (OCI). This provision shall apply to the prime Contractor and all sub-contractors. This provision shall have effect throughout the period of performance of this contract, any extensions thereto by change order or supplemental agreement, and for two (2) years thereafter. The Government may pursue such remedies as may be permitted by law or this contract, upon determination that an OCI has occurred.</w:t>
      </w:r>
    </w:p>
    <w:p>
      <w:pPr>
        <w:spacing w:after="0" w:line="153" w:lineRule="exact"/>
        <w:rPr>
          <w:sz w:val="20"/>
          <w:szCs w:val="20"/>
          <w:color w:val="auto"/>
        </w:rPr>
      </w:pPr>
    </w:p>
    <w:p>
      <w:pPr>
        <w:ind w:left="140" w:right="80"/>
        <w:spacing w:after="0" w:line="366" w:lineRule="auto"/>
        <w:rPr>
          <w:sz w:val="20"/>
          <w:szCs w:val="20"/>
          <w:color w:val="auto"/>
        </w:rPr>
      </w:pPr>
      <w:r>
        <w:rPr>
          <w:rFonts w:ascii="Courier New" w:cs="Courier New" w:eastAsia="Courier New" w:hAnsi="Courier New"/>
          <w:sz w:val="12"/>
          <w:szCs w:val="12"/>
          <w:color w:val="auto"/>
        </w:rPr>
        <w:t>The work performed under this contract may create a significant potential for certain conflicts of interest, as set forth in FAR Parts 9.505-1, 9.505-2, 9.505-3, and 9.505-4. It is the intention of the parties hereto to prevent both the potential for bias in connection with the Contractors performance of this contract, as well as the creation of any unfair competitive advantage as a result of knowledge gained through access to any non-public data or third party proprietary information.</w:t>
      </w:r>
    </w:p>
    <w:p>
      <w:pPr>
        <w:spacing w:after="0" w:line="147" w:lineRule="exact"/>
        <w:rPr>
          <w:sz w:val="20"/>
          <w:szCs w:val="20"/>
          <w:color w:val="auto"/>
        </w:rPr>
      </w:pPr>
    </w:p>
    <w:p>
      <w:pPr>
        <w:ind w:left="140"/>
        <w:spacing w:after="0" w:line="366" w:lineRule="auto"/>
        <w:rPr>
          <w:sz w:val="20"/>
          <w:szCs w:val="20"/>
          <w:color w:val="auto"/>
        </w:rPr>
      </w:pPr>
      <w:r>
        <w:rPr>
          <w:rFonts w:ascii="Courier New" w:cs="Courier New" w:eastAsia="Courier New" w:hAnsi="Courier New"/>
          <w:sz w:val="12"/>
          <w:szCs w:val="12"/>
          <w:color w:val="auto"/>
        </w:rPr>
        <w:t>The Contractor shall notify the CO immediately whenever it becomes aware that such access or participation may result in any actual or potential OCI. Furthermore, the Contractor shall promptly submit a plan to the CO to either avoid or mitigate any such OCI. The CO will have sole discretion in accepting the Contractors mitigation plan. In the event the CO unilaterally determines that any such OCI cannot be satisfactorily avoided or mitigated, other remedies may be taken to prohibit the Contractor from participating in contract requirements related to OCI.</w:t>
      </w:r>
    </w:p>
    <w:p>
      <w:pPr>
        <w:spacing w:after="0" w:line="147" w:lineRule="exact"/>
        <w:rPr>
          <w:sz w:val="20"/>
          <w:szCs w:val="20"/>
          <w:color w:val="auto"/>
        </w:rPr>
      </w:pPr>
    </w:p>
    <w:p>
      <w:pPr>
        <w:ind w:left="140" w:right="220"/>
        <w:spacing w:after="0" w:line="384" w:lineRule="auto"/>
        <w:rPr>
          <w:sz w:val="20"/>
          <w:szCs w:val="20"/>
          <w:color w:val="auto"/>
        </w:rPr>
      </w:pPr>
      <w:r>
        <w:rPr>
          <w:rFonts w:ascii="Courier New" w:cs="Courier New" w:eastAsia="Courier New" w:hAnsi="Courier New"/>
          <w:sz w:val="12"/>
          <w:szCs w:val="12"/>
          <w:color w:val="auto"/>
        </w:rPr>
        <w:t>Whenever performance of this contract provides access to another Contractors proprietary information, the Contractor shall enter into a written agreement with the other entities involved, as appropriate, in order to protect such proprietary information from unauthorized use or disclosure for as long as it remains proprietary; and refrain from using such proprietary information other than as agreed to,</w:t>
      </w:r>
    </w:p>
    <w:p>
      <w:pPr>
        <w:sectPr>
          <w:pgSz w:w="11900" w:h="16838" w:orient="portrait"/>
          <w:cols w:equalWidth="0" w:num="1">
            <w:col w:w="11040"/>
          </w:cols>
          <w:pgMar w:left="320" w:top="146" w:right="5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01"/>
        </w:trPr>
        <w:tc>
          <w:tcPr>
            <w:tcW w:w="3660" w:type="dxa"/>
            <w:vAlign w:val="bottom"/>
            <w:tcBorders>
              <w:top w:val="single" w:sz="8" w:color="auto"/>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20"/>
                <w:szCs w:val="20"/>
                <w:b w:val="1"/>
                <w:bCs w:val="1"/>
                <w:color w:val="auto"/>
              </w:rPr>
              <w:t>CONTINUATION SHEET</w:t>
            </w:r>
          </w:p>
        </w:tc>
        <w:tc>
          <w:tcPr>
            <w:tcW w:w="5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Page 9 of 9</w:t>
            </w:r>
          </w:p>
        </w:tc>
      </w:tr>
      <w:tr>
        <w:trPr>
          <w:trHeight w:val="134"/>
        </w:trPr>
        <w:tc>
          <w:tcPr>
            <w:tcW w:w="3660" w:type="dxa"/>
            <w:vAlign w:val="bottom"/>
            <w:tcBorders>
              <w:right w:val="single" w:sz="8" w:color="auto"/>
            </w:tcBorders>
          </w:tcPr>
          <w:p>
            <w:pPr>
              <w:spacing w:after="0"/>
              <w:rPr>
                <w:sz w:val="11"/>
                <w:szCs w:val="11"/>
                <w:color w:val="auto"/>
              </w:rPr>
            </w:pPr>
          </w:p>
        </w:tc>
        <w:tc>
          <w:tcPr>
            <w:tcW w:w="572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color w:val="auto"/>
              </w:rPr>
              <w:t>W15QKN-21-C-0014</w:t>
            </w:r>
          </w:p>
        </w:tc>
        <w:tc>
          <w:tcPr>
            <w:tcW w:w="1160" w:type="dxa"/>
            <w:vAlign w:val="bottom"/>
          </w:tcPr>
          <w:p>
            <w:pPr>
              <w:spacing w:after="0"/>
              <w:rPr>
                <w:sz w:val="11"/>
                <w:szCs w:val="11"/>
                <w:color w:val="auto"/>
              </w:rPr>
            </w:pPr>
          </w:p>
        </w:tc>
      </w:tr>
      <w:tr>
        <w:trPr>
          <w:trHeight w:val="212"/>
        </w:trPr>
        <w:tc>
          <w:tcPr>
            <w:tcW w:w="3660" w:type="dxa"/>
            <w:vAlign w:val="bottom"/>
            <w:tcBorders>
              <w:bottom w:val="single" w:sz="8" w:color="auto"/>
              <w:right w:val="single" w:sz="8" w:color="auto"/>
            </w:tcBorders>
          </w:tcPr>
          <w:p>
            <w:pPr>
              <w:spacing w:after="0"/>
              <w:rPr>
                <w:sz w:val="18"/>
                <w:szCs w:val="18"/>
                <w:color w:val="auto"/>
              </w:rPr>
            </w:pPr>
          </w:p>
        </w:tc>
        <w:tc>
          <w:tcPr>
            <w:tcW w:w="5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PIIN/SIIN MOD/AMD </w:t>
            </w:r>
            <w:r>
              <w:rPr>
                <w:rFonts w:ascii="Times New Roman" w:cs="Times New Roman" w:eastAsia="Times New Roman" w:hAnsi="Times New Roman"/>
                <w:sz w:val="16"/>
                <w:szCs w:val="16"/>
                <w:color w:val="auto"/>
              </w:rPr>
              <w:t>P00002</w:t>
            </w:r>
          </w:p>
        </w:tc>
        <w:tc>
          <w:tcPr>
            <w:tcW w:w="1160" w:type="dxa"/>
            <w:vAlign w:val="bottom"/>
            <w:tcBorders>
              <w:bottom w:val="single" w:sz="8" w:color="auto"/>
            </w:tcBorders>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16"/>
          <w:szCs w:val="16"/>
          <w:b w:val="1"/>
          <w:bCs w:val="1"/>
          <w:color w:val="auto"/>
        </w:rPr>
        <w:t>Name of Offeror or Contractor: 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66922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92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0" w:right="220"/>
        <w:spacing w:after="0" w:line="321" w:lineRule="auto"/>
        <w:rPr>
          <w:sz w:val="20"/>
          <w:szCs w:val="20"/>
          <w:color w:val="auto"/>
        </w:rPr>
      </w:pPr>
      <w:r>
        <w:rPr>
          <w:rFonts w:ascii="Courier New" w:cs="Courier New" w:eastAsia="Courier New" w:hAnsi="Courier New"/>
          <w:sz w:val="12"/>
          <w:szCs w:val="12"/>
          <w:color w:val="auto"/>
        </w:rPr>
        <w:t>for example to provide assistance during technical evaluation of other Contractors offers or products under this contract. An executed copy of all proprietary information agreements by individual personnel or on a corporate basis shall be furnished to the CO within [* * *] of execution.</w:t>
      </w:r>
    </w:p>
    <w:p>
      <w:pPr>
        <w:spacing w:after="0"/>
        <w:rPr>
          <w:sz w:val="20"/>
          <w:szCs w:val="20"/>
          <w:color w:val="auto"/>
        </w:rPr>
      </w:pPr>
      <w:r>
        <w:rPr>
          <w:rFonts w:ascii="Courier New" w:cs="Courier New" w:eastAsia="Courier New" w:hAnsi="Courier New"/>
          <w:sz w:val="20"/>
          <w:szCs w:val="20"/>
          <w:color w:val="auto"/>
        </w:rPr>
        <w:t>----------------------------------------------------</w:t>
      </w:r>
    </w:p>
    <w:p>
      <w:pPr>
        <w:spacing w:after="0" w:line="279"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2. HEALTH RESOURCE PRIORITY AND ALLOCATIONS SYSTEM (HRPAS)</w:t>
      </w:r>
    </w:p>
    <w:p>
      <w:pPr>
        <w:spacing w:after="0" w:line="265" w:lineRule="exact"/>
        <w:rPr>
          <w:sz w:val="20"/>
          <w:szCs w:val="20"/>
          <w:color w:val="auto"/>
        </w:rPr>
      </w:pPr>
    </w:p>
    <w:p>
      <w:pPr>
        <w:ind w:left="140" w:right="440"/>
        <w:spacing w:after="0" w:line="437" w:lineRule="auto"/>
        <w:rPr>
          <w:sz w:val="20"/>
          <w:szCs w:val="20"/>
          <w:color w:val="auto"/>
        </w:rPr>
      </w:pPr>
      <w:r>
        <w:rPr>
          <w:rFonts w:ascii="Courier New" w:cs="Courier New" w:eastAsia="Courier New" w:hAnsi="Courier New"/>
          <w:sz w:val="12"/>
          <w:szCs w:val="12"/>
          <w:color w:val="auto"/>
        </w:rPr>
        <w:t>In order to ensure the success of Regenerons efforts, a priority rating is incorporated into the contract for the procurement of raw materials, consumables, repair parts, and major end item assemblies by Regeneron under Title I of the HRPAS.</w:t>
      </w:r>
    </w:p>
    <w:p>
      <w:pPr>
        <w:spacing w:after="0" w:line="80"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Priority Rating: Defense Production Act (DPA) Title I DO-HR</w:t>
      </w:r>
    </w:p>
    <w:p>
      <w:pPr>
        <w:spacing w:after="0" w:line="239"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Each rated order executed by Regeneron must include the following:</w:t>
      </w:r>
    </w:p>
    <w:p>
      <w:pPr>
        <w:spacing w:after="0" w:line="239" w:lineRule="exact"/>
        <w:rPr>
          <w:sz w:val="20"/>
          <w:szCs w:val="20"/>
          <w:color w:val="auto"/>
        </w:rPr>
      </w:pPr>
    </w:p>
    <w:p>
      <w:pPr>
        <w:ind w:left="420" w:hanging="289"/>
        <w:spacing w:after="0"/>
        <w:tabs>
          <w:tab w:leader="none" w:pos="420" w:val="left"/>
        </w:tabs>
        <w:numPr>
          <w:ilvl w:val="0"/>
          <w:numId w:val="1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priority rating: DPA Title I DO-HR;</w:t>
      </w:r>
    </w:p>
    <w:p>
      <w:pPr>
        <w:spacing w:after="0" w:line="225" w:lineRule="exact"/>
        <w:rPr>
          <w:rFonts w:ascii="Courier New" w:cs="Courier New" w:eastAsia="Courier New" w:hAnsi="Courier New"/>
          <w:sz w:val="12"/>
          <w:szCs w:val="12"/>
          <w:color w:val="auto"/>
        </w:rPr>
      </w:pPr>
    </w:p>
    <w:p>
      <w:pPr>
        <w:ind w:left="420" w:hanging="289"/>
        <w:spacing w:after="0"/>
        <w:tabs>
          <w:tab w:leader="none" w:pos="420" w:val="left"/>
        </w:tabs>
        <w:numPr>
          <w:ilvl w:val="0"/>
          <w:numId w:val="1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required delivery date or dates. The words immediately or as soon as possible do not constitute a delivery date;</w:t>
      </w:r>
    </w:p>
    <w:p>
      <w:pPr>
        <w:spacing w:after="0" w:line="265" w:lineRule="exact"/>
        <w:rPr>
          <w:rFonts w:ascii="Courier New" w:cs="Courier New" w:eastAsia="Courier New" w:hAnsi="Courier New"/>
          <w:sz w:val="12"/>
          <w:szCs w:val="12"/>
          <w:color w:val="auto"/>
        </w:rPr>
      </w:pPr>
    </w:p>
    <w:p>
      <w:pPr>
        <w:ind w:left="140" w:right="580" w:hanging="8"/>
        <w:spacing w:after="0" w:line="437" w:lineRule="auto"/>
        <w:tabs>
          <w:tab w:leader="none" w:pos="637" w:val="left"/>
        </w:tabs>
        <w:numPr>
          <w:ilvl w:val="0"/>
          <w:numId w:val="1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written signature on a manually placed order, or the digital signature or name on an electronically placed order, of an individual authorized to sign rated orders for the person placing the order; and</w:t>
      </w:r>
    </w:p>
    <w:p>
      <w:pPr>
        <w:spacing w:after="0" w:line="80" w:lineRule="exact"/>
        <w:rPr>
          <w:rFonts w:ascii="Courier New" w:cs="Courier New" w:eastAsia="Courier New" w:hAnsi="Courier New"/>
          <w:sz w:val="12"/>
          <w:szCs w:val="12"/>
          <w:color w:val="auto"/>
        </w:rPr>
      </w:pPr>
    </w:p>
    <w:p>
      <w:pPr>
        <w:ind w:left="420" w:hanging="289"/>
        <w:spacing w:after="0"/>
        <w:tabs>
          <w:tab w:leader="none" w:pos="420" w:val="left"/>
        </w:tabs>
        <w:numPr>
          <w:ilvl w:val="0"/>
          <w:numId w:val="1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statement that reads in substance:</w:t>
      </w:r>
    </w:p>
    <w:p>
      <w:pPr>
        <w:spacing w:after="0" w:line="265" w:lineRule="exact"/>
        <w:rPr>
          <w:rFonts w:ascii="Courier New" w:cs="Courier New" w:eastAsia="Courier New" w:hAnsi="Courier New"/>
          <w:sz w:val="12"/>
          <w:szCs w:val="12"/>
          <w:color w:val="auto"/>
        </w:rPr>
      </w:pPr>
    </w:p>
    <w:p>
      <w:pPr>
        <w:ind w:left="140" w:right="20" w:hanging="8"/>
        <w:spacing w:after="0" w:line="461" w:lineRule="auto"/>
        <w:tabs>
          <w:tab w:leader="none" w:pos="637" w:val="left"/>
        </w:tabs>
        <w:numPr>
          <w:ilvl w:val="1"/>
          <w:numId w:val="1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is a rated order certified for national defense use, and you are required to follow all the provisions of the Health Resources Priorities and Allocations System regulation at 45 CFR part 101.</w:t>
      </w:r>
    </w:p>
    <w:p>
      <w:pPr>
        <w:spacing w:after="0" w:line="92" w:lineRule="exact"/>
        <w:rPr>
          <w:rFonts w:ascii="Courier New" w:cs="Courier New" w:eastAsia="Courier New" w:hAnsi="Courier New"/>
          <w:sz w:val="12"/>
          <w:szCs w:val="12"/>
          <w:color w:val="auto"/>
        </w:rPr>
      </w:pPr>
    </w:p>
    <w:p>
      <w:pPr>
        <w:ind w:left="140" w:right="20" w:hanging="8"/>
        <w:spacing w:after="0" w:line="437" w:lineRule="auto"/>
        <w:tabs>
          <w:tab w:leader="none" w:pos="637" w:val="left"/>
        </w:tabs>
        <w:numPr>
          <w:ilvl w:val="1"/>
          <w:numId w:val="1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the rated order is placed in support of emergency preparedness requirements and expedited action is necessary and appropriate to meet these requirements, the following sentences should be added following the statement set forth in paragraph (d)(1) of this section:</w:t>
      </w:r>
    </w:p>
    <w:p>
      <w:pPr>
        <w:spacing w:after="0" w:line="107" w:lineRule="exact"/>
        <w:rPr>
          <w:sz w:val="20"/>
          <w:szCs w:val="20"/>
          <w:color w:val="auto"/>
        </w:rPr>
      </w:pPr>
    </w:p>
    <w:p>
      <w:pPr>
        <w:ind w:left="140" w:right="380" w:hanging="8"/>
        <w:spacing w:after="0" w:line="461" w:lineRule="auto"/>
        <w:tabs>
          <w:tab w:leader="none" w:pos="637" w:val="left"/>
        </w:tabs>
        <w:numPr>
          <w:ilvl w:val="1"/>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rated order is placed for the purpose of emergency preparedness. It must be accepted or rejected within [* * *] after receipt of the order if:</w:t>
      </w:r>
    </w:p>
    <w:p>
      <w:pPr>
        <w:spacing w:after="0" w:line="66" w:lineRule="exact"/>
        <w:rPr>
          <w:rFonts w:ascii="Courier New" w:cs="Courier New" w:eastAsia="Courier New" w:hAnsi="Courier New"/>
          <w:sz w:val="12"/>
          <w:szCs w:val="12"/>
          <w:color w:val="auto"/>
        </w:rPr>
      </w:pPr>
    </w:p>
    <w:p>
      <w:pPr>
        <w:ind w:left="340" w:hanging="209"/>
        <w:spacing w:after="0"/>
        <w:tabs>
          <w:tab w:leader="none" w:pos="340" w:val="left"/>
        </w:tabs>
        <w:numPr>
          <w:ilvl w:val="0"/>
          <w:numId w:val="1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order is issued in response to a hazard that has occurred; or</w:t>
      </w:r>
    </w:p>
    <w:p>
      <w:pPr>
        <w:spacing w:after="0" w:line="238" w:lineRule="exact"/>
        <w:rPr>
          <w:rFonts w:ascii="Courier New" w:cs="Courier New" w:eastAsia="Courier New" w:hAnsi="Courier New"/>
          <w:sz w:val="12"/>
          <w:szCs w:val="12"/>
          <w:color w:val="auto"/>
        </w:rPr>
      </w:pPr>
    </w:p>
    <w:p>
      <w:pPr>
        <w:ind w:left="340" w:hanging="209"/>
        <w:spacing w:after="0"/>
        <w:tabs>
          <w:tab w:leader="none" w:pos="340" w:val="left"/>
        </w:tabs>
        <w:numPr>
          <w:ilvl w:val="0"/>
          <w:numId w:val="1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the order is issued to prepare for an imminent hazard, as specified in HRPAS Section 101.33(e).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w:t>
      </w:r>
    </w:p>
    <w:p>
      <w:pPr>
        <w:spacing w:after="0" w:line="292" w:lineRule="exact"/>
        <w:rPr>
          <w:sz w:val="20"/>
          <w:szCs w:val="20"/>
          <w:color w:val="auto"/>
        </w:rPr>
      </w:pPr>
    </w:p>
    <w:p>
      <w:pPr>
        <w:ind w:left="340" w:hanging="209"/>
        <w:spacing w:after="0"/>
        <w:tabs>
          <w:tab w:leader="none" w:pos="340" w:val="left"/>
        </w:tabs>
        <w:numPr>
          <w:ilvl w:val="0"/>
          <w:numId w:val="1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ENSURING SUFFICIENT SUPPLY OF THE PRODUCT</w:t>
      </w:r>
    </w:p>
    <w:p>
      <w:pPr>
        <w:spacing w:after="0" w:line="265" w:lineRule="exact"/>
        <w:rPr>
          <w:rFonts w:ascii="Courier New" w:cs="Courier New" w:eastAsia="Courier New" w:hAnsi="Courier New"/>
          <w:sz w:val="12"/>
          <w:szCs w:val="12"/>
          <w:color w:val="auto"/>
        </w:rPr>
      </w:pPr>
    </w:p>
    <w:p>
      <w:pPr>
        <w:ind w:left="140" w:hanging="8"/>
        <w:spacing w:after="0" w:line="384" w:lineRule="auto"/>
        <w:tabs>
          <w:tab w:leader="none" w:pos="645" w:val="left"/>
        </w:tabs>
        <w:numPr>
          <w:ilvl w:val="0"/>
          <w:numId w:val="1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recognition of the Governments need to provide sufficient quantities of a COVID-19 therapeutic to protect the United States population, the Government shall have the remedy described in this section to ensure sufficient supply of the product to meet the needs of the public health or national security. This remedy is not available to the Government unless and until both of the following conditions ((a) and (b)) are met:</w:t>
      </w:r>
    </w:p>
    <w:p>
      <w:pPr>
        <w:spacing w:after="0" w:line="110"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(a) Regeneron gives written notice, required to be submitted to the Government no later than [* * *], of:</w:t>
      </w:r>
    </w:p>
    <w:p>
      <w:pPr>
        <w:spacing w:after="0" w:line="252" w:lineRule="exact"/>
        <w:rPr>
          <w:sz w:val="20"/>
          <w:szCs w:val="20"/>
          <w:color w:val="auto"/>
        </w:rPr>
      </w:pPr>
    </w:p>
    <w:p>
      <w:pPr>
        <w:ind w:left="140" w:right="140" w:hanging="8"/>
        <w:spacing w:after="0" w:line="395" w:lineRule="auto"/>
        <w:tabs>
          <w:tab w:leader="none" w:pos="645" w:val="left"/>
        </w:tabs>
        <w:numPr>
          <w:ilvl w:val="0"/>
          <w:numId w:val="1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formal management decision to terminate manufacturing of this product therapeutic prior to delivery of the minimum required doses to the U.S. Government under this contract, as well as all additional orders accepted by the Contractor, other than as a result of clinical failure, or serious technical or safety reasons</w:t>
      </w:r>
    </w:p>
    <w:p>
      <w:pPr>
        <w:spacing w:after="0" w:line="105"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or;</w:t>
      </w:r>
    </w:p>
    <w:p>
      <w:pPr>
        <w:spacing w:after="0" w:line="252" w:lineRule="exact"/>
        <w:rPr>
          <w:sz w:val="20"/>
          <w:szCs w:val="20"/>
          <w:color w:val="auto"/>
        </w:rPr>
      </w:pPr>
    </w:p>
    <w:p>
      <w:pPr>
        <w:jc w:val="both"/>
        <w:ind w:left="140" w:right="300" w:hanging="8"/>
        <w:spacing w:after="0" w:line="395" w:lineRule="auto"/>
        <w:tabs>
          <w:tab w:leader="none" w:pos="637" w:val="left"/>
        </w:tabs>
        <w:numPr>
          <w:ilvl w:val="1"/>
          <w:numId w:val="1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formal management decision to discontinue sale of this product therapeutic to the Government prior to delivery of the minimum required doses to the U.S. Government under this contract, as well as all additional orders accepted by the Contractor, other than as a result of clinical failure, or serious technical or safety reasons; or any filing that anticipates Federal bankruptcy protection; and</w:t>
      </w:r>
    </w:p>
    <w:p>
      <w:pPr>
        <w:spacing w:after="0" w:line="131" w:lineRule="exact"/>
        <w:rPr>
          <w:rFonts w:ascii="Courier New" w:cs="Courier New" w:eastAsia="Courier New" w:hAnsi="Courier New"/>
          <w:sz w:val="12"/>
          <w:szCs w:val="12"/>
          <w:color w:val="auto"/>
        </w:rPr>
      </w:pPr>
    </w:p>
    <w:p>
      <w:pPr>
        <w:ind w:left="80" w:right="260" w:firstLine="7"/>
        <w:spacing w:after="0" w:line="437" w:lineRule="auto"/>
        <w:tabs>
          <w:tab w:leader="none" w:pos="369" w:val="left"/>
        </w:tabs>
        <w:numPr>
          <w:ilvl w:val="0"/>
          <w:numId w:val="1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Regeneron has submitted an Emergency Use Authorization application under Section 564 of the Food, Drug, and Cosmetic (FD&amp;C) Act or a biologics license application under the provisions of Section 351(a) of the Public Health Service Act (PHSA).</w:t>
      </w:r>
    </w:p>
    <w:p>
      <w:pPr>
        <w:spacing w:after="0" w:line="120" w:lineRule="exact"/>
        <w:rPr>
          <w:sz w:val="20"/>
          <w:szCs w:val="20"/>
          <w:color w:val="auto"/>
        </w:rPr>
      </w:pPr>
    </w:p>
    <w:p>
      <w:pPr>
        <w:ind w:left="140" w:right="440" w:hanging="8"/>
        <w:spacing w:after="0" w:line="437" w:lineRule="auto"/>
        <w:tabs>
          <w:tab w:leader="none" w:pos="645" w:val="left"/>
        </w:tabs>
        <w:numPr>
          <w:ilvl w:val="0"/>
          <w:numId w:val="1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both conditions listed in section 1 occur, Regeneron, upon the request of the Government, shall provide the following items necessary for the Government to pursue manufacturing of this therapeutic product with a third party for exclusive sale to the U.S. Government:</w:t>
      </w:r>
    </w:p>
    <w:p>
      <w:pPr>
        <w:sectPr>
          <w:pgSz w:w="11900" w:h="16838" w:orient="portrait"/>
          <w:cols w:equalWidth="0" w:num="1">
            <w:col w:w="10900"/>
          </w:cols>
          <w:pgMar w:left="320" w:top="146" w:right="67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01"/>
        </w:trPr>
        <w:tc>
          <w:tcPr>
            <w:tcW w:w="3660" w:type="dxa"/>
            <w:vAlign w:val="bottom"/>
            <w:tcBorders>
              <w:top w:val="single" w:sz="8" w:color="auto"/>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20"/>
                <w:szCs w:val="20"/>
                <w:b w:val="1"/>
                <w:bCs w:val="1"/>
                <w:color w:val="auto"/>
              </w:rPr>
              <w:t>CONTINUATION SHEET</w:t>
            </w:r>
          </w:p>
        </w:tc>
        <w:tc>
          <w:tcPr>
            <w:tcW w:w="5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Page 9 of 9</w:t>
            </w:r>
          </w:p>
        </w:tc>
      </w:tr>
      <w:tr>
        <w:trPr>
          <w:trHeight w:val="134"/>
        </w:trPr>
        <w:tc>
          <w:tcPr>
            <w:tcW w:w="3660" w:type="dxa"/>
            <w:vAlign w:val="bottom"/>
            <w:tcBorders>
              <w:right w:val="single" w:sz="8" w:color="auto"/>
            </w:tcBorders>
          </w:tcPr>
          <w:p>
            <w:pPr>
              <w:spacing w:after="0"/>
              <w:rPr>
                <w:sz w:val="11"/>
                <w:szCs w:val="11"/>
                <w:color w:val="auto"/>
              </w:rPr>
            </w:pPr>
          </w:p>
        </w:tc>
        <w:tc>
          <w:tcPr>
            <w:tcW w:w="572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color w:val="auto"/>
              </w:rPr>
              <w:t>W15QKN-21-C-0014</w:t>
            </w:r>
          </w:p>
        </w:tc>
        <w:tc>
          <w:tcPr>
            <w:tcW w:w="1160" w:type="dxa"/>
            <w:vAlign w:val="bottom"/>
          </w:tcPr>
          <w:p>
            <w:pPr>
              <w:spacing w:after="0"/>
              <w:rPr>
                <w:sz w:val="11"/>
                <w:szCs w:val="11"/>
                <w:color w:val="auto"/>
              </w:rPr>
            </w:pPr>
          </w:p>
        </w:tc>
      </w:tr>
      <w:tr>
        <w:trPr>
          <w:trHeight w:val="212"/>
        </w:trPr>
        <w:tc>
          <w:tcPr>
            <w:tcW w:w="3660" w:type="dxa"/>
            <w:vAlign w:val="bottom"/>
            <w:tcBorders>
              <w:bottom w:val="single" w:sz="8" w:color="auto"/>
              <w:right w:val="single" w:sz="8" w:color="auto"/>
            </w:tcBorders>
          </w:tcPr>
          <w:p>
            <w:pPr>
              <w:spacing w:after="0"/>
              <w:rPr>
                <w:sz w:val="18"/>
                <w:szCs w:val="18"/>
                <w:color w:val="auto"/>
              </w:rPr>
            </w:pPr>
          </w:p>
        </w:tc>
        <w:tc>
          <w:tcPr>
            <w:tcW w:w="5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PIIN/SIIN MOD/AMD </w:t>
            </w:r>
            <w:r>
              <w:rPr>
                <w:rFonts w:ascii="Times New Roman" w:cs="Times New Roman" w:eastAsia="Times New Roman" w:hAnsi="Times New Roman"/>
                <w:sz w:val="16"/>
                <w:szCs w:val="16"/>
                <w:color w:val="auto"/>
              </w:rPr>
              <w:t>P00002</w:t>
            </w:r>
          </w:p>
        </w:tc>
        <w:tc>
          <w:tcPr>
            <w:tcW w:w="1160" w:type="dxa"/>
            <w:vAlign w:val="bottom"/>
            <w:tcBorders>
              <w:bottom w:val="single" w:sz="8" w:color="auto"/>
            </w:tcBorders>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16"/>
          <w:szCs w:val="16"/>
          <w:b w:val="1"/>
          <w:bCs w:val="1"/>
          <w:color w:val="auto"/>
        </w:rPr>
        <w:t>Name of Offeror or Contractor: 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66922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92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0" w:right="80" w:hanging="8"/>
        <w:spacing w:after="0" w:line="357" w:lineRule="auto"/>
        <w:tabs>
          <w:tab w:leader="none" w:pos="637" w:val="left"/>
        </w:tabs>
        <w:numPr>
          <w:ilvl w:val="0"/>
          <w:numId w:val="1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writing, evidencing a non-exclusive, non-transferable, irrevocable (except for cause), royalty-free paid- up license to practice or have practiced for on behalf of the U.S. Government, any Regeneron Background Patent, Copyright, other Regeneron Intellectual Property, Regeneron Know-How, and Regeneron Technical Data rights necessary to manufacture doses of the SARS-CoV2 medical countermeasure neutralizing monoclonal antibodies, designated as casirivimab and imdevimab; necessary FDA regulatory filings or authorizations owned or controlled by Regeneron related to this therapeutic product, and any confirmatory instrument pertaining thereto; and</w:t>
      </w:r>
    </w:p>
    <w:p>
      <w:pPr>
        <w:spacing w:after="0" w:line="125" w:lineRule="exact"/>
        <w:rPr>
          <w:rFonts w:ascii="Courier New" w:cs="Courier New" w:eastAsia="Courier New" w:hAnsi="Courier New"/>
          <w:sz w:val="12"/>
          <w:szCs w:val="12"/>
          <w:color w:val="auto"/>
        </w:rPr>
      </w:pPr>
    </w:p>
    <w:p>
      <w:pPr>
        <w:ind w:left="420" w:hanging="289"/>
        <w:spacing w:after="0"/>
        <w:tabs>
          <w:tab w:leader="none" w:pos="420" w:val="left"/>
        </w:tabs>
        <w:numPr>
          <w:ilvl w:val="0"/>
          <w:numId w:val="1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outstanding Deliverables contemplated or materials purchased under this contract.</w:t>
      </w:r>
    </w:p>
    <w:p>
      <w:pPr>
        <w:spacing w:after="0" w:line="252" w:lineRule="exact"/>
        <w:rPr>
          <w:sz w:val="20"/>
          <w:szCs w:val="20"/>
          <w:color w:val="auto"/>
        </w:rPr>
      </w:pPr>
    </w:p>
    <w:p>
      <w:pPr>
        <w:ind w:left="140" w:right="280" w:hanging="8"/>
        <w:spacing w:after="0" w:line="349" w:lineRule="auto"/>
        <w:tabs>
          <w:tab w:leader="none" w:pos="645" w:val="left"/>
        </w:tabs>
        <w:numPr>
          <w:ilvl w:val="0"/>
          <w:numId w:val="1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remedy will remain available until the end of the contract, and the license rights and items may only be used by the Government and its contractors to the extent needed to manufacture the number of doses that are not received under this contract, including with respect to any</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additional orders that are accepted by the Contractor.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w:t>
      </w:r>
    </w:p>
    <w:p>
      <w:pPr>
        <w:spacing w:after="0" w:line="292" w:lineRule="exact"/>
        <w:rPr>
          <w:sz w:val="20"/>
          <w:szCs w:val="20"/>
          <w:color w:val="auto"/>
        </w:rPr>
      </w:pPr>
    </w:p>
    <w:p>
      <w:pPr>
        <w:ind w:left="340" w:hanging="209"/>
        <w:spacing w:after="0"/>
        <w:tabs>
          <w:tab w:leader="none" w:pos="340" w:val="left"/>
        </w:tabs>
        <w:numPr>
          <w:ilvl w:val="0"/>
          <w:numId w:val="142"/>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DONATION OF EXCESS PRODUCT</w:t>
      </w:r>
    </w:p>
    <w:p>
      <w:pPr>
        <w:spacing w:after="0" w:line="345" w:lineRule="exact"/>
        <w:rPr>
          <w:rFonts w:ascii="Courier New" w:cs="Courier New" w:eastAsia="Courier New" w:hAnsi="Courier New"/>
          <w:sz w:val="12"/>
          <w:szCs w:val="12"/>
          <w:color w:val="auto"/>
        </w:rPr>
      </w:pPr>
    </w:p>
    <w:p>
      <w:pPr>
        <w:ind w:left="140" w:right="140"/>
        <w:spacing w:after="0" w:line="395" w:lineRule="auto"/>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A. In the event the Government determines that does of REGN10987 and REGN10933 (casirivmab and imdevimab) funded under the contract are no longer needed by the Government, the Government may donate remaining doses to any foreign government to the extent mutually agreed to by the Government and Contractor; provided that:</w:t>
      </w:r>
    </w:p>
    <w:p>
      <w:pPr>
        <w:spacing w:after="0" w:line="225" w:lineRule="exact"/>
        <w:rPr>
          <w:sz w:val="20"/>
          <w:szCs w:val="20"/>
          <w:color w:val="auto"/>
        </w:rPr>
      </w:pPr>
    </w:p>
    <w:p>
      <w:pPr>
        <w:ind w:left="140" w:right="160" w:hanging="8"/>
        <w:spacing w:after="0" w:line="437" w:lineRule="auto"/>
        <w:tabs>
          <w:tab w:leader="none" w:pos="637" w:val="left"/>
        </w:tabs>
        <w:numPr>
          <w:ilvl w:val="0"/>
          <w:numId w:val="143"/>
        </w:numPr>
        <w:rPr>
          <w:rFonts w:ascii="Courier New" w:cs="Courier New" w:eastAsia="Courier New" w:hAnsi="Courier New"/>
          <w:sz w:val="12"/>
          <w:szCs w:val="12"/>
          <w:u w:val="single" w:color="auto"/>
          <w:color w:val="auto"/>
        </w:rPr>
      </w:pPr>
      <w:r>
        <w:rPr>
          <w:rFonts w:ascii="Courier New" w:cs="Courier New" w:eastAsia="Courier New" w:hAnsi="Courier New"/>
          <w:sz w:val="12"/>
          <w:szCs w:val="12"/>
          <w:u w:val="single" w:color="auto"/>
          <w:color w:val="auto"/>
        </w:rPr>
        <w:t>the Contractor secures any necessary approvals that are contractually required under existing licensing agreements for REGN10987 and REGN10933 (casirivimab and imdevimab);</w:t>
      </w:r>
    </w:p>
    <w:p>
      <w:pPr>
        <w:spacing w:after="0" w:line="200" w:lineRule="exact"/>
        <w:rPr>
          <w:rFonts w:ascii="Courier New" w:cs="Courier New" w:eastAsia="Courier New" w:hAnsi="Courier New"/>
          <w:sz w:val="12"/>
          <w:szCs w:val="12"/>
          <w:u w:val="single" w:color="auto"/>
          <w:color w:val="auto"/>
        </w:rPr>
      </w:pPr>
    </w:p>
    <w:p>
      <w:pPr>
        <w:ind w:left="140" w:right="220" w:hanging="8"/>
        <w:spacing w:after="0" w:line="461" w:lineRule="auto"/>
        <w:tabs>
          <w:tab w:leader="none" w:pos="637" w:val="left"/>
        </w:tabs>
        <w:numPr>
          <w:ilvl w:val="0"/>
          <w:numId w:val="143"/>
        </w:numPr>
        <w:rPr>
          <w:rFonts w:ascii="Courier New" w:cs="Courier New" w:eastAsia="Courier New" w:hAnsi="Courier New"/>
          <w:sz w:val="12"/>
          <w:szCs w:val="12"/>
          <w:u w:val="single" w:color="auto"/>
          <w:color w:val="auto"/>
        </w:rPr>
      </w:pPr>
      <w:r>
        <w:rPr>
          <w:rFonts w:ascii="Courier New" w:cs="Courier New" w:eastAsia="Courier New" w:hAnsi="Courier New"/>
          <w:sz w:val="12"/>
          <w:szCs w:val="12"/>
          <w:u w:val="single" w:color="auto"/>
          <w:color w:val="auto"/>
        </w:rPr>
        <w:t>the foreign nation has an active commercial marketing approval or active regulatory authorization in place for use of REGN10987 and REGN10933 (casirivimab and imdevimab) combined (and not individually) at the time of donation; and</w:t>
      </w:r>
    </w:p>
    <w:p>
      <w:pPr>
        <w:spacing w:after="0" w:line="159" w:lineRule="exact"/>
        <w:rPr>
          <w:rFonts w:ascii="Courier New" w:cs="Courier New" w:eastAsia="Courier New" w:hAnsi="Courier New"/>
          <w:sz w:val="12"/>
          <w:szCs w:val="12"/>
          <w:u w:val="single" w:color="auto"/>
          <w:color w:val="auto"/>
        </w:rPr>
      </w:pPr>
    </w:p>
    <w:p>
      <w:pPr>
        <w:ind w:left="420" w:hanging="289"/>
        <w:spacing w:after="0"/>
        <w:tabs>
          <w:tab w:leader="none" w:pos="420" w:val="left"/>
        </w:tabs>
        <w:numPr>
          <w:ilvl w:val="0"/>
          <w:numId w:val="143"/>
        </w:numPr>
        <w:rPr>
          <w:rFonts w:ascii="Courier New" w:cs="Courier New" w:eastAsia="Courier New" w:hAnsi="Courier New"/>
          <w:sz w:val="12"/>
          <w:szCs w:val="12"/>
          <w:u w:val="single" w:color="auto"/>
          <w:color w:val="auto"/>
        </w:rPr>
      </w:pPr>
      <w:r>
        <w:rPr>
          <w:rFonts w:ascii="Courier New" w:cs="Courier New" w:eastAsia="Courier New" w:hAnsi="Courier New"/>
          <w:sz w:val="12"/>
          <w:szCs w:val="12"/>
          <w:u w:val="single" w:color="auto"/>
          <w:color w:val="auto"/>
        </w:rPr>
        <w:t>the Contractor has the option to establish an indemnification agreement with the applicable recipient foreign government.</w:t>
      </w:r>
    </w:p>
    <w:p>
      <w:pPr>
        <w:spacing w:after="0" w:line="346" w:lineRule="exact"/>
        <w:rPr>
          <w:sz w:val="20"/>
          <w:szCs w:val="20"/>
          <w:color w:val="auto"/>
        </w:rPr>
      </w:pPr>
    </w:p>
    <w:p>
      <w:pPr>
        <w:ind w:left="140" w:hanging="8"/>
        <w:spacing w:after="0" w:line="351" w:lineRule="auto"/>
        <w:tabs>
          <w:tab w:leader="none" w:pos="645" w:val="left"/>
        </w:tabs>
        <w:numPr>
          <w:ilvl w:val="0"/>
          <w:numId w:val="144"/>
        </w:numPr>
        <w:rPr>
          <w:rFonts w:ascii="Courier New" w:cs="Courier New" w:eastAsia="Courier New" w:hAnsi="Courier New"/>
          <w:sz w:val="12"/>
          <w:szCs w:val="12"/>
          <w:u w:val="single" w:color="auto"/>
          <w:color w:val="auto"/>
        </w:rPr>
      </w:pPr>
      <w:r>
        <w:rPr>
          <w:rFonts w:ascii="Courier New" w:cs="Courier New" w:eastAsia="Courier New" w:hAnsi="Courier New"/>
          <w:sz w:val="12"/>
          <w:szCs w:val="12"/>
          <w:u w:val="single" w:color="auto"/>
          <w:color w:val="auto"/>
        </w:rPr>
        <w:t>The Government shall notify the Contractor in writing prior to any planned donation to a foreign nation. The Contractor (itself or through its collaborators) agrees to work with the Government in good faith with respect to applicable regulatory submissions, import/export permits, and other reasonable requirements for donation to the extent that donation is authorized under paragraph A above. For clarity, the Contractor's obligations under this paragraph shall not include any requirement to grant licenses to intellectual property or to provide sensitive manufacturing information to any such foreign government nor any obligation to ship product outside the United States.</w:t>
      </w:r>
    </w:p>
    <w:p>
      <w:pPr>
        <w:spacing w:after="0" w:line="249" w:lineRule="exact"/>
        <w:rPr>
          <w:rFonts w:ascii="Courier New" w:cs="Courier New" w:eastAsia="Courier New" w:hAnsi="Courier New"/>
          <w:sz w:val="12"/>
          <w:szCs w:val="12"/>
          <w:u w:val="single" w:color="auto"/>
          <w:color w:val="auto"/>
        </w:rPr>
      </w:pPr>
    </w:p>
    <w:p>
      <w:pPr>
        <w:ind w:left="140" w:right="280" w:hanging="8"/>
        <w:spacing w:after="0" w:line="395" w:lineRule="auto"/>
        <w:tabs>
          <w:tab w:leader="none" w:pos="645" w:val="left"/>
        </w:tabs>
        <w:numPr>
          <w:ilvl w:val="0"/>
          <w:numId w:val="144"/>
        </w:numPr>
        <w:rPr>
          <w:rFonts w:ascii="Courier New" w:cs="Courier New" w:eastAsia="Courier New" w:hAnsi="Courier New"/>
          <w:sz w:val="12"/>
          <w:szCs w:val="12"/>
          <w:u w:val="single" w:color="auto"/>
          <w:color w:val="auto"/>
        </w:rPr>
      </w:pPr>
      <w:r>
        <w:rPr>
          <w:rFonts w:ascii="Courier New" w:cs="Courier New" w:eastAsia="Courier New" w:hAnsi="Courier New"/>
          <w:sz w:val="12"/>
          <w:szCs w:val="12"/>
          <w:u w:val="single" w:color="auto"/>
          <w:color w:val="auto"/>
        </w:rPr>
        <w:t>The Government will be responsible for shipment of REGN10987 and REGN 10933 (casirivimab and imdevimab) to the receiving foreign nation in accordance with applicable shipping specifications, and the Contractor's obligations regarding distribution and risk of loss in Section C.3.1 shall not apply.</w:t>
      </w:r>
    </w:p>
    <w:p>
      <w:pPr>
        <w:spacing w:after="0" w:line="224" w:lineRule="exact"/>
        <w:rPr>
          <w:rFonts w:ascii="Courier New" w:cs="Courier New" w:eastAsia="Courier New" w:hAnsi="Courier New"/>
          <w:sz w:val="12"/>
          <w:szCs w:val="12"/>
          <w:u w:val="single" w:color="auto"/>
          <w:color w:val="auto"/>
        </w:rPr>
      </w:pPr>
    </w:p>
    <w:p>
      <w:pPr>
        <w:ind w:left="140" w:hanging="8"/>
        <w:spacing w:after="0" w:line="384" w:lineRule="auto"/>
        <w:tabs>
          <w:tab w:leader="none" w:pos="645" w:val="left"/>
        </w:tabs>
        <w:numPr>
          <w:ilvl w:val="0"/>
          <w:numId w:val="144"/>
        </w:numPr>
        <w:rPr>
          <w:rFonts w:ascii="Courier New" w:cs="Courier New" w:eastAsia="Courier New" w:hAnsi="Courier New"/>
          <w:sz w:val="12"/>
          <w:szCs w:val="12"/>
          <w:u w:val="single" w:color="auto"/>
          <w:color w:val="auto"/>
        </w:rPr>
      </w:pPr>
      <w:r>
        <w:rPr>
          <w:rFonts w:ascii="Courier New" w:cs="Courier New" w:eastAsia="Courier New" w:hAnsi="Courier New"/>
          <w:sz w:val="12"/>
          <w:szCs w:val="12"/>
          <w:u w:val="single" w:color="auto"/>
          <w:color w:val="auto"/>
        </w:rPr>
        <w:t>The parties acknowledge that PREP Act coverage may not apply to the provision of any doses under this Section to a foreign nation. The USG makes no representations as to PREP Act coverage thereto. Any immunity or indemnity arrangements in a foreign jurisdiction are the responsibility of the Contractor.</w:t>
      </w:r>
    </w:p>
    <w:p>
      <w:pPr>
        <w:spacing w:after="0" w:line="230" w:lineRule="exact"/>
        <w:rPr>
          <w:rFonts w:ascii="Courier New" w:cs="Courier New" w:eastAsia="Courier New" w:hAnsi="Courier New"/>
          <w:sz w:val="12"/>
          <w:szCs w:val="12"/>
          <w:u w:val="single" w:color="auto"/>
          <w:color w:val="auto"/>
        </w:rPr>
      </w:pPr>
    </w:p>
    <w:p>
      <w:pPr>
        <w:ind w:left="140" w:right="500" w:hanging="8"/>
        <w:spacing w:after="0" w:line="437" w:lineRule="auto"/>
        <w:tabs>
          <w:tab w:leader="none" w:pos="645" w:val="left"/>
        </w:tabs>
        <w:numPr>
          <w:ilvl w:val="0"/>
          <w:numId w:val="144"/>
        </w:numPr>
        <w:rPr>
          <w:rFonts w:ascii="Courier New" w:cs="Courier New" w:eastAsia="Courier New" w:hAnsi="Courier New"/>
          <w:sz w:val="12"/>
          <w:szCs w:val="12"/>
          <w:u w:val="single" w:color="auto"/>
          <w:color w:val="auto"/>
        </w:rPr>
      </w:pPr>
      <w:r>
        <w:rPr>
          <w:rFonts w:ascii="Courier New" w:cs="Courier New" w:eastAsia="Courier New" w:hAnsi="Courier New"/>
          <w:sz w:val="12"/>
          <w:szCs w:val="12"/>
          <w:u w:val="single" w:color="auto"/>
          <w:color w:val="auto"/>
        </w:rPr>
        <w:t>The Government agrees that the Contractor's collaborators may perform the Contractor's activities described in this Section, and that the Government shall cooperate with any such collaborators.</w:t>
      </w:r>
    </w:p>
    <w:p>
      <w:pPr>
        <w:spacing w:after="0" w:line="173" w:lineRule="exact"/>
        <w:rPr>
          <w:rFonts w:ascii="Courier New" w:cs="Courier New" w:eastAsia="Courier New" w:hAnsi="Courier New"/>
          <w:sz w:val="12"/>
          <w:szCs w:val="12"/>
          <w:u w:val="single" w:color="auto"/>
          <w:color w:val="auto"/>
        </w:rPr>
      </w:pPr>
    </w:p>
    <w:p>
      <w:pPr>
        <w:ind w:left="4820" w:hanging="279"/>
        <w:spacing w:after="0"/>
        <w:tabs>
          <w:tab w:leader="none" w:pos="4820" w:val="left"/>
        </w:tabs>
        <w:numPr>
          <w:ilvl w:val="1"/>
          <w:numId w:val="1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END OF NARRATIVE H0001 ***</w:t>
      </w:r>
    </w:p>
    <w:p>
      <w:pPr>
        <w:sectPr>
          <w:pgSz w:w="11900" w:h="16838" w:orient="portrait"/>
          <w:cols w:equalWidth="0" w:num="1">
            <w:col w:w="11040"/>
          </w:cols>
          <w:pgMar w:left="320" w:top="146" w:right="5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20"/>
          <w:szCs w:val="20"/>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940" w:type="dxa"/>
            <w:vAlign w:val="bottom"/>
            <w:tcBorders>
              <w:top w:val="single" w:sz="8" w:color="auto"/>
            </w:tcBorders>
            <w:gridSpan w:val="8"/>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AMENDMENT OF SOLICITATION/MODIFICATION OF CONTRACT</w:t>
            </w:r>
          </w:p>
        </w:tc>
        <w:tc>
          <w:tcPr>
            <w:tcW w:w="80" w:type="dxa"/>
            <w:vAlign w:val="bottom"/>
            <w:tcBorders>
              <w:top w:val="single" w:sz="8" w:color="auto"/>
              <w:right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 Contract ID Code</w:t>
            </w: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Page  </w:t>
            </w:r>
            <w:r>
              <w:rPr>
                <w:rFonts w:ascii="Courier New" w:cs="Courier New" w:eastAsia="Courier New" w:hAnsi="Courier New"/>
                <w:sz w:val="12"/>
                <w:szCs w:val="12"/>
                <w:color w:val="auto"/>
              </w:rPr>
              <w:t>1</w:t>
            </w:r>
          </w:p>
        </w:tc>
        <w:tc>
          <w:tcPr>
            <w:tcW w:w="11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Of </w:t>
            </w:r>
            <w:r>
              <w:rPr>
                <w:rFonts w:ascii="Courier New" w:cs="Courier New" w:eastAsia="Courier New" w:hAnsi="Courier New"/>
                <w:sz w:val="12"/>
                <w:szCs w:val="12"/>
                <w:color w:val="auto"/>
              </w:rPr>
              <w:t>4</w:t>
            </w:r>
          </w:p>
        </w:tc>
        <w:tc>
          <w:tcPr>
            <w:tcW w:w="0" w:type="dxa"/>
            <w:vAlign w:val="bottom"/>
          </w:tcPr>
          <w:p>
            <w:pPr>
              <w:spacing w:after="0"/>
              <w:rPr>
                <w:sz w:val="1"/>
                <w:szCs w:val="1"/>
                <w:color w:val="auto"/>
              </w:rPr>
            </w:pPr>
          </w:p>
        </w:tc>
      </w:tr>
      <w:tr>
        <w:trPr>
          <w:trHeight w:val="117"/>
        </w:trPr>
        <w:tc>
          <w:tcPr>
            <w:tcW w:w="6940" w:type="dxa"/>
            <w:vAlign w:val="bottom"/>
            <w:gridSpan w:val="8"/>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040" w:type="dxa"/>
            <w:vAlign w:val="bottom"/>
            <w:tcBorders>
              <w:right w:val="single" w:sz="8" w:color="auto"/>
            </w:tcBorders>
            <w:gridSpan w:val="2"/>
            <w:vMerge w:val="restart"/>
          </w:tcPr>
          <w:p>
            <w:pPr>
              <w:ind w:left="80"/>
              <w:spacing w:after="0"/>
              <w:rPr>
                <w:sz w:val="20"/>
                <w:szCs w:val="20"/>
                <w:color w:val="auto"/>
              </w:rPr>
            </w:pPr>
            <w:r>
              <w:rPr>
                <w:rFonts w:ascii="Courier New" w:cs="Courier New" w:eastAsia="Courier New" w:hAnsi="Courier New"/>
                <w:sz w:val="12"/>
                <w:szCs w:val="12"/>
                <w:color w:val="auto"/>
              </w:rPr>
              <w:t>Firm Fixed Price</w:t>
            </w: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2040" w:type="dxa"/>
            <w:vAlign w:val="bottom"/>
            <w:tcBorders>
              <w:bottom w:val="single" w:sz="8" w:color="auto"/>
              <w:right w:val="single" w:sz="8" w:color="auto"/>
            </w:tcBorders>
            <w:gridSpan w:val="2"/>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2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2. Amendment/Modification No.</w:t>
            </w:r>
          </w:p>
        </w:tc>
        <w:tc>
          <w:tcPr>
            <w:tcW w:w="16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3. Effective Date</w:t>
            </w:r>
          </w:p>
        </w:tc>
        <w:tc>
          <w:tcPr>
            <w:tcW w:w="20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4. Requisition/Purchase Req No.</w:t>
            </w:r>
          </w:p>
        </w:tc>
        <w:tc>
          <w:tcPr>
            <w:tcW w:w="8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29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5. Project No. (If applicable)</w:t>
            </w:r>
          </w:p>
        </w:tc>
        <w:tc>
          <w:tcPr>
            <w:tcW w:w="0" w:type="dxa"/>
            <w:vAlign w:val="bottom"/>
          </w:tcPr>
          <w:p>
            <w:pPr>
              <w:spacing w:after="0"/>
              <w:rPr>
                <w:sz w:val="1"/>
                <w:szCs w:val="1"/>
                <w:color w:val="auto"/>
              </w:rPr>
            </w:pPr>
          </w:p>
        </w:tc>
      </w:tr>
      <w:tr>
        <w:trPr>
          <w:trHeight w:val="386"/>
        </w:trPr>
        <w:tc>
          <w:tcPr>
            <w:tcW w:w="3200" w:type="dxa"/>
            <w:vAlign w:val="bottom"/>
            <w:tcBorders>
              <w:bottom w:val="single" w:sz="8" w:color="auto"/>
              <w:right w:val="single" w:sz="8" w:color="auto"/>
            </w:tcBorders>
            <w:gridSpan w:val="3"/>
          </w:tcPr>
          <w:p>
            <w:pPr>
              <w:ind w:left="800"/>
              <w:spacing w:after="0"/>
              <w:rPr>
                <w:sz w:val="20"/>
                <w:szCs w:val="20"/>
                <w:color w:val="auto"/>
              </w:rPr>
            </w:pPr>
            <w:r>
              <w:rPr>
                <w:rFonts w:ascii="Courier New" w:cs="Courier New" w:eastAsia="Courier New" w:hAnsi="Courier New"/>
                <w:sz w:val="12"/>
                <w:szCs w:val="12"/>
                <w:color w:val="auto"/>
              </w:rPr>
              <w:t>P00003</w:t>
            </w:r>
          </w:p>
        </w:tc>
        <w:tc>
          <w:tcPr>
            <w:tcW w:w="1660" w:type="dxa"/>
            <w:vAlign w:val="bottom"/>
            <w:tcBorders>
              <w:bottom w:val="single" w:sz="8" w:color="auto"/>
              <w:right w:val="single" w:sz="8" w:color="auto"/>
            </w:tcBorders>
            <w:gridSpan w:val="2"/>
          </w:tcPr>
          <w:p>
            <w:pPr>
              <w:ind w:left="580"/>
              <w:spacing w:after="0"/>
              <w:rPr>
                <w:sz w:val="20"/>
                <w:szCs w:val="20"/>
                <w:color w:val="auto"/>
              </w:rPr>
            </w:pPr>
            <w:r>
              <w:rPr>
                <w:rFonts w:ascii="Courier New" w:cs="Courier New" w:eastAsia="Courier New" w:hAnsi="Courier New"/>
                <w:sz w:val="12"/>
                <w:szCs w:val="12"/>
                <w:color w:val="auto"/>
              </w:rPr>
              <w:t>2021JUL08</w:t>
            </w:r>
          </w:p>
        </w:tc>
        <w:tc>
          <w:tcPr>
            <w:tcW w:w="2080" w:type="dxa"/>
            <w:vAlign w:val="bottom"/>
            <w:tcBorders>
              <w:bottom w:val="single" w:sz="8" w:color="auto"/>
            </w:tcBorders>
            <w:gridSpan w:val="3"/>
          </w:tcPr>
          <w:p>
            <w:pPr>
              <w:ind w:left="760"/>
              <w:spacing w:after="0"/>
              <w:rPr>
                <w:sz w:val="20"/>
                <w:szCs w:val="20"/>
                <w:color w:val="auto"/>
              </w:rPr>
            </w:pPr>
            <w:r>
              <w:rPr>
                <w:rFonts w:ascii="Courier New" w:cs="Courier New" w:eastAsia="Courier New" w:hAnsi="Courier New"/>
                <w:sz w:val="12"/>
                <w:szCs w:val="12"/>
                <w:color w:val="auto"/>
              </w:rPr>
              <w:t>SEE SCHEDULE</w:t>
            </w: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9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6. Issued By</w:t>
            </w:r>
          </w:p>
        </w:tc>
        <w:tc>
          <w:tcPr>
            <w:tcW w:w="2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Code</w:t>
            </w:r>
          </w:p>
        </w:tc>
        <w:tc>
          <w:tcPr>
            <w:tcW w:w="920" w:type="dxa"/>
            <w:vAlign w:val="bottom"/>
            <w:tcBorders>
              <w:right w:val="single" w:sz="8" w:color="auto"/>
            </w:tcBorders>
          </w:tcPr>
          <w:p>
            <w:pPr>
              <w:spacing w:after="0"/>
              <w:rPr>
                <w:sz w:val="21"/>
                <w:szCs w:val="21"/>
                <w:color w:val="auto"/>
              </w:rPr>
            </w:pPr>
          </w:p>
        </w:tc>
        <w:tc>
          <w:tcPr>
            <w:tcW w:w="740" w:type="dxa"/>
            <w:vAlign w:val="bottom"/>
            <w:tcBorders>
              <w:right w:val="single" w:sz="8" w:color="auto"/>
            </w:tcBorders>
          </w:tcPr>
          <w:p>
            <w:pPr>
              <w:ind w:left="120"/>
              <w:spacing w:after="0"/>
              <w:rPr>
                <w:sz w:val="20"/>
                <w:szCs w:val="20"/>
                <w:color w:val="auto"/>
              </w:rPr>
            </w:pPr>
            <w:r>
              <w:rPr>
                <w:rFonts w:ascii="Courier New" w:cs="Courier New" w:eastAsia="Courier New" w:hAnsi="Courier New"/>
                <w:sz w:val="12"/>
                <w:szCs w:val="12"/>
                <w:color w:val="auto"/>
              </w:rPr>
              <w:t>W15QKN</w:t>
            </w:r>
          </w:p>
        </w:tc>
        <w:tc>
          <w:tcPr>
            <w:tcW w:w="428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7. Administered By (If other than Item 6)  Code</w:t>
            </w:r>
          </w:p>
        </w:tc>
        <w:tc>
          <w:tcPr>
            <w:tcW w:w="58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6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W58P05</w:t>
            </w:r>
          </w:p>
        </w:tc>
        <w:tc>
          <w:tcPr>
            <w:tcW w:w="0" w:type="dxa"/>
            <w:vAlign w:val="bottom"/>
          </w:tcPr>
          <w:p>
            <w:pPr>
              <w:spacing w:after="0"/>
              <w:rPr>
                <w:sz w:val="1"/>
                <w:szCs w:val="1"/>
                <w:color w:val="auto"/>
              </w:rPr>
            </w:pPr>
          </w:p>
        </w:tc>
      </w:tr>
      <w:tr>
        <w:trPr>
          <w:trHeight w:val="215"/>
        </w:trPr>
        <w:tc>
          <w:tcPr>
            <w:tcW w:w="3200" w:type="dxa"/>
            <w:vAlign w:val="bottom"/>
            <w:gridSpan w:val="3"/>
          </w:tcPr>
          <w:p>
            <w:pPr>
              <w:ind w:left="360"/>
              <w:spacing w:after="0"/>
              <w:rPr>
                <w:sz w:val="20"/>
                <w:szCs w:val="20"/>
                <w:color w:val="auto"/>
              </w:rPr>
            </w:pPr>
            <w:r>
              <w:rPr>
                <w:rFonts w:ascii="Courier New" w:cs="Courier New" w:eastAsia="Courier New" w:hAnsi="Courier New"/>
                <w:sz w:val="12"/>
                <w:szCs w:val="12"/>
                <w:color w:val="auto"/>
              </w:rPr>
              <w:t>ARMY CONTRACTING COMMAND - NJ</w:t>
            </w:r>
          </w:p>
        </w:tc>
        <w:tc>
          <w:tcPr>
            <w:tcW w:w="920" w:type="dxa"/>
            <w:vAlign w:val="bottom"/>
          </w:tcPr>
          <w:p>
            <w:pPr>
              <w:spacing w:after="0"/>
              <w:rPr>
                <w:sz w:val="18"/>
                <w:szCs w:val="18"/>
                <w:color w:val="auto"/>
              </w:rPr>
            </w:pPr>
          </w:p>
        </w:tc>
        <w:tc>
          <w:tcPr>
            <w:tcW w:w="740" w:type="dxa"/>
            <w:vAlign w:val="bottom"/>
            <w:tcBorders>
              <w:top w:val="single" w:sz="8" w:color="auto"/>
              <w:right w:val="single" w:sz="8" w:color="auto"/>
            </w:tcBorders>
          </w:tcPr>
          <w:p>
            <w:pPr>
              <w:spacing w:after="0"/>
              <w:rPr>
                <w:sz w:val="18"/>
                <w:szCs w:val="18"/>
                <w:color w:val="auto"/>
              </w:rPr>
            </w:pPr>
          </w:p>
        </w:tc>
        <w:tc>
          <w:tcPr>
            <w:tcW w:w="4280" w:type="dxa"/>
            <w:vAlign w:val="bottom"/>
            <w:gridSpan w:val="7"/>
          </w:tcPr>
          <w:p>
            <w:pPr>
              <w:ind w:left="400"/>
              <w:spacing w:after="0"/>
              <w:rPr>
                <w:sz w:val="20"/>
                <w:szCs w:val="20"/>
                <w:color w:val="auto"/>
              </w:rPr>
            </w:pPr>
            <w:r>
              <w:rPr>
                <w:rFonts w:ascii="Courier New" w:cs="Courier New" w:eastAsia="Courier New" w:hAnsi="Courier New"/>
                <w:sz w:val="12"/>
                <w:szCs w:val="12"/>
                <w:color w:val="auto"/>
              </w:rPr>
              <w:t>RDECOM ACQUISITION CENTER / NCD AMSRD-</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00" w:type="dxa"/>
            <w:vAlign w:val="bottom"/>
            <w:gridSpan w:val="3"/>
          </w:tcPr>
          <w:p>
            <w:pPr>
              <w:ind w:left="360"/>
              <w:spacing w:after="0"/>
              <w:rPr>
                <w:sz w:val="20"/>
                <w:szCs w:val="20"/>
                <w:color w:val="auto"/>
              </w:rPr>
            </w:pPr>
            <w:r>
              <w:rPr>
                <w:rFonts w:ascii="Courier New" w:cs="Courier New" w:eastAsia="Courier New" w:hAnsi="Courier New"/>
                <w:sz w:val="12"/>
                <w:szCs w:val="12"/>
                <w:color w:val="auto"/>
              </w:rPr>
              <w:t>PICATINNY ARSENAL, NJ 07806-5000</w:t>
            </w:r>
          </w:p>
        </w:tc>
        <w:tc>
          <w:tcPr>
            <w:tcW w:w="9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2080" w:type="dxa"/>
            <w:vAlign w:val="bottom"/>
            <w:gridSpan w:val="3"/>
          </w:tcPr>
          <w:p>
            <w:pPr>
              <w:ind w:left="400"/>
              <w:spacing w:after="0"/>
              <w:rPr>
                <w:sz w:val="20"/>
                <w:szCs w:val="20"/>
                <w:color w:val="auto"/>
              </w:rPr>
            </w:pPr>
            <w:r>
              <w:rPr>
                <w:rFonts w:ascii="Courier New" w:cs="Courier New" w:eastAsia="Courier New" w:hAnsi="Courier New"/>
                <w:sz w:val="12"/>
                <w:szCs w:val="12"/>
                <w:color w:val="auto"/>
              </w:rPr>
              <w:t>ACC-NM</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4280" w:type="dxa"/>
            <w:vAlign w:val="bottom"/>
            <w:gridSpan w:val="7"/>
          </w:tcPr>
          <w:p>
            <w:pPr>
              <w:ind w:left="400"/>
              <w:spacing w:after="0"/>
              <w:rPr>
                <w:sz w:val="20"/>
                <w:szCs w:val="20"/>
                <w:color w:val="auto"/>
              </w:rPr>
            </w:pPr>
            <w:r>
              <w:rPr>
                <w:rFonts w:ascii="Courier New" w:cs="Courier New" w:eastAsia="Courier New" w:hAnsi="Courier New"/>
                <w:sz w:val="12"/>
                <w:szCs w:val="12"/>
                <w:color w:val="auto"/>
              </w:rPr>
              <w:t>10 GENERAL GREEN AVE, BLDG 1</w:t>
            </w: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2080" w:type="dxa"/>
            <w:vAlign w:val="bottom"/>
            <w:gridSpan w:val="3"/>
          </w:tcPr>
          <w:p>
            <w:pPr>
              <w:ind w:left="400"/>
              <w:spacing w:after="0"/>
              <w:rPr>
                <w:sz w:val="20"/>
                <w:szCs w:val="20"/>
                <w:color w:val="auto"/>
              </w:rPr>
            </w:pPr>
            <w:r>
              <w:rPr>
                <w:rFonts w:ascii="Courier New" w:cs="Courier New" w:eastAsia="Courier New" w:hAnsi="Courier New"/>
                <w:sz w:val="12"/>
                <w:szCs w:val="12"/>
                <w:color w:val="auto"/>
              </w:rPr>
              <w:t>NATICK, MA 01760-5011</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8"/>
        </w:trPr>
        <w:tc>
          <w:tcPr>
            <w:tcW w:w="920" w:type="dxa"/>
            <w:vAlign w:val="bottom"/>
            <w:tcBorders>
              <w:bottom w:val="single" w:sz="8" w:color="auto"/>
            </w:tcBorders>
          </w:tcPr>
          <w:p>
            <w:pPr>
              <w:ind w:left="360"/>
              <w:spacing w:after="0"/>
              <w:rPr>
                <w:sz w:val="20"/>
                <w:szCs w:val="20"/>
                <w:color w:val="auto"/>
              </w:rPr>
            </w:pPr>
            <w:r>
              <w:rPr>
                <w:rFonts w:ascii="Courier New" w:cs="Courier New" w:eastAsia="Courier New" w:hAnsi="Courier New"/>
                <w:sz w:val="12"/>
                <w:szCs w:val="12"/>
                <w:color w:val="auto"/>
              </w:rPr>
              <w:t>EMAIL:</w:t>
            </w:r>
          </w:p>
        </w:tc>
        <w:tc>
          <w:tcPr>
            <w:tcW w:w="9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3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8. Name And Address Of Contractor (No., Street, City, County, State and Zip Code)</w:t>
            </w:r>
          </w:p>
        </w:tc>
        <w:tc>
          <w:tcPr>
            <w:tcW w:w="4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9A. Amendment Of Solicitation No.</w:t>
            </w: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3200" w:type="dxa"/>
            <w:vAlign w:val="bottom"/>
            <w:gridSpan w:val="3"/>
          </w:tcPr>
          <w:p>
            <w:pPr>
              <w:ind w:left="400"/>
              <w:spacing w:after="0"/>
              <w:rPr>
                <w:sz w:val="20"/>
                <w:szCs w:val="20"/>
                <w:color w:val="auto"/>
              </w:rPr>
            </w:pPr>
            <w:r>
              <w:rPr>
                <w:rFonts w:ascii="Courier New" w:cs="Courier New" w:eastAsia="Courier New" w:hAnsi="Courier New"/>
                <w:sz w:val="12"/>
                <w:szCs w:val="12"/>
                <w:color w:val="auto"/>
              </w:rPr>
              <w:t>REGENERON PHARMACEUTICALS, INC.</w:t>
            </w: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480" w:type="dxa"/>
            <w:vAlign w:val="bottom"/>
            <w:tcBorders>
              <w:right w:val="single" w:sz="8" w:color="auto"/>
            </w:tcBorders>
          </w:tcPr>
          <w:p>
            <w:pPr>
              <w:ind w:left="120"/>
              <w:spacing w:after="0" w:line="201" w:lineRule="exact"/>
              <w:rPr>
                <w:sz w:val="20"/>
                <w:szCs w:val="20"/>
                <w:color w:val="auto"/>
              </w:rPr>
            </w:pPr>
            <w:r>
              <w:rPr>
                <w:rFonts w:ascii="MS PGothic" w:cs="MS PGothic" w:eastAsia="MS PGothic" w:hAnsi="MS PGothic"/>
                <w:sz w:val="20"/>
                <w:szCs w:val="20"/>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3200" w:type="dxa"/>
            <w:vAlign w:val="bottom"/>
            <w:gridSpan w:val="3"/>
            <w:vMerge w:val="restart"/>
          </w:tcPr>
          <w:p>
            <w:pPr>
              <w:ind w:left="400"/>
              <w:spacing w:after="0"/>
              <w:rPr>
                <w:sz w:val="20"/>
                <w:szCs w:val="20"/>
                <w:color w:val="auto"/>
              </w:rPr>
            </w:pPr>
            <w:r>
              <w:rPr>
                <w:rFonts w:ascii="Courier New" w:cs="Courier New" w:eastAsia="Courier New" w:hAnsi="Courier New"/>
                <w:sz w:val="12"/>
                <w:szCs w:val="12"/>
                <w:color w:val="auto"/>
              </w:rPr>
              <w:t>777 OLD SAW MILL RIVER RD</w:t>
            </w: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480" w:type="dxa"/>
            <w:vAlign w:val="bottom"/>
            <w:tcBorders>
              <w:bottom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3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3200" w:type="dxa"/>
            <w:vAlign w:val="bottom"/>
            <w:gridSpan w:val="3"/>
          </w:tcPr>
          <w:p>
            <w:pPr>
              <w:ind w:left="400"/>
              <w:spacing w:after="0" w:line="106" w:lineRule="exact"/>
              <w:rPr>
                <w:sz w:val="20"/>
                <w:szCs w:val="20"/>
                <w:color w:val="auto"/>
              </w:rPr>
            </w:pPr>
            <w:r>
              <w:rPr>
                <w:rFonts w:ascii="Courier New" w:cs="Courier New" w:eastAsia="Courier New" w:hAnsi="Courier New"/>
                <w:sz w:val="12"/>
                <w:szCs w:val="12"/>
                <w:color w:val="auto"/>
              </w:rPr>
              <w:t>TARRYTOWN, NY 10591-6717</w:t>
            </w:r>
          </w:p>
        </w:tc>
        <w:tc>
          <w:tcPr>
            <w:tcW w:w="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9B. Dated (See Item 11)</w:t>
            </w: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480" w:type="dxa"/>
            <w:vAlign w:val="bottom"/>
            <w:tcBorders>
              <w:right w:val="single" w:sz="8" w:color="auto"/>
            </w:tcBorders>
          </w:tcPr>
          <w:p>
            <w:pPr>
              <w:ind w:left="120"/>
              <w:spacing w:after="0" w:line="201" w:lineRule="exact"/>
              <w:rPr>
                <w:sz w:val="20"/>
                <w:szCs w:val="20"/>
                <w:color w:val="auto"/>
              </w:rPr>
            </w:pPr>
            <w:r>
              <w:rPr>
                <w:rFonts w:ascii="MS PGothic" w:cs="MS PGothic" w:eastAsia="MS PGothic" w:hAnsi="MS PGothic"/>
                <w:sz w:val="20"/>
                <w:szCs w:val="20"/>
                <w:color w:val="auto"/>
              </w:rPr>
              <w:t>☒</w:t>
            </w:r>
          </w:p>
        </w:tc>
        <w:tc>
          <w:tcPr>
            <w:tcW w:w="100" w:type="dxa"/>
            <w:vAlign w:val="bottom"/>
          </w:tcPr>
          <w:p>
            <w:pPr>
              <w:spacing w:after="0"/>
              <w:rPr>
                <w:sz w:val="24"/>
                <w:szCs w:val="24"/>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10A. Modification Of Contract/Order No.</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9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0" w:type="dxa"/>
            <w:vAlign w:val="bottom"/>
            <w:gridSpan w:val="4"/>
            <w:vMerge w:val="restart"/>
          </w:tcPr>
          <w:p>
            <w:pPr>
              <w:ind w:left="20"/>
              <w:spacing w:after="0"/>
              <w:rPr>
                <w:sz w:val="20"/>
                <w:szCs w:val="20"/>
                <w:color w:val="auto"/>
              </w:rPr>
            </w:pPr>
            <w:r>
              <w:rPr>
                <w:rFonts w:ascii="Courier New" w:cs="Courier New" w:eastAsia="Courier New" w:hAnsi="Courier New"/>
                <w:sz w:val="12"/>
                <w:szCs w:val="12"/>
                <w:color w:val="auto"/>
              </w:rPr>
              <w:t>W15QKN-21-C-0014</w:t>
            </w: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vMerge w:val="continue"/>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9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4"/>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10B. Dated (See Item 13)</w:t>
            </w: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Code </w:t>
            </w:r>
            <w:r>
              <w:rPr>
                <w:rFonts w:ascii="Courier New" w:cs="Courier New" w:eastAsia="Courier New" w:hAnsi="Courier New"/>
                <w:sz w:val="12"/>
                <w:szCs w:val="12"/>
                <w:color w:val="auto"/>
              </w:rPr>
              <w:t>544P9</w:t>
            </w:r>
          </w:p>
        </w:tc>
        <w:tc>
          <w:tcPr>
            <w:tcW w:w="9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Facility Code</w:t>
            </w:r>
          </w:p>
        </w:tc>
        <w:tc>
          <w:tcPr>
            <w:tcW w:w="9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ind w:left="20"/>
              <w:spacing w:after="0"/>
              <w:rPr>
                <w:sz w:val="20"/>
                <w:szCs w:val="20"/>
                <w:color w:val="auto"/>
              </w:rPr>
            </w:pPr>
            <w:r>
              <w:rPr>
                <w:rFonts w:ascii="Courier New" w:cs="Courier New" w:eastAsia="Courier New" w:hAnsi="Courier New"/>
                <w:sz w:val="12"/>
                <w:szCs w:val="12"/>
                <w:color w:val="auto"/>
              </w:rPr>
              <w:t>2021JAN12</w:t>
            </w:r>
          </w:p>
        </w:tc>
        <w:tc>
          <w:tcPr>
            <w:tcW w:w="5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jc w:val="center"/>
        <w:ind w:right="140"/>
        <w:spacing w:after="0"/>
        <w:rPr>
          <w:sz w:val="20"/>
          <w:szCs w:val="20"/>
          <w:color w:val="auto"/>
        </w:rPr>
      </w:pPr>
      <w:r>
        <w:rPr>
          <w:rFonts w:ascii="Times New Roman" w:cs="Times New Roman" w:eastAsia="Times New Roman" w:hAnsi="Times New Roman"/>
          <w:sz w:val="13"/>
          <w:szCs w:val="13"/>
          <w:b w:val="1"/>
          <w:bCs w:val="1"/>
          <w:color w:val="464646"/>
        </w:rPr>
        <w:t>11. THIS ITEM ONLY APPLIES TO AMENDMENTS OF SOLICITATIONS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24130</wp:posOffset>
            </wp:positionV>
            <wp:extent cx="69126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12610" cy="8255"/>
                    </a:xfrm>
                    <a:prstGeom prst="rect">
                      <a:avLst/>
                    </a:prstGeom>
                    <a:noFill/>
                  </pic:spPr>
                </pic:pic>
              </a:graphicData>
            </a:graphic>
          </wp:anchor>
        </w:drawing>
      </w:r>
    </w:p>
    <w:p>
      <w:pPr>
        <w:spacing w:after="0" w:line="98" w:lineRule="exact"/>
        <w:rPr>
          <w:sz w:val="20"/>
          <w:szCs w:val="20"/>
          <w:color w:val="auto"/>
        </w:rPr>
      </w:pPr>
    </w:p>
    <w:p>
      <w:pPr>
        <w:ind w:left="580" w:hanging="205"/>
        <w:spacing w:after="0"/>
        <w:tabs>
          <w:tab w:leader="none" w:pos="580" w:val="left"/>
        </w:tabs>
        <w:numPr>
          <w:ilvl w:val="0"/>
          <w:numId w:val="145"/>
        </w:numPr>
        <w:rPr>
          <w:rFonts w:ascii="MS PGothic" w:cs="MS PGothic" w:eastAsia="MS PGothic" w:hAnsi="MS PGothic"/>
          <w:sz w:val="20"/>
          <w:szCs w:val="20"/>
          <w:color w:val="auto"/>
        </w:rPr>
      </w:pPr>
      <w:r>
        <w:rPr>
          <w:rFonts w:ascii="Times New Roman" w:cs="Times New Roman" w:eastAsia="Times New Roman" w:hAnsi="Times New Roman"/>
          <w:sz w:val="13"/>
          <w:szCs w:val="13"/>
          <w:b w:val="1"/>
          <w:bCs w:val="1"/>
          <w:color w:val="464646"/>
        </w:rPr>
        <w:t xml:space="preserve">The </w:t>
      </w:r>
      <w:r>
        <w:rPr>
          <w:rFonts w:ascii="Times New Roman" w:cs="Times New Roman" w:eastAsia="Times New Roman" w:hAnsi="Times New Roman"/>
          <w:sz w:val="13"/>
          <w:szCs w:val="13"/>
          <w:b w:val="1"/>
          <w:bCs w:val="1"/>
          <w:color w:val="363636"/>
        </w:rPr>
        <w:t>above numbered</w:t>
      </w:r>
      <w:r>
        <w:rPr>
          <w:rFonts w:ascii="Times New Roman" w:cs="Times New Roman" w:eastAsia="Times New Roman" w:hAnsi="Times New Roman"/>
          <w:sz w:val="13"/>
          <w:szCs w:val="13"/>
          <w:b w:val="1"/>
          <w:bCs w:val="1"/>
          <w:color w:val="464646"/>
        </w:rPr>
        <w:t xml:space="preserve"> solicitation </w:t>
      </w:r>
      <w:r>
        <w:rPr>
          <w:rFonts w:ascii="Times New Roman" w:cs="Times New Roman" w:eastAsia="Times New Roman" w:hAnsi="Times New Roman"/>
          <w:sz w:val="13"/>
          <w:szCs w:val="13"/>
          <w:b w:val="1"/>
          <w:bCs w:val="1"/>
          <w:color w:val="363636"/>
        </w:rPr>
        <w:t>is amended as</w:t>
      </w:r>
      <w:r>
        <w:rPr>
          <w:rFonts w:ascii="Times New Roman" w:cs="Times New Roman" w:eastAsia="Times New Roman" w:hAnsi="Times New Roman"/>
          <w:sz w:val="13"/>
          <w:szCs w:val="13"/>
          <w:b w:val="1"/>
          <w:bCs w:val="1"/>
          <w:color w:val="464646"/>
        </w:rPr>
        <w:t xml:space="preserve"> set </w:t>
      </w:r>
      <w:r>
        <w:rPr>
          <w:rFonts w:ascii="Times New Roman" w:cs="Times New Roman" w:eastAsia="Times New Roman" w:hAnsi="Times New Roman"/>
          <w:sz w:val="13"/>
          <w:szCs w:val="13"/>
          <w:b w:val="1"/>
          <w:bCs w:val="1"/>
          <w:color w:val="363636"/>
        </w:rPr>
        <w:t>forth in item 14.</w:t>
      </w:r>
      <w:r>
        <w:rPr>
          <w:rFonts w:ascii="Times New Roman" w:cs="Times New Roman" w:eastAsia="Times New Roman" w:hAnsi="Times New Roman"/>
          <w:sz w:val="13"/>
          <w:szCs w:val="13"/>
          <w:b w:val="1"/>
          <w:bCs w:val="1"/>
          <w:color w:val="464646"/>
        </w:rPr>
        <w:t xml:space="preserve"> The </w:t>
      </w:r>
      <w:r>
        <w:rPr>
          <w:rFonts w:ascii="Times New Roman" w:cs="Times New Roman" w:eastAsia="Times New Roman" w:hAnsi="Times New Roman"/>
          <w:sz w:val="13"/>
          <w:szCs w:val="13"/>
          <w:b w:val="1"/>
          <w:bCs w:val="1"/>
          <w:color w:val="363636"/>
        </w:rPr>
        <w:t>hour and date specified for receipt of Offers</w:t>
      </w:r>
    </w:p>
    <w:p>
      <w:pPr>
        <w:spacing w:after="0" w:line="40" w:lineRule="exact"/>
        <w:rPr>
          <w:rFonts w:ascii="MS PGothic" w:cs="MS PGothic" w:eastAsia="MS PGothic" w:hAnsi="MS PGothic"/>
          <w:sz w:val="20"/>
          <w:szCs w:val="20"/>
          <w:color w:val="auto"/>
        </w:rPr>
      </w:pPr>
    </w:p>
    <w:p>
      <w:pPr>
        <w:ind w:left="900" w:hanging="206"/>
        <w:spacing w:after="0" w:line="219" w:lineRule="exact"/>
        <w:tabs>
          <w:tab w:leader="none" w:pos="900" w:val="left"/>
        </w:tabs>
        <w:numPr>
          <w:ilvl w:val="1"/>
          <w:numId w:val="145"/>
        </w:numPr>
        <w:rPr>
          <w:rFonts w:ascii="MS PGothic" w:cs="MS PGothic" w:eastAsia="MS PGothic" w:hAnsi="MS PGothic"/>
          <w:sz w:val="20"/>
          <w:szCs w:val="20"/>
          <w:color w:val="auto"/>
        </w:rPr>
      </w:pPr>
      <w:r>
        <w:rPr>
          <w:rFonts w:ascii="Times New Roman" w:cs="Times New Roman" w:eastAsia="Times New Roman" w:hAnsi="Times New Roman"/>
          <w:sz w:val="13"/>
          <w:szCs w:val="13"/>
          <w:b w:val="1"/>
          <w:bCs w:val="1"/>
          <w:color w:val="363636"/>
        </w:rPr>
        <w:t xml:space="preserve">is extended, </w:t>
      </w:r>
      <w:r>
        <w:rPr>
          <w:rFonts w:ascii="MS PGothic" w:cs="MS PGothic" w:eastAsia="MS PGothic" w:hAnsi="MS PGothic"/>
          <w:sz w:val="19"/>
          <w:szCs w:val="19"/>
          <w:color w:val="000000"/>
        </w:rPr>
        <w:t>☐</w:t>
      </w:r>
      <w:r>
        <w:rPr>
          <w:rFonts w:ascii="Times New Roman" w:cs="Times New Roman" w:eastAsia="Times New Roman" w:hAnsi="Times New Roman"/>
          <w:sz w:val="13"/>
          <w:szCs w:val="13"/>
          <w:b w:val="1"/>
          <w:bCs w:val="1"/>
          <w:color w:val="363636"/>
        </w:rPr>
        <w:t xml:space="preserve"> is not extended.</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Offers must acknowledge receipt of this amendment prior to the hour and date specified in the solicitation or as amended by one of the following methods:</w:t>
      </w:r>
    </w:p>
    <w:p>
      <w:pPr>
        <w:ind w:left="360"/>
        <w:spacing w:after="0" w:line="225" w:lineRule="auto"/>
        <w:tabs>
          <w:tab w:leader="none" w:pos="4260" w:val="left"/>
        </w:tabs>
        <w:rPr>
          <w:sz w:val="20"/>
          <w:szCs w:val="20"/>
          <w:color w:val="auto"/>
        </w:rPr>
      </w:pPr>
      <w:r>
        <w:rPr>
          <w:rFonts w:ascii="Times New Roman" w:cs="Times New Roman" w:eastAsia="Times New Roman" w:hAnsi="Times New Roman"/>
          <w:sz w:val="14"/>
          <w:szCs w:val="14"/>
          <w:b w:val="1"/>
          <w:bCs w:val="1"/>
          <w:color w:val="auto"/>
        </w:rPr>
        <w:t>(a) By completing items 8 and 15, and returning ___________</w:t>
        <w:tab/>
        <w:t>copies of the amendments: (b) By acknowledging receipt of this amendment on each copy of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-3175</wp:posOffset>
            </wp:positionV>
            <wp:extent cx="908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0805" cy="8255"/>
                    </a:xfrm>
                    <a:prstGeom prst="rect">
                      <a:avLst/>
                    </a:prstGeom>
                    <a:noFill/>
                  </pic:spPr>
                </pic:pic>
              </a:graphicData>
            </a:graphic>
          </wp:anchor>
        </w:drawing>
      </w:r>
    </w:p>
    <w:p>
      <w:pPr>
        <w:ind w:left="360" w:right="740"/>
        <w:spacing w:after="0" w:line="219" w:lineRule="auto"/>
        <w:rPr>
          <w:sz w:val="20"/>
          <w:szCs w:val="20"/>
          <w:color w:val="auto"/>
        </w:rPr>
      </w:pPr>
      <w:r>
        <w:rPr>
          <w:rFonts w:ascii="Times New Roman" w:cs="Times New Roman" w:eastAsia="Times New Roman" w:hAnsi="Times New Roman"/>
          <w:sz w:val="14"/>
          <w:szCs w:val="14"/>
          <w:b w:val="1"/>
          <w:bCs w:val="1"/>
          <w:color w:val="auto"/>
        </w:rPr>
        <w:t>submitted; or (c) By separate letter or telegram which includes a reference to the solicitation and amendment numbers. FAILURE OF YOUR ACKNOWLEDGMENT TO BE RECEIVED AT THE PLACE DESIGNATED FOR THE RECEIPT OF OFFERS PRIOR TO THE HOUR AND DATE</w:t>
      </w:r>
    </w:p>
    <w:p>
      <w:pPr>
        <w:jc w:val="both"/>
        <w:ind w:left="360" w:right="420"/>
        <w:spacing w:after="0" w:line="260" w:lineRule="auto"/>
        <w:rPr>
          <w:sz w:val="20"/>
          <w:szCs w:val="20"/>
          <w:color w:val="auto"/>
        </w:rPr>
      </w:pPr>
      <w:r>
        <w:rPr>
          <w:rFonts w:ascii="Times New Roman" w:cs="Times New Roman" w:eastAsia="Times New Roman" w:hAnsi="Times New Roman"/>
          <w:sz w:val="14"/>
          <w:szCs w:val="14"/>
          <w:b w:val="1"/>
          <w:bCs w:val="1"/>
          <w:color w:val="auto"/>
        </w:rPr>
        <w:t>SPECIFIED MAY RESULT IN REJECTION OF YOUR OFFER. If by virtue of this amendment you desire to change an offer already submitted, such change may be made by telegram or letter, provided each telegram or letter makes reference to the solicitation and this amendment, and is received prior to the opening hour and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266700</wp:posOffset>
            </wp:positionV>
            <wp:extent cx="69380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3801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400" w:hanging="203"/>
        <w:spacing w:after="0"/>
        <w:tabs>
          <w:tab w:leader="none" w:pos="400" w:val="left"/>
        </w:tabs>
        <w:numPr>
          <w:ilvl w:val="0"/>
          <w:numId w:val="146"/>
        </w:numPr>
        <w:rPr>
          <w:rFonts w:ascii="Times New Roman" w:cs="Times New Roman" w:eastAsia="Times New Roman" w:hAnsi="Times New Roman"/>
          <w:sz w:val="13"/>
          <w:szCs w:val="13"/>
          <w:b w:val="1"/>
          <w:bCs w:val="1"/>
          <w:color w:val="464646"/>
        </w:rPr>
      </w:pPr>
      <w:r>
        <w:rPr>
          <w:rFonts w:ascii="Times New Roman" w:cs="Times New Roman" w:eastAsia="Times New Roman" w:hAnsi="Times New Roman"/>
          <w:sz w:val="13"/>
          <w:szCs w:val="13"/>
          <w:b w:val="1"/>
          <w:bCs w:val="1"/>
          <w:color w:val="464646"/>
        </w:rPr>
        <w:t xml:space="preserve">Accounting </w:t>
      </w:r>
      <w:r>
        <w:rPr>
          <w:rFonts w:ascii="Times New Roman" w:cs="Times New Roman" w:eastAsia="Times New Roman" w:hAnsi="Times New Roman"/>
          <w:sz w:val="13"/>
          <w:szCs w:val="13"/>
          <w:b w:val="1"/>
          <w:bCs w:val="1"/>
          <w:color w:val="363636"/>
        </w:rPr>
        <w:t>And</w:t>
      </w:r>
      <w:r>
        <w:rPr>
          <w:rFonts w:ascii="Times New Roman" w:cs="Times New Roman" w:eastAsia="Times New Roman" w:hAnsi="Times New Roman"/>
          <w:sz w:val="13"/>
          <w:szCs w:val="13"/>
          <w:b w:val="1"/>
          <w:bCs w:val="1"/>
          <w:color w:val="464646"/>
        </w:rPr>
        <w:t xml:space="preserve"> Appropriation </w:t>
      </w:r>
      <w:r>
        <w:rPr>
          <w:rFonts w:ascii="Times New Roman" w:cs="Times New Roman" w:eastAsia="Times New Roman" w:hAnsi="Times New Roman"/>
          <w:sz w:val="13"/>
          <w:szCs w:val="13"/>
          <w:b w:val="1"/>
          <w:bCs w:val="1"/>
          <w:color w:val="363636"/>
        </w:rPr>
        <w:t>Data (lf required)</w:t>
      </w:r>
    </w:p>
    <w:p>
      <w:pPr>
        <w:spacing w:after="0" w:line="41" w:lineRule="exact"/>
        <w:rPr>
          <w:rFonts w:ascii="Times New Roman" w:cs="Times New Roman" w:eastAsia="Times New Roman" w:hAnsi="Times New Roman"/>
          <w:sz w:val="13"/>
          <w:szCs w:val="13"/>
          <w:b w:val="1"/>
          <w:bCs w:val="1"/>
          <w:color w:val="464646"/>
        </w:rPr>
      </w:pPr>
    </w:p>
    <w:p>
      <w:pPr>
        <w:ind w:left="120"/>
        <w:spacing w:after="0"/>
        <w:rPr>
          <w:rFonts w:ascii="Times New Roman" w:cs="Times New Roman" w:eastAsia="Times New Roman" w:hAnsi="Times New Roman"/>
          <w:sz w:val="13"/>
          <w:szCs w:val="13"/>
          <w:b w:val="1"/>
          <w:bCs w:val="1"/>
          <w:color w:val="464646"/>
        </w:rPr>
      </w:pPr>
      <w:r>
        <w:rPr>
          <w:rFonts w:ascii="Times New Roman" w:cs="Times New Roman" w:eastAsia="Times New Roman" w:hAnsi="Times New Roman"/>
          <w:sz w:val="13"/>
          <w:szCs w:val="13"/>
          <w:color w:val="676767"/>
        </w:rPr>
        <w:t xml:space="preserve">NO CHANGE TO OBLIGATION </w:t>
      </w:r>
      <w:r>
        <w:rPr>
          <w:rFonts w:ascii="Times New Roman" w:cs="Times New Roman" w:eastAsia="Times New Roman" w:hAnsi="Times New Roman"/>
          <w:sz w:val="13"/>
          <w:szCs w:val="13"/>
          <w:color w:val="464646"/>
        </w:rPr>
        <w:t>DATA</w:t>
      </w:r>
    </w:p>
    <w:p>
      <w:pPr>
        <w:spacing w:after="0" w:line="127" w:lineRule="exact"/>
        <w:rPr>
          <w:rFonts w:ascii="Times New Roman" w:cs="Times New Roman" w:eastAsia="Times New Roman" w:hAnsi="Times New Roman"/>
          <w:sz w:val="13"/>
          <w:szCs w:val="13"/>
          <w:b w:val="1"/>
          <w:bCs w:val="1"/>
          <w:color w:val="464646"/>
        </w:rPr>
      </w:pPr>
    </w:p>
    <w:p>
      <w:pPr>
        <w:ind w:left="3780" w:right="3120" w:hanging="636"/>
        <w:spacing w:after="0" w:line="243" w:lineRule="auto"/>
        <w:tabs>
          <w:tab w:leader="none" w:pos="3346" w:val="left"/>
        </w:tabs>
        <w:numPr>
          <w:ilvl w:val="2"/>
          <w:numId w:val="146"/>
        </w:numPr>
        <w:rPr>
          <w:rFonts w:ascii="Times New Roman" w:cs="Times New Roman" w:eastAsia="Times New Roman" w:hAnsi="Times New Roman"/>
          <w:sz w:val="13"/>
          <w:szCs w:val="13"/>
          <w:b w:val="1"/>
          <w:bCs w:val="1"/>
          <w:color w:val="464646"/>
        </w:rPr>
      </w:pPr>
      <w:r>
        <w:rPr>
          <w:rFonts w:ascii="Times New Roman" w:cs="Times New Roman" w:eastAsia="Times New Roman" w:hAnsi="Times New Roman"/>
          <w:sz w:val="13"/>
          <w:szCs w:val="13"/>
          <w:b w:val="1"/>
          <w:bCs w:val="1"/>
          <w:color w:val="464646"/>
        </w:rPr>
        <w:t xml:space="preserve">THIS ITEM </w:t>
      </w:r>
      <w:r>
        <w:rPr>
          <w:rFonts w:ascii="Times New Roman" w:cs="Times New Roman" w:eastAsia="Times New Roman" w:hAnsi="Times New Roman"/>
          <w:sz w:val="13"/>
          <w:szCs w:val="13"/>
          <w:b w:val="1"/>
          <w:bCs w:val="1"/>
          <w:color w:val="363636"/>
        </w:rPr>
        <w:t>ONLY APPLIES</w:t>
      </w:r>
      <w:r>
        <w:rPr>
          <w:rFonts w:ascii="Times New Roman" w:cs="Times New Roman" w:eastAsia="Times New Roman" w:hAnsi="Times New Roman"/>
          <w:sz w:val="13"/>
          <w:szCs w:val="13"/>
          <w:b w:val="1"/>
          <w:bCs w:val="1"/>
          <w:color w:val="464646"/>
        </w:rPr>
        <w:t xml:space="preserve"> TO MODIFICATIONS </w:t>
      </w:r>
      <w:r>
        <w:rPr>
          <w:rFonts w:ascii="Times New Roman" w:cs="Times New Roman" w:eastAsia="Times New Roman" w:hAnsi="Times New Roman"/>
          <w:sz w:val="13"/>
          <w:szCs w:val="13"/>
          <w:b w:val="1"/>
          <w:bCs w:val="1"/>
          <w:color w:val="363636"/>
        </w:rPr>
        <w:t>OF CONTRACTS/ORDERS</w:t>
      </w:r>
      <w:r>
        <w:rPr>
          <w:rFonts w:ascii="Times New Roman" w:cs="Times New Roman" w:eastAsia="Times New Roman" w:hAnsi="Times New Roman"/>
          <w:sz w:val="13"/>
          <w:szCs w:val="13"/>
          <w:b w:val="1"/>
          <w:bCs w:val="1"/>
          <w:color w:val="464646"/>
        </w:rPr>
        <w:t xml:space="preserve"> </w:t>
      </w:r>
      <w:r>
        <w:rPr>
          <w:rFonts w:ascii="Times New Roman" w:cs="Times New Roman" w:eastAsia="Times New Roman" w:hAnsi="Times New Roman"/>
          <w:sz w:val="14"/>
          <w:szCs w:val="14"/>
          <w:b w:val="1"/>
          <w:bCs w:val="1"/>
          <w:color w:val="464646"/>
        </w:rPr>
        <w:t xml:space="preserve">It </w:t>
      </w:r>
      <w:r>
        <w:rPr>
          <w:rFonts w:ascii="Times New Roman" w:cs="Times New Roman" w:eastAsia="Times New Roman" w:hAnsi="Times New Roman"/>
          <w:sz w:val="13"/>
          <w:szCs w:val="13"/>
          <w:b w:val="1"/>
          <w:bCs w:val="1"/>
          <w:color w:val="464646"/>
        </w:rPr>
        <w:t>Modifies</w:t>
      </w:r>
      <w:r>
        <w:rPr>
          <w:rFonts w:ascii="Times New Roman" w:cs="Times New Roman" w:eastAsia="Times New Roman" w:hAnsi="Times New Roman"/>
          <w:sz w:val="14"/>
          <w:szCs w:val="14"/>
          <w:b w:val="1"/>
          <w:bCs w:val="1"/>
          <w:color w:val="464646"/>
        </w:rPr>
        <w:t xml:space="preserve"> </w:t>
      </w:r>
      <w:r>
        <w:rPr>
          <w:rFonts w:ascii="Times New Roman" w:cs="Times New Roman" w:eastAsia="Times New Roman" w:hAnsi="Times New Roman"/>
          <w:sz w:val="13"/>
          <w:szCs w:val="13"/>
          <w:b w:val="1"/>
          <w:bCs w:val="1"/>
          <w:color w:val="363636"/>
        </w:rPr>
        <w:t>The Contract/Order</w:t>
      </w:r>
      <w:r>
        <w:rPr>
          <w:rFonts w:ascii="Times New Roman" w:cs="Times New Roman" w:eastAsia="Times New Roman" w:hAnsi="Times New Roman"/>
          <w:sz w:val="14"/>
          <w:szCs w:val="14"/>
          <w:b w:val="1"/>
          <w:bCs w:val="1"/>
          <w:color w:val="464646"/>
        </w:rPr>
        <w:t xml:space="preserve"> </w:t>
      </w:r>
      <w:r>
        <w:rPr>
          <w:rFonts w:ascii="Times New Roman" w:cs="Times New Roman" w:eastAsia="Times New Roman" w:hAnsi="Times New Roman"/>
          <w:sz w:val="13"/>
          <w:szCs w:val="13"/>
          <w:b w:val="1"/>
          <w:bCs w:val="1"/>
          <w:color w:val="464646"/>
        </w:rPr>
        <w:t>No. As</w:t>
      </w:r>
      <w:r>
        <w:rPr>
          <w:rFonts w:ascii="Times New Roman" w:cs="Times New Roman" w:eastAsia="Times New Roman" w:hAnsi="Times New Roman"/>
          <w:sz w:val="14"/>
          <w:szCs w:val="14"/>
          <w:b w:val="1"/>
          <w:bCs w:val="1"/>
          <w:color w:val="464646"/>
        </w:rPr>
        <w:t xml:space="preserve"> </w:t>
      </w:r>
      <w:r>
        <w:rPr>
          <w:rFonts w:ascii="Times New Roman" w:cs="Times New Roman" w:eastAsia="Times New Roman" w:hAnsi="Times New Roman"/>
          <w:sz w:val="13"/>
          <w:szCs w:val="13"/>
          <w:b w:val="1"/>
          <w:bCs w:val="1"/>
          <w:color w:val="363636"/>
        </w:rPr>
        <w:t>Described In</w:t>
      </w:r>
      <w:r>
        <w:rPr>
          <w:rFonts w:ascii="Times New Roman" w:cs="Times New Roman" w:eastAsia="Times New Roman" w:hAnsi="Times New Roman"/>
          <w:sz w:val="14"/>
          <w:szCs w:val="14"/>
          <w:b w:val="1"/>
          <w:bCs w:val="1"/>
          <w:color w:val="464646"/>
        </w:rPr>
        <w:t xml:space="preserve"> </w:t>
      </w:r>
      <w:r>
        <w:rPr>
          <w:rFonts w:ascii="Times New Roman" w:cs="Times New Roman" w:eastAsia="Times New Roman" w:hAnsi="Times New Roman"/>
          <w:sz w:val="13"/>
          <w:szCs w:val="13"/>
          <w:b w:val="1"/>
          <w:bCs w:val="1"/>
          <w:color w:val="464646"/>
        </w:rPr>
        <w:t>Item</w:t>
      </w:r>
      <w:r>
        <w:rPr>
          <w:rFonts w:ascii="Times New Roman" w:cs="Times New Roman" w:eastAsia="Times New Roman" w:hAnsi="Times New Roman"/>
          <w:sz w:val="14"/>
          <w:szCs w:val="14"/>
          <w:b w:val="1"/>
          <w:bCs w:val="1"/>
          <w:color w:val="464646"/>
        </w:rPr>
        <w:t xml:space="preserve"> </w:t>
      </w:r>
      <w:r>
        <w:rPr>
          <w:rFonts w:ascii="Times New Roman" w:cs="Times New Roman" w:eastAsia="Times New Roman" w:hAnsi="Times New Roman"/>
          <w:sz w:val="13"/>
          <w:szCs w:val="13"/>
          <w:b w:val="1"/>
          <w:bCs w:val="1"/>
          <w:color w:val="363636"/>
        </w:rPr>
        <w:t>14.</w:t>
      </w:r>
    </w:p>
    <w:p>
      <w:pPr>
        <w:spacing w:after="0" w:line="65" w:lineRule="exact"/>
        <w:rPr>
          <w:rFonts w:ascii="Times New Roman" w:cs="Times New Roman" w:eastAsia="Times New Roman" w:hAnsi="Times New Roman"/>
          <w:sz w:val="13"/>
          <w:szCs w:val="13"/>
          <w:b w:val="1"/>
          <w:bCs w:val="1"/>
          <w:color w:val="464646"/>
        </w:rPr>
      </w:pPr>
    </w:p>
    <w:p>
      <w:pPr>
        <w:ind w:left="880" w:hanging="181"/>
        <w:spacing w:after="0"/>
        <w:tabs>
          <w:tab w:leader="none" w:pos="880" w:val="left"/>
        </w:tabs>
        <w:numPr>
          <w:ilvl w:val="1"/>
          <w:numId w:val="1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This Change Order is Issued Pursuant To:  The Changes Set Forth In Item 14 Are Made In The Contract/Order No. In Item 10A.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-120015</wp:posOffset>
            </wp:positionV>
            <wp:extent cx="6938010" cy="11976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38010" cy="119761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-374650</wp:posOffset>
            </wp:positionV>
            <wp:extent cx="69380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38010" cy="8255"/>
                    </a:xfrm>
                    <a:prstGeom prst="rect">
                      <a:avLst/>
                    </a:prstGeom>
                    <a:noFill/>
                  </pic:spPr>
                </pic:pic>
              </a:graphicData>
            </a:graphic>
          </wp:anchor>
        </w:drawing>
      </w:r>
    </w:p>
    <w:p>
      <w:pPr>
        <w:spacing w:after="0" w:line="6" w:lineRule="exact"/>
        <w:rPr>
          <w:sz w:val="20"/>
          <w:szCs w:val="20"/>
          <w:color w:val="auto"/>
        </w:rPr>
      </w:pPr>
    </w:p>
    <w:p>
      <w:pPr>
        <w:ind w:left="240"/>
        <w:spacing w:after="0" w:line="201" w:lineRule="exact"/>
        <w:rPr>
          <w:sz w:val="20"/>
          <w:szCs w:val="20"/>
          <w:color w:val="auto"/>
        </w:rPr>
      </w:pPr>
      <w:r>
        <w:rPr>
          <w:rFonts w:ascii="MS PGothic" w:cs="MS PGothic" w:eastAsia="MS PGothic" w:hAnsi="MS PGothic"/>
          <w:sz w:val="20"/>
          <w:szCs w:val="20"/>
          <w:color w:val="auto"/>
        </w:rPr>
        <w:t>☐</w:t>
      </w:r>
    </w:p>
    <w:p>
      <w:pPr>
        <w:spacing w:after="0" w:line="94" w:lineRule="exact"/>
        <w:rPr>
          <w:sz w:val="20"/>
          <w:szCs w:val="20"/>
          <w:color w:val="auto"/>
        </w:rPr>
      </w:pPr>
    </w:p>
    <w:p>
      <w:pPr>
        <w:ind w:left="920" w:right="500" w:hanging="668"/>
        <w:spacing w:after="0" w:line="187" w:lineRule="auto"/>
        <w:tabs>
          <w:tab w:leader="none" w:pos="693" w:val="left"/>
        </w:tabs>
        <w:numPr>
          <w:ilvl w:val="0"/>
          <w:numId w:val="147"/>
        </w:numPr>
        <w:rPr>
          <w:rFonts w:ascii="MS PGothic" w:cs="MS PGothic" w:eastAsia="MS PGothic" w:hAnsi="MS PGothic"/>
          <w:sz w:val="29"/>
          <w:szCs w:val="29"/>
          <w:color w:val="auto"/>
          <w:vertAlign w:val="subscript"/>
        </w:rPr>
      </w:pPr>
      <w:r>
        <w:rPr>
          <w:rFonts w:ascii="Times New Roman" w:cs="Times New Roman" w:eastAsia="Times New Roman" w:hAnsi="Times New Roman"/>
          <w:sz w:val="12"/>
          <w:szCs w:val="12"/>
          <w:b w:val="1"/>
          <w:bCs w:val="1"/>
          <w:color w:val="auto"/>
        </w:rPr>
        <w:t>B. The Above Numbered Contract/Order Is Modified To Reflect The Administrative Changes (such as changes in paying office, appropriation data, etc.) Set Forth In Item 14, Pursuant To The Authority of FAR 43.103(b).</w:t>
      </w:r>
    </w:p>
    <w:p>
      <w:pPr>
        <w:spacing w:after="0" w:line="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C. This Supplemental Agreement Is Entered Into Pursuant To Authority Of:</w:t>
      </w:r>
    </w:p>
    <w:p>
      <w:pPr>
        <w:spacing w:after="0" w:line="26" w:lineRule="exact"/>
        <w:rPr>
          <w:sz w:val="20"/>
          <w:szCs w:val="20"/>
          <w:color w:val="auto"/>
        </w:rPr>
      </w:pPr>
    </w:p>
    <w:p>
      <w:pPr>
        <w:ind w:left="240"/>
        <w:spacing w:after="0" w:line="201" w:lineRule="exact"/>
        <w:rPr>
          <w:sz w:val="20"/>
          <w:szCs w:val="20"/>
          <w:color w:val="auto"/>
        </w:rPr>
      </w:pPr>
      <w:r>
        <w:rPr>
          <w:rFonts w:ascii="MS PGothic" w:cs="MS PGothic" w:eastAsia="MS PGothic" w:hAnsi="MS PGothic"/>
          <w:sz w:val="20"/>
          <w:szCs w:val="20"/>
          <w:color w:val="auto"/>
        </w:rPr>
        <w:t>☐</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D. Other (Specify type of modification and authority)</w:t>
      </w:r>
    </w:p>
    <w:p>
      <w:pPr>
        <w:spacing w:after="0" w:line="26" w:lineRule="exact"/>
        <w:rPr>
          <w:sz w:val="20"/>
          <w:szCs w:val="20"/>
          <w:color w:val="auto"/>
        </w:rPr>
      </w:pPr>
    </w:p>
    <w:p>
      <w:pPr>
        <w:ind w:left="240"/>
        <w:spacing w:after="0" w:line="201" w:lineRule="exact"/>
        <w:rPr>
          <w:sz w:val="20"/>
          <w:szCs w:val="20"/>
          <w:color w:val="auto"/>
        </w:rPr>
      </w:pPr>
      <w:r>
        <w:rPr>
          <w:rFonts w:ascii="MS PGothic" w:cs="MS PGothic" w:eastAsia="MS PGothic" w:hAnsi="MS PGothic"/>
          <w:sz w:val="20"/>
          <w:szCs w:val="20"/>
          <w:color w:val="auto"/>
        </w:rPr>
        <w:t>☐</w:t>
      </w:r>
    </w:p>
    <w:p>
      <w:pPr>
        <w:spacing w:after="0" w:line="65" w:lineRule="exact"/>
        <w:rPr>
          <w:sz w:val="20"/>
          <w:szCs w:val="20"/>
          <w:color w:val="auto"/>
        </w:rPr>
      </w:pPr>
    </w:p>
    <w:p>
      <w:pPr>
        <w:ind w:left="320"/>
        <w:spacing w:after="0" w:line="150" w:lineRule="exact"/>
        <w:tabs>
          <w:tab w:leader="none" w:pos="1440" w:val="left"/>
        </w:tabs>
        <w:rPr>
          <w:sz w:val="20"/>
          <w:szCs w:val="20"/>
          <w:color w:val="auto"/>
        </w:rPr>
      </w:pPr>
      <w:r>
        <w:rPr>
          <w:rFonts w:ascii="Times New Roman" w:cs="Times New Roman" w:eastAsia="Times New Roman" w:hAnsi="Times New Roman"/>
          <w:sz w:val="13"/>
          <w:szCs w:val="13"/>
          <w:b w:val="1"/>
          <w:bCs w:val="1"/>
          <w:color w:val="363636"/>
        </w:rPr>
        <w:t>E. IMPORTANT:</w:t>
        <w:tab/>
        <w:t xml:space="preserve">Contractor </w:t>
      </w:r>
      <w:r>
        <w:rPr>
          <w:rFonts w:ascii="MS PGothic" w:cs="MS PGothic" w:eastAsia="MS PGothic" w:hAnsi="MS PGothic"/>
          <w:sz w:val="13"/>
          <w:szCs w:val="13"/>
          <w:color w:val="000000"/>
          <w:shd w:val="clear" w:color="auto" w:fill="363636"/>
        </w:rPr>
        <w:t>☒</w:t>
      </w:r>
      <w:r>
        <w:rPr>
          <w:rFonts w:ascii="Times New Roman" w:cs="Times New Roman" w:eastAsia="Times New Roman" w:hAnsi="Times New Roman"/>
          <w:sz w:val="13"/>
          <w:szCs w:val="13"/>
          <w:b w:val="1"/>
          <w:bCs w:val="1"/>
          <w:color w:val="363636"/>
        </w:rPr>
        <w:t xml:space="preserve"> is not, </w:t>
      </w:r>
      <w:r>
        <w:rPr>
          <w:rFonts w:ascii="MS PGothic" w:cs="MS PGothic" w:eastAsia="MS PGothic" w:hAnsi="MS PGothic"/>
          <w:sz w:val="13"/>
          <w:szCs w:val="13"/>
          <w:color w:val="000000"/>
          <w:shd w:val="clear" w:color="auto" w:fill="363636"/>
        </w:rPr>
        <w:t>☐</w:t>
      </w:r>
      <w:r>
        <w:rPr>
          <w:rFonts w:ascii="Times New Roman" w:cs="Times New Roman" w:eastAsia="Times New Roman" w:hAnsi="Times New Roman"/>
          <w:sz w:val="13"/>
          <w:szCs w:val="13"/>
          <w:b w:val="1"/>
          <w:bCs w:val="1"/>
          <w:color w:val="363636"/>
        </w:rPr>
        <w:t xml:space="preserve"> is required to sign this document and return_______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32385</wp:posOffset>
            </wp:positionV>
            <wp:extent cx="69380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38010" cy="8255"/>
                    </a:xfrm>
                    <a:prstGeom prst="rect">
                      <a:avLst/>
                    </a:prstGeom>
                    <a:noFill/>
                  </pic:spPr>
                </pic:pic>
              </a:graphicData>
            </a:graphic>
          </wp:anchor>
        </w:drawing>
      </w:r>
    </w:p>
    <w:p>
      <w:pPr>
        <w:spacing w:after="0" w:line="3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14. Description Of Amendment/Modification (Organized by UCF section headings, including solicitation/contract subject matter where feasible.)</w:t>
      </w:r>
    </w:p>
    <w:p>
      <w:pPr>
        <w:spacing w:after="0" w:line="353" w:lineRule="exact"/>
        <w:rPr>
          <w:sz w:val="20"/>
          <w:szCs w:val="20"/>
          <w:color w:val="auto"/>
        </w:rPr>
      </w:pPr>
    </w:p>
    <w:p>
      <w:pPr>
        <w:ind w:left="460" w:right="3780"/>
        <w:spacing w:after="0" w:line="461" w:lineRule="auto"/>
        <w:rPr>
          <w:sz w:val="20"/>
          <w:szCs w:val="20"/>
          <w:color w:val="auto"/>
        </w:rPr>
      </w:pPr>
      <w:r>
        <w:rPr>
          <w:rFonts w:ascii="Courier New" w:cs="Courier New" w:eastAsia="Courier New" w:hAnsi="Courier New"/>
          <w:sz w:val="12"/>
          <w:szCs w:val="12"/>
          <w:color w:val="auto"/>
        </w:rPr>
        <w:t>The purpose of this modification is to transfer purchasing office responsibility from W15QKN(W4GG TACOM PICATINNY) TO W58P05(W6QK RDECOM CTR NATICK-MMB).</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Except as provided herein, all terms and conditions of the document referenced in item 9A or 10A, as heretofore changed, remains unchanged and in full force and effect.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0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15A. Name And Title Of Signer (Type or print)</w:t>
            </w:r>
          </w:p>
        </w:tc>
        <w:tc>
          <w:tcPr>
            <w:tcW w:w="1740" w:type="dxa"/>
            <w:vAlign w:val="bottom"/>
            <w:tcBorders>
              <w:top w:val="single" w:sz="8" w:color="auto"/>
              <w:right w:val="single" w:sz="8" w:color="auto"/>
            </w:tcBorders>
          </w:tcPr>
          <w:p>
            <w:pPr>
              <w:spacing w:after="0"/>
              <w:rPr>
                <w:sz w:val="17"/>
                <w:szCs w:val="17"/>
                <w:color w:val="auto"/>
              </w:rPr>
            </w:pPr>
          </w:p>
        </w:tc>
        <w:tc>
          <w:tcPr>
            <w:tcW w:w="38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16A. Name And Title Of Contracting Officer (Type or print)</w:t>
            </w:r>
          </w:p>
        </w:tc>
        <w:tc>
          <w:tcPr>
            <w:tcW w:w="1620" w:type="dxa"/>
            <w:vAlign w:val="bottom"/>
            <w:tcBorders>
              <w:top w:val="single" w:sz="8" w:color="auto"/>
            </w:tcBorders>
          </w:tcPr>
          <w:p>
            <w:pPr>
              <w:spacing w:after="0"/>
              <w:rPr>
                <w:sz w:val="17"/>
                <w:szCs w:val="17"/>
                <w:color w:val="auto"/>
              </w:rPr>
            </w:pPr>
          </w:p>
        </w:tc>
      </w:tr>
      <w:tr>
        <w:trPr>
          <w:trHeight w:val="25"/>
        </w:trPr>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2"/>
        </w:trPr>
        <w:tc>
          <w:tcPr>
            <w:tcW w:w="37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15B. Contractor/Offeror</w:t>
            </w:r>
          </w:p>
        </w:tc>
        <w:tc>
          <w:tcPr>
            <w:tcW w:w="1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15C. Date Signed</w:t>
            </w:r>
          </w:p>
        </w:tc>
        <w:tc>
          <w:tcPr>
            <w:tcW w:w="38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16B. United States Of America</w:t>
            </w:r>
          </w:p>
        </w:tc>
        <w:tc>
          <w:tcPr>
            <w:tcW w:w="1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16C. Date Signed</w:t>
            </w:r>
          </w:p>
        </w:tc>
      </w:tr>
      <w:tr>
        <w:trPr>
          <w:trHeight w:val="366"/>
        </w:trPr>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By</w:t>
            </w:r>
          </w:p>
        </w:tc>
        <w:tc>
          <w:tcPr>
            <w:tcW w:w="1160" w:type="dxa"/>
            <w:vAlign w:val="bottom"/>
            <w:tcBorders>
              <w:bottom w:val="single" w:sz="8" w:color="auto"/>
            </w:tcBorders>
          </w:tcPr>
          <w:p>
            <w:pPr>
              <w:ind w:left="280"/>
              <w:spacing w:after="0"/>
              <w:rPr>
                <w:sz w:val="20"/>
                <w:szCs w:val="20"/>
                <w:color w:val="auto"/>
              </w:rPr>
            </w:pPr>
            <w:r>
              <w:rPr>
                <w:rFonts w:ascii="Courier New" w:cs="Courier New" w:eastAsia="Courier New" w:hAnsi="Courier New"/>
                <w:sz w:val="12"/>
                <w:szCs w:val="12"/>
                <w:color w:val="auto"/>
              </w:rPr>
              <w:t>/SIGNED/</w:t>
            </w:r>
          </w:p>
        </w:tc>
        <w:tc>
          <w:tcPr>
            <w:tcW w:w="2360" w:type="dxa"/>
            <w:vAlign w:val="bottom"/>
            <w:tcBorders>
              <w:right w:val="single" w:sz="8" w:color="auto"/>
            </w:tcBorders>
          </w:tcPr>
          <w:p>
            <w:pPr>
              <w:spacing w:after="0"/>
              <w:rPr>
                <w:sz w:val="24"/>
                <w:szCs w:val="24"/>
                <w:color w:val="auto"/>
              </w:rPr>
            </w:pPr>
          </w:p>
        </w:tc>
        <w:tc>
          <w:tcPr>
            <w:tcW w:w="1620" w:type="dxa"/>
            <w:vAlign w:val="bottom"/>
          </w:tcPr>
          <w:p>
            <w:pPr>
              <w:ind w:left="560"/>
              <w:spacing w:after="0"/>
              <w:rPr>
                <w:sz w:val="20"/>
                <w:szCs w:val="20"/>
                <w:color w:val="auto"/>
              </w:rPr>
            </w:pPr>
            <w:r>
              <w:rPr>
                <w:rFonts w:ascii="Courier New" w:cs="Courier New" w:eastAsia="Courier New" w:hAnsi="Courier New"/>
                <w:sz w:val="12"/>
                <w:szCs w:val="12"/>
                <w:color w:val="auto"/>
              </w:rPr>
              <w:t>2021JUL08</w:t>
            </w:r>
          </w:p>
        </w:tc>
      </w:tr>
      <w:tr>
        <w:trPr>
          <w:trHeight w:val="194"/>
        </w:trPr>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 of person authorized to sign)</w:t>
            </w:r>
          </w:p>
        </w:tc>
        <w:tc>
          <w:tcPr>
            <w:tcW w:w="1740" w:type="dxa"/>
            <w:vAlign w:val="bottom"/>
            <w:tcBorders>
              <w:bottom w:val="single" w:sz="8" w:color="auto"/>
              <w:right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20" w:type="dxa"/>
            <w:vAlign w:val="bottom"/>
            <w:tcBorders>
              <w:bottom w:val="single" w:sz="8" w:color="auto"/>
              <w:right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(Signature of Contracting Officer)</w:t>
            </w:r>
          </w:p>
        </w:tc>
        <w:tc>
          <w:tcPr>
            <w:tcW w:w="1620" w:type="dxa"/>
            <w:vAlign w:val="bottom"/>
            <w:tcBorders>
              <w:bottom w:val="single" w:sz="8" w:color="auto"/>
            </w:tcBorders>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1240"/>
          </w:cols>
          <w:pgMar w:left="320" w:top="104" w:right="339" w:bottom="1440" w:gutter="0" w:footer="0" w:header="0"/>
        </w:sectPr>
      </w:pPr>
    </w:p>
    <w:tbl>
      <w:tblPr>
        <w:tblLayout w:type="fixed"/>
        <w:tblInd w:w="220" w:type="dxa"/>
        <w:tblCellMar>
          <w:top w:w="0" w:type="dxa"/>
          <w:left w:w="0" w:type="dxa"/>
          <w:bottom w:w="0" w:type="dxa"/>
          <w:right w:w="0" w:type="dxa"/>
        </w:tblCellMar>
      </w:tblPr>
      <w:tr>
        <w:trPr>
          <w:trHeight w:val="147"/>
        </w:trPr>
        <w:tc>
          <w:tcPr>
            <w:tcW w:w="338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NSN 7540-01-152-8070</w:t>
            </w:r>
          </w:p>
        </w:tc>
        <w:tc>
          <w:tcPr>
            <w:tcW w:w="3220" w:type="dxa"/>
            <w:vAlign w:val="bottom"/>
          </w:tcPr>
          <w:p>
            <w:pPr>
              <w:jc w:val="right"/>
              <w:ind w:right="1449"/>
              <w:spacing w:after="0" w:line="147" w:lineRule="exact"/>
              <w:rPr>
                <w:sz w:val="20"/>
                <w:szCs w:val="20"/>
                <w:color w:val="auto"/>
              </w:rPr>
            </w:pPr>
            <w:r>
              <w:rPr>
                <w:rFonts w:ascii="Times New Roman" w:cs="Times New Roman" w:eastAsia="Times New Roman" w:hAnsi="Times New Roman"/>
                <w:sz w:val="14"/>
                <w:szCs w:val="14"/>
                <w:b w:val="1"/>
                <w:bCs w:val="1"/>
                <w:color w:val="auto"/>
              </w:rPr>
              <w:t>30-105-02</w:t>
            </w:r>
          </w:p>
        </w:tc>
        <w:tc>
          <w:tcPr>
            <w:tcW w:w="40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STANDARD FORM 30 (REV. 10-83)</w:t>
            </w:r>
          </w:p>
        </w:tc>
      </w:tr>
      <w:tr>
        <w:trPr>
          <w:trHeight w:val="202"/>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PREVIOUS EDITIONS UNUSABLE</w:t>
            </w:r>
          </w:p>
        </w:tc>
        <w:tc>
          <w:tcPr>
            <w:tcW w:w="3220" w:type="dxa"/>
            <w:vAlign w:val="bottom"/>
          </w:tcPr>
          <w:p>
            <w:pPr>
              <w:spacing w:after="0"/>
              <w:rPr>
                <w:sz w:val="17"/>
                <w:szCs w:val="17"/>
                <w:color w:val="auto"/>
              </w:rPr>
            </w:pPr>
          </w:p>
        </w:tc>
        <w:tc>
          <w:tcPr>
            <w:tcW w:w="4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Prescribed by GSA FAR (48 CFR) 53.243</w:t>
            </w:r>
          </w:p>
        </w:tc>
      </w:tr>
    </w:tbl>
    <w:p>
      <w:pPr>
        <w:sectPr>
          <w:pgSz w:w="11900" w:h="16838" w:orient="portrait"/>
          <w:cols w:equalWidth="0" w:num="1">
            <w:col w:w="11240"/>
          </w:cols>
          <w:pgMar w:left="320" w:top="104" w:right="339" w:bottom="1440" w:gutter="0" w:footer="0" w:header="0"/>
          <w:type w:val="continuous"/>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60" w:type="dxa"/>
            <w:vAlign w:val="bottom"/>
            <w:tcBorders>
              <w:top w:val="single" w:sz="8" w:color="auto"/>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20"/>
                <w:szCs w:val="20"/>
                <w:b w:val="1"/>
                <w:bCs w:val="1"/>
                <w:color w:val="auto"/>
              </w:rPr>
              <w:t>CONTINUATION SHEET</w:t>
            </w:r>
          </w:p>
        </w:tc>
        <w:tc>
          <w:tcPr>
            <w:tcW w:w="5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Page </w:t>
            </w:r>
            <w:r>
              <w:rPr>
                <w:rFonts w:ascii="Times New Roman" w:cs="Times New Roman" w:eastAsia="Times New Roman" w:hAnsi="Times New Roman"/>
                <w:sz w:val="14"/>
                <w:szCs w:val="14"/>
                <w:color w:val="auto"/>
              </w:rPr>
              <w:t>2</w:t>
            </w:r>
            <w:r>
              <w:rPr>
                <w:rFonts w:ascii="Times New Roman" w:cs="Times New Roman" w:eastAsia="Times New Roman" w:hAnsi="Times New Roman"/>
                <w:sz w:val="14"/>
                <w:szCs w:val="14"/>
                <w:b w:val="1"/>
                <w:bCs w:val="1"/>
                <w:color w:val="auto"/>
              </w:rPr>
              <w:t xml:space="preserve"> of </w:t>
            </w:r>
            <w:r>
              <w:rPr>
                <w:rFonts w:ascii="Times New Roman" w:cs="Times New Roman" w:eastAsia="Times New Roman" w:hAnsi="Times New Roman"/>
                <w:sz w:val="14"/>
                <w:szCs w:val="14"/>
                <w:color w:val="auto"/>
              </w:rPr>
              <w:t>4</w:t>
            </w:r>
          </w:p>
        </w:tc>
      </w:tr>
      <w:tr>
        <w:trPr>
          <w:trHeight w:val="134"/>
        </w:trPr>
        <w:tc>
          <w:tcPr>
            <w:tcW w:w="3660" w:type="dxa"/>
            <w:vAlign w:val="bottom"/>
            <w:tcBorders>
              <w:right w:val="single" w:sz="8" w:color="auto"/>
            </w:tcBorders>
          </w:tcPr>
          <w:p>
            <w:pPr>
              <w:spacing w:after="0"/>
              <w:rPr>
                <w:sz w:val="11"/>
                <w:szCs w:val="11"/>
                <w:color w:val="auto"/>
              </w:rPr>
            </w:pPr>
          </w:p>
        </w:tc>
        <w:tc>
          <w:tcPr>
            <w:tcW w:w="576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color w:val="auto"/>
              </w:rPr>
              <w:t>W15QKN-21-C-0014</w:t>
            </w:r>
          </w:p>
        </w:tc>
        <w:tc>
          <w:tcPr>
            <w:tcW w:w="1160" w:type="dxa"/>
            <w:vAlign w:val="bottom"/>
          </w:tcPr>
          <w:p>
            <w:pPr>
              <w:spacing w:after="0"/>
              <w:rPr>
                <w:sz w:val="11"/>
                <w:szCs w:val="11"/>
                <w:color w:val="auto"/>
              </w:rPr>
            </w:pPr>
          </w:p>
        </w:tc>
      </w:tr>
      <w:tr>
        <w:trPr>
          <w:trHeight w:val="212"/>
        </w:trPr>
        <w:tc>
          <w:tcPr>
            <w:tcW w:w="3660" w:type="dxa"/>
            <w:vAlign w:val="bottom"/>
            <w:tcBorders>
              <w:bottom w:val="single" w:sz="8" w:color="auto"/>
              <w:right w:val="single" w:sz="8" w:color="auto"/>
            </w:tcBorders>
          </w:tcPr>
          <w:p>
            <w:pPr>
              <w:spacing w:after="0"/>
              <w:rPr>
                <w:sz w:val="18"/>
                <w:szCs w:val="18"/>
                <w:color w:val="auto"/>
              </w:rPr>
            </w:pPr>
          </w:p>
        </w:tc>
        <w:tc>
          <w:tcPr>
            <w:tcW w:w="5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PIIN/SIIN MOD/AMD </w:t>
            </w:r>
            <w:r>
              <w:rPr>
                <w:rFonts w:ascii="Times New Roman" w:cs="Times New Roman" w:eastAsia="Times New Roman" w:hAnsi="Times New Roman"/>
                <w:sz w:val="16"/>
                <w:szCs w:val="16"/>
                <w:color w:val="auto"/>
              </w:rPr>
              <w:t>P00003</w:t>
            </w:r>
          </w:p>
        </w:tc>
        <w:tc>
          <w:tcPr>
            <w:tcW w:w="1160" w:type="dxa"/>
            <w:vAlign w:val="bottom"/>
            <w:tcBorders>
              <w:bottom w:val="single" w:sz="8" w:color="auto"/>
            </w:tcBorders>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16"/>
          <w:szCs w:val="16"/>
          <w:b w:val="1"/>
          <w:bCs w:val="1"/>
          <w:color w:val="auto"/>
        </w:rPr>
        <w:t>Name of Offeror or Contractor: 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SECTION A - SUPPLEMENTAL INFORMATION</w:t>
      </w:r>
    </w:p>
    <w:p>
      <w:pPr>
        <w:spacing w:after="0" w:line="200" w:lineRule="exact"/>
        <w:rPr>
          <w:sz w:val="20"/>
          <w:szCs w:val="20"/>
          <w:color w:val="auto"/>
        </w:rPr>
      </w:pPr>
    </w:p>
    <w:p>
      <w:pPr>
        <w:spacing w:after="0" w:line="279"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Buyer Name:</w:t>
      </w:r>
    </w:p>
    <w:p>
      <w:pPr>
        <w:spacing w:after="0" w:line="73"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Buyer Office Symbol/Telephone Number: CCNJ-CA/</w:t>
      </w:r>
    </w:p>
    <w:p>
      <w:pPr>
        <w:spacing w:after="0" w:line="51"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Type of Contract 1: Firm Fixed Price</w:t>
      </w:r>
    </w:p>
    <w:p>
      <w:pPr>
        <w:spacing w:after="0" w:line="51"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Kind of Contract: Other</w:t>
      </w:r>
    </w:p>
    <w:p>
      <w:pPr>
        <w:spacing w:after="0" w:line="38"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Kind of Modification: D</w:t>
      </w:r>
    </w:p>
    <w:p>
      <w:pPr>
        <w:spacing w:after="0" w:line="51"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Type of Business: Large Business Performing in U.S.</w:t>
      </w:r>
    </w:p>
    <w:p>
      <w:pPr>
        <w:spacing w:after="0" w:line="38"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Surveillance Criticality Designator: A</w:t>
      </w:r>
    </w:p>
    <w:p>
      <w:pPr>
        <w:spacing w:after="0" w:line="25"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Contract Expiration Date: 2022JAN11</w:t>
      </w:r>
    </w:p>
    <w:p>
      <w:pPr>
        <w:spacing w:after="0" w:line="217"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Paying Office: HQ0490</w:t>
      </w:r>
    </w:p>
    <w:p>
      <w:pPr>
        <w:spacing w:after="0" w:line="73"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DFAS-INDY VP GFEBS</w:t>
      </w:r>
    </w:p>
    <w:p>
      <w:pPr>
        <w:spacing w:after="0" w:line="9" w:lineRule="exact"/>
        <w:rPr>
          <w:sz w:val="20"/>
          <w:szCs w:val="20"/>
          <w:color w:val="auto"/>
        </w:rPr>
      </w:pPr>
    </w:p>
    <w:p>
      <w:pPr>
        <w:ind w:left="1300"/>
        <w:spacing w:after="0"/>
        <w:rPr>
          <w:sz w:val="20"/>
          <w:szCs w:val="20"/>
          <w:color w:val="auto"/>
        </w:rPr>
      </w:pPr>
      <w:r>
        <w:rPr>
          <w:rFonts w:ascii="Courier New" w:cs="Courier New" w:eastAsia="Courier New" w:hAnsi="Courier New"/>
          <w:sz w:val="12"/>
          <w:szCs w:val="12"/>
          <w:color w:val="auto"/>
        </w:rPr>
        <w:t>8899 E. 56TH STREET</w:t>
      </w:r>
    </w:p>
    <w:p>
      <w:pPr>
        <w:ind w:left="1260"/>
        <w:spacing w:after="0"/>
        <w:rPr>
          <w:sz w:val="20"/>
          <w:szCs w:val="20"/>
          <w:color w:val="auto"/>
        </w:rPr>
      </w:pPr>
      <w:r>
        <w:rPr>
          <w:rFonts w:ascii="Courier New" w:cs="Courier New" w:eastAsia="Courier New" w:hAnsi="Courier New"/>
          <w:sz w:val="12"/>
          <w:szCs w:val="12"/>
          <w:color w:val="auto"/>
        </w:rPr>
        <w:t>INDIANAPOLIS IN 46249-3800</w:t>
      </w:r>
    </w:p>
    <w:p>
      <w:pPr>
        <w:spacing w:after="0" w:line="200" w:lineRule="exact"/>
        <w:rPr>
          <w:sz w:val="20"/>
          <w:szCs w:val="20"/>
          <w:color w:val="auto"/>
        </w:rPr>
      </w:pPr>
    </w:p>
    <w:p>
      <w:pPr>
        <w:spacing w:after="0" w:line="257" w:lineRule="exact"/>
        <w:rPr>
          <w:sz w:val="20"/>
          <w:szCs w:val="20"/>
          <w:color w:val="auto"/>
        </w:rPr>
      </w:pPr>
    </w:p>
    <w:p>
      <w:pPr>
        <w:ind w:left="4540"/>
        <w:spacing w:after="0"/>
        <w:rPr>
          <w:sz w:val="20"/>
          <w:szCs w:val="20"/>
          <w:color w:val="auto"/>
        </w:rPr>
      </w:pPr>
      <w:r>
        <w:rPr>
          <w:rFonts w:ascii="Courier New" w:cs="Courier New" w:eastAsia="Courier New" w:hAnsi="Courier New"/>
          <w:sz w:val="12"/>
          <w:szCs w:val="12"/>
          <w:color w:val="auto"/>
        </w:rPr>
        <w:t>*** End of Narrative A0000 ***</w:t>
      </w:r>
    </w:p>
    <w:p>
      <w:pPr>
        <w:spacing w:after="0" w:line="225"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The purpose of this modification is to:</w:t>
      </w:r>
    </w:p>
    <w:p>
      <w:pPr>
        <w:spacing w:after="0" w:line="239" w:lineRule="exact"/>
        <w:rPr>
          <w:sz w:val="20"/>
          <w:szCs w:val="20"/>
          <w:color w:val="auto"/>
        </w:rPr>
      </w:pPr>
    </w:p>
    <w:p>
      <w:pPr>
        <w:ind w:left="340" w:hanging="209"/>
        <w:spacing w:after="0"/>
        <w:tabs>
          <w:tab w:leader="none" w:pos="340" w:val="left"/>
        </w:tabs>
        <w:numPr>
          <w:ilvl w:val="0"/>
          <w:numId w:val="1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Incorporate Contract Transfer Responsibility, as noted in Block 14.</w:t>
      </w:r>
    </w:p>
    <w:p>
      <w:pPr>
        <w:spacing w:after="0" w:line="225" w:lineRule="exact"/>
        <w:rPr>
          <w:rFonts w:ascii="Courier New" w:cs="Courier New" w:eastAsia="Courier New" w:hAnsi="Courier New"/>
          <w:sz w:val="12"/>
          <w:szCs w:val="12"/>
          <w:color w:val="auto"/>
        </w:rPr>
      </w:pPr>
    </w:p>
    <w:p>
      <w:pPr>
        <w:ind w:left="140" w:right="1920" w:hanging="9"/>
        <w:spacing w:after="0" w:line="791" w:lineRule="auto"/>
        <w:tabs>
          <w:tab w:leader="none" w:pos="350" w:val="left"/>
        </w:tabs>
        <w:numPr>
          <w:ilvl w:val="0"/>
          <w:numId w:val="1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Update WAWF Clause 252.232-7006 to include DODAAC W56XNH in the Service Acceptor and Accept at Other DODAAC blocks. All other terms and conditions of this contract remain in full force and effect.</w:t>
      </w:r>
    </w:p>
    <w:p>
      <w:pPr>
        <w:spacing w:after="0" w:line="93" w:lineRule="exact"/>
        <w:rPr>
          <w:rFonts w:ascii="Courier New" w:cs="Courier New" w:eastAsia="Courier New" w:hAnsi="Courier New"/>
          <w:sz w:val="12"/>
          <w:szCs w:val="12"/>
          <w:color w:val="auto"/>
        </w:rPr>
      </w:pPr>
    </w:p>
    <w:p>
      <w:pPr>
        <w:ind w:left="4820" w:hanging="279"/>
        <w:spacing w:after="0"/>
        <w:tabs>
          <w:tab w:leader="none" w:pos="4820" w:val="left"/>
        </w:tabs>
        <w:numPr>
          <w:ilvl w:val="1"/>
          <w:numId w:val="1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END OF NARRATIVE A0004 ***</w:t>
      </w:r>
    </w:p>
    <w:p>
      <w:pPr>
        <w:sectPr>
          <w:pgSz w:w="11900" w:h="16838" w:orient="portrait"/>
          <w:cols w:equalWidth="0" w:num="1">
            <w:col w:w="10580"/>
          </w:cols>
          <w:pgMar w:left="320" w:top="146" w:right="99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01"/>
        </w:trPr>
        <w:tc>
          <w:tcPr>
            <w:tcW w:w="3660" w:type="dxa"/>
            <w:vAlign w:val="bottom"/>
            <w:tcBorders>
              <w:top w:val="single" w:sz="8" w:color="auto"/>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20"/>
                <w:szCs w:val="20"/>
                <w:b w:val="1"/>
                <w:bCs w:val="1"/>
                <w:color w:val="auto"/>
              </w:rPr>
              <w:t>CONTINUATION SHEET</w:t>
            </w:r>
          </w:p>
        </w:tc>
        <w:tc>
          <w:tcPr>
            <w:tcW w:w="5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Page </w:t>
            </w:r>
            <w:r>
              <w:rPr>
                <w:rFonts w:ascii="Times New Roman" w:cs="Times New Roman" w:eastAsia="Times New Roman" w:hAnsi="Times New Roman"/>
                <w:sz w:val="14"/>
                <w:szCs w:val="14"/>
                <w:color w:val="auto"/>
              </w:rPr>
              <w:t>3</w:t>
            </w:r>
            <w:r>
              <w:rPr>
                <w:rFonts w:ascii="Times New Roman" w:cs="Times New Roman" w:eastAsia="Times New Roman" w:hAnsi="Times New Roman"/>
                <w:sz w:val="14"/>
                <w:szCs w:val="14"/>
                <w:b w:val="1"/>
                <w:bCs w:val="1"/>
                <w:color w:val="auto"/>
              </w:rPr>
              <w:t xml:space="preserve"> of </w:t>
            </w:r>
            <w:r>
              <w:rPr>
                <w:rFonts w:ascii="Times New Roman" w:cs="Times New Roman" w:eastAsia="Times New Roman" w:hAnsi="Times New Roman"/>
                <w:sz w:val="14"/>
                <w:szCs w:val="14"/>
                <w:color w:val="auto"/>
              </w:rPr>
              <w:t>4</w:t>
            </w:r>
          </w:p>
        </w:tc>
      </w:tr>
      <w:tr>
        <w:trPr>
          <w:trHeight w:val="134"/>
        </w:trPr>
        <w:tc>
          <w:tcPr>
            <w:tcW w:w="3660" w:type="dxa"/>
            <w:vAlign w:val="bottom"/>
            <w:tcBorders>
              <w:right w:val="single" w:sz="8" w:color="auto"/>
            </w:tcBorders>
          </w:tcPr>
          <w:p>
            <w:pPr>
              <w:spacing w:after="0"/>
              <w:rPr>
                <w:sz w:val="11"/>
                <w:szCs w:val="11"/>
                <w:color w:val="auto"/>
              </w:rPr>
            </w:pPr>
          </w:p>
        </w:tc>
        <w:tc>
          <w:tcPr>
            <w:tcW w:w="576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color w:val="auto"/>
              </w:rPr>
              <w:t>W15QKN-21-C-0014</w:t>
            </w:r>
          </w:p>
        </w:tc>
        <w:tc>
          <w:tcPr>
            <w:tcW w:w="1160" w:type="dxa"/>
            <w:vAlign w:val="bottom"/>
          </w:tcPr>
          <w:p>
            <w:pPr>
              <w:spacing w:after="0"/>
              <w:rPr>
                <w:sz w:val="11"/>
                <w:szCs w:val="11"/>
                <w:color w:val="auto"/>
              </w:rPr>
            </w:pPr>
          </w:p>
        </w:tc>
      </w:tr>
      <w:tr>
        <w:trPr>
          <w:trHeight w:val="212"/>
        </w:trPr>
        <w:tc>
          <w:tcPr>
            <w:tcW w:w="3660" w:type="dxa"/>
            <w:vAlign w:val="bottom"/>
            <w:tcBorders>
              <w:bottom w:val="single" w:sz="8" w:color="auto"/>
              <w:right w:val="single" w:sz="8" w:color="auto"/>
            </w:tcBorders>
          </w:tcPr>
          <w:p>
            <w:pPr>
              <w:spacing w:after="0"/>
              <w:rPr>
                <w:sz w:val="18"/>
                <w:szCs w:val="18"/>
                <w:color w:val="auto"/>
              </w:rPr>
            </w:pPr>
          </w:p>
        </w:tc>
        <w:tc>
          <w:tcPr>
            <w:tcW w:w="5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PIIN/SIIN MOD/AMD </w:t>
            </w:r>
            <w:r>
              <w:rPr>
                <w:rFonts w:ascii="Times New Roman" w:cs="Times New Roman" w:eastAsia="Times New Roman" w:hAnsi="Times New Roman"/>
                <w:sz w:val="16"/>
                <w:szCs w:val="16"/>
                <w:color w:val="auto"/>
              </w:rPr>
              <w:t>P00003</w:t>
            </w:r>
          </w:p>
        </w:tc>
        <w:tc>
          <w:tcPr>
            <w:tcW w:w="1160" w:type="dxa"/>
            <w:vAlign w:val="bottom"/>
            <w:tcBorders>
              <w:bottom w:val="single" w:sz="8" w:color="auto"/>
            </w:tcBorders>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16"/>
          <w:szCs w:val="16"/>
          <w:b w:val="1"/>
          <w:bCs w:val="1"/>
          <w:color w:val="auto"/>
        </w:rPr>
        <w:t>Name of Offeror or Contractor: 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5040" w:type="dxa"/>
            <w:vAlign w:val="bottom"/>
            <w:gridSpan w:val="5"/>
          </w:tcPr>
          <w:p>
            <w:pPr>
              <w:spacing w:after="0"/>
              <w:rPr>
                <w:sz w:val="20"/>
                <w:szCs w:val="20"/>
                <w:color w:val="auto"/>
              </w:rPr>
            </w:pPr>
            <w:r>
              <w:rPr>
                <w:rFonts w:ascii="Courier New" w:cs="Courier New" w:eastAsia="Courier New" w:hAnsi="Courier New"/>
                <w:sz w:val="12"/>
                <w:szCs w:val="12"/>
                <w:color w:val="auto"/>
              </w:rPr>
              <w:t>SECTION G - CONTRACT ADMINISTRATION DATA</w:t>
            </w:r>
          </w:p>
        </w:tc>
        <w:tc>
          <w:tcPr>
            <w:tcW w:w="600" w:type="dxa"/>
            <w:vAlign w:val="bottom"/>
          </w:tcPr>
          <w:p>
            <w:pPr>
              <w:spacing w:after="0"/>
              <w:rPr>
                <w:sz w:val="18"/>
                <w:szCs w:val="18"/>
                <w:color w:val="auto"/>
              </w:rPr>
            </w:pPr>
          </w:p>
        </w:tc>
      </w:tr>
      <w:tr>
        <w:trPr>
          <w:trHeight w:val="374"/>
        </w:trPr>
        <w:tc>
          <w:tcPr>
            <w:tcW w:w="580" w:type="dxa"/>
            <w:vAlign w:val="bottom"/>
          </w:tcPr>
          <w:p>
            <w:pPr>
              <w:spacing w:after="0"/>
              <w:rPr>
                <w:sz w:val="24"/>
                <w:szCs w:val="24"/>
                <w:color w:val="auto"/>
              </w:rPr>
            </w:pPr>
          </w:p>
        </w:tc>
        <w:tc>
          <w:tcPr>
            <w:tcW w:w="1680" w:type="dxa"/>
            <w:vAlign w:val="bottom"/>
            <w:gridSpan w:val="2"/>
          </w:tcPr>
          <w:p>
            <w:pPr>
              <w:jc w:val="center"/>
              <w:ind w:right="140"/>
              <w:spacing w:after="0"/>
              <w:rPr>
                <w:sz w:val="20"/>
                <w:szCs w:val="20"/>
                <w:color w:val="auto"/>
              </w:rPr>
            </w:pPr>
            <w:r>
              <w:rPr>
                <w:rFonts w:ascii="Calibri" w:cs="Calibri" w:eastAsia="Calibri" w:hAnsi="Calibri"/>
                <w:sz w:val="12"/>
                <w:szCs w:val="12"/>
                <w:color w:val="auto"/>
              </w:rPr>
              <w:t>Status Regulatory Cite</w:t>
            </w:r>
          </w:p>
        </w:tc>
        <w:tc>
          <w:tcPr>
            <w:tcW w:w="2780" w:type="dxa"/>
            <w:vAlign w:val="bottom"/>
            <w:gridSpan w:val="2"/>
          </w:tcPr>
          <w:p>
            <w:pPr>
              <w:jc w:val="center"/>
              <w:ind w:right="140"/>
              <w:spacing w:after="0"/>
              <w:rPr>
                <w:sz w:val="20"/>
                <w:szCs w:val="20"/>
                <w:color w:val="auto"/>
              </w:rPr>
            </w:pPr>
            <w:r>
              <w:rPr>
                <w:rFonts w:ascii="Calibri" w:cs="Calibri" w:eastAsia="Calibri" w:hAnsi="Calibri"/>
                <w:sz w:val="12"/>
                <w:szCs w:val="12"/>
                <w:color w:val="auto"/>
              </w:rPr>
              <w:t>Title</w:t>
            </w:r>
          </w:p>
        </w:tc>
        <w:tc>
          <w:tcPr>
            <w:tcW w:w="600" w:type="dxa"/>
            <w:vAlign w:val="bottom"/>
          </w:tcPr>
          <w:p>
            <w:pPr>
              <w:jc w:val="center"/>
              <w:spacing w:after="0"/>
              <w:rPr>
                <w:sz w:val="20"/>
                <w:szCs w:val="20"/>
                <w:color w:val="auto"/>
              </w:rPr>
            </w:pPr>
            <w:r>
              <w:rPr>
                <w:rFonts w:ascii="Calibri" w:cs="Calibri" w:eastAsia="Calibri" w:hAnsi="Calibri"/>
                <w:sz w:val="12"/>
                <w:szCs w:val="12"/>
                <w:color w:val="auto"/>
              </w:rPr>
              <w:t>Date</w:t>
            </w:r>
          </w:p>
        </w:tc>
      </w:tr>
      <w:tr>
        <w:trPr>
          <w:trHeight w:val="23"/>
        </w:trPr>
        <w:tc>
          <w:tcPr>
            <w:tcW w:w="5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44"/>
        </w:trPr>
        <w:tc>
          <w:tcPr>
            <w:tcW w:w="580" w:type="dxa"/>
            <w:vAlign w:val="bottom"/>
          </w:tcPr>
          <w:p>
            <w:pPr>
              <w:spacing w:after="0"/>
              <w:rPr>
                <w:sz w:val="12"/>
                <w:szCs w:val="12"/>
                <w:color w:val="auto"/>
              </w:rPr>
            </w:pPr>
          </w:p>
        </w:tc>
        <w:tc>
          <w:tcPr>
            <w:tcW w:w="1680" w:type="dxa"/>
            <w:vAlign w:val="bottom"/>
            <w:gridSpan w:val="2"/>
          </w:tcPr>
          <w:p>
            <w:pPr>
              <w:jc w:val="center"/>
              <w:ind w:right="140"/>
              <w:spacing w:after="0" w:line="144" w:lineRule="exact"/>
              <w:rPr>
                <w:sz w:val="20"/>
                <w:szCs w:val="20"/>
                <w:color w:val="auto"/>
              </w:rPr>
            </w:pPr>
            <w:r>
              <w:rPr>
                <w:rFonts w:ascii="Calibri" w:cs="Calibri" w:eastAsia="Calibri" w:hAnsi="Calibri"/>
                <w:sz w:val="12"/>
                <w:szCs w:val="12"/>
                <w:color w:val="auto"/>
              </w:rPr>
              <w:t>G-1 CHANGED 252.232-7006</w:t>
            </w:r>
          </w:p>
        </w:tc>
        <w:tc>
          <w:tcPr>
            <w:tcW w:w="2780" w:type="dxa"/>
            <w:vAlign w:val="bottom"/>
            <w:gridSpan w:val="2"/>
          </w:tcPr>
          <w:p>
            <w:pPr>
              <w:jc w:val="center"/>
              <w:ind w:right="140"/>
              <w:spacing w:after="0" w:line="144" w:lineRule="exact"/>
              <w:rPr>
                <w:sz w:val="20"/>
                <w:szCs w:val="20"/>
                <w:color w:val="auto"/>
              </w:rPr>
            </w:pPr>
            <w:r>
              <w:rPr>
                <w:rFonts w:ascii="Calibri" w:cs="Calibri" w:eastAsia="Calibri" w:hAnsi="Calibri"/>
                <w:sz w:val="12"/>
                <w:szCs w:val="12"/>
                <w:color w:val="auto"/>
              </w:rPr>
              <w:t>WIDE AREA WORKFLOW PAYMENT INSTRUCTIONS</w:t>
            </w:r>
          </w:p>
        </w:tc>
        <w:tc>
          <w:tcPr>
            <w:tcW w:w="600" w:type="dxa"/>
            <w:vAlign w:val="bottom"/>
          </w:tcPr>
          <w:p>
            <w:pPr>
              <w:jc w:val="center"/>
              <w:spacing w:after="0" w:line="144" w:lineRule="exact"/>
              <w:rPr>
                <w:sz w:val="20"/>
                <w:szCs w:val="20"/>
                <w:color w:val="auto"/>
              </w:rPr>
            </w:pPr>
            <w:r>
              <w:rPr>
                <w:rFonts w:ascii="Calibri" w:cs="Calibri" w:eastAsia="Calibri" w:hAnsi="Calibri"/>
                <w:sz w:val="12"/>
                <w:szCs w:val="12"/>
                <w:color w:val="auto"/>
              </w:rPr>
              <w:t>Dec/2018</w:t>
            </w:r>
          </w:p>
        </w:tc>
      </w:tr>
    </w:tbl>
    <w:p>
      <w:pPr>
        <w:spacing w:after="0" w:line="312"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(a) Definitions. As used in this clause--</w:t>
      </w:r>
    </w:p>
    <w:p>
      <w:pPr>
        <w:spacing w:after="0" w:line="265"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"Department of Defense Activity Address Code (DoDAAC)" is a six position code that uniquely identifies a unit, activity, or organization.</w:t>
      </w:r>
    </w:p>
    <w:p>
      <w:pPr>
        <w:spacing w:after="0" w:line="265"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"Document type" means the type of payment request or receiving report available for creation in Wide Area WorkFlow (WAWF).</w:t>
      </w:r>
    </w:p>
    <w:p>
      <w:pPr>
        <w:spacing w:after="0" w:line="265" w:lineRule="exact"/>
        <w:rPr>
          <w:sz w:val="20"/>
          <w:szCs w:val="20"/>
          <w:color w:val="auto"/>
        </w:rPr>
      </w:pPr>
    </w:p>
    <w:p>
      <w:pPr>
        <w:ind w:left="140" w:right="360"/>
        <w:spacing w:after="0" w:line="437" w:lineRule="auto"/>
        <w:rPr>
          <w:sz w:val="20"/>
          <w:szCs w:val="20"/>
          <w:color w:val="auto"/>
        </w:rPr>
      </w:pPr>
      <w:r>
        <w:rPr>
          <w:rFonts w:ascii="Courier New" w:cs="Courier New" w:eastAsia="Courier New" w:hAnsi="Courier New"/>
          <w:sz w:val="12"/>
          <w:szCs w:val="12"/>
          <w:color w:val="auto"/>
        </w:rPr>
        <w:t>"Local Processing Office (LPO)" is the office responsible for payment certification when payment certification is done external to the entitlement system.</w:t>
      </w:r>
    </w:p>
    <w:p>
      <w:pPr>
        <w:spacing w:after="0" w:line="120" w:lineRule="exact"/>
        <w:rPr>
          <w:sz w:val="20"/>
          <w:szCs w:val="20"/>
          <w:color w:val="auto"/>
        </w:rPr>
      </w:pPr>
    </w:p>
    <w:p>
      <w:pPr>
        <w:ind w:left="140" w:right="860"/>
        <w:spacing w:after="0" w:line="437" w:lineRule="auto"/>
        <w:rPr>
          <w:sz w:val="20"/>
          <w:szCs w:val="20"/>
          <w:color w:val="auto"/>
        </w:rPr>
      </w:pPr>
      <w:r>
        <w:rPr>
          <w:rFonts w:ascii="Courier New" w:cs="Courier New" w:eastAsia="Courier New" w:hAnsi="Courier New"/>
          <w:sz w:val="12"/>
          <w:szCs w:val="12"/>
          <w:color w:val="auto"/>
        </w:rPr>
        <w:t>"Payment request" and "receiving report" are defined in the clause at 252.232-7003, Electronic Submission of Payment Requests and Receiving Reports.</w:t>
      </w:r>
    </w:p>
    <w:p>
      <w:pPr>
        <w:spacing w:after="0" w:line="107" w:lineRule="exact"/>
        <w:rPr>
          <w:sz w:val="20"/>
          <w:szCs w:val="20"/>
          <w:color w:val="auto"/>
        </w:rPr>
      </w:pPr>
    </w:p>
    <w:p>
      <w:pPr>
        <w:jc w:val="both"/>
        <w:ind w:left="140" w:right="60" w:hanging="8"/>
        <w:spacing w:after="0" w:line="461" w:lineRule="auto"/>
        <w:tabs>
          <w:tab w:leader="none" w:pos="637" w:val="left"/>
        </w:tabs>
        <w:numPr>
          <w:ilvl w:val="0"/>
          <w:numId w:val="1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Electronic invoicing. The WAWF system provides the method to electronically process vendor payment requests and receiving reports, as authorized by Defense Federal Acquisition Regulation Supplement (DFARS) 252.232-7003, Electronic Submission of Payment Requests and Receiving Reports.</w:t>
      </w:r>
    </w:p>
    <w:p>
      <w:pPr>
        <w:spacing w:after="0" w:line="66" w:lineRule="exact"/>
        <w:rPr>
          <w:rFonts w:ascii="Courier New" w:cs="Courier New" w:eastAsia="Courier New" w:hAnsi="Courier New"/>
          <w:sz w:val="12"/>
          <w:szCs w:val="12"/>
          <w:color w:val="auto"/>
        </w:rPr>
      </w:pPr>
    </w:p>
    <w:p>
      <w:pPr>
        <w:ind w:left="420" w:hanging="289"/>
        <w:spacing w:after="0"/>
        <w:tabs>
          <w:tab w:leader="none" w:pos="420" w:val="left"/>
        </w:tabs>
        <w:numPr>
          <w:ilvl w:val="0"/>
          <w:numId w:val="1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WAWF access. To access WAWF, the Contractor shall--</w:t>
      </w:r>
    </w:p>
    <w:p>
      <w:pPr>
        <w:spacing w:after="0" w:line="239"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260" w:type="dxa"/>
            <w:vAlign w:val="bottom"/>
          </w:tcPr>
          <w:p>
            <w:pPr>
              <w:jc w:val="right"/>
              <w:spacing w:after="0"/>
              <w:rPr>
                <w:sz w:val="20"/>
                <w:szCs w:val="20"/>
                <w:color w:val="auto"/>
              </w:rPr>
            </w:pPr>
            <w:r>
              <w:rPr>
                <w:rFonts w:ascii="Courier New" w:cs="Courier New" w:eastAsia="Courier New" w:hAnsi="Courier New"/>
                <w:sz w:val="12"/>
                <w:szCs w:val="12"/>
                <w:color w:val="auto"/>
                <w:w w:val="92"/>
              </w:rPr>
              <w:t>(1)</w:t>
            </w:r>
          </w:p>
        </w:tc>
        <w:tc>
          <w:tcPr>
            <w:tcW w:w="826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Have a designated electronic business point of contact in the System for Award Management at https://www.sam.gov</w:t>
            </w:r>
          </w:p>
        </w:tc>
        <w:tc>
          <w:tcPr>
            <w:tcW w:w="1940" w:type="dxa"/>
            <w:vAlign w:val="bottom"/>
          </w:tcPr>
          <w:p>
            <w:pPr>
              <w:ind w:left="140"/>
              <w:spacing w:after="0"/>
              <w:rPr>
                <w:sz w:val="20"/>
                <w:szCs w:val="20"/>
                <w:color w:val="auto"/>
              </w:rPr>
            </w:pPr>
            <w:r>
              <w:rPr>
                <w:rFonts w:ascii="Courier New" w:cs="Courier New" w:eastAsia="Courier New" w:hAnsi="Courier New"/>
                <w:sz w:val="12"/>
                <w:szCs w:val="12"/>
                <w:color w:val="auto"/>
              </w:rPr>
              <w:t>; and</w:t>
            </w:r>
          </w:p>
        </w:tc>
      </w:tr>
      <w:tr>
        <w:trPr>
          <w:trHeight w:val="388"/>
        </w:trPr>
        <w:tc>
          <w:tcPr>
            <w:tcW w:w="260" w:type="dxa"/>
            <w:vAlign w:val="bottom"/>
          </w:tcPr>
          <w:p>
            <w:pPr>
              <w:jc w:val="right"/>
              <w:spacing w:after="0"/>
              <w:rPr>
                <w:sz w:val="20"/>
                <w:szCs w:val="20"/>
                <w:color w:val="auto"/>
              </w:rPr>
            </w:pPr>
            <w:r>
              <w:rPr>
                <w:rFonts w:ascii="Courier New" w:cs="Courier New" w:eastAsia="Courier New" w:hAnsi="Courier New"/>
                <w:sz w:val="12"/>
                <w:szCs w:val="12"/>
                <w:color w:val="auto"/>
                <w:w w:val="92"/>
              </w:rPr>
              <w:t>(2)</w:t>
            </w:r>
          </w:p>
        </w:tc>
        <w:tc>
          <w:tcPr>
            <w:tcW w:w="3780" w:type="dxa"/>
            <w:vAlign w:val="bottom"/>
          </w:tcPr>
          <w:p>
            <w:pPr>
              <w:ind w:left="100"/>
              <w:spacing w:after="0"/>
              <w:rPr>
                <w:sz w:val="20"/>
                <w:szCs w:val="20"/>
                <w:color w:val="auto"/>
              </w:rPr>
            </w:pPr>
            <w:r>
              <w:rPr>
                <w:rFonts w:ascii="Courier New" w:cs="Courier New" w:eastAsia="Courier New" w:hAnsi="Courier New"/>
                <w:sz w:val="12"/>
                <w:szCs w:val="12"/>
                <w:color w:val="auto"/>
              </w:rPr>
              <w:t>Be registered to use WAWF at https://wawf.eb.mil/</w:t>
            </w:r>
          </w:p>
        </w:tc>
        <w:tc>
          <w:tcPr>
            <w:tcW w:w="64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9"/>
              </w:rPr>
              <w:t>following the step-by-step procedures for self-registration available at this Web site.</w:t>
            </w:r>
          </w:p>
        </w:tc>
      </w:tr>
    </w:tbl>
    <w:p>
      <w:pPr>
        <w:spacing w:after="0" w:line="218" w:lineRule="exact"/>
        <w:rPr>
          <w:sz w:val="20"/>
          <w:szCs w:val="20"/>
          <w:color w:val="auto"/>
        </w:rPr>
      </w:pPr>
    </w:p>
    <w:p>
      <w:pPr>
        <w:ind w:left="140" w:right="160" w:hanging="8"/>
        <w:spacing w:after="0" w:line="349" w:lineRule="auto"/>
        <w:tabs>
          <w:tab w:leader="none" w:pos="637" w:val="left"/>
        </w:tabs>
        <w:numPr>
          <w:ilvl w:val="0"/>
          <w:numId w:val="1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WAWF training. The Contractor should follow the training instructions of the WAWF Web-Based Training Course and use the Practice Training Site before submitting payment requests through WAWF. Both can be accessed by selecting the "Web Based Training" link on the WAWF home page at</w:t>
      </w:r>
    </w:p>
    <w:p>
      <w:pPr>
        <w:spacing w:after="0" w:line="1" w:lineRule="exact"/>
        <w:rPr>
          <w:rFonts w:ascii="Courier New" w:cs="Courier New" w:eastAsia="Courier New" w:hAnsi="Courier New"/>
          <w:sz w:val="12"/>
          <w:szCs w:val="12"/>
          <w:color w:val="auto"/>
        </w:rPr>
      </w:pPr>
    </w:p>
    <w:p>
      <w:pPr>
        <w:ind w:left="1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https://wawf.eb.mil/.</w:t>
      </w:r>
    </w:p>
    <w:p>
      <w:pPr>
        <w:spacing w:after="0" w:line="270" w:lineRule="exact"/>
        <w:rPr>
          <w:rFonts w:ascii="Courier New" w:cs="Courier New" w:eastAsia="Courier New" w:hAnsi="Courier New"/>
          <w:sz w:val="12"/>
          <w:szCs w:val="12"/>
          <w:color w:val="auto"/>
        </w:rPr>
      </w:pPr>
    </w:p>
    <w:p>
      <w:pPr>
        <w:ind w:left="620" w:hanging="488"/>
        <w:spacing w:after="0"/>
        <w:tabs>
          <w:tab w:leader="none" w:pos="620" w:val="left"/>
        </w:tabs>
        <w:numPr>
          <w:ilvl w:val="0"/>
          <w:numId w:val="1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WAWF methods of document submission. Document submissions may be via Web entry, Electronic Data Interchange, or File Transfer Protocol.</w:t>
      </w:r>
    </w:p>
    <w:p>
      <w:pPr>
        <w:spacing w:after="0" w:line="292" w:lineRule="exact"/>
        <w:rPr>
          <w:rFonts w:ascii="Courier New" w:cs="Courier New" w:eastAsia="Courier New" w:hAnsi="Courier New"/>
          <w:sz w:val="12"/>
          <w:szCs w:val="12"/>
          <w:color w:val="auto"/>
        </w:rPr>
      </w:pPr>
    </w:p>
    <w:p>
      <w:pPr>
        <w:ind w:left="140" w:hanging="8"/>
        <w:spacing w:after="0" w:line="437" w:lineRule="auto"/>
        <w:tabs>
          <w:tab w:leader="none" w:pos="637" w:val="left"/>
        </w:tabs>
        <w:numPr>
          <w:ilvl w:val="0"/>
          <w:numId w:val="1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WAWF payment instructions. The Contractor shall use the following information when submitting payment requests and receiving reports in WAWF for this contract or task or delivery order:</w:t>
      </w:r>
    </w:p>
    <w:p>
      <w:pPr>
        <w:spacing w:after="0" w:line="93" w:lineRule="exact"/>
        <w:rPr>
          <w:rFonts w:ascii="Courier New" w:cs="Courier New" w:eastAsia="Courier New" w:hAnsi="Courier New"/>
          <w:sz w:val="12"/>
          <w:szCs w:val="12"/>
          <w:color w:val="auto"/>
        </w:rPr>
      </w:pPr>
    </w:p>
    <w:p>
      <w:pPr>
        <w:ind w:left="560" w:hanging="279"/>
        <w:spacing w:after="0"/>
        <w:tabs>
          <w:tab w:leader="none" w:pos="560" w:val="left"/>
        </w:tabs>
        <w:numPr>
          <w:ilvl w:val="1"/>
          <w:numId w:val="1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Document type. The Contractor shall submit payment requests using the following document type(s):</w:t>
      </w:r>
    </w:p>
    <w:p>
      <w:pPr>
        <w:spacing w:after="0" w:line="225" w:lineRule="exact"/>
        <w:rPr>
          <w:rFonts w:ascii="Courier New" w:cs="Courier New" w:eastAsia="Courier New" w:hAnsi="Courier New"/>
          <w:sz w:val="12"/>
          <w:szCs w:val="12"/>
          <w:color w:val="auto"/>
        </w:rPr>
      </w:pPr>
    </w:p>
    <w:p>
      <w:pPr>
        <w:ind w:left="720" w:hanging="289"/>
        <w:spacing w:after="0"/>
        <w:tabs>
          <w:tab w:leader="none" w:pos="720" w:val="left"/>
        </w:tabs>
        <w:numPr>
          <w:ilvl w:val="2"/>
          <w:numId w:val="1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cost-type line items, including labor-hour or time-and-materials, submit a cost voucher.</w:t>
      </w:r>
    </w:p>
    <w:p>
      <w:pPr>
        <w:spacing w:after="0" w:line="238" w:lineRule="exact"/>
        <w:rPr>
          <w:rFonts w:ascii="Courier New" w:cs="Courier New" w:eastAsia="Courier New" w:hAnsi="Courier New"/>
          <w:sz w:val="12"/>
          <w:szCs w:val="12"/>
          <w:color w:val="auto"/>
        </w:rPr>
      </w:pPr>
    </w:p>
    <w:p>
      <w:pPr>
        <w:ind w:left="780" w:hanging="350"/>
        <w:spacing w:after="0"/>
        <w:tabs>
          <w:tab w:leader="none" w:pos="780" w:val="left"/>
        </w:tabs>
        <w:numPr>
          <w:ilvl w:val="2"/>
          <w:numId w:val="1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fixed price line items--</w:t>
      </w:r>
    </w:p>
    <w:p>
      <w:pPr>
        <w:spacing w:after="0" w:line="225" w:lineRule="exact"/>
        <w:rPr>
          <w:rFonts w:ascii="Courier New" w:cs="Courier New" w:eastAsia="Courier New" w:hAnsi="Courier New"/>
          <w:sz w:val="12"/>
          <w:szCs w:val="12"/>
          <w:color w:val="auto"/>
        </w:rPr>
      </w:pPr>
    </w:p>
    <w:p>
      <w:pPr>
        <w:ind w:left="860" w:hanging="280"/>
        <w:spacing w:after="0"/>
        <w:tabs>
          <w:tab w:leader="none" w:pos="860" w:val="left"/>
        </w:tabs>
        <w:numPr>
          <w:ilvl w:val="3"/>
          <w:numId w:val="1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That require shipment of a deliverable, submit the invoice and receiving report specified by the Contracting Officer.</w:t>
      </w:r>
    </w:p>
    <w:p>
      <w:pPr>
        <w:spacing w:after="0" w:line="239"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Invoice (Contractor Only)</w:t>
      </w:r>
    </w:p>
    <w:p>
      <w:pPr>
        <w:spacing w:after="0" w:line="252" w:lineRule="exact"/>
        <w:rPr>
          <w:sz w:val="20"/>
          <w:szCs w:val="20"/>
          <w:color w:val="auto"/>
        </w:rPr>
      </w:pPr>
    </w:p>
    <w:p>
      <w:pPr>
        <w:ind w:left="140" w:right="360" w:firstLine="441"/>
        <w:spacing w:after="0" w:line="461" w:lineRule="auto"/>
        <w:tabs>
          <w:tab w:leader="none" w:pos="1287" w:val="left"/>
        </w:tabs>
        <w:numPr>
          <w:ilvl w:val="0"/>
          <w:numId w:val="1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services that do not require shipment of a deliverable, submit either the Invoice 2-in-1, which meets the requirements for the invoice and receiving report, or the applicable invoice and receiving report, as specified by the Contracting Officer.</w:t>
      </w:r>
    </w:p>
    <w:p>
      <w:pPr>
        <w:spacing w:after="0" w:line="66"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Invoice as 2-in-1</w:t>
      </w:r>
    </w:p>
    <w:p>
      <w:pPr>
        <w:spacing w:after="0" w:line="239" w:lineRule="exact"/>
        <w:rPr>
          <w:sz w:val="20"/>
          <w:szCs w:val="20"/>
          <w:color w:val="auto"/>
        </w:rPr>
      </w:pPr>
    </w:p>
    <w:p>
      <w:pPr>
        <w:ind w:left="860" w:hanging="429"/>
        <w:spacing w:after="0"/>
        <w:tabs>
          <w:tab w:leader="none" w:pos="860" w:val="left"/>
        </w:tabs>
        <w:numPr>
          <w:ilvl w:val="1"/>
          <w:numId w:val="1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customary progress payments based on costs incurred, submit a progress payment request.</w:t>
      </w:r>
    </w:p>
    <w:p>
      <w:pPr>
        <w:spacing w:after="0" w:line="225" w:lineRule="exact"/>
        <w:rPr>
          <w:rFonts w:ascii="Courier New" w:cs="Courier New" w:eastAsia="Courier New" w:hAnsi="Courier New"/>
          <w:sz w:val="12"/>
          <w:szCs w:val="12"/>
          <w:color w:val="auto"/>
        </w:rPr>
      </w:pPr>
    </w:p>
    <w:p>
      <w:pPr>
        <w:ind w:left="780" w:hanging="350"/>
        <w:spacing w:after="0"/>
        <w:tabs>
          <w:tab w:leader="none" w:pos="780" w:val="left"/>
        </w:tabs>
        <w:numPr>
          <w:ilvl w:val="1"/>
          <w:numId w:val="1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performance based payments, submit a performance based payment request.</w:t>
      </w:r>
    </w:p>
    <w:p>
      <w:pPr>
        <w:spacing w:after="0" w:line="238" w:lineRule="exact"/>
        <w:rPr>
          <w:rFonts w:ascii="Courier New" w:cs="Courier New" w:eastAsia="Courier New" w:hAnsi="Courier New"/>
          <w:sz w:val="12"/>
          <w:szCs w:val="12"/>
          <w:color w:val="auto"/>
        </w:rPr>
      </w:pPr>
    </w:p>
    <w:p>
      <w:pPr>
        <w:ind w:left="720" w:hanging="289"/>
        <w:spacing w:after="0"/>
        <w:tabs>
          <w:tab w:leader="none" w:pos="720" w:val="left"/>
        </w:tabs>
        <w:numPr>
          <w:ilvl w:val="1"/>
          <w:numId w:val="1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commercial item financing, submit a commercial item financing request.</w:t>
      </w:r>
    </w:p>
    <w:p>
      <w:pPr>
        <w:spacing w:after="0" w:line="225" w:lineRule="exact"/>
        <w:rPr>
          <w:rFonts w:ascii="Courier New" w:cs="Courier New" w:eastAsia="Courier New" w:hAnsi="Courier New"/>
          <w:sz w:val="12"/>
          <w:szCs w:val="12"/>
          <w:color w:val="auto"/>
        </w:rPr>
      </w:pPr>
    </w:p>
    <w:p>
      <w:pPr>
        <w:ind w:left="560" w:hanging="279"/>
        <w:spacing w:after="0"/>
        <w:tabs>
          <w:tab w:leader="none" w:pos="560" w:val="left"/>
        </w:tabs>
        <w:numPr>
          <w:ilvl w:val="0"/>
          <w:numId w:val="1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Fast Pay requests are only permitted when Federal Acquisition Regulation (FAR) 52.213-1 is included in the contract.</w:t>
      </w:r>
    </w:p>
    <w:p>
      <w:pPr>
        <w:spacing w:after="0" w:line="239"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[Note: The Contractor may use a WAWF "combo" document type to create some Combinations of invoice and receiving report in one step.]</w:t>
      </w:r>
    </w:p>
    <w:p>
      <w:pPr>
        <w:sectPr>
          <w:pgSz w:w="11900" w:h="16838" w:orient="portrait"/>
          <w:cols w:equalWidth="0" w:num="1">
            <w:col w:w="11040"/>
          </w:cols>
          <w:pgMar w:left="320" w:top="146" w:right="5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01"/>
        </w:trPr>
        <w:tc>
          <w:tcPr>
            <w:tcW w:w="3660" w:type="dxa"/>
            <w:vAlign w:val="bottom"/>
            <w:tcBorders>
              <w:top w:val="single" w:sz="8" w:color="auto"/>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20"/>
                <w:szCs w:val="20"/>
                <w:b w:val="1"/>
                <w:bCs w:val="1"/>
                <w:color w:val="auto"/>
              </w:rPr>
              <w:t>CONTINUATION SHEET</w:t>
            </w:r>
          </w:p>
        </w:tc>
        <w:tc>
          <w:tcPr>
            <w:tcW w:w="5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Page </w:t>
            </w:r>
            <w:r>
              <w:rPr>
                <w:rFonts w:ascii="Times New Roman" w:cs="Times New Roman" w:eastAsia="Times New Roman" w:hAnsi="Times New Roman"/>
                <w:sz w:val="14"/>
                <w:szCs w:val="14"/>
                <w:color w:val="auto"/>
              </w:rPr>
              <w:t>4</w:t>
            </w:r>
            <w:r>
              <w:rPr>
                <w:rFonts w:ascii="Times New Roman" w:cs="Times New Roman" w:eastAsia="Times New Roman" w:hAnsi="Times New Roman"/>
                <w:sz w:val="14"/>
                <w:szCs w:val="14"/>
                <w:b w:val="1"/>
                <w:bCs w:val="1"/>
                <w:color w:val="auto"/>
              </w:rPr>
              <w:t xml:space="preserve"> of </w:t>
            </w:r>
            <w:r>
              <w:rPr>
                <w:rFonts w:ascii="Times New Roman" w:cs="Times New Roman" w:eastAsia="Times New Roman" w:hAnsi="Times New Roman"/>
                <w:sz w:val="14"/>
                <w:szCs w:val="14"/>
                <w:color w:val="auto"/>
              </w:rPr>
              <w:t>4</w:t>
            </w:r>
          </w:p>
        </w:tc>
      </w:tr>
      <w:tr>
        <w:trPr>
          <w:trHeight w:val="134"/>
        </w:trPr>
        <w:tc>
          <w:tcPr>
            <w:tcW w:w="3660" w:type="dxa"/>
            <w:vAlign w:val="bottom"/>
            <w:tcBorders>
              <w:right w:val="single" w:sz="8" w:color="auto"/>
            </w:tcBorders>
          </w:tcPr>
          <w:p>
            <w:pPr>
              <w:spacing w:after="0"/>
              <w:rPr>
                <w:sz w:val="11"/>
                <w:szCs w:val="11"/>
                <w:color w:val="auto"/>
              </w:rPr>
            </w:pPr>
          </w:p>
        </w:tc>
        <w:tc>
          <w:tcPr>
            <w:tcW w:w="576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color w:val="auto"/>
              </w:rPr>
              <w:t>W15QKN-21-C-0014</w:t>
            </w:r>
          </w:p>
        </w:tc>
        <w:tc>
          <w:tcPr>
            <w:tcW w:w="1160" w:type="dxa"/>
            <w:vAlign w:val="bottom"/>
          </w:tcPr>
          <w:p>
            <w:pPr>
              <w:spacing w:after="0"/>
              <w:rPr>
                <w:sz w:val="11"/>
                <w:szCs w:val="11"/>
                <w:color w:val="auto"/>
              </w:rPr>
            </w:pPr>
          </w:p>
        </w:tc>
      </w:tr>
      <w:tr>
        <w:trPr>
          <w:trHeight w:val="212"/>
        </w:trPr>
        <w:tc>
          <w:tcPr>
            <w:tcW w:w="3660" w:type="dxa"/>
            <w:vAlign w:val="bottom"/>
            <w:tcBorders>
              <w:bottom w:val="single" w:sz="8" w:color="auto"/>
              <w:right w:val="single" w:sz="8" w:color="auto"/>
            </w:tcBorders>
          </w:tcPr>
          <w:p>
            <w:pPr>
              <w:spacing w:after="0"/>
              <w:rPr>
                <w:sz w:val="18"/>
                <w:szCs w:val="18"/>
                <w:color w:val="auto"/>
              </w:rPr>
            </w:pPr>
          </w:p>
        </w:tc>
        <w:tc>
          <w:tcPr>
            <w:tcW w:w="5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PIIN/SIIN MOD/AMD </w:t>
            </w:r>
            <w:r>
              <w:rPr>
                <w:rFonts w:ascii="Times New Roman" w:cs="Times New Roman" w:eastAsia="Times New Roman" w:hAnsi="Times New Roman"/>
                <w:sz w:val="16"/>
                <w:szCs w:val="16"/>
                <w:color w:val="auto"/>
              </w:rPr>
              <w:t>P00003</w:t>
            </w:r>
          </w:p>
        </w:tc>
        <w:tc>
          <w:tcPr>
            <w:tcW w:w="1160" w:type="dxa"/>
            <w:vAlign w:val="bottom"/>
            <w:tcBorders>
              <w:bottom w:val="single" w:sz="8" w:color="auto"/>
            </w:tcBorders>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16"/>
          <w:szCs w:val="16"/>
          <w:b w:val="1"/>
          <w:bCs w:val="1"/>
          <w:color w:val="auto"/>
        </w:rPr>
        <w:t>Name of Offeror or Contractor: 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360" w:firstLine="248"/>
        <w:spacing w:after="0" w:line="461" w:lineRule="auto"/>
        <w:tabs>
          <w:tab w:leader="none" w:pos="530" w:val="left"/>
        </w:tabs>
        <w:numPr>
          <w:ilvl w:val="0"/>
          <w:numId w:val="1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Document routing. The Contractor shall use the information in the Routing Data Table below only to fill in applicable fields in WAWF when creating payment requests and receiving reports in the system.</w:t>
      </w:r>
    </w:p>
    <w:p>
      <w:pPr>
        <w:spacing w:after="0" w:line="120"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2840" w:type="dxa"/>
            <w:vAlign w:val="bottom"/>
          </w:tcPr>
          <w:p>
            <w:pPr>
              <w:ind w:left="1280"/>
              <w:spacing w:after="0"/>
              <w:rPr>
                <w:sz w:val="20"/>
                <w:szCs w:val="20"/>
                <w:color w:val="auto"/>
              </w:rPr>
            </w:pPr>
            <w:r>
              <w:rPr>
                <w:rFonts w:ascii="Courier New" w:cs="Courier New" w:eastAsia="Courier New" w:hAnsi="Courier New"/>
                <w:sz w:val="12"/>
                <w:szCs w:val="12"/>
                <w:color w:val="464646"/>
              </w:rPr>
              <w:t>Routing Data Table*</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6"/>
        </w:trPr>
        <w:tc>
          <w:tcPr>
            <w:tcW w:w="2840" w:type="dxa"/>
            <w:vAlign w:val="bottom"/>
          </w:tcPr>
          <w:p>
            <w:pPr>
              <w:spacing w:after="0"/>
              <w:rPr>
                <w:sz w:val="20"/>
                <w:szCs w:val="20"/>
                <w:color w:val="auto"/>
              </w:rPr>
            </w:pPr>
            <w:r>
              <w:rPr>
                <w:rFonts w:ascii="Courier New" w:cs="Courier New" w:eastAsia="Courier New" w:hAnsi="Courier New"/>
                <w:sz w:val="12"/>
                <w:szCs w:val="12"/>
                <w:color w:val="auto"/>
              </w:rPr>
              <w:t>Field Name in WAWF</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w w:val="99"/>
              </w:rPr>
              <w:t>Data to be entered in WAWF</w:t>
            </w:r>
          </w:p>
        </w:tc>
        <w:tc>
          <w:tcPr>
            <w:tcW w:w="0" w:type="dxa"/>
            <w:vAlign w:val="bottom"/>
          </w:tcPr>
          <w:p>
            <w:pPr>
              <w:spacing w:after="0"/>
              <w:rPr>
                <w:sz w:val="1"/>
                <w:szCs w:val="1"/>
                <w:color w:val="auto"/>
              </w:rPr>
            </w:pPr>
          </w:p>
        </w:tc>
      </w:tr>
      <w:tr>
        <w:trPr>
          <w:trHeight w:val="210"/>
        </w:trPr>
        <w:tc>
          <w:tcPr>
            <w:tcW w:w="2840" w:type="dxa"/>
            <w:vAlign w:val="bottom"/>
            <w:vMerge w:val="restart"/>
          </w:tcPr>
          <w:p>
            <w:pPr>
              <w:spacing w:after="0"/>
              <w:rPr>
                <w:sz w:val="20"/>
                <w:szCs w:val="20"/>
                <w:color w:val="auto"/>
              </w:rPr>
            </w:pPr>
            <w:r>
              <w:rPr>
                <w:rFonts w:ascii="Courier New" w:cs="Courier New" w:eastAsia="Courier New" w:hAnsi="Courier New"/>
                <w:sz w:val="12"/>
                <w:szCs w:val="12"/>
                <w:color w:val="auto"/>
              </w:rPr>
              <w:t>Pay Official DoDAAC</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HQ0490</w:t>
            </w:r>
          </w:p>
        </w:tc>
        <w:tc>
          <w:tcPr>
            <w:tcW w:w="0" w:type="dxa"/>
            <w:vAlign w:val="bottom"/>
          </w:tcPr>
          <w:p>
            <w:pPr>
              <w:spacing w:after="0"/>
              <w:rPr>
                <w:sz w:val="1"/>
                <w:szCs w:val="1"/>
                <w:color w:val="auto"/>
              </w:rPr>
            </w:pPr>
          </w:p>
        </w:tc>
      </w:tr>
      <w:tr>
        <w:trPr>
          <w:trHeight w:val="84"/>
        </w:trPr>
        <w:tc>
          <w:tcPr>
            <w:tcW w:w="2840" w:type="dxa"/>
            <w:vAlign w:val="bottom"/>
            <w:vMerge w:val="continue"/>
          </w:tcPr>
          <w:p>
            <w:pPr>
              <w:spacing w:after="0"/>
              <w:rPr>
                <w:sz w:val="7"/>
                <w:szCs w:val="7"/>
                <w:color w:val="auto"/>
              </w:rPr>
            </w:pPr>
          </w:p>
        </w:tc>
        <w:tc>
          <w:tcPr>
            <w:tcW w:w="2040" w:type="dxa"/>
            <w:vAlign w:val="bottom"/>
            <w:vMerge w:val="restart"/>
          </w:tcPr>
          <w:p>
            <w:pPr>
              <w:ind w:left="160"/>
              <w:spacing w:after="0"/>
              <w:rPr>
                <w:sz w:val="20"/>
                <w:szCs w:val="20"/>
                <w:color w:val="auto"/>
              </w:rPr>
            </w:pPr>
            <w:r>
              <w:rPr>
                <w:rFonts w:ascii="Courier New" w:cs="Courier New" w:eastAsia="Courier New" w:hAnsi="Courier New"/>
                <w:sz w:val="12"/>
                <w:szCs w:val="12"/>
                <w:color w:val="auto"/>
              </w:rPr>
              <w:t>W58P05</w:t>
            </w:r>
          </w:p>
        </w:tc>
        <w:tc>
          <w:tcPr>
            <w:tcW w:w="0" w:type="dxa"/>
            <w:vAlign w:val="bottom"/>
          </w:tcPr>
          <w:p>
            <w:pPr>
              <w:spacing w:after="0"/>
              <w:rPr>
                <w:sz w:val="1"/>
                <w:szCs w:val="1"/>
                <w:color w:val="auto"/>
              </w:rPr>
            </w:pPr>
          </w:p>
        </w:tc>
      </w:tr>
      <w:tr>
        <w:trPr>
          <w:trHeight w:val="187"/>
        </w:trPr>
        <w:tc>
          <w:tcPr>
            <w:tcW w:w="2840" w:type="dxa"/>
            <w:vAlign w:val="bottom"/>
          </w:tcPr>
          <w:p>
            <w:pPr>
              <w:spacing w:after="0"/>
              <w:rPr>
                <w:sz w:val="20"/>
                <w:szCs w:val="20"/>
                <w:color w:val="auto"/>
              </w:rPr>
            </w:pPr>
            <w:r>
              <w:rPr>
                <w:rFonts w:ascii="Courier New" w:cs="Courier New" w:eastAsia="Courier New" w:hAnsi="Courier New"/>
                <w:sz w:val="12"/>
                <w:szCs w:val="12"/>
                <w:color w:val="auto"/>
              </w:rPr>
              <w:t>Issue By DoDAAC</w:t>
            </w:r>
          </w:p>
        </w:tc>
        <w:tc>
          <w:tcPr>
            <w:tcW w:w="2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40" w:type="dxa"/>
            <w:vAlign w:val="bottom"/>
          </w:tcPr>
          <w:p>
            <w:pPr>
              <w:spacing w:after="0"/>
              <w:rPr>
                <w:sz w:val="20"/>
                <w:szCs w:val="20"/>
                <w:color w:val="auto"/>
              </w:rPr>
            </w:pPr>
            <w:r>
              <w:rPr>
                <w:rFonts w:ascii="Courier New" w:cs="Courier New" w:eastAsia="Courier New" w:hAnsi="Courier New"/>
                <w:sz w:val="12"/>
                <w:szCs w:val="12"/>
                <w:color w:val="auto"/>
              </w:rPr>
              <w:t>Admin DoDAAC</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W58P05</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20"/>
                <w:szCs w:val="20"/>
                <w:color w:val="auto"/>
              </w:rPr>
            </w:pPr>
            <w:r>
              <w:rPr>
                <w:rFonts w:ascii="Courier New" w:cs="Courier New" w:eastAsia="Courier New" w:hAnsi="Courier New"/>
                <w:sz w:val="12"/>
                <w:szCs w:val="12"/>
                <w:color w:val="auto"/>
              </w:rPr>
              <w:t>Inspect By DoDAAC</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TBD</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20"/>
                <w:szCs w:val="20"/>
                <w:color w:val="auto"/>
              </w:rPr>
            </w:pPr>
            <w:r>
              <w:rPr>
                <w:rFonts w:ascii="Courier New" w:cs="Courier New" w:eastAsia="Courier New" w:hAnsi="Courier New"/>
                <w:sz w:val="12"/>
                <w:szCs w:val="12"/>
                <w:color w:val="auto"/>
              </w:rPr>
              <w:t>Ship To Code</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W90ZQ2</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20"/>
                <w:szCs w:val="20"/>
                <w:color w:val="auto"/>
              </w:rPr>
            </w:pPr>
            <w:r>
              <w:rPr>
                <w:rFonts w:ascii="Courier New" w:cs="Courier New" w:eastAsia="Courier New" w:hAnsi="Courier New"/>
                <w:sz w:val="12"/>
                <w:szCs w:val="12"/>
                <w:color w:val="auto"/>
              </w:rPr>
              <w:t>Ship From Code</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TBD</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20"/>
                <w:szCs w:val="20"/>
                <w:color w:val="auto"/>
              </w:rPr>
            </w:pPr>
            <w:r>
              <w:rPr>
                <w:rFonts w:ascii="Courier New" w:cs="Courier New" w:eastAsia="Courier New" w:hAnsi="Courier New"/>
                <w:sz w:val="12"/>
                <w:szCs w:val="12"/>
                <w:color w:val="auto"/>
              </w:rPr>
              <w:t>Mark For Code</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TBD</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20"/>
                <w:szCs w:val="20"/>
                <w:color w:val="auto"/>
              </w:rPr>
            </w:pPr>
            <w:r>
              <w:rPr>
                <w:rFonts w:ascii="Courier New" w:cs="Courier New" w:eastAsia="Courier New" w:hAnsi="Courier New"/>
                <w:sz w:val="12"/>
                <w:szCs w:val="12"/>
                <w:color w:val="auto"/>
              </w:rPr>
              <w:t>Service Approver (DoDAAC)</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N/A</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20"/>
                <w:szCs w:val="20"/>
                <w:color w:val="auto"/>
              </w:rPr>
            </w:pPr>
            <w:r>
              <w:rPr>
                <w:rFonts w:ascii="Courier New" w:cs="Courier New" w:eastAsia="Courier New" w:hAnsi="Courier New"/>
                <w:sz w:val="12"/>
                <w:szCs w:val="12"/>
                <w:color w:val="auto"/>
              </w:rPr>
              <w:t>Service Acceptor (DoDAAC)</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W56XNH</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20"/>
                <w:szCs w:val="20"/>
                <w:color w:val="auto"/>
              </w:rPr>
            </w:pPr>
            <w:r>
              <w:rPr>
                <w:rFonts w:ascii="Courier New" w:cs="Courier New" w:eastAsia="Courier New" w:hAnsi="Courier New"/>
                <w:sz w:val="12"/>
                <w:szCs w:val="12"/>
                <w:color w:val="auto"/>
              </w:rPr>
              <w:t>Accept at Other DoDAAC</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W56XNH</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20"/>
                <w:szCs w:val="20"/>
                <w:color w:val="auto"/>
              </w:rPr>
            </w:pPr>
            <w:r>
              <w:rPr>
                <w:rFonts w:ascii="Courier New" w:cs="Courier New" w:eastAsia="Courier New" w:hAnsi="Courier New"/>
                <w:sz w:val="12"/>
                <w:szCs w:val="12"/>
                <w:color w:val="auto"/>
              </w:rPr>
              <w:t>LPO DoDAAC</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N/A</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20"/>
                <w:szCs w:val="20"/>
                <w:color w:val="auto"/>
              </w:rPr>
            </w:pPr>
            <w:r>
              <w:rPr>
                <w:rFonts w:ascii="Courier New" w:cs="Courier New" w:eastAsia="Courier New" w:hAnsi="Courier New"/>
                <w:sz w:val="12"/>
                <w:szCs w:val="12"/>
                <w:color w:val="auto"/>
              </w:rPr>
              <w:t>DCAA Auditor DoDAAC</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N/A</w:t>
            </w:r>
          </w:p>
        </w:tc>
        <w:tc>
          <w:tcPr>
            <w:tcW w:w="0" w:type="dxa"/>
            <w:vAlign w:val="bottom"/>
          </w:tcPr>
          <w:p>
            <w:pPr>
              <w:spacing w:after="0"/>
              <w:rPr>
                <w:sz w:val="1"/>
                <w:szCs w:val="1"/>
                <w:color w:val="auto"/>
              </w:rPr>
            </w:pPr>
          </w:p>
        </w:tc>
      </w:tr>
      <w:tr>
        <w:trPr>
          <w:trHeight w:val="223"/>
        </w:trPr>
        <w:tc>
          <w:tcPr>
            <w:tcW w:w="2840" w:type="dxa"/>
            <w:vAlign w:val="bottom"/>
          </w:tcPr>
          <w:p>
            <w:pPr>
              <w:spacing w:after="0"/>
              <w:rPr>
                <w:sz w:val="20"/>
                <w:szCs w:val="20"/>
                <w:color w:val="auto"/>
              </w:rPr>
            </w:pPr>
            <w:r>
              <w:rPr>
                <w:rFonts w:ascii="Courier New" w:cs="Courier New" w:eastAsia="Courier New" w:hAnsi="Courier New"/>
                <w:sz w:val="12"/>
                <w:szCs w:val="12"/>
                <w:color w:val="auto"/>
              </w:rPr>
              <w:t>Other DoDAAC(s)</w:t>
            </w:r>
          </w:p>
        </w:tc>
        <w:tc>
          <w:tcPr>
            <w:tcW w:w="2040" w:type="dxa"/>
            <w:vAlign w:val="bottom"/>
          </w:tcPr>
          <w:p>
            <w:pPr>
              <w:ind w:left="160"/>
              <w:spacing w:after="0"/>
              <w:rPr>
                <w:sz w:val="20"/>
                <w:szCs w:val="20"/>
                <w:color w:val="auto"/>
              </w:rPr>
            </w:pPr>
            <w:r>
              <w:rPr>
                <w:rFonts w:ascii="Courier New" w:cs="Courier New" w:eastAsia="Courier New" w:hAnsi="Courier New"/>
                <w:sz w:val="12"/>
                <w:szCs w:val="12"/>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-2239645</wp:posOffset>
            </wp:positionV>
            <wp:extent cx="3201670" cy="336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01670" cy="33655"/>
                    </a:xfrm>
                    <a:prstGeom prst="rect">
                      <a:avLst/>
                    </a:prstGeom>
                    <a:noFill/>
                  </pic:spPr>
                </pic:pic>
              </a:graphicData>
            </a:graphic>
          </wp:anchor>
        </w:drawing>
        <w:drawing>
          <wp:anchor simplePos="0" relativeHeight="251657728" behindDoc="1" locked="0" layoutInCell="0" allowOverlap="1">
            <wp:simplePos x="0" y="0"/>
            <wp:positionH relativeFrom="column">
              <wp:posOffset>76835</wp:posOffset>
            </wp:positionH>
            <wp:positionV relativeFrom="paragraph">
              <wp:posOffset>-22860</wp:posOffset>
            </wp:positionV>
            <wp:extent cx="3677285" cy="336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677285" cy="33655"/>
                    </a:xfrm>
                    <a:prstGeom prst="rect">
                      <a:avLst/>
                    </a:prstGeom>
                    <a:noFill/>
                  </pic:spPr>
                </pic:pic>
              </a:graphicData>
            </a:graphic>
          </wp:anchor>
        </w:drawing>
        <w:drawing>
          <wp:anchor simplePos="0" relativeHeight="251657728" behindDoc="1" locked="0" layoutInCell="0" allowOverlap="1">
            <wp:simplePos x="0" y="0"/>
            <wp:positionH relativeFrom="column">
              <wp:posOffset>76835</wp:posOffset>
            </wp:positionH>
            <wp:positionV relativeFrom="paragraph">
              <wp:posOffset>-1738630</wp:posOffset>
            </wp:positionV>
            <wp:extent cx="3677285" cy="336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677285" cy="336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80" w:firstLine="168"/>
        <w:spacing w:after="0" w:line="437" w:lineRule="auto"/>
        <w:tabs>
          <w:tab w:leader="none" w:pos="529" w:val="left"/>
        </w:tabs>
        <w:numPr>
          <w:ilvl w:val="1"/>
          <w:numId w:val="1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 request. The Contractor shall ensure a payment request includes documentation appropriate to the type of payment request in accordance with the payment clause, contract financing clause, or Federal Acquisition Regulation 52.216-7, Allowable Cost and Payment, as applicable.</w:t>
      </w:r>
    </w:p>
    <w:p>
      <w:pPr>
        <w:spacing w:after="0" w:line="80" w:lineRule="exact"/>
        <w:rPr>
          <w:rFonts w:ascii="Courier New" w:cs="Courier New" w:eastAsia="Courier New" w:hAnsi="Courier New"/>
          <w:sz w:val="12"/>
          <w:szCs w:val="12"/>
          <w:color w:val="auto"/>
        </w:rPr>
      </w:pPr>
    </w:p>
    <w:p>
      <w:pPr>
        <w:ind w:left="540" w:hanging="292"/>
        <w:spacing w:after="0"/>
        <w:tabs>
          <w:tab w:leader="none" w:pos="540" w:val="left"/>
        </w:tabs>
        <w:numPr>
          <w:ilvl w:val="1"/>
          <w:numId w:val="1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Receiving report. The Contractor shall ensure a receiving report meets the requirements of DFARS Appendix F.</w:t>
      </w:r>
    </w:p>
    <w:p>
      <w:pPr>
        <w:spacing w:after="0" w:line="238" w:lineRule="exact"/>
        <w:rPr>
          <w:rFonts w:ascii="Courier New" w:cs="Courier New" w:eastAsia="Courier New" w:hAnsi="Courier New"/>
          <w:sz w:val="12"/>
          <w:szCs w:val="12"/>
          <w:color w:val="auto"/>
        </w:rPr>
      </w:pPr>
    </w:p>
    <w:p>
      <w:pPr>
        <w:ind w:left="400" w:hanging="292"/>
        <w:spacing w:after="0"/>
        <w:tabs>
          <w:tab w:leader="none" w:pos="400" w:val="left"/>
        </w:tabs>
        <w:numPr>
          <w:ilvl w:val="0"/>
          <w:numId w:val="1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WAWF point of contact.</w:t>
      </w:r>
    </w:p>
    <w:p>
      <w:pPr>
        <w:spacing w:after="0" w:line="251" w:lineRule="exact"/>
        <w:rPr>
          <w:rFonts w:ascii="Courier New" w:cs="Courier New" w:eastAsia="Courier New" w:hAnsi="Courier New"/>
          <w:sz w:val="12"/>
          <w:szCs w:val="12"/>
          <w:color w:val="auto"/>
        </w:rPr>
      </w:pPr>
    </w:p>
    <w:p>
      <w:pPr>
        <w:ind w:left="640" w:hanging="359"/>
        <w:spacing w:after="0"/>
        <w:tabs>
          <w:tab w:leader="none" w:pos="640" w:val="left"/>
        </w:tabs>
        <w:numPr>
          <w:ilvl w:val="2"/>
          <w:numId w:val="1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Contractor may obtain clarification regarding invoicing in WAWF from the following contracting activity's WAWF point of contact.</w:t>
      </w:r>
    </w:p>
    <w:p>
      <w:pPr>
        <w:spacing w:after="0" w:line="200" w:lineRule="exact"/>
        <w:rPr>
          <w:rFonts w:ascii="Courier New" w:cs="Courier New" w:eastAsia="Courier New" w:hAnsi="Courier New"/>
          <w:sz w:val="12"/>
          <w:szCs w:val="12"/>
          <w:color w:val="auto"/>
        </w:rPr>
      </w:pPr>
    </w:p>
    <w:p>
      <w:pPr>
        <w:spacing w:after="0" w:line="200" w:lineRule="exact"/>
        <w:rPr>
          <w:rFonts w:ascii="Courier New" w:cs="Courier New" w:eastAsia="Courier New" w:hAnsi="Courier New"/>
          <w:sz w:val="12"/>
          <w:szCs w:val="12"/>
          <w:color w:val="auto"/>
        </w:rPr>
      </w:pPr>
    </w:p>
    <w:p>
      <w:pPr>
        <w:spacing w:after="0" w:line="360" w:lineRule="exact"/>
        <w:rPr>
          <w:rFonts w:ascii="Courier New" w:cs="Courier New" w:eastAsia="Courier New" w:hAnsi="Courier New"/>
          <w:sz w:val="12"/>
          <w:szCs w:val="12"/>
          <w:color w:val="auto"/>
        </w:rPr>
      </w:pPr>
    </w:p>
    <w:p>
      <w:pPr>
        <w:ind w:left="560" w:hanging="279"/>
        <w:spacing w:after="0"/>
        <w:tabs>
          <w:tab w:leader="none" w:pos="560" w:val="left"/>
        </w:tabs>
        <w:numPr>
          <w:ilvl w:val="2"/>
          <w:numId w:val="1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Contact the WAWF helpdesk at , if assistance is needed.</w:t>
      </w:r>
    </w:p>
    <w:p>
      <w:pPr>
        <w:spacing w:after="0" w:line="225"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2"/>
          <w:szCs w:val="12"/>
          <w:color w:val="auto"/>
        </w:rPr>
        <w:t>(End of clause)</w:t>
      </w:r>
    </w:p>
    <w:p>
      <w:pPr>
        <w:sectPr>
          <w:pgSz w:w="11900" w:h="16838" w:orient="portrait"/>
          <w:cols w:equalWidth="0" w:num="1">
            <w:col w:w="10800"/>
          </w:cols>
          <w:pgMar w:left="320" w:top="146" w:right="779" w:bottom="1440" w:gutter="0" w:footer="0" w:header="0"/>
        </w:sectPr>
      </w:pPr>
    </w:p>
    <w:bookmarkStart w:id="171" w:name="page172"/>
    <w:bookmarkEnd w:id="171"/>
    <w:p>
      <w:pPr>
        <w:ind w:left="9640"/>
        <w:spacing w:after="0"/>
        <w:rPr>
          <w:sz w:val="20"/>
          <w:szCs w:val="20"/>
          <w:color w:val="auto"/>
        </w:rPr>
      </w:pPr>
      <w:r>
        <w:rPr>
          <w:rFonts w:ascii="Times New Roman" w:cs="Times New Roman" w:eastAsia="Times New Roman" w:hAnsi="Times New Roman"/>
          <w:sz w:val="20"/>
          <w:szCs w:val="20"/>
          <w:color w:val="auto"/>
        </w:rPr>
        <w:t>Exhibit 10.8</w:t>
      </w:r>
    </w:p>
    <w:p>
      <w:pPr>
        <w:spacing w:after="0" w:line="209" w:lineRule="exact"/>
        <w:rPr>
          <w:sz w:val="20"/>
          <w:szCs w:val="20"/>
          <w:color w:val="auto"/>
        </w:rPr>
      </w:pPr>
    </w:p>
    <w:p>
      <w:pPr>
        <w:jc w:val="center"/>
        <w:ind w:left="520" w:right="260"/>
        <w:spacing w:after="0" w:line="239" w:lineRule="auto"/>
        <w:rPr>
          <w:sz w:val="20"/>
          <w:szCs w:val="20"/>
          <w:color w:val="auto"/>
        </w:rPr>
      </w:pPr>
      <w:r>
        <w:rPr>
          <w:rFonts w:ascii="Times New Roman" w:cs="Times New Roman" w:eastAsia="Times New Roman" w:hAnsi="Times New Roman"/>
          <w:sz w:val="14"/>
          <w:szCs w:val="14"/>
          <w:b w:val="1"/>
          <w:bCs w:val="1"/>
          <w:color w:val="auto"/>
        </w:rPr>
        <w:t>CERTAIN CONFIDENTIAL PORTIONS OF THIS EXHIBIT, MARKED BY BRACKETS, WERE OMITTED BECAUSE THOSE PORTIONS ARE NOT MATERIAL AND WOULD BE COMPETITIVELY HARMFUL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360" w:type="dxa"/>
            <w:vAlign w:val="bottom"/>
            <w:tcBorders>
              <w:top w:val="single" w:sz="8" w:color="auto"/>
            </w:tcBorders>
            <w:gridSpan w:val="6"/>
          </w:tcPr>
          <w:p>
            <w:pPr>
              <w:ind w:left="160"/>
              <w:spacing w:after="0"/>
              <w:rPr>
                <w:sz w:val="20"/>
                <w:szCs w:val="20"/>
                <w:color w:val="auto"/>
              </w:rPr>
            </w:pPr>
            <w:r>
              <w:rPr>
                <w:rFonts w:ascii="Times New Roman" w:cs="Times New Roman" w:eastAsia="Times New Roman" w:hAnsi="Times New Roman"/>
                <w:sz w:val="19"/>
                <w:szCs w:val="19"/>
                <w:b w:val="1"/>
                <w:bCs w:val="1"/>
                <w:color w:val="auto"/>
              </w:rPr>
              <w:t>AMENDMENT OF SOLICITATION/MODIFICATION OF CONTRACT</w:t>
            </w:r>
          </w:p>
        </w:tc>
        <w:tc>
          <w:tcPr>
            <w:tcW w:w="360" w:type="dxa"/>
            <w:vAlign w:val="bottom"/>
            <w:tcBorders>
              <w:top w:val="single" w:sz="8" w:color="auto"/>
            </w:tcBorders>
          </w:tcPr>
          <w:p>
            <w:pPr>
              <w:spacing w:after="0"/>
              <w:rPr>
                <w:sz w:val="23"/>
                <w:szCs w:val="23"/>
                <w:color w:val="auto"/>
              </w:rPr>
            </w:pPr>
          </w:p>
        </w:tc>
        <w:tc>
          <w:tcPr>
            <w:tcW w:w="200" w:type="dxa"/>
            <w:vAlign w:val="bottom"/>
            <w:tcBorders>
              <w:top w:val="single" w:sz="8" w:color="auto"/>
              <w:right w:val="single" w:sz="8" w:color="auto"/>
            </w:tcBorders>
          </w:tcPr>
          <w:p>
            <w:pPr>
              <w:spacing w:after="0"/>
              <w:rPr>
                <w:sz w:val="23"/>
                <w:szCs w:val="23"/>
                <w:color w:val="auto"/>
              </w:rPr>
            </w:pPr>
          </w:p>
        </w:tc>
        <w:tc>
          <w:tcPr>
            <w:tcW w:w="192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 Contract ID Code</w:t>
            </w:r>
          </w:p>
        </w:tc>
        <w:tc>
          <w:tcPr>
            <w:tcW w:w="200" w:type="dxa"/>
            <w:vAlign w:val="bottom"/>
            <w:tcBorders>
              <w:top w:val="single" w:sz="8" w:color="auto"/>
            </w:tcBorders>
          </w:tcPr>
          <w:p>
            <w:pPr>
              <w:spacing w:after="0"/>
              <w:rPr>
                <w:sz w:val="23"/>
                <w:szCs w:val="23"/>
                <w:color w:val="auto"/>
              </w:rPr>
            </w:pPr>
          </w:p>
        </w:tc>
        <w:tc>
          <w:tcPr>
            <w:tcW w:w="15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Page  </w:t>
            </w:r>
            <w:r>
              <w:rPr>
                <w:rFonts w:ascii="Times New Roman" w:cs="Times New Roman" w:eastAsia="Times New Roman" w:hAnsi="Times New Roman"/>
                <w:sz w:val="10"/>
                <w:szCs w:val="10"/>
                <w:color w:val="auto"/>
              </w:rPr>
              <w:t>1</w:t>
            </w:r>
            <w:r>
              <w:rPr>
                <w:rFonts w:ascii="Times New Roman" w:cs="Times New Roman" w:eastAsia="Times New Roman" w:hAnsi="Times New Roman"/>
                <w:sz w:val="14"/>
                <w:szCs w:val="14"/>
                <w:b w:val="1"/>
                <w:bCs w:val="1"/>
                <w:color w:val="auto"/>
              </w:rPr>
              <w:t xml:space="preserve"> Of </w:t>
            </w: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60"/>
        </w:trPr>
        <w:tc>
          <w:tcPr>
            <w:tcW w:w="2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1920" w:type="dxa"/>
            <w:vAlign w:val="bottom"/>
            <w:tcBorders>
              <w:bottom w:val="single" w:sz="8" w:color="auto"/>
              <w:right w:val="single" w:sz="8" w:color="auto"/>
            </w:tcBorders>
            <w:gridSpan w:val="2"/>
          </w:tcPr>
          <w:p>
            <w:pPr>
              <w:ind w:left="100"/>
              <w:spacing w:after="0"/>
              <w:rPr>
                <w:sz w:val="20"/>
                <w:szCs w:val="20"/>
                <w:color w:val="auto"/>
              </w:rPr>
            </w:pPr>
            <w:r>
              <w:rPr>
                <w:rFonts w:ascii="Courier New" w:cs="Courier New" w:eastAsia="Courier New" w:hAnsi="Courier New"/>
                <w:sz w:val="12"/>
                <w:szCs w:val="12"/>
                <w:color w:val="auto"/>
              </w:rPr>
              <w:t>Firm Fixed Price</w:t>
            </w: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2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 Amendment/Modification No.</w:t>
            </w:r>
          </w:p>
        </w:tc>
        <w:tc>
          <w:tcPr>
            <w:tcW w:w="9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3. Effective Date</w:t>
            </w:r>
          </w:p>
        </w:tc>
        <w:tc>
          <w:tcPr>
            <w:tcW w:w="2960" w:type="dxa"/>
            <w:vAlign w:val="bottom"/>
            <w:tcBorders>
              <w:right w:val="single" w:sz="8" w:color="auto"/>
            </w:tcBorders>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4. Requisition/Purchase Req No</w:t>
            </w:r>
            <w:r>
              <w:rPr>
                <w:rFonts w:ascii="Times New Roman" w:cs="Times New Roman" w:eastAsia="Times New Roman" w:hAnsi="Times New Roman"/>
                <w:sz w:val="14"/>
                <w:szCs w:val="14"/>
                <w:color w:val="auto"/>
              </w:rPr>
              <w:t>.</w:t>
            </w:r>
          </w:p>
        </w:tc>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5. Project No. (If applicable)</w:t>
            </w:r>
          </w:p>
        </w:tc>
        <w:tc>
          <w:tcPr>
            <w:tcW w:w="0" w:type="dxa"/>
            <w:vAlign w:val="bottom"/>
          </w:tcPr>
          <w:p>
            <w:pPr>
              <w:spacing w:after="0"/>
              <w:rPr>
                <w:sz w:val="1"/>
                <w:szCs w:val="1"/>
                <w:color w:val="auto"/>
              </w:rPr>
            </w:pPr>
          </w:p>
        </w:tc>
      </w:tr>
      <w:tr>
        <w:trPr>
          <w:trHeight w:val="197"/>
        </w:trPr>
        <w:tc>
          <w:tcPr>
            <w:tcW w:w="2280" w:type="dxa"/>
            <w:vAlign w:val="bottom"/>
            <w:vMerge w:val="restart"/>
          </w:tcPr>
          <w:p>
            <w:pPr>
              <w:ind w:left="860"/>
              <w:spacing w:after="0"/>
              <w:rPr>
                <w:sz w:val="20"/>
                <w:szCs w:val="20"/>
                <w:color w:val="auto"/>
              </w:rPr>
            </w:pPr>
            <w:r>
              <w:rPr>
                <w:rFonts w:ascii="Courier New" w:cs="Courier New" w:eastAsia="Courier New" w:hAnsi="Courier New"/>
                <w:sz w:val="12"/>
                <w:szCs w:val="12"/>
                <w:color w:val="auto"/>
              </w:rPr>
              <w:t>P00007</w:t>
            </w:r>
          </w:p>
        </w:tc>
        <w:tc>
          <w:tcPr>
            <w:tcW w:w="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gridSpan w:val="2"/>
          </w:tcPr>
          <w:p>
            <w:pPr>
              <w:ind w:left="400"/>
              <w:spacing w:after="0" w:line="197" w:lineRule="exact"/>
              <w:rPr>
                <w:sz w:val="20"/>
                <w:szCs w:val="20"/>
                <w:color w:val="auto"/>
              </w:rPr>
            </w:pPr>
            <w:r>
              <w:rPr>
                <w:rFonts w:ascii="Times New Roman" w:cs="Times New Roman" w:eastAsia="Times New Roman" w:hAnsi="Times New Roman"/>
                <w:sz w:val="20"/>
                <w:szCs w:val="20"/>
                <w:color w:val="auto"/>
              </w:rPr>
              <w:t>29 JUL 2022</w:t>
            </w:r>
          </w:p>
        </w:tc>
        <w:tc>
          <w:tcPr>
            <w:tcW w:w="2960" w:type="dxa"/>
            <w:vAlign w:val="bottom"/>
            <w:tcBorders>
              <w:right w:val="single" w:sz="8" w:color="auto"/>
            </w:tcBorders>
            <w:gridSpan w:val="5"/>
            <w:vMerge w:val="continue"/>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280" w:type="dxa"/>
            <w:vAlign w:val="bottom"/>
            <w:vMerge w:val="continue"/>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500" w:type="dxa"/>
            <w:vAlign w:val="bottom"/>
            <w:gridSpan w:val="2"/>
            <w:vMerge w:val="restart"/>
          </w:tcPr>
          <w:p>
            <w:pPr>
              <w:ind w:left="600"/>
              <w:spacing w:after="0" w:line="134" w:lineRule="exact"/>
              <w:rPr>
                <w:sz w:val="20"/>
                <w:szCs w:val="20"/>
                <w:color w:val="auto"/>
              </w:rPr>
            </w:pPr>
            <w:r>
              <w:rPr>
                <w:rFonts w:ascii="Courier New" w:cs="Courier New" w:eastAsia="Courier New" w:hAnsi="Courier New"/>
                <w:sz w:val="12"/>
                <w:szCs w:val="12"/>
                <w:color w:val="auto"/>
              </w:rPr>
              <w:t>SEE SCHEDULE</w:t>
            </w: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28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tcBorders>
            <w:gridSpan w:val="2"/>
            <w:vMerge w:val="continue"/>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2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6. Issued By  Code</w:t>
            </w:r>
          </w:p>
        </w:tc>
        <w:tc>
          <w:tcPr>
            <w:tcW w:w="9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ind w:left="140"/>
              <w:spacing w:after="0"/>
              <w:rPr>
                <w:sz w:val="20"/>
                <w:szCs w:val="20"/>
                <w:color w:val="auto"/>
              </w:rPr>
            </w:pPr>
            <w:r>
              <w:rPr>
                <w:rFonts w:ascii="Courier New" w:cs="Courier New" w:eastAsia="Courier New" w:hAnsi="Courier New"/>
                <w:sz w:val="12"/>
                <w:szCs w:val="12"/>
                <w:color w:val="auto"/>
              </w:rPr>
              <w:t>W5BPO5</w:t>
            </w:r>
          </w:p>
        </w:tc>
        <w:tc>
          <w:tcPr>
            <w:tcW w:w="418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7. Administered By (If other than Item 6)</w:t>
            </w:r>
          </w:p>
        </w:tc>
        <w:tc>
          <w:tcPr>
            <w:tcW w:w="8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Code</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280" w:type="dxa"/>
            <w:vAlign w:val="bottom"/>
          </w:tcPr>
          <w:p>
            <w:pPr>
              <w:ind w:left="400"/>
              <w:spacing w:after="0"/>
              <w:rPr>
                <w:sz w:val="20"/>
                <w:szCs w:val="20"/>
                <w:color w:val="auto"/>
              </w:rPr>
            </w:pPr>
            <w:r>
              <w:rPr>
                <w:rFonts w:ascii="Courier New" w:cs="Courier New" w:eastAsia="Courier New" w:hAnsi="Courier New"/>
                <w:sz w:val="12"/>
                <w:szCs w:val="12"/>
                <w:color w:val="auto"/>
              </w:rPr>
              <w:t>U.S. ACC, APG , NCD</w:t>
            </w: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2"/>
        </w:trPr>
        <w:tc>
          <w:tcPr>
            <w:tcW w:w="2280" w:type="dxa"/>
            <w:vAlign w:val="bottom"/>
          </w:tcPr>
          <w:p>
            <w:pPr>
              <w:ind w:left="400"/>
              <w:spacing w:after="0"/>
              <w:rPr>
                <w:sz w:val="20"/>
                <w:szCs w:val="20"/>
                <w:color w:val="auto"/>
              </w:rPr>
            </w:pPr>
            <w:r>
              <w:rPr>
                <w:rFonts w:ascii="Courier New" w:cs="Courier New" w:eastAsia="Courier New" w:hAnsi="Courier New"/>
                <w:sz w:val="12"/>
                <w:szCs w:val="12"/>
                <w:color w:val="auto"/>
              </w:rPr>
              <w:t>NATICK, MA 01760-5011</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280" w:type="dxa"/>
            <w:vAlign w:val="bottom"/>
            <w:tcBorders>
              <w:bottom w:val="single" w:sz="8" w:color="auto"/>
            </w:tcBorders>
          </w:tcPr>
          <w:p>
            <w:pPr>
              <w:ind w:left="400"/>
              <w:spacing w:after="0"/>
              <w:rPr>
                <w:sz w:val="20"/>
                <w:szCs w:val="20"/>
                <w:color w:val="auto"/>
              </w:rPr>
            </w:pPr>
            <w:r>
              <w:rPr>
                <w:rFonts w:ascii="Courier New" w:cs="Courier New" w:eastAsia="Courier New" w:hAnsi="Courier New"/>
                <w:sz w:val="12"/>
                <w:szCs w:val="12"/>
                <w:color w:val="auto"/>
              </w:rPr>
              <w:t>EMAIL:</w:t>
            </w:r>
          </w:p>
        </w:tc>
        <w:tc>
          <w:tcPr>
            <w:tcW w:w="9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28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8. Name And Address Of Contractor (No., Street, City, County, State and Zip Code)</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ind w:left="40"/>
              <w:spacing w:after="0" w:line="201" w:lineRule="exact"/>
              <w:rPr>
                <w:sz w:val="20"/>
                <w:szCs w:val="20"/>
                <w:color w:val="auto"/>
              </w:rPr>
            </w:pPr>
            <w:r>
              <w:rPr>
                <w:rFonts w:ascii="MS PGothic" w:cs="MS PGothic" w:eastAsia="MS PGothic" w:hAnsi="MS PGothic"/>
                <w:sz w:val="20"/>
                <w:szCs w:val="20"/>
                <w:color w:val="auto"/>
              </w:rPr>
              <w:t>☐</w:t>
            </w:r>
          </w:p>
        </w:tc>
        <w:tc>
          <w:tcPr>
            <w:tcW w:w="23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9A. Amendment Of Solicitation No.</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60" w:type="dxa"/>
            <w:vAlign w:val="bottom"/>
            <w:gridSpan w:val="4"/>
          </w:tcPr>
          <w:p>
            <w:pPr>
              <w:ind w:left="400"/>
              <w:spacing w:after="0" w:line="108" w:lineRule="exact"/>
              <w:rPr>
                <w:sz w:val="20"/>
                <w:szCs w:val="20"/>
                <w:color w:val="auto"/>
              </w:rPr>
            </w:pPr>
            <w:r>
              <w:rPr>
                <w:rFonts w:ascii="Courier New" w:cs="Courier New" w:eastAsia="Courier New" w:hAnsi="Courier New"/>
                <w:sz w:val="12"/>
                <w:szCs w:val="12"/>
                <w:color w:val="auto"/>
              </w:rPr>
              <w:t>REGENERON PHARMACEUTICALS, INC.</w:t>
            </w:r>
          </w:p>
        </w:tc>
        <w:tc>
          <w:tcPr>
            <w:tcW w:w="14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ind w:left="400"/>
              <w:spacing w:after="0"/>
              <w:rPr>
                <w:sz w:val="20"/>
                <w:szCs w:val="20"/>
                <w:color w:val="auto"/>
              </w:rPr>
            </w:pPr>
            <w:r>
              <w:rPr>
                <w:rFonts w:ascii="Courier New" w:cs="Courier New" w:eastAsia="Courier New" w:hAnsi="Courier New"/>
                <w:sz w:val="12"/>
                <w:szCs w:val="12"/>
                <w:color w:val="auto"/>
              </w:rPr>
              <w:t>777 OLD SAW MILL RIVER RD</w:t>
            </w: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2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23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9B. Dated (See Item 11)</w:t>
            </w: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280" w:type="dxa"/>
            <w:vAlign w:val="bottom"/>
            <w:vMerge w:val="restart"/>
          </w:tcPr>
          <w:p>
            <w:pPr>
              <w:ind w:left="400"/>
              <w:spacing w:after="0"/>
              <w:rPr>
                <w:sz w:val="20"/>
                <w:szCs w:val="20"/>
                <w:color w:val="auto"/>
              </w:rPr>
            </w:pPr>
            <w:r>
              <w:rPr>
                <w:rFonts w:ascii="Courier New" w:cs="Courier New" w:eastAsia="Courier New" w:hAnsi="Courier New"/>
                <w:sz w:val="12"/>
                <w:szCs w:val="12"/>
                <w:color w:val="auto"/>
              </w:rPr>
              <w:t>TARRYTOWN, NY 10591-6717</w:t>
            </w: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2320" w:type="dxa"/>
            <w:vAlign w:val="bottom"/>
            <w:gridSpan w:val="4"/>
            <w:vMerge w:val="continue"/>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28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gridSpan w:val="2"/>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right w:val="single" w:sz="8" w:color="auto"/>
            </w:tcBorders>
          </w:tcPr>
          <w:p>
            <w:pPr>
              <w:ind w:left="40"/>
              <w:spacing w:after="0" w:line="201" w:lineRule="exact"/>
              <w:rPr>
                <w:sz w:val="20"/>
                <w:szCs w:val="20"/>
                <w:color w:val="auto"/>
              </w:rPr>
            </w:pPr>
            <w:r>
              <w:rPr>
                <w:rFonts w:ascii="MS PGothic" w:cs="MS PGothic" w:eastAsia="MS PGothic" w:hAnsi="MS PGothic"/>
                <w:sz w:val="20"/>
                <w:szCs w:val="20"/>
                <w:color w:val="auto"/>
              </w:rPr>
              <w:t>☒</w:t>
            </w:r>
          </w:p>
        </w:tc>
        <w:tc>
          <w:tcPr>
            <w:tcW w:w="382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 xml:space="preserve">10A. </w:t>
            </w:r>
            <w:r>
              <w:rPr>
                <w:rFonts w:ascii="Times New Roman" w:cs="Times New Roman" w:eastAsia="Times New Roman" w:hAnsi="Times New Roman"/>
                <w:sz w:val="14"/>
                <w:szCs w:val="14"/>
                <w:b w:val="1"/>
                <w:bCs w:val="1"/>
                <w:color w:val="auto"/>
              </w:rPr>
              <w:t>Modification Of Contract/Order No</w:t>
            </w:r>
            <w:r>
              <w:rPr>
                <w:rFonts w:ascii="Times New Roman" w:cs="Times New Roman" w:eastAsia="Times New Roman" w:hAnsi="Times New Roman"/>
                <w:sz w:val="14"/>
                <w:szCs w:val="14"/>
                <w:color w:val="auto"/>
              </w:rPr>
              <w:t xml:space="preserve">.. </w:t>
            </w:r>
            <w:r>
              <w:rPr>
                <w:rFonts w:ascii="Courier New" w:cs="Courier New" w:eastAsia="Courier New" w:hAnsi="Courier New"/>
                <w:sz w:val="12"/>
                <w:szCs w:val="12"/>
                <w:color w:val="auto"/>
              </w:rPr>
              <w:t>W15(2KN-21-C-</w:t>
            </w:r>
          </w:p>
        </w:tc>
        <w:tc>
          <w:tcPr>
            <w:tcW w:w="0" w:type="dxa"/>
            <w:vAlign w:val="bottom"/>
          </w:tcPr>
          <w:p>
            <w:pPr>
              <w:spacing w:after="0"/>
              <w:rPr>
                <w:sz w:val="1"/>
                <w:szCs w:val="1"/>
                <w:color w:val="auto"/>
              </w:rPr>
            </w:pPr>
          </w:p>
        </w:tc>
      </w:tr>
      <w:tr>
        <w:trPr>
          <w:trHeight w:val="32"/>
        </w:trPr>
        <w:tc>
          <w:tcPr>
            <w:tcW w:w="2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100" w:type="dxa"/>
            <w:vAlign w:val="bottom"/>
            <w:gridSpan w:val="2"/>
            <w:vMerge w:val="restart"/>
          </w:tcPr>
          <w:p>
            <w:pPr>
              <w:ind w:left="20"/>
              <w:spacing w:after="0"/>
              <w:rPr>
                <w:sz w:val="20"/>
                <w:szCs w:val="20"/>
                <w:color w:val="auto"/>
              </w:rPr>
            </w:pPr>
            <w:r>
              <w:rPr>
                <w:rFonts w:ascii="Courier New" w:cs="Courier New" w:eastAsia="Courier New" w:hAnsi="Courier New"/>
                <w:sz w:val="12"/>
                <w:szCs w:val="12"/>
                <w:color w:val="auto"/>
              </w:rPr>
              <w:t>0014</w:t>
            </w:r>
          </w:p>
        </w:tc>
        <w:tc>
          <w:tcPr>
            <w:tcW w:w="102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232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 xml:space="preserve">10B. </w:t>
            </w:r>
            <w:r>
              <w:rPr>
                <w:rFonts w:ascii="Times New Roman" w:cs="Times New Roman" w:eastAsia="Times New Roman" w:hAnsi="Times New Roman"/>
                <w:sz w:val="14"/>
                <w:szCs w:val="14"/>
                <w:b w:val="1"/>
                <w:bCs w:val="1"/>
                <w:color w:val="auto"/>
              </w:rPr>
              <w:t>Dated (See Item 13)</w:t>
            </w: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22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Code </w:t>
            </w:r>
            <w:r>
              <w:rPr>
                <w:rFonts w:ascii="Courier New" w:cs="Courier New" w:eastAsia="Courier New" w:hAnsi="Courier New"/>
                <w:sz w:val="12"/>
                <w:szCs w:val="12"/>
                <w:color w:val="auto"/>
              </w:rPr>
              <w:t>544P9</w:t>
            </w:r>
          </w:p>
        </w:tc>
        <w:tc>
          <w:tcPr>
            <w:tcW w:w="25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Facility Code</w:t>
            </w:r>
          </w:p>
        </w:tc>
        <w:tc>
          <w:tcPr>
            <w:tcW w:w="1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gridSpan w:val="4"/>
          </w:tcPr>
          <w:p>
            <w:pPr>
              <w:ind w:left="20"/>
              <w:spacing w:after="0"/>
              <w:rPr>
                <w:sz w:val="20"/>
                <w:szCs w:val="20"/>
                <w:color w:val="auto"/>
              </w:rPr>
            </w:pPr>
            <w:r>
              <w:rPr>
                <w:rFonts w:ascii="Courier New" w:cs="Courier New" w:eastAsia="Courier New" w:hAnsi="Courier New"/>
                <w:sz w:val="12"/>
                <w:szCs w:val="12"/>
                <w:color w:val="auto"/>
              </w:rPr>
              <w:t>2021JAN12</w:t>
            </w:r>
          </w:p>
        </w:tc>
        <w:tc>
          <w:tcPr>
            <w:tcW w:w="8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460" w:hanging="207"/>
        <w:spacing w:after="0"/>
        <w:tabs>
          <w:tab w:leader="none" w:pos="3460" w:val="left"/>
        </w:tabs>
        <w:numPr>
          <w:ilvl w:val="2"/>
          <w:numId w:val="1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THIS ITEM ONLY APPLIES TO AMENDMENTS OF SOLICITATIONS</w:t>
      </w:r>
    </w:p>
    <w:p>
      <w:pPr>
        <w:spacing w:after="0" w:line="305" w:lineRule="exact"/>
        <w:rPr>
          <w:rFonts w:ascii="Times New Roman" w:cs="Times New Roman" w:eastAsia="Times New Roman" w:hAnsi="Times New Roman"/>
          <w:sz w:val="14"/>
          <w:szCs w:val="14"/>
          <w:b w:val="1"/>
          <w:bCs w:val="1"/>
          <w:color w:val="auto"/>
        </w:rPr>
      </w:pPr>
    </w:p>
    <w:p>
      <w:pPr>
        <w:ind w:left="360" w:hanging="225"/>
        <w:spacing w:after="0"/>
        <w:tabs>
          <w:tab w:leader="none" w:pos="360" w:val="left"/>
        </w:tabs>
        <w:numPr>
          <w:ilvl w:val="0"/>
          <w:numId w:val="157"/>
        </w:numPr>
        <w:rPr>
          <w:rFonts w:ascii="MS PGothic" w:cs="MS PGothic" w:eastAsia="MS PGothic" w:hAnsi="MS PGothic"/>
          <w:sz w:val="20"/>
          <w:szCs w:val="20"/>
          <w:color w:val="auto"/>
        </w:rPr>
      </w:pPr>
      <w:r>
        <w:rPr>
          <w:rFonts w:ascii="Times New Roman" w:cs="Times New Roman" w:eastAsia="Times New Roman" w:hAnsi="Times New Roman"/>
          <w:sz w:val="14"/>
          <w:szCs w:val="14"/>
          <w:b w:val="1"/>
          <w:bCs w:val="1"/>
          <w:color w:val="auto"/>
        </w:rPr>
        <w:t>The above numbered solicitation is amended as set forth in item 14. The hour and date specified for receipt of Offers</w:t>
      </w:r>
    </w:p>
    <w:p>
      <w:pPr>
        <w:spacing w:after="0" w:line="37" w:lineRule="exact"/>
        <w:rPr>
          <w:rFonts w:ascii="MS PGothic" w:cs="MS PGothic" w:eastAsia="MS PGothic" w:hAnsi="MS PGothic"/>
          <w:sz w:val="20"/>
          <w:szCs w:val="20"/>
          <w:color w:val="auto"/>
        </w:rPr>
      </w:pPr>
    </w:p>
    <w:p>
      <w:pPr>
        <w:ind w:left="740" w:hanging="220"/>
        <w:spacing w:after="0" w:line="219" w:lineRule="exact"/>
        <w:tabs>
          <w:tab w:leader="none" w:pos="740" w:val="left"/>
        </w:tabs>
        <w:numPr>
          <w:ilvl w:val="1"/>
          <w:numId w:val="157"/>
        </w:numPr>
        <w:rPr>
          <w:rFonts w:ascii="MS PGothic" w:cs="MS PGothic" w:eastAsia="MS PGothic" w:hAnsi="MS PGothic"/>
          <w:sz w:val="20"/>
          <w:szCs w:val="20"/>
          <w:color w:val="auto"/>
        </w:rPr>
      </w:pPr>
      <w:r>
        <w:rPr>
          <w:rFonts w:ascii="Times New Roman" w:cs="Times New Roman" w:eastAsia="Times New Roman" w:hAnsi="Times New Roman"/>
          <w:sz w:val="14"/>
          <w:szCs w:val="14"/>
          <w:b w:val="1"/>
          <w:bCs w:val="1"/>
          <w:color w:val="auto"/>
        </w:rPr>
        <w:t xml:space="preserve">is extended,   </w:t>
      </w:r>
      <w:r>
        <w:rPr>
          <w:rFonts w:ascii="MS PGothic" w:cs="MS PGothic" w:eastAsia="MS PGothic" w:hAnsi="MS PGothic"/>
          <w:sz w:val="19"/>
          <w:szCs w:val="19"/>
          <w:color w:val="auto"/>
        </w:rPr>
        <w:t>☐</w:t>
      </w:r>
      <w:r>
        <w:rPr>
          <w:rFonts w:ascii="Times New Roman" w:cs="Times New Roman" w:eastAsia="Times New Roman" w:hAnsi="Times New Roman"/>
          <w:sz w:val="14"/>
          <w:szCs w:val="14"/>
          <w:b w:val="1"/>
          <w:bCs w:val="1"/>
          <w:color w:val="auto"/>
        </w:rPr>
        <w:t xml:space="preserve"> is not extended.</w:t>
      </w:r>
    </w:p>
    <w:p>
      <w:pPr>
        <w:spacing w:after="0" w:line="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Offers must acknowledge receipt of this amendment prior to the hour and date specified in the solicitation or as amended by one of the following methods:</w:t>
      </w:r>
    </w:p>
    <w:p>
      <w:pPr>
        <w:ind w:left="320" w:right="40"/>
        <w:spacing w:after="0" w:line="209" w:lineRule="auto"/>
        <w:rPr>
          <w:sz w:val="20"/>
          <w:szCs w:val="20"/>
          <w:color w:val="auto"/>
        </w:rPr>
      </w:pPr>
      <w:r>
        <w:rPr>
          <w:rFonts w:ascii="Times New Roman" w:cs="Times New Roman" w:eastAsia="Times New Roman" w:hAnsi="Times New Roman"/>
          <w:sz w:val="14"/>
          <w:szCs w:val="14"/>
          <w:b w:val="1"/>
          <w:bCs w:val="1"/>
          <w:color w:val="auto"/>
        </w:rPr>
        <w:t>(a) By completing items 8 and 15, and returning copies of the amendments: (b) By acknowledging receipt of this amendment on each copy of the offer submitted; or (c) By separate letter or telegram which includes a reference to the solicitation and amendment numbers. FAILURE OF YOUR ACKNOWLEDGMENT TO BE RECEIVED AT THE</w:t>
      </w:r>
    </w:p>
    <w:p>
      <w:pPr>
        <w:ind w:left="320"/>
        <w:spacing w:after="0" w:line="220" w:lineRule="auto"/>
        <w:rPr>
          <w:sz w:val="20"/>
          <w:szCs w:val="20"/>
          <w:color w:val="auto"/>
        </w:rPr>
      </w:pPr>
      <w:r>
        <w:rPr>
          <w:rFonts w:ascii="Times New Roman" w:cs="Times New Roman" w:eastAsia="Times New Roman" w:hAnsi="Times New Roman"/>
          <w:sz w:val="14"/>
          <w:szCs w:val="14"/>
          <w:b w:val="1"/>
          <w:bCs w:val="1"/>
          <w:color w:val="auto"/>
        </w:rPr>
        <w:t>PLACE DESIGNATED FOR THE RECEIPT OF OFFERS PRIOR TO THE HOUR AND DATE SPECIFIED MAY RESULT IN REJECTION OF YOUR OFFER. If by virtue</w:t>
      </w:r>
    </w:p>
    <w:p>
      <w:pPr>
        <w:ind w:left="320" w:right="280"/>
        <w:spacing w:after="0" w:line="225" w:lineRule="auto"/>
        <w:rPr>
          <w:sz w:val="20"/>
          <w:szCs w:val="20"/>
          <w:color w:val="auto"/>
        </w:rPr>
      </w:pPr>
      <w:r>
        <w:rPr>
          <w:rFonts w:ascii="Times New Roman" w:cs="Times New Roman" w:eastAsia="Times New Roman" w:hAnsi="Times New Roman"/>
          <w:sz w:val="14"/>
          <w:szCs w:val="14"/>
          <w:b w:val="1"/>
          <w:bCs w:val="1"/>
          <w:color w:val="auto"/>
        </w:rPr>
        <w:t>of this amendment you desire to change an offer already submitted, such change may be made by telegram or letter, provided each telegram or letter makes reference to the solicitation and this amendment, and is received prior to the opening hour and date specified.</w:t>
      </w:r>
    </w:p>
    <w:p>
      <w:pPr>
        <w:spacing w:after="0" w:line="255" w:lineRule="exact"/>
        <w:rPr>
          <w:sz w:val="20"/>
          <w:szCs w:val="20"/>
          <w:color w:val="auto"/>
        </w:rPr>
      </w:pPr>
    </w:p>
    <w:p>
      <w:pPr>
        <w:ind w:left="340" w:hanging="205"/>
        <w:spacing w:after="0"/>
        <w:tabs>
          <w:tab w:leader="none" w:pos="340" w:val="left"/>
        </w:tabs>
        <w:numPr>
          <w:ilvl w:val="0"/>
          <w:numId w:val="1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Accounting And Appropriation Data (If required)</w:t>
      </w:r>
    </w:p>
    <w:p>
      <w:pPr>
        <w:spacing w:after="0" w:line="13" w:lineRule="exact"/>
        <w:rPr>
          <w:rFonts w:ascii="Times New Roman" w:cs="Times New Roman" w:eastAsia="Times New Roman" w:hAnsi="Times New Roman"/>
          <w:sz w:val="14"/>
          <w:szCs w:val="14"/>
          <w:b w:val="1"/>
          <w:bCs w:val="1"/>
          <w:color w:val="auto"/>
        </w:rPr>
      </w:pPr>
    </w:p>
    <w:p>
      <w:pPr>
        <w:ind w:left="140"/>
        <w:spacing w:after="0"/>
        <w:rPr>
          <w:rFonts w:ascii="Times New Roman" w:cs="Times New Roman" w:eastAsia="Times New Roman" w:hAnsi="Times New Roman"/>
          <w:sz w:val="14"/>
          <w:szCs w:val="14"/>
          <w:b w:val="1"/>
          <w:bCs w:val="1"/>
          <w:color w:val="auto"/>
        </w:rPr>
      </w:pPr>
      <w:r>
        <w:rPr>
          <w:rFonts w:ascii="Courier New" w:cs="Courier New" w:eastAsia="Courier New" w:hAnsi="Courier New"/>
          <w:sz w:val="12"/>
          <w:szCs w:val="12"/>
          <w:color w:val="auto"/>
        </w:rPr>
        <w:t>NO CHANGE TO OBLIGATION DATA</w:t>
      </w:r>
    </w:p>
    <w:p>
      <w:pPr>
        <w:spacing w:after="0" w:line="304" w:lineRule="exact"/>
        <w:rPr>
          <w:rFonts w:ascii="Times New Roman" w:cs="Times New Roman" w:eastAsia="Times New Roman" w:hAnsi="Times New Roman"/>
          <w:sz w:val="14"/>
          <w:szCs w:val="14"/>
          <w:b w:val="1"/>
          <w:bCs w:val="1"/>
          <w:color w:val="auto"/>
        </w:rPr>
      </w:pPr>
    </w:p>
    <w:p>
      <w:pPr>
        <w:ind w:left="3760" w:right="2760" w:hanging="785"/>
        <w:spacing w:after="0" w:line="258" w:lineRule="auto"/>
        <w:tabs>
          <w:tab w:leader="none" w:pos="3190" w:val="left"/>
        </w:tabs>
        <w:numPr>
          <w:ilvl w:val="2"/>
          <w:numId w:val="1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THIS ITEM ONLY APPLIES TO MODIFICATIONS OF CONTRACTS/ORDERS It Modifies The Contract/Order No. As Described In Item 14.</w:t>
      </w:r>
    </w:p>
    <w:p>
      <w:pPr>
        <w:spacing w:after="0" w:line="124" w:lineRule="exact"/>
        <w:rPr>
          <w:rFonts w:ascii="Times New Roman" w:cs="Times New Roman" w:eastAsia="Times New Roman" w:hAnsi="Times New Roman"/>
          <w:sz w:val="14"/>
          <w:szCs w:val="14"/>
          <w:b w:val="1"/>
          <w:bCs w:val="1"/>
          <w:color w:val="auto"/>
        </w:rPr>
      </w:pPr>
    </w:p>
    <w:p>
      <w:pPr>
        <w:ind w:left="640" w:hanging="486"/>
        <w:spacing w:after="0"/>
        <w:tabs>
          <w:tab w:leader="none" w:pos="640" w:val="left"/>
        </w:tabs>
        <w:numPr>
          <w:ilvl w:val="1"/>
          <w:numId w:val="158"/>
        </w:numPr>
        <w:rPr>
          <w:rFonts w:ascii="MS PGothic" w:cs="MS PGothic" w:eastAsia="MS PGothic" w:hAnsi="MS PGothic"/>
          <w:sz w:val="21"/>
          <w:szCs w:val="21"/>
          <w:color w:val="auto"/>
        </w:rPr>
      </w:pPr>
      <w:r>
        <w:rPr>
          <w:rFonts w:ascii="Times New Roman" w:cs="Times New Roman" w:eastAsia="Times New Roman" w:hAnsi="Times New Roman"/>
          <w:sz w:val="14"/>
          <w:szCs w:val="14"/>
          <w:b w:val="1"/>
          <w:bCs w:val="1"/>
          <w:color w:val="auto"/>
        </w:rPr>
        <w:t>A. This Change Order is Issued Pursuant To:  The Changes Set Forth In Item 14 Are Made In The Contract/Order No. In Item 10A.</w:t>
      </w:r>
    </w:p>
    <w:p>
      <w:pPr>
        <w:spacing w:after="0" w:line="40" w:lineRule="exact"/>
        <w:rPr>
          <w:rFonts w:ascii="MS PGothic" w:cs="MS PGothic" w:eastAsia="MS PGothic" w:hAnsi="MS PGothic"/>
          <w:sz w:val="21"/>
          <w:szCs w:val="21"/>
          <w:color w:val="auto"/>
        </w:rPr>
      </w:pPr>
    </w:p>
    <w:p>
      <w:pPr>
        <w:ind w:left="580" w:right="900" w:hanging="426"/>
        <w:spacing w:after="0" w:line="186" w:lineRule="auto"/>
        <w:tabs>
          <w:tab w:leader="none" w:pos="660" w:val="left"/>
        </w:tabs>
        <w:numPr>
          <w:ilvl w:val="1"/>
          <w:numId w:val="158"/>
        </w:numPr>
        <w:rPr>
          <w:rFonts w:ascii="MS PGothic" w:cs="MS PGothic" w:eastAsia="MS PGothic" w:hAnsi="MS PGothic"/>
          <w:sz w:val="31"/>
          <w:szCs w:val="31"/>
          <w:color w:val="auto"/>
          <w:vertAlign w:val="subscript"/>
        </w:rPr>
      </w:pPr>
      <w:r>
        <w:rPr>
          <w:rFonts w:ascii="Times New Roman" w:cs="Times New Roman" w:eastAsia="Times New Roman" w:hAnsi="Times New Roman"/>
          <w:sz w:val="12"/>
          <w:szCs w:val="12"/>
          <w:b w:val="1"/>
          <w:bCs w:val="1"/>
          <w:color w:val="auto"/>
        </w:rPr>
        <w:t>B. The Above Numbered Contract/Order Is Modified To Reflect The Administrative Changes (such as changes in paying office, appropriation data, etc.) Set Forth In Item 14, Pursuant To The Authority of FAR 43.103(b).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-441960</wp:posOffset>
            </wp:positionV>
            <wp:extent cx="6657975" cy="7391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57975" cy="739140"/>
                    </a:xfrm>
                    <a:prstGeom prst="rect">
                      <a:avLst/>
                    </a:prstGeom>
                    <a:noFill/>
                  </pic:spPr>
                </pic:pic>
              </a:graphicData>
            </a:graphic>
          </wp:anchor>
        </w:drawing>
      </w:r>
    </w:p>
    <w:p>
      <w:pPr>
        <w:spacing w:after="0" w:line="37"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360" w:type="dxa"/>
            <w:vAlign w:val="bottom"/>
          </w:tcPr>
          <w:p>
            <w:pPr>
              <w:spacing w:after="0" w:line="211" w:lineRule="exact"/>
              <w:rPr>
                <w:sz w:val="20"/>
                <w:szCs w:val="20"/>
                <w:color w:val="auto"/>
              </w:rPr>
            </w:pPr>
            <w:r>
              <w:rPr>
                <w:rFonts w:ascii="MS PGothic" w:cs="MS PGothic" w:eastAsia="MS PGothic" w:hAnsi="MS PGothic"/>
                <w:sz w:val="21"/>
                <w:szCs w:val="21"/>
                <w:color w:val="auto"/>
              </w:rPr>
              <w:t>☒</w:t>
            </w:r>
          </w:p>
        </w:tc>
        <w:tc>
          <w:tcPr>
            <w:tcW w:w="54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 This Supplemental Agreement Is Entered Into Pursuant To Authority Of:</w:t>
            </w:r>
          </w:p>
        </w:tc>
      </w:tr>
      <w:tr>
        <w:trPr>
          <w:trHeight w:val="210"/>
        </w:trPr>
        <w:tc>
          <w:tcPr>
            <w:tcW w:w="360" w:type="dxa"/>
            <w:vAlign w:val="bottom"/>
          </w:tcPr>
          <w:p>
            <w:pPr>
              <w:spacing w:after="0"/>
              <w:rPr>
                <w:sz w:val="18"/>
                <w:szCs w:val="18"/>
                <w:color w:val="auto"/>
              </w:rPr>
            </w:pPr>
          </w:p>
        </w:tc>
        <w:tc>
          <w:tcPr>
            <w:tcW w:w="5440" w:type="dxa"/>
            <w:vAlign w:val="bottom"/>
          </w:tcPr>
          <w:p>
            <w:pPr>
              <w:ind w:left="4500"/>
              <w:spacing w:after="0"/>
              <w:rPr>
                <w:sz w:val="20"/>
                <w:szCs w:val="20"/>
                <w:color w:val="auto"/>
              </w:rPr>
            </w:pPr>
            <w:r>
              <w:rPr>
                <w:rFonts w:ascii="Courier New" w:cs="Courier New" w:eastAsia="Courier New" w:hAnsi="Courier New"/>
                <w:sz w:val="12"/>
                <w:szCs w:val="12"/>
                <w:color w:val="auto"/>
                <w:w w:val="98"/>
              </w:rPr>
              <w:t>FAR 43.103(a)</w:t>
            </w:r>
          </w:p>
        </w:tc>
      </w:tr>
    </w:tbl>
    <w:p>
      <w:pPr>
        <w:ind w:left="660" w:hanging="506"/>
        <w:spacing w:after="0" w:line="182" w:lineRule="auto"/>
        <w:tabs>
          <w:tab w:leader="none" w:pos="660" w:val="left"/>
        </w:tabs>
        <w:numPr>
          <w:ilvl w:val="2"/>
          <w:numId w:val="159"/>
        </w:numPr>
        <w:rPr>
          <w:rFonts w:ascii="MS PGothic" w:cs="MS PGothic" w:eastAsia="MS PGothic" w:hAnsi="MS PGothic"/>
          <w:sz w:val="25"/>
          <w:szCs w:val="25"/>
          <w:color w:val="auto"/>
          <w:vertAlign w:val="subscript"/>
        </w:rPr>
      </w:pPr>
      <w:r>
        <w:rPr>
          <w:rFonts w:ascii="Times New Roman" w:cs="Times New Roman" w:eastAsia="Times New Roman" w:hAnsi="Times New Roman"/>
          <w:sz w:val="12"/>
          <w:szCs w:val="12"/>
          <w:b w:val="1"/>
          <w:bCs w:val="1"/>
          <w:color w:val="auto"/>
        </w:rPr>
        <w:t>D. Other (Specify type of modification and authority)</w:t>
      </w:r>
    </w:p>
    <w:p>
      <w:pPr>
        <w:spacing w:after="0" w:line="171" w:lineRule="exact"/>
        <w:rPr>
          <w:rFonts w:ascii="MS PGothic" w:cs="MS PGothic" w:eastAsia="MS PGothic" w:hAnsi="MS PGothic"/>
          <w:sz w:val="25"/>
          <w:szCs w:val="25"/>
          <w:color w:val="auto"/>
          <w:vertAlign w:val="subscript"/>
        </w:rPr>
      </w:pPr>
    </w:p>
    <w:p>
      <w:pPr>
        <w:ind w:left="20"/>
        <w:spacing w:after="0" w:line="219" w:lineRule="exact"/>
        <w:rPr>
          <w:rFonts w:ascii="MS PGothic" w:cs="MS PGothic" w:eastAsia="MS PGothic" w:hAnsi="MS PGothic"/>
          <w:sz w:val="25"/>
          <w:szCs w:val="25"/>
          <w:color w:val="auto"/>
          <w:vertAlign w:val="subscript"/>
        </w:rPr>
      </w:pPr>
      <w:r>
        <w:rPr>
          <w:rFonts w:ascii="Times New Roman" w:cs="Times New Roman" w:eastAsia="Times New Roman" w:hAnsi="Times New Roman"/>
          <w:sz w:val="14"/>
          <w:szCs w:val="14"/>
          <w:b w:val="1"/>
          <w:bCs w:val="1"/>
          <w:color w:val="auto"/>
        </w:rPr>
        <w:t xml:space="preserve">E. IMPORTANT: Contractor   </w:t>
      </w:r>
      <w:r>
        <w:rPr>
          <w:rFonts w:ascii="MS PGothic" w:cs="MS PGothic" w:eastAsia="MS PGothic" w:hAnsi="MS PGothic"/>
          <w:sz w:val="19"/>
          <w:szCs w:val="19"/>
          <w:color w:val="auto"/>
          <w:highlight w:val="black"/>
        </w:rPr>
        <w:t>☐</w:t>
      </w:r>
      <w:r>
        <w:rPr>
          <w:rFonts w:ascii="Times New Roman" w:cs="Times New Roman" w:eastAsia="Times New Roman" w:hAnsi="Times New Roman"/>
          <w:sz w:val="14"/>
          <w:szCs w:val="14"/>
          <w:b w:val="1"/>
          <w:bCs w:val="1"/>
          <w:color w:val="auto"/>
        </w:rPr>
        <w:t xml:space="preserve"> is not, </w:t>
      </w:r>
      <w:r>
        <w:rPr>
          <w:rFonts w:ascii="MS PGothic" w:cs="MS PGothic" w:eastAsia="MS PGothic" w:hAnsi="MS PGothic"/>
          <w:sz w:val="19"/>
          <w:szCs w:val="19"/>
          <w:color w:val="auto"/>
        </w:rPr>
        <w:t>☒</w:t>
      </w:r>
      <w:r>
        <w:rPr>
          <w:rFonts w:ascii="Times New Roman" w:cs="Times New Roman" w:eastAsia="Times New Roman" w:hAnsi="Times New Roman"/>
          <w:sz w:val="14"/>
          <w:szCs w:val="14"/>
          <w:b w:val="1"/>
          <w:bCs w:val="1"/>
          <w:color w:val="auto"/>
        </w:rPr>
        <w:t xml:space="preserve"> is required top sign this document and return _______________ copies to the Issuing Office.</w:t>
      </w:r>
    </w:p>
    <w:p>
      <w:pPr>
        <w:spacing w:after="0" w:line="200" w:lineRule="exact"/>
        <w:rPr>
          <w:rFonts w:ascii="MS PGothic" w:cs="MS PGothic" w:eastAsia="MS PGothic" w:hAnsi="MS PGothic"/>
          <w:sz w:val="25"/>
          <w:szCs w:val="25"/>
          <w:color w:val="auto"/>
          <w:vertAlign w:val="subscript"/>
        </w:rPr>
      </w:pPr>
    </w:p>
    <w:p>
      <w:pPr>
        <w:spacing w:after="0" w:line="386" w:lineRule="exact"/>
        <w:rPr>
          <w:rFonts w:ascii="MS PGothic" w:cs="MS PGothic" w:eastAsia="MS PGothic" w:hAnsi="MS PGothic"/>
          <w:sz w:val="25"/>
          <w:szCs w:val="25"/>
          <w:color w:val="auto"/>
          <w:vertAlign w:val="subscript"/>
        </w:rPr>
      </w:pPr>
    </w:p>
    <w:p>
      <w:pPr>
        <w:ind w:left="280" w:hanging="209"/>
        <w:spacing w:after="0"/>
        <w:tabs>
          <w:tab w:leader="none" w:pos="280" w:val="left"/>
        </w:tabs>
        <w:numPr>
          <w:ilvl w:val="1"/>
          <w:numId w:val="1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Description Of Amendment/Modification (Organized by UCF section headings, including solicitation/contract subject matter where feasible.)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-349250</wp:posOffset>
            </wp:positionV>
            <wp:extent cx="66579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579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-646430</wp:posOffset>
            </wp:positionV>
            <wp:extent cx="66579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657975" cy="8255"/>
                    </a:xfrm>
                    <a:prstGeom prst="rect">
                      <a:avLst/>
                    </a:prstGeom>
                    <a:noFill/>
                  </pic:spPr>
                </pic:pic>
              </a:graphicData>
            </a:graphic>
          </wp:anchor>
        </w:drawing>
      </w:r>
    </w:p>
    <w:p>
      <w:pPr>
        <w:spacing w:after="0" w:line="52" w:lineRule="exact"/>
        <w:rPr>
          <w:sz w:val="20"/>
          <w:szCs w:val="20"/>
          <w:color w:val="auto"/>
        </w:rPr>
      </w:pPr>
    </w:p>
    <w:p>
      <w:pPr>
        <w:ind w:left="220"/>
        <w:spacing w:after="0"/>
        <w:rPr>
          <w:sz w:val="20"/>
          <w:szCs w:val="20"/>
          <w:color w:val="auto"/>
        </w:rPr>
      </w:pPr>
      <w:r>
        <w:rPr>
          <w:rFonts w:ascii="Courier New" w:cs="Courier New" w:eastAsia="Courier New" w:hAnsi="Courier New"/>
          <w:sz w:val="12"/>
          <w:szCs w:val="12"/>
          <w:color w:val="auto"/>
        </w:rPr>
        <w:t>SEE SECOND PAGE FOR DESCRIPTION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Except as provided herein, all terms and conditions of the document referenced in item 9A or 10A, as heretofore changed, remains unchanged and in full force and effect.</w:t>
      </w:r>
    </w:p>
    <w:p>
      <w:pPr>
        <w:sectPr>
          <w:pgSz w:w="11900" w:h="16838" w:orient="portrait"/>
          <w:cols w:equalWidth="0" w:num="1">
            <w:col w:w="11040"/>
          </w:cols>
          <w:pgMar w:left="320" w:top="104" w:right="5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02"/>
        </w:trPr>
        <w:tc>
          <w:tcPr>
            <w:tcW w:w="36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15A. Name And Title Of Signer (Type or print)</w:t>
            </w:r>
          </w:p>
        </w:tc>
        <w:tc>
          <w:tcPr>
            <w:tcW w:w="1740" w:type="dxa"/>
            <w:vAlign w:val="bottom"/>
            <w:tcBorders>
              <w:top w:val="single" w:sz="8" w:color="auto"/>
              <w:right w:val="single" w:sz="8" w:color="auto"/>
            </w:tcBorders>
          </w:tcPr>
          <w:p>
            <w:pPr>
              <w:spacing w:after="0"/>
              <w:rPr>
                <w:sz w:val="17"/>
                <w:szCs w:val="17"/>
                <w:color w:val="auto"/>
              </w:rPr>
            </w:pPr>
          </w:p>
        </w:tc>
        <w:tc>
          <w:tcPr>
            <w:tcW w:w="536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16A. Name And Title Of Contracting Officer (Type or print)</w:t>
            </w:r>
          </w:p>
        </w:tc>
      </w:tr>
      <w:tr>
        <w:trPr>
          <w:trHeight w:val="407"/>
        </w:trPr>
        <w:tc>
          <w:tcPr>
            <w:tcW w:w="36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Robert E. Landry – Executive Vice President</w:t>
            </w:r>
          </w:p>
        </w:tc>
        <w:tc>
          <w:tcPr>
            <w:tcW w:w="17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188"/>
        </w:trPr>
        <w:tc>
          <w:tcPr>
            <w:tcW w:w="3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15B. Contractor/Offeror</w:t>
            </w:r>
          </w:p>
        </w:tc>
        <w:tc>
          <w:tcPr>
            <w:tcW w:w="1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15C. Date Signed</w:t>
            </w:r>
          </w:p>
        </w:tc>
        <w:tc>
          <w:tcPr>
            <w:tcW w:w="28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16B. United States Of America</w:t>
            </w:r>
          </w:p>
        </w:tc>
        <w:tc>
          <w:tcPr>
            <w:tcW w:w="880" w:type="dxa"/>
            <w:vAlign w:val="bottom"/>
            <w:tcBorders>
              <w:right w:val="single" w:sz="8" w:color="auto"/>
            </w:tcBorders>
          </w:tcPr>
          <w:p>
            <w:pPr>
              <w:spacing w:after="0"/>
              <w:rPr>
                <w:sz w:val="16"/>
                <w:szCs w:val="16"/>
                <w:color w:val="auto"/>
              </w:rPr>
            </w:pPr>
          </w:p>
        </w:tc>
        <w:tc>
          <w:tcPr>
            <w:tcW w:w="16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16C. Date Signed</w:t>
            </w:r>
          </w:p>
        </w:tc>
      </w:tr>
      <w:tr>
        <w:trPr>
          <w:trHeight w:val="359"/>
        </w:trPr>
        <w:tc>
          <w:tcPr>
            <w:tcW w:w="360" w:type="dxa"/>
            <w:vAlign w:val="bottom"/>
          </w:tcPr>
          <w:p>
            <w:pPr>
              <w:spacing w:after="0"/>
              <w:rPr>
                <w:sz w:val="24"/>
                <w:szCs w:val="24"/>
                <w:color w:val="auto"/>
              </w:rPr>
            </w:pPr>
          </w:p>
        </w:tc>
        <w:tc>
          <w:tcPr>
            <w:tcW w:w="1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/s/ R. E. Landry</w:t>
            </w:r>
          </w:p>
        </w:tc>
        <w:tc>
          <w:tcPr>
            <w:tcW w:w="144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7/27/22</w:t>
            </w:r>
          </w:p>
        </w:tc>
        <w:tc>
          <w:tcPr>
            <w:tcW w:w="28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By </w:t>
            </w:r>
            <w:r>
              <w:rPr>
                <w:rFonts w:ascii="Courier New" w:cs="Courier New" w:eastAsia="Courier New" w:hAnsi="Courier New"/>
                <w:sz w:val="12"/>
                <w:szCs w:val="12"/>
                <w:color w:val="auto"/>
              </w:rPr>
              <w:t>/s/</w:t>
            </w:r>
          </w:p>
        </w:tc>
        <w:tc>
          <w:tcPr>
            <w:tcW w:w="880" w:type="dxa"/>
            <w:vAlign w:val="bottom"/>
            <w:tcBorders>
              <w:right w:val="single" w:sz="8" w:color="auto"/>
            </w:tcBorders>
          </w:tcPr>
          <w:p>
            <w:pPr>
              <w:spacing w:after="0"/>
              <w:rPr>
                <w:sz w:val="24"/>
                <w:szCs w:val="24"/>
                <w:color w:val="auto"/>
              </w:rPr>
            </w:pPr>
          </w:p>
        </w:tc>
        <w:tc>
          <w:tcPr>
            <w:tcW w:w="1600" w:type="dxa"/>
            <w:vAlign w:val="bottom"/>
          </w:tcPr>
          <w:p>
            <w:pPr>
              <w:jc w:val="right"/>
              <w:ind w:right="173"/>
              <w:spacing w:after="0"/>
              <w:rPr>
                <w:sz w:val="20"/>
                <w:szCs w:val="20"/>
                <w:color w:val="auto"/>
              </w:rPr>
            </w:pPr>
            <w:r>
              <w:rPr>
                <w:rFonts w:ascii="Courier New" w:cs="Courier New" w:eastAsia="Courier New" w:hAnsi="Courier New"/>
                <w:sz w:val="12"/>
                <w:szCs w:val="12"/>
                <w:color w:val="auto"/>
              </w:rPr>
              <w:t>29 JUL 2022</w:t>
            </w:r>
          </w:p>
        </w:tc>
      </w:tr>
      <w:tr>
        <w:trPr>
          <w:trHeight w:val="20"/>
        </w:trPr>
        <w:tc>
          <w:tcPr>
            <w:tcW w:w="3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17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(Signature of Contracting Officer)</w:t>
            </w:r>
          </w:p>
        </w:tc>
        <w:tc>
          <w:tcPr>
            <w:tcW w:w="880" w:type="dxa"/>
            <w:vAlign w:val="bottom"/>
            <w:tcBorders>
              <w:right w:val="single" w:sz="8" w:color="auto"/>
            </w:tcBorders>
          </w:tcPr>
          <w:p>
            <w:pPr>
              <w:spacing w:after="0"/>
              <w:rPr>
                <w:sz w:val="15"/>
                <w:szCs w:val="15"/>
                <w:color w:val="auto"/>
              </w:rPr>
            </w:pPr>
          </w:p>
        </w:tc>
        <w:tc>
          <w:tcPr>
            <w:tcW w:w="1600" w:type="dxa"/>
            <w:vAlign w:val="bottom"/>
          </w:tcPr>
          <w:p>
            <w:pPr>
              <w:spacing w:after="0"/>
              <w:rPr>
                <w:sz w:val="15"/>
                <w:szCs w:val="15"/>
                <w:color w:val="auto"/>
              </w:rPr>
            </w:pPr>
          </w:p>
        </w:tc>
      </w:tr>
      <w:tr>
        <w:trPr>
          <w:trHeight w:val="233"/>
        </w:trPr>
        <w:tc>
          <w:tcPr>
            <w:tcW w:w="360" w:type="dxa"/>
            <w:vAlign w:val="bottom"/>
            <w:tcBorders>
              <w:bottom w:val="single" w:sz="8" w:color="auto"/>
            </w:tcBorders>
          </w:tcPr>
          <w:p>
            <w:pPr>
              <w:spacing w:after="0"/>
              <w:rPr>
                <w:sz w:val="20"/>
                <w:szCs w:val="20"/>
                <w:color w:val="auto"/>
              </w:rPr>
            </w:pPr>
          </w:p>
        </w:tc>
        <w:tc>
          <w:tcPr>
            <w:tcW w:w="3260" w:type="dxa"/>
            <w:vAlign w:val="bottom"/>
            <w:tcBorders>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(Signature of person authorized to sign)</w:t>
            </w:r>
          </w:p>
        </w:tc>
        <w:tc>
          <w:tcPr>
            <w:tcW w:w="174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133"/>
        </w:trPr>
        <w:tc>
          <w:tcPr>
            <w:tcW w:w="3620" w:type="dxa"/>
            <w:vAlign w:val="bottom"/>
            <w:gridSpan w:val="3"/>
          </w:tcPr>
          <w:p>
            <w:pPr>
              <w:ind w:left="320"/>
              <w:spacing w:after="0" w:line="133" w:lineRule="exact"/>
              <w:rPr>
                <w:sz w:val="20"/>
                <w:szCs w:val="20"/>
                <w:color w:val="auto"/>
              </w:rPr>
            </w:pPr>
            <w:r>
              <w:rPr>
                <w:rFonts w:ascii="Times New Roman" w:cs="Times New Roman" w:eastAsia="Times New Roman" w:hAnsi="Times New Roman"/>
                <w:sz w:val="13"/>
                <w:szCs w:val="13"/>
                <w:b w:val="1"/>
                <w:bCs w:val="1"/>
                <w:color w:val="464646"/>
              </w:rPr>
              <w:t xml:space="preserve">NSN </w:t>
            </w:r>
            <w:r>
              <w:rPr>
                <w:rFonts w:ascii="Times New Roman" w:cs="Times New Roman" w:eastAsia="Times New Roman" w:hAnsi="Times New Roman"/>
                <w:sz w:val="13"/>
                <w:szCs w:val="13"/>
                <w:b w:val="1"/>
                <w:bCs w:val="1"/>
                <w:color w:val="363636"/>
              </w:rPr>
              <w:t>7540-01-152-8070</w:t>
            </w:r>
          </w:p>
        </w:tc>
        <w:tc>
          <w:tcPr>
            <w:tcW w:w="1740" w:type="dxa"/>
            <w:vAlign w:val="bottom"/>
          </w:tcPr>
          <w:p>
            <w:pPr>
              <w:jc w:val="right"/>
              <w:ind w:right="810"/>
              <w:spacing w:after="0" w:line="133" w:lineRule="exact"/>
              <w:rPr>
                <w:sz w:val="20"/>
                <w:szCs w:val="20"/>
                <w:color w:val="auto"/>
              </w:rPr>
            </w:pPr>
            <w:r>
              <w:rPr>
                <w:rFonts w:ascii="Times New Roman" w:cs="Times New Roman" w:eastAsia="Times New Roman" w:hAnsi="Times New Roman"/>
                <w:sz w:val="13"/>
                <w:szCs w:val="13"/>
                <w:b w:val="1"/>
                <w:bCs w:val="1"/>
                <w:color w:val="464646"/>
              </w:rPr>
              <w:t>30-105-02</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4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464646"/>
              </w:rPr>
              <w:t xml:space="preserve">STANDARD </w:t>
            </w:r>
            <w:r>
              <w:rPr>
                <w:rFonts w:ascii="Times New Roman" w:cs="Times New Roman" w:eastAsia="Times New Roman" w:hAnsi="Times New Roman"/>
                <w:sz w:val="13"/>
                <w:szCs w:val="13"/>
                <w:b w:val="1"/>
                <w:bCs w:val="1"/>
                <w:color w:val="363636"/>
              </w:rPr>
              <w:t>FORM 30</w:t>
            </w:r>
            <w:r>
              <w:rPr>
                <w:rFonts w:ascii="Times New Roman" w:cs="Times New Roman" w:eastAsia="Times New Roman" w:hAnsi="Times New Roman"/>
                <w:sz w:val="13"/>
                <w:szCs w:val="13"/>
                <w:b w:val="1"/>
                <w:bCs w:val="1"/>
                <w:color w:val="464646"/>
              </w:rPr>
              <w:t xml:space="preserve"> (REV.10-83)</w:t>
            </w:r>
          </w:p>
        </w:tc>
      </w:tr>
      <w:tr>
        <w:trPr>
          <w:trHeight w:val="187"/>
        </w:trPr>
        <w:tc>
          <w:tcPr>
            <w:tcW w:w="362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363636"/>
              </w:rPr>
              <w:t xml:space="preserve">PREVIOUS </w:t>
            </w:r>
            <w:r>
              <w:rPr>
                <w:rFonts w:ascii="Times New Roman" w:cs="Times New Roman" w:eastAsia="Times New Roman" w:hAnsi="Times New Roman"/>
                <w:sz w:val="13"/>
                <w:szCs w:val="13"/>
                <w:b w:val="1"/>
                <w:bCs w:val="1"/>
                <w:color w:val="464646"/>
              </w:rPr>
              <w:t>EDITIONS UNUSABLE</w:t>
            </w: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363636"/>
              </w:rPr>
              <w:t>Prescribed by GSA FAR (48 CFR) 53.243</w:t>
            </w:r>
          </w:p>
        </w:tc>
      </w:tr>
    </w:tbl>
    <w:p>
      <w:pPr>
        <w:sectPr>
          <w:pgSz w:w="11900" w:h="16838" w:orient="portrait"/>
          <w:cols w:equalWidth="0" w:num="1">
            <w:col w:w="10720"/>
          </w:cols>
          <w:pgMar w:left="440" w:top="1283" w:right="739"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80" w:type="dxa"/>
            <w:vAlign w:val="bottom"/>
            <w:tcBorders>
              <w:top w:val="single" w:sz="8" w:color="auto"/>
              <w:right w:val="single" w:sz="8" w:color="3E3E3E"/>
            </w:tcBorders>
            <w:vMerge w:val="restart"/>
          </w:tcPr>
          <w:p>
            <w:pPr>
              <w:ind w:left="20"/>
              <w:spacing w:after="0"/>
              <w:rPr>
                <w:sz w:val="20"/>
                <w:szCs w:val="20"/>
                <w:color w:val="auto"/>
              </w:rPr>
            </w:pPr>
            <w:r>
              <w:rPr>
                <w:rFonts w:ascii="Times New Roman" w:cs="Times New Roman" w:eastAsia="Times New Roman" w:hAnsi="Times New Roman"/>
                <w:sz w:val="19"/>
                <w:szCs w:val="19"/>
                <w:b w:val="1"/>
                <w:bCs w:val="1"/>
                <w:color w:val="auto"/>
              </w:rPr>
              <w:t>CONTINUATION SHEET</w:t>
            </w:r>
          </w:p>
        </w:tc>
        <w:tc>
          <w:tcPr>
            <w:tcW w:w="4520" w:type="dxa"/>
            <w:vAlign w:val="bottom"/>
            <w:tcBorders>
              <w:top w:val="single" w:sz="8" w:color="444444"/>
              <w:right w:val="single" w:sz="8" w:color="202020"/>
            </w:tcBorders>
          </w:tcPr>
          <w:p>
            <w:pPr>
              <w:ind w:left="660"/>
              <w:spacing w:after="0"/>
              <w:rPr>
                <w:sz w:val="20"/>
                <w:szCs w:val="20"/>
                <w:color w:val="auto"/>
              </w:rPr>
            </w:pPr>
            <w:r>
              <w:rPr>
                <w:rFonts w:ascii="Times New Roman" w:cs="Times New Roman" w:eastAsia="Times New Roman" w:hAnsi="Times New Roman"/>
                <w:sz w:val="15"/>
                <w:szCs w:val="15"/>
                <w:b w:val="1"/>
                <w:bCs w:val="1"/>
                <w:color w:val="auto"/>
              </w:rPr>
              <w:t>Reference No. of Document Being Continued</w:t>
            </w:r>
          </w:p>
        </w:tc>
        <w:tc>
          <w:tcPr>
            <w:tcW w:w="368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5"/>
                <w:szCs w:val="15"/>
                <w:b w:val="1"/>
                <w:bCs w:val="1"/>
                <w:color w:val="auto"/>
              </w:rPr>
              <w:t xml:space="preserve">Page </w:t>
            </w:r>
            <w:r>
              <w:rPr>
                <w:rFonts w:ascii="Courier New" w:cs="Courier New" w:eastAsia="Courier New" w:hAnsi="Courier New"/>
                <w:sz w:val="12"/>
                <w:szCs w:val="12"/>
                <w:color w:val="auto"/>
              </w:rPr>
              <w:t>2</w:t>
            </w:r>
            <w:r>
              <w:rPr>
                <w:rFonts w:ascii="Times New Roman" w:cs="Times New Roman" w:eastAsia="Times New Roman" w:hAnsi="Times New Roman"/>
                <w:sz w:val="15"/>
                <w:szCs w:val="15"/>
                <w:b w:val="1"/>
                <w:bCs w:val="1"/>
                <w:color w:val="auto"/>
              </w:rPr>
              <w:t xml:space="preserve"> of </w:t>
            </w:r>
            <w:r>
              <w:rPr>
                <w:rFonts w:ascii="Courier New" w:cs="Courier New" w:eastAsia="Courier New" w:hAnsi="Courier New"/>
                <w:sz w:val="12"/>
                <w:szCs w:val="12"/>
                <w:color w:val="auto"/>
              </w:rPr>
              <w:t>2</w:t>
            </w:r>
          </w:p>
        </w:tc>
        <w:tc>
          <w:tcPr>
            <w:tcW w:w="0" w:type="dxa"/>
            <w:vAlign w:val="bottom"/>
          </w:tcPr>
          <w:p>
            <w:pPr>
              <w:spacing w:after="0"/>
              <w:rPr>
                <w:sz w:val="1"/>
                <w:szCs w:val="1"/>
                <w:color w:val="auto"/>
              </w:rPr>
            </w:pPr>
          </w:p>
        </w:tc>
      </w:tr>
      <w:tr>
        <w:trPr>
          <w:trHeight w:val="131"/>
        </w:trPr>
        <w:tc>
          <w:tcPr>
            <w:tcW w:w="2480" w:type="dxa"/>
            <w:vAlign w:val="bottom"/>
            <w:tcBorders>
              <w:right w:val="single" w:sz="8" w:color="3E3E3E"/>
            </w:tcBorders>
            <w:vMerge w:val="continue"/>
          </w:tcPr>
          <w:p>
            <w:pPr>
              <w:spacing w:after="0"/>
              <w:rPr>
                <w:sz w:val="11"/>
                <w:szCs w:val="11"/>
                <w:color w:val="auto"/>
              </w:rPr>
            </w:pPr>
          </w:p>
        </w:tc>
        <w:tc>
          <w:tcPr>
            <w:tcW w:w="4520" w:type="dxa"/>
            <w:vAlign w:val="bottom"/>
            <w:tcBorders>
              <w:right w:val="single" w:sz="8" w:color="202020"/>
            </w:tcBorders>
          </w:tcPr>
          <w:p>
            <w:pPr>
              <w:ind w:left="1040"/>
              <w:spacing w:after="0" w:line="132" w:lineRule="exact"/>
              <w:rPr>
                <w:sz w:val="20"/>
                <w:szCs w:val="20"/>
                <w:color w:val="auto"/>
              </w:rPr>
            </w:pPr>
            <w:r>
              <w:rPr>
                <w:rFonts w:ascii="Courier New" w:cs="Courier New" w:eastAsia="Courier New" w:hAnsi="Courier New"/>
                <w:sz w:val="12"/>
                <w:szCs w:val="12"/>
                <w:color w:val="auto"/>
              </w:rPr>
              <w:t>W15QKN-21-C-0014</w:t>
            </w: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2480" w:type="dxa"/>
            <w:vAlign w:val="bottom"/>
            <w:tcBorders>
              <w:right w:val="single" w:sz="8" w:color="3E3E3E"/>
            </w:tcBorders>
          </w:tcPr>
          <w:p>
            <w:pPr>
              <w:spacing w:after="0"/>
              <w:rPr>
                <w:sz w:val="22"/>
                <w:szCs w:val="22"/>
                <w:color w:val="auto"/>
              </w:rPr>
            </w:pPr>
          </w:p>
        </w:tc>
        <w:tc>
          <w:tcPr>
            <w:tcW w:w="4520" w:type="dxa"/>
            <w:vAlign w:val="bottom"/>
            <w:tcBorders>
              <w:right w:val="single" w:sz="8" w:color="202020"/>
            </w:tcBorders>
          </w:tcPr>
          <w:p>
            <w:pPr>
              <w:ind w:left="2200"/>
              <w:spacing w:after="0"/>
              <w:rPr>
                <w:sz w:val="20"/>
                <w:szCs w:val="20"/>
                <w:color w:val="auto"/>
              </w:rPr>
            </w:pPr>
            <w:r>
              <w:rPr>
                <w:rFonts w:ascii="Times New Roman" w:cs="Times New Roman" w:eastAsia="Times New Roman" w:hAnsi="Times New Roman"/>
                <w:sz w:val="15"/>
                <w:szCs w:val="15"/>
                <w:b w:val="1"/>
                <w:bCs w:val="1"/>
                <w:color w:val="auto"/>
              </w:rPr>
              <w:t xml:space="preserve">PIIN/SIIN  MOD/AMD </w:t>
            </w:r>
            <w:r>
              <w:rPr>
                <w:rFonts w:ascii="Courier New" w:cs="Courier New" w:eastAsia="Courier New" w:hAnsi="Courier New"/>
                <w:sz w:val="12"/>
                <w:szCs w:val="12"/>
                <w:color w:val="auto"/>
              </w:rPr>
              <w:t>P0007</w:t>
            </w:r>
          </w:p>
        </w:tc>
        <w:tc>
          <w:tcPr>
            <w:tcW w:w="3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80" w:type="dxa"/>
            <w:vAlign w:val="bottom"/>
            <w:tcBorders>
              <w:right w:val="single" w:sz="8" w:color="auto"/>
            </w:tcBorders>
            <w:shd w:val="clear" w:color="auto" w:fill="000000"/>
          </w:tcPr>
          <w:p>
            <w:pPr>
              <w:spacing w:after="0" w:line="20" w:lineRule="exact"/>
              <w:rPr>
                <w:sz w:val="1"/>
                <w:szCs w:val="1"/>
                <w:color w:val="auto"/>
              </w:rPr>
            </w:pPr>
          </w:p>
        </w:tc>
        <w:tc>
          <w:tcPr>
            <w:tcW w:w="4520" w:type="dxa"/>
            <w:vAlign w:val="bottom"/>
            <w:tcBorders>
              <w:right w:val="single" w:sz="8" w:color="auto"/>
            </w:tcBorders>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 xml:space="preserve">Name of Offeror or Contractor: </w:t>
      </w:r>
      <w:r>
        <w:rPr>
          <w:rFonts w:ascii="Courier New" w:cs="Courier New" w:eastAsia="Courier New" w:hAnsi="Courier New"/>
          <w:sz w:val="12"/>
          <w:szCs w:val="12"/>
          <w:color w:val="auto"/>
        </w:rPr>
        <w:t>REGENERON PHARMACEUTICALS,</w:t>
      </w:r>
    </w:p>
    <w:p>
      <w:pPr>
        <w:spacing w:after="0" w:line="22" w:lineRule="exact"/>
        <w:rPr>
          <w:sz w:val="20"/>
          <w:szCs w:val="20"/>
          <w:color w:val="auto"/>
        </w:rPr>
      </w:pPr>
    </w:p>
    <w:p>
      <w:pPr>
        <w:ind w:left="3900"/>
        <w:spacing w:after="0"/>
        <w:rPr>
          <w:sz w:val="20"/>
          <w:szCs w:val="20"/>
          <w:color w:val="auto"/>
        </w:rPr>
      </w:pPr>
      <w:r>
        <w:rPr>
          <w:rFonts w:ascii="Courier New" w:cs="Courier New" w:eastAsia="Courier New" w:hAnsi="Courier New"/>
          <w:sz w:val="12"/>
          <w:szCs w:val="12"/>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67767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76720"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SECTION A - SUPPLEMENTAL INFORMATION</w:t>
      </w: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Buyer Name:</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Buyer Office Symbol/Telephone Number: CCAP-CR/</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Type of Contract 1: Firm Fixed Price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Kind of Contract: Other</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Kind of Modification: G</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Type of Business: Large Business Performing in U.S.</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Surveillance Criticality Designator: A</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Weapon System: No Identified Army Weapons Systems</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Contract Expiration Date: 2022JUL31</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Paying Office: HQ0490</w:t>
      </w:r>
    </w:p>
    <w:p>
      <w:pPr>
        <w:spacing w:after="0" w:line="60"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DFAS-INDY VP GFEBS</w:t>
      </w:r>
    </w:p>
    <w:p>
      <w:pPr>
        <w:spacing w:after="0" w:line="38"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8899 E. 56TH STREET</w:t>
      </w:r>
    </w:p>
    <w:p>
      <w:pPr>
        <w:spacing w:after="0" w:line="38"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INDIANAPOLIS IN 46249-3800</w:t>
      </w:r>
    </w:p>
    <w:p>
      <w:pPr>
        <w:spacing w:after="0" w:line="350"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2"/>
          <w:szCs w:val="12"/>
          <w:color w:val="auto"/>
        </w:rPr>
        <w:t>*** End of Narrative A0000 ***</w:t>
      </w:r>
    </w:p>
    <w:p>
      <w:pPr>
        <w:spacing w:after="0" w:line="20" w:lineRule="exact"/>
        <w:rPr>
          <w:sz w:val="20"/>
          <w:szCs w:val="20"/>
          <w:color w:val="auto"/>
        </w:rPr>
      </w:pPr>
    </w:p>
    <w:p>
      <w:pPr>
        <w:jc w:val="both"/>
        <w:spacing w:after="0" w:line="352" w:lineRule="auto"/>
        <w:rPr>
          <w:sz w:val="20"/>
          <w:szCs w:val="20"/>
          <w:color w:val="auto"/>
        </w:rPr>
      </w:pPr>
      <w:r>
        <w:rPr>
          <w:rFonts w:ascii="Courier New" w:cs="Courier New" w:eastAsia="Courier New" w:hAnsi="Courier New"/>
          <w:sz w:val="12"/>
          <w:szCs w:val="12"/>
          <w:color w:val="auto"/>
        </w:rPr>
        <w:t>The purpose of this modification is to transfer [* * *] excess 1.2g doses of REGEN-COV from Vendor Managed Inventory (VMI) to MCDC OTA W15QKN-16-9-1002, Prototype Project MCDC 2008-005. Effective as of July 31, 2022, the MCDC OTA shall govern the obligations and related financial terms for storage of such product in VMI and distribution and insurance for such product.</w:t>
      </w:r>
    </w:p>
    <w:p>
      <w:pPr>
        <w:spacing w:after="0" w:line="263"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2"/>
          <w:szCs w:val="12"/>
          <w:color w:val="auto"/>
        </w:rPr>
        <w:t>*** END OF NARRATIVE A0008 ***</w:t>
      </w:r>
    </w:p>
    <w:p>
      <w:pPr>
        <w:sectPr>
          <w:pgSz w:w="11900" w:h="16838" w:orient="portrait"/>
          <w:cols w:equalWidth="0" w:num="1">
            <w:col w:w="11060"/>
          </w:cols>
          <w:pgMar w:left="320" w:top="1069" w:right="51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01" w:lineRule="exact"/>
        <w:rPr>
          <w:sz w:val="20"/>
          <w:szCs w:val="20"/>
          <w:color w:val="auto"/>
        </w:rPr>
      </w:pPr>
    </w:p>
    <w:p>
      <w:pPr>
        <w:ind w:left="320" w:hanging="313"/>
        <w:spacing w:after="0"/>
        <w:tabs>
          <w:tab w:leader="none" w:pos="3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87" w:lineRule="exact"/>
        <w:rPr>
          <w:rFonts w:ascii="Times New Roman" w:cs="Times New Roman" w:eastAsia="Times New Roman" w:hAnsi="Times New Roman"/>
          <w:sz w:val="18"/>
          <w:szCs w:val="18"/>
          <w:color w:val="auto"/>
        </w:rPr>
      </w:pPr>
    </w:p>
    <w:p>
      <w:pPr>
        <w:ind w:left="320" w:right="40" w:hanging="313"/>
        <w:spacing w:after="0" w:line="308" w:lineRule="auto"/>
        <w:tabs>
          <w:tab w:leader="none" w:pos="32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Times New Roman" w:cs="Times New Roman" w:eastAsia="Times New Roman" w:hAnsi="Times New Roman"/>
          <w:sz w:val="17"/>
          <w:szCs w:val="17"/>
          <w:color w:val="auto"/>
        </w:rPr>
      </w:pPr>
    </w:p>
    <w:p>
      <w:pPr>
        <w:ind w:left="320" w:right="500" w:hanging="313"/>
        <w:spacing w:after="0" w:line="278" w:lineRule="auto"/>
        <w:tabs>
          <w:tab w:leader="none" w:pos="3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8"/>
          <w:szCs w:val="18"/>
          <w:color w:val="auto"/>
        </w:rPr>
      </w:pPr>
    </w:p>
    <w:p>
      <w:pPr>
        <w:ind w:left="320" w:hanging="313"/>
        <w:spacing w:after="0" w:line="263" w:lineRule="auto"/>
        <w:tabs>
          <w:tab w:leader="none" w:pos="3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980" w:right="160" w:hanging="331"/>
        <w:spacing w:after="0" w:line="263" w:lineRule="auto"/>
        <w:tabs>
          <w:tab w:leader="none" w:pos="971"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Times New Roman" w:cs="Times New Roman" w:eastAsia="Times New Roman" w:hAnsi="Times New Roman"/>
          <w:sz w:val="18"/>
          <w:szCs w:val="18"/>
          <w:color w:val="auto"/>
        </w:rPr>
      </w:pPr>
    </w:p>
    <w:p>
      <w:pPr>
        <w:ind w:left="980" w:right="460" w:hanging="331"/>
        <w:spacing w:after="0" w:line="263" w:lineRule="auto"/>
        <w:tabs>
          <w:tab w:leader="none" w:pos="968"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Times New Roman" w:cs="Times New Roman" w:eastAsia="Times New Roman" w:hAnsi="Times New Roman"/>
          <w:sz w:val="18"/>
          <w:szCs w:val="18"/>
          <w:color w:val="auto"/>
        </w:rPr>
      </w:pPr>
    </w:p>
    <w:p>
      <w:pPr>
        <w:jc w:val="both"/>
        <w:ind w:left="980" w:right="640" w:hanging="331"/>
        <w:spacing w:after="0" w:line="308" w:lineRule="auto"/>
        <w:tabs>
          <w:tab w:leader="none" w:pos="971"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Times New Roman" w:cs="Times New Roman" w:eastAsia="Times New Roman" w:hAnsi="Times New Roman"/>
          <w:sz w:val="17"/>
          <w:szCs w:val="17"/>
          <w:color w:val="auto"/>
        </w:rPr>
      </w:pPr>
    </w:p>
    <w:p>
      <w:pPr>
        <w:ind w:left="980" w:right="200" w:hanging="331"/>
        <w:spacing w:after="0" w:line="263" w:lineRule="auto"/>
        <w:tabs>
          <w:tab w:leader="none" w:pos="968"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8"/>
          <w:szCs w:val="18"/>
          <w:color w:val="auto"/>
        </w:rPr>
      </w:pPr>
    </w:p>
    <w:p>
      <w:pPr>
        <w:ind w:left="320" w:right="440" w:hanging="313"/>
        <w:spacing w:after="0" w:line="278" w:lineRule="auto"/>
        <w:tabs>
          <w:tab w:leader="none" w:pos="3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8"/>
          <w:szCs w:val="18"/>
          <w:color w:val="auto"/>
        </w:rPr>
      </w:pPr>
    </w:p>
    <w:p>
      <w:pPr>
        <w:ind w:left="980" w:right="60" w:hanging="331"/>
        <w:spacing w:after="0" w:line="278" w:lineRule="auto"/>
        <w:tabs>
          <w:tab w:leader="none" w:pos="971"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Times New Roman" w:cs="Times New Roman" w:eastAsia="Times New Roman" w:hAnsi="Times New Roman"/>
          <w:sz w:val="18"/>
          <w:szCs w:val="18"/>
          <w:color w:val="auto"/>
        </w:rPr>
      </w:pPr>
    </w:p>
    <w:p>
      <w:pPr>
        <w:ind w:left="980" w:right="40" w:hanging="331"/>
        <w:spacing w:after="0" w:line="278" w:lineRule="auto"/>
        <w:tabs>
          <w:tab w:leader="none" w:pos="968"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November 3, 2022</w:t>
            </w:r>
          </w:p>
        </w:tc>
        <w:tc>
          <w:tcPr>
            <w:tcW w:w="806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/s/ Leonard S. Schleifer</w:t>
            </w:r>
          </w:p>
        </w:tc>
        <w:tc>
          <w:tcPr>
            <w:tcW w:w="0" w:type="dxa"/>
            <w:vAlign w:val="bottom"/>
          </w:tcPr>
          <w:p>
            <w:pPr>
              <w:spacing w:after="0"/>
              <w:rPr>
                <w:sz w:val="1"/>
                <w:szCs w:val="1"/>
                <w:color w:val="auto"/>
              </w:rPr>
            </w:pPr>
          </w:p>
        </w:tc>
      </w:tr>
      <w:tr>
        <w:trPr>
          <w:trHeight w:val="20"/>
        </w:trPr>
        <w:tc>
          <w:tcPr>
            <w:tcW w:w="3140" w:type="dxa"/>
            <w:vAlign w:val="bottom"/>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3140" w:type="dxa"/>
            <w:vAlign w:val="bottom"/>
            <w:vMerge w:val="continue"/>
          </w:tcPr>
          <w:p>
            <w:pPr>
              <w:spacing w:after="0"/>
              <w:rPr>
                <w:sz w:val="7"/>
                <w:szCs w:val="7"/>
                <w:color w:val="auto"/>
              </w:rPr>
            </w:pPr>
          </w:p>
        </w:tc>
        <w:tc>
          <w:tcPr>
            <w:tcW w:w="8060" w:type="dxa"/>
            <w:vAlign w:val="bottom"/>
            <w:gridSpan w:val="3"/>
            <w:vMerge w:val="restart"/>
          </w:tcPr>
          <w:p>
            <w:pPr>
              <w:ind w:left="1080"/>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0" w:type="dxa"/>
            <w:vAlign w:val="bottom"/>
          </w:tcPr>
          <w:p>
            <w:pPr>
              <w:spacing w:after="0"/>
              <w:rPr>
                <w:sz w:val="1"/>
                <w:szCs w:val="1"/>
                <w:color w:val="auto"/>
              </w:rPr>
            </w:pPr>
          </w:p>
        </w:tc>
      </w:tr>
      <w:tr>
        <w:trPr>
          <w:trHeight w:val="222"/>
        </w:trPr>
        <w:tc>
          <w:tcPr>
            <w:tcW w:w="3140" w:type="dxa"/>
            <w:vAlign w:val="bottom"/>
          </w:tcPr>
          <w:p>
            <w:pPr>
              <w:spacing w:after="0"/>
              <w:rPr>
                <w:sz w:val="19"/>
                <w:szCs w:val="19"/>
                <w:color w:val="auto"/>
              </w:rPr>
            </w:pPr>
          </w:p>
        </w:tc>
        <w:tc>
          <w:tcPr>
            <w:tcW w:w="80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40" w:type="dxa"/>
            <w:vAlign w:val="bottom"/>
          </w:tcPr>
          <w:p>
            <w:pPr>
              <w:spacing w:after="0"/>
              <w:rPr>
                <w:sz w:val="19"/>
                <w:szCs w:val="19"/>
                <w:color w:val="auto"/>
              </w:rPr>
            </w:pPr>
          </w:p>
        </w:tc>
        <w:tc>
          <w:tcPr>
            <w:tcW w:w="806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33"/>
        </w:trPr>
        <w:tc>
          <w:tcPr>
            <w:tcW w:w="3140" w:type="dxa"/>
            <w:vAlign w:val="bottom"/>
          </w:tcPr>
          <w:p>
            <w:pPr>
              <w:spacing w:after="0"/>
              <w:rPr>
                <w:sz w:val="20"/>
                <w:szCs w:val="20"/>
                <w:color w:val="auto"/>
              </w:rPr>
            </w:pPr>
          </w:p>
        </w:tc>
        <w:tc>
          <w:tcPr>
            <w:tcW w:w="806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88"/>
        </w:trPr>
        <w:tc>
          <w:tcPr>
            <w:tcW w:w="3140" w:type="dxa"/>
            <w:vAlign w:val="bottom"/>
            <w:tcBorders>
              <w:bottom w:val="single" w:sz="8" w:color="666666"/>
            </w:tcBorders>
          </w:tcPr>
          <w:p>
            <w:pPr>
              <w:spacing w:after="0"/>
              <w:rPr>
                <w:sz w:val="24"/>
                <w:szCs w:val="24"/>
                <w:color w:val="auto"/>
              </w:rPr>
            </w:pPr>
          </w:p>
        </w:tc>
        <w:tc>
          <w:tcPr>
            <w:tcW w:w="1080" w:type="dxa"/>
            <w:vAlign w:val="bottom"/>
            <w:tcBorders>
              <w:bottom w:val="single" w:sz="8" w:color="666666"/>
            </w:tcBorders>
          </w:tcPr>
          <w:p>
            <w:pPr>
              <w:spacing w:after="0"/>
              <w:rPr>
                <w:sz w:val="24"/>
                <w:szCs w:val="24"/>
                <w:color w:val="auto"/>
              </w:rPr>
            </w:pPr>
          </w:p>
        </w:tc>
        <w:tc>
          <w:tcPr>
            <w:tcW w:w="1680" w:type="dxa"/>
            <w:vAlign w:val="bottom"/>
            <w:tcBorders>
              <w:bottom w:val="single" w:sz="8" w:color="666666"/>
            </w:tcBorders>
          </w:tcPr>
          <w:p>
            <w:pPr>
              <w:spacing w:after="0"/>
              <w:rPr>
                <w:sz w:val="24"/>
                <w:szCs w:val="24"/>
                <w:color w:val="auto"/>
              </w:rPr>
            </w:pPr>
          </w:p>
        </w:tc>
        <w:tc>
          <w:tcPr>
            <w:tcW w:w="530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77"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E. Landry, certify that:</w:t>
      </w:r>
    </w:p>
    <w:p>
      <w:pPr>
        <w:spacing w:after="0" w:line="101" w:lineRule="exact"/>
        <w:rPr>
          <w:sz w:val="20"/>
          <w:szCs w:val="20"/>
          <w:color w:val="auto"/>
        </w:rPr>
      </w:pPr>
    </w:p>
    <w:p>
      <w:pPr>
        <w:ind w:left="320" w:hanging="313"/>
        <w:spacing w:after="0"/>
        <w:tabs>
          <w:tab w:leader="none" w:pos="3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87" w:lineRule="exact"/>
        <w:rPr>
          <w:rFonts w:ascii="Times New Roman" w:cs="Times New Roman" w:eastAsia="Times New Roman" w:hAnsi="Times New Roman"/>
          <w:sz w:val="18"/>
          <w:szCs w:val="18"/>
          <w:color w:val="auto"/>
        </w:rPr>
      </w:pPr>
    </w:p>
    <w:p>
      <w:pPr>
        <w:ind w:left="320" w:right="40" w:hanging="313"/>
        <w:spacing w:after="0" w:line="308" w:lineRule="auto"/>
        <w:tabs>
          <w:tab w:leader="none" w:pos="32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Times New Roman" w:cs="Times New Roman" w:eastAsia="Times New Roman" w:hAnsi="Times New Roman"/>
          <w:sz w:val="17"/>
          <w:szCs w:val="17"/>
          <w:color w:val="auto"/>
        </w:rPr>
      </w:pPr>
    </w:p>
    <w:p>
      <w:pPr>
        <w:ind w:left="320" w:right="500" w:hanging="313"/>
        <w:spacing w:after="0" w:line="278" w:lineRule="auto"/>
        <w:tabs>
          <w:tab w:leader="none" w:pos="3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8"/>
          <w:szCs w:val="18"/>
          <w:color w:val="auto"/>
        </w:rPr>
      </w:pPr>
    </w:p>
    <w:p>
      <w:pPr>
        <w:ind w:left="320" w:hanging="313"/>
        <w:spacing w:after="0" w:line="263" w:lineRule="auto"/>
        <w:tabs>
          <w:tab w:leader="none" w:pos="3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980" w:right="160" w:hanging="331"/>
        <w:spacing w:after="0" w:line="263" w:lineRule="auto"/>
        <w:tabs>
          <w:tab w:leader="none" w:pos="971"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Times New Roman" w:cs="Times New Roman" w:eastAsia="Times New Roman" w:hAnsi="Times New Roman"/>
          <w:sz w:val="18"/>
          <w:szCs w:val="18"/>
          <w:color w:val="auto"/>
        </w:rPr>
      </w:pPr>
    </w:p>
    <w:p>
      <w:pPr>
        <w:ind w:left="980" w:right="460" w:hanging="331"/>
        <w:spacing w:after="0" w:line="263" w:lineRule="auto"/>
        <w:tabs>
          <w:tab w:leader="none" w:pos="968"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Times New Roman" w:cs="Times New Roman" w:eastAsia="Times New Roman" w:hAnsi="Times New Roman"/>
          <w:sz w:val="18"/>
          <w:szCs w:val="18"/>
          <w:color w:val="auto"/>
        </w:rPr>
      </w:pPr>
    </w:p>
    <w:p>
      <w:pPr>
        <w:jc w:val="both"/>
        <w:ind w:left="980" w:right="640" w:hanging="331"/>
        <w:spacing w:after="0" w:line="308" w:lineRule="auto"/>
        <w:tabs>
          <w:tab w:leader="none" w:pos="971"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Times New Roman" w:cs="Times New Roman" w:eastAsia="Times New Roman" w:hAnsi="Times New Roman"/>
          <w:sz w:val="17"/>
          <w:szCs w:val="17"/>
          <w:color w:val="auto"/>
        </w:rPr>
      </w:pPr>
    </w:p>
    <w:p>
      <w:pPr>
        <w:ind w:left="980" w:right="200" w:hanging="331"/>
        <w:spacing w:after="0" w:line="263" w:lineRule="auto"/>
        <w:tabs>
          <w:tab w:leader="none" w:pos="968"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8"/>
          <w:szCs w:val="18"/>
          <w:color w:val="auto"/>
        </w:rPr>
      </w:pPr>
    </w:p>
    <w:p>
      <w:pPr>
        <w:ind w:left="320" w:right="440" w:hanging="313"/>
        <w:spacing w:after="0" w:line="278" w:lineRule="auto"/>
        <w:tabs>
          <w:tab w:leader="none" w:pos="3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8"/>
          <w:szCs w:val="18"/>
          <w:color w:val="auto"/>
        </w:rPr>
      </w:pPr>
    </w:p>
    <w:p>
      <w:pPr>
        <w:ind w:left="980" w:right="60" w:hanging="331"/>
        <w:spacing w:after="0" w:line="278" w:lineRule="auto"/>
        <w:tabs>
          <w:tab w:leader="none" w:pos="971"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Times New Roman" w:cs="Times New Roman" w:eastAsia="Times New Roman" w:hAnsi="Times New Roman"/>
          <w:sz w:val="18"/>
          <w:szCs w:val="18"/>
          <w:color w:val="auto"/>
        </w:rPr>
      </w:pPr>
    </w:p>
    <w:p>
      <w:pPr>
        <w:ind w:left="980" w:right="40" w:hanging="331"/>
        <w:spacing w:after="0" w:line="278" w:lineRule="auto"/>
        <w:tabs>
          <w:tab w:leader="none" w:pos="968"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November 3, 2022</w:t>
            </w:r>
          </w:p>
        </w:tc>
        <w:tc>
          <w:tcPr>
            <w:tcW w:w="806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/s/ Robert E. Landry</w:t>
            </w:r>
          </w:p>
        </w:tc>
        <w:tc>
          <w:tcPr>
            <w:tcW w:w="0" w:type="dxa"/>
            <w:vAlign w:val="bottom"/>
          </w:tcPr>
          <w:p>
            <w:pPr>
              <w:spacing w:after="0"/>
              <w:rPr>
                <w:sz w:val="1"/>
                <w:szCs w:val="1"/>
                <w:color w:val="auto"/>
              </w:rPr>
            </w:pPr>
          </w:p>
        </w:tc>
      </w:tr>
      <w:tr>
        <w:trPr>
          <w:trHeight w:val="20"/>
        </w:trPr>
        <w:tc>
          <w:tcPr>
            <w:tcW w:w="3140" w:type="dxa"/>
            <w:vAlign w:val="bottom"/>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3140" w:type="dxa"/>
            <w:vAlign w:val="bottom"/>
            <w:vMerge w:val="continue"/>
          </w:tcPr>
          <w:p>
            <w:pPr>
              <w:spacing w:after="0"/>
              <w:rPr>
                <w:sz w:val="7"/>
                <w:szCs w:val="7"/>
                <w:color w:val="auto"/>
              </w:rPr>
            </w:pPr>
          </w:p>
        </w:tc>
        <w:tc>
          <w:tcPr>
            <w:tcW w:w="8060" w:type="dxa"/>
            <w:vAlign w:val="bottom"/>
            <w:gridSpan w:val="3"/>
            <w:vMerge w:val="restart"/>
          </w:tcPr>
          <w:p>
            <w:pPr>
              <w:ind w:left="1080"/>
              <w:spacing w:after="0"/>
              <w:rPr>
                <w:sz w:val="20"/>
                <w:szCs w:val="20"/>
                <w:color w:val="auto"/>
              </w:rPr>
            </w:pPr>
            <w:r>
              <w:rPr>
                <w:rFonts w:ascii="Times New Roman" w:cs="Times New Roman" w:eastAsia="Times New Roman" w:hAnsi="Times New Roman"/>
                <w:sz w:val="18"/>
                <w:szCs w:val="18"/>
                <w:color w:val="auto"/>
              </w:rPr>
              <w:t>Robert E. Landry</w:t>
            </w:r>
          </w:p>
        </w:tc>
        <w:tc>
          <w:tcPr>
            <w:tcW w:w="0" w:type="dxa"/>
            <w:vAlign w:val="bottom"/>
          </w:tcPr>
          <w:p>
            <w:pPr>
              <w:spacing w:after="0"/>
              <w:rPr>
                <w:sz w:val="1"/>
                <w:szCs w:val="1"/>
                <w:color w:val="auto"/>
              </w:rPr>
            </w:pPr>
          </w:p>
        </w:tc>
      </w:tr>
      <w:tr>
        <w:trPr>
          <w:trHeight w:val="222"/>
        </w:trPr>
        <w:tc>
          <w:tcPr>
            <w:tcW w:w="3140" w:type="dxa"/>
            <w:vAlign w:val="bottom"/>
          </w:tcPr>
          <w:p>
            <w:pPr>
              <w:spacing w:after="0"/>
              <w:rPr>
                <w:sz w:val="19"/>
                <w:szCs w:val="19"/>
                <w:color w:val="auto"/>
              </w:rPr>
            </w:pPr>
          </w:p>
        </w:tc>
        <w:tc>
          <w:tcPr>
            <w:tcW w:w="80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140" w:type="dxa"/>
            <w:vAlign w:val="bottom"/>
          </w:tcPr>
          <w:p>
            <w:pPr>
              <w:spacing w:after="0"/>
              <w:rPr>
                <w:sz w:val="15"/>
                <w:szCs w:val="15"/>
                <w:color w:val="auto"/>
              </w:rPr>
            </w:pPr>
          </w:p>
        </w:tc>
        <w:tc>
          <w:tcPr>
            <w:tcW w:w="8060" w:type="dxa"/>
            <w:vAlign w:val="bottom"/>
            <w:gridSpan w:val="3"/>
          </w:tcPr>
          <w:p>
            <w:pPr>
              <w:ind w:left="1080"/>
              <w:spacing w:after="0" w:line="179" w:lineRule="exact"/>
              <w:rPr>
                <w:sz w:val="20"/>
                <w:szCs w:val="20"/>
                <w:color w:val="auto"/>
              </w:rPr>
            </w:pPr>
            <w:r>
              <w:rPr>
                <w:rFonts w:ascii="Times New Roman" w:cs="Times New Roman" w:eastAsia="Times New Roman" w:hAnsi="Times New Roman"/>
                <w:sz w:val="18"/>
                <w:szCs w:val="18"/>
                <w:color w:val="auto"/>
              </w:rPr>
              <w:t>Executive Vice President, Finance and Chief</w:t>
            </w:r>
          </w:p>
        </w:tc>
        <w:tc>
          <w:tcPr>
            <w:tcW w:w="0" w:type="dxa"/>
            <w:vAlign w:val="bottom"/>
          </w:tcPr>
          <w:p>
            <w:pPr>
              <w:spacing w:after="0"/>
              <w:rPr>
                <w:sz w:val="1"/>
                <w:szCs w:val="1"/>
                <w:color w:val="auto"/>
              </w:rPr>
            </w:pPr>
          </w:p>
        </w:tc>
      </w:tr>
      <w:tr>
        <w:trPr>
          <w:trHeight w:val="233"/>
        </w:trPr>
        <w:tc>
          <w:tcPr>
            <w:tcW w:w="3140" w:type="dxa"/>
            <w:vAlign w:val="bottom"/>
          </w:tcPr>
          <w:p>
            <w:pPr>
              <w:spacing w:after="0"/>
              <w:rPr>
                <w:sz w:val="20"/>
                <w:szCs w:val="20"/>
                <w:color w:val="auto"/>
              </w:rPr>
            </w:pPr>
          </w:p>
        </w:tc>
        <w:tc>
          <w:tcPr>
            <w:tcW w:w="806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236"/>
        </w:trPr>
        <w:tc>
          <w:tcPr>
            <w:tcW w:w="3140" w:type="dxa"/>
            <w:vAlign w:val="bottom"/>
          </w:tcPr>
          <w:p>
            <w:pPr>
              <w:spacing w:after="0"/>
              <w:rPr>
                <w:sz w:val="20"/>
                <w:szCs w:val="20"/>
                <w:color w:val="auto"/>
              </w:rPr>
            </w:pPr>
          </w:p>
        </w:tc>
        <w:tc>
          <w:tcPr>
            <w:tcW w:w="806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488"/>
        </w:trPr>
        <w:tc>
          <w:tcPr>
            <w:tcW w:w="3140" w:type="dxa"/>
            <w:vAlign w:val="bottom"/>
            <w:tcBorders>
              <w:bottom w:val="single" w:sz="8" w:color="666666"/>
            </w:tcBorders>
          </w:tcPr>
          <w:p>
            <w:pPr>
              <w:spacing w:after="0"/>
              <w:rPr>
                <w:sz w:val="24"/>
                <w:szCs w:val="24"/>
                <w:color w:val="auto"/>
              </w:rPr>
            </w:pPr>
          </w:p>
        </w:tc>
        <w:tc>
          <w:tcPr>
            <w:tcW w:w="1080" w:type="dxa"/>
            <w:vAlign w:val="bottom"/>
            <w:tcBorders>
              <w:bottom w:val="single" w:sz="8" w:color="666666"/>
            </w:tcBorders>
          </w:tcPr>
          <w:p>
            <w:pPr>
              <w:spacing w:after="0"/>
              <w:rPr>
                <w:sz w:val="24"/>
                <w:szCs w:val="24"/>
                <w:color w:val="auto"/>
              </w:rPr>
            </w:pPr>
          </w:p>
        </w:tc>
        <w:tc>
          <w:tcPr>
            <w:tcW w:w="1440" w:type="dxa"/>
            <w:vAlign w:val="bottom"/>
            <w:tcBorders>
              <w:bottom w:val="single" w:sz="8" w:color="666666"/>
            </w:tcBorders>
          </w:tcPr>
          <w:p>
            <w:pPr>
              <w:spacing w:after="0"/>
              <w:rPr>
                <w:sz w:val="24"/>
                <w:szCs w:val="24"/>
                <w:color w:val="auto"/>
              </w:rPr>
            </w:pPr>
          </w:p>
        </w:tc>
        <w:tc>
          <w:tcPr>
            <w:tcW w:w="554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77"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Regeneron Pharmaceuticals, Inc. (the "Company") on Form 10-Q for the quarterly period ended September 30, 2022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60" w:lineRule="exact"/>
        <w:rPr>
          <w:sz w:val="20"/>
          <w:szCs w:val="20"/>
          <w:color w:val="auto"/>
        </w:rPr>
      </w:pPr>
    </w:p>
    <w:p>
      <w:pPr>
        <w:ind w:left="640" w:hanging="312"/>
        <w:spacing w:after="0"/>
        <w:tabs>
          <w:tab w:leader="none" w:pos="6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3, 2022</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Robert E. Landry</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E. Landry</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Finance and Chief</w:t>
      </w:r>
    </w:p>
    <w:p>
      <w:pPr>
        <w:ind w:left="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3, 2022</w:t>
      </w:r>
    </w:p>
    <w:sectPr>
      <w:pgSz w:w="11900" w:h="16838" w:orient="portrait"/>
      <w:cols w:equalWidth="0" w:num="1">
        <w:col w:w="11240"/>
      </w:cols>
      <w:pgMar w:left="320" w:top="9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1)"/>
      <w:numFmt w:val="lowerLetter"/>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1)"/>
      <w:numFmt w:val="lowerLetter"/>
      <w:start w:val="1"/>
    </w:lvl>
  </w:abstractNum>
  <w:abstractNum w:abstractNumId="6">
    <w:nsid w:val="7FB7E0AA"/>
    <w:multiLevelType w:val="hybridMultilevel"/>
    <w:lvl w:ilvl="0">
      <w:lvlJc w:val="left"/>
      <w:lvlText w:val="(%1)"/>
      <w:numFmt w:val="lowerLetter"/>
      <w:start w:val="6"/>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1)"/>
      <w:numFmt w:val="lowerLetter"/>
      <w:start w:val="1"/>
    </w:lvl>
  </w:abstractNum>
  <w:abstractNum w:abstractNumId="9">
    <w:nsid w:val="94211F2"/>
    <w:multiLevelType w:val="hybridMultilevel"/>
    <w:lvl w:ilvl="0">
      <w:lvlJc w:val="left"/>
      <w:lvlText w:val="(%1)"/>
      <w:numFmt w:val="lowerLetter"/>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1)"/>
      <w:numFmt w:val="lowerLetter"/>
      <w:start w:val="1"/>
    </w:lvl>
  </w:abstractNum>
  <w:abstractNum w:abstractNumId="13">
    <w:nsid w:val="1716703B"/>
    <w:multiLevelType w:val="hybridMultilevel"/>
    <w:lvl w:ilvl="0">
      <w:lvlJc w:val="left"/>
      <w:lvlText w:val="(%1)"/>
      <w:numFmt w:val="lowerLetter"/>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1)"/>
      <w:numFmt w:val="lowerLetter"/>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
      <w:numFmt w:val="bullet"/>
      <w:start w:val="1"/>
    </w:lvl>
  </w:abstractNum>
  <w:abstractNum w:abstractNumId="31">
    <w:nsid w:val="50801EE1"/>
    <w:multiLevelType w:val="hybridMultilevel"/>
    <w:lvl w:ilvl="0">
      <w:lvlJc w:val="left"/>
      <w:lvlText w:val="•"/>
      <w:numFmt w:val="bullet"/>
      <w:start w:val="1"/>
    </w:lvl>
  </w:abstractNum>
  <w:abstractNum w:abstractNumId="32">
    <w:nsid w:val="488AC1A"/>
    <w:multiLevelType w:val="hybridMultilevel"/>
    <w:lvl w:ilvl="0">
      <w:lvlJc w:val="left"/>
      <w:lvlText w:val="•"/>
      <w:numFmt w:val="bullet"/>
      <w:start w:val="1"/>
    </w:lvl>
  </w:abstractNum>
  <w:abstractNum w:abstractNumId="33">
    <w:nsid w:val="5FB8011C"/>
    <w:multiLevelType w:val="hybridMultilevel"/>
    <w:lvl w:ilvl="0">
      <w:lvlJc w:val="left"/>
      <w:lvlText w:val="•"/>
      <w:numFmt w:val="bullet"/>
      <w:start w:val="1"/>
    </w:lvl>
  </w:abstractNum>
  <w:abstractNum w:abstractNumId="34">
    <w:nsid w:val="6AA78F7F"/>
    <w:multiLevelType w:val="hybridMultilevel"/>
    <w:lvl w:ilvl="0">
      <w:lvlJc w:val="left"/>
      <w:lvlText w:val="•"/>
      <w:numFmt w:val="bullet"/>
      <w:start w:val="1"/>
    </w:lvl>
  </w:abstractNum>
  <w:abstractNum w:abstractNumId="35">
    <w:nsid w:val="7672BD23"/>
    <w:multiLevelType w:val="hybridMultilevel"/>
    <w:lvl w:ilvl="0">
      <w:lvlJc w:val="left"/>
      <w:lvlText w:val="•"/>
      <w:numFmt w:val="bullet"/>
      <w:start w:val="1"/>
    </w:lvl>
  </w:abstractNum>
  <w:abstractNum w:abstractNumId="36">
    <w:nsid w:val="6FC75AF8"/>
    <w:multiLevelType w:val="hybridMultilevel"/>
    <w:lvl w:ilvl="0">
      <w:lvlJc w:val="left"/>
      <w:lvlText w:val="(%1)"/>
      <w:numFmt w:val="lowerLetter"/>
      <w:start w:val="1"/>
    </w:lvl>
  </w:abstractNum>
  <w:abstractNum w:abstractNumId="37">
    <w:nsid w:val="6A5F7029"/>
    <w:multiLevelType w:val="hybridMultilevel"/>
    <w:lvl w:ilvl="0">
      <w:lvlJc w:val="left"/>
      <w:lvlText w:val="%1"/>
      <w:numFmt w:val="decimal"/>
      <w:start w:val="32"/>
    </w:lvl>
  </w:abstractNum>
  <w:abstractNum w:abstractNumId="38">
    <w:nsid w:val="7D5E18F8"/>
    <w:multiLevelType w:val="hybridMultilevel"/>
    <w:lvl w:ilvl="0">
      <w:lvlJc w:val="left"/>
      <w:lvlText w:val="%1"/>
      <w:numFmt w:val="decimal"/>
      <w:start w:val="101"/>
    </w:lvl>
  </w:abstractNum>
  <w:abstractNum w:abstractNumId="39">
    <w:nsid w:val="5F3534A4"/>
    <w:multiLevelType w:val="hybridMultilevel"/>
    <w:lvl w:ilvl="0">
      <w:lvlJc w:val="left"/>
      <w:lvlText w:val="*"/>
      <w:numFmt w:val="bullet"/>
      <w:start w:val="1"/>
    </w:lvl>
  </w:abstractNum>
  <w:abstractNum w:abstractNumId="40">
    <w:nsid w:val="73A1821B"/>
    <w:multiLevelType w:val="hybridMultilevel"/>
    <w:lvl w:ilvl="0">
      <w:lvlJc w:val="left"/>
      <w:lvlText w:val="%1)"/>
      <w:numFmt w:val="decimal"/>
      <w:start w:val="1"/>
    </w:lvl>
  </w:abstractNum>
  <w:abstractNum w:abstractNumId="41">
    <w:nsid w:val="7DE67713"/>
    <w:multiLevelType w:val="hybridMultilevel"/>
    <w:lvl w:ilvl="0">
      <w:lvlJc w:val="left"/>
      <w:lvlText w:val="%1)"/>
      <w:numFmt w:val="decimal"/>
      <w:start w:val="3"/>
    </w:lvl>
  </w:abstractNum>
  <w:abstractNum w:abstractNumId="42">
    <w:nsid w:val="555C55B5"/>
    <w:multiLevelType w:val="hybridMultilevel"/>
    <w:lvl w:ilvl="0">
      <w:lvlJc w:val="left"/>
      <w:lvlText w:val="•"/>
      <w:numFmt w:val="bullet"/>
      <w:start w:val="1"/>
    </w:lvl>
  </w:abstractNum>
  <w:abstractNum w:abstractNumId="43">
    <w:nsid w:val="3FA62ACA"/>
    <w:multiLevelType w:val="hybridMultilevel"/>
    <w:lvl w:ilvl="0">
      <w:lvlJc w:val="left"/>
      <w:lvlText w:val="%1)"/>
      <w:numFmt w:val="decimal"/>
      <w:start w:val="4"/>
    </w:lvl>
  </w:abstractNum>
  <w:abstractNum w:abstractNumId="44">
    <w:nsid w:val="14FCE74E"/>
    <w:multiLevelType w:val="hybridMultilevel"/>
    <w:lvl w:ilvl="0">
      <w:lvlJc w:val="left"/>
      <w:lvlText w:val="•"/>
      <w:numFmt w:val="bullet"/>
      <w:start w:val="1"/>
    </w:lvl>
  </w:abstractNum>
  <w:abstractNum w:abstractNumId="45">
    <w:nsid w:val="6A3DD3E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6">
    <w:nsid w:val="71C91298"/>
    <w:multiLevelType w:val="hybridMultilevel"/>
    <w:lvl w:ilvl="0">
      <w:lvlJc w:val="left"/>
      <w:lvlText w:val="•"/>
      <w:numFmt w:val="bullet"/>
      <w:start w:val="1"/>
    </w:lvl>
    <w:lvl w:ilvl="1">
      <w:lvlJc w:val="left"/>
      <w:lvlText w:val="•"/>
      <w:numFmt w:val="bullet"/>
      <w:start w:val="1"/>
    </w:lvl>
  </w:abstractNum>
  <w:abstractNum w:abstractNumId="47">
    <w:nsid w:val="9DAF632"/>
    <w:multiLevelType w:val="hybridMultilevel"/>
    <w:lvl w:ilvl="0">
      <w:lvlJc w:val="left"/>
      <w:lvlText w:val="•"/>
      <w:numFmt w:val="bullet"/>
      <w:start w:val="1"/>
    </w:lvl>
  </w:abstractNum>
  <w:abstractNum w:abstractNumId="48">
    <w:nsid w:val="53299938"/>
    <w:multiLevelType w:val="hybridMultilevel"/>
    <w:lvl w:ilvl="0">
      <w:lvlJc w:val="left"/>
      <w:lvlText w:val="o"/>
      <w:numFmt w:val="bullet"/>
      <w:start w:val="1"/>
    </w:lvl>
  </w:abstractNum>
  <w:abstractNum w:abstractNumId="49">
    <w:nsid w:val="1FBFE8E0"/>
    <w:multiLevelType w:val="hybridMultilevel"/>
    <w:lvl w:ilvl="0">
      <w:lvlJc w:val="left"/>
      <w:lvlText w:val="o"/>
      <w:numFmt w:val="bullet"/>
      <w:start w:val="1"/>
    </w:lvl>
  </w:abstractNum>
  <w:abstractNum w:abstractNumId="50">
    <w:nsid w:val="5092CA79"/>
    <w:multiLevelType w:val="hybridMultilevel"/>
    <w:lvl w:ilvl="0">
      <w:lvlJc w:val="left"/>
      <w:lvlText w:val="%1."/>
      <w:numFmt w:val="lowerLetter"/>
      <w:start w:val="1"/>
    </w:lvl>
  </w:abstractNum>
  <w:abstractNum w:abstractNumId="51">
    <w:nsid w:val="1D545C4D"/>
    <w:multiLevelType w:val="hybridMultilevel"/>
    <w:lvl w:ilvl="0">
      <w:lvlJc w:val="left"/>
      <w:lvlText w:val="%1."/>
      <w:numFmt w:val="lowerLetter"/>
      <w:start w:val="11"/>
    </w:lvl>
  </w:abstractNum>
  <w:abstractNum w:abstractNumId="52">
    <w:nsid w:val="59ADEA3D"/>
    <w:multiLevelType w:val="hybridMultilevel"/>
    <w:lvl w:ilvl="0">
      <w:lvlJc w:val="left"/>
      <w:lvlText w:val="%1."/>
      <w:numFmt w:val="lowerLetter"/>
      <w:start w:val="2"/>
    </w:lvl>
    <w:lvl w:ilvl="1">
      <w:lvlJc w:val="left"/>
      <w:lvlText w:val="%2."/>
      <w:numFmt w:val="lowerRoman"/>
      <w:start w:val="1"/>
    </w:lvl>
  </w:abstractNum>
  <w:abstractNum w:abstractNumId="53">
    <w:nsid w:val="288F1A34"/>
    <w:multiLevelType w:val="hybridMultilevel"/>
    <w:lvl w:ilvl="0">
      <w:lvlJc w:val="left"/>
      <w:lvlText w:val="%1"/>
      <w:numFmt w:val="lowerLetter"/>
      <w:start w:val="1"/>
    </w:lvl>
    <w:lvl w:ilvl="1">
      <w:lvlJc w:val="left"/>
      <w:lvlText w:val="%2."/>
      <w:numFmt w:val="lowerLetter"/>
      <w:start w:val="22"/>
    </w:lvl>
  </w:abstractNum>
  <w:abstractNum w:abstractNumId="54">
    <w:nsid w:val="2A155DBC"/>
    <w:multiLevelType w:val="hybridMultilevel"/>
    <w:lvl w:ilvl="0">
      <w:lvlJc w:val="left"/>
      <w:lvlText w:val="%1."/>
      <w:numFmt w:val="lowerLetter"/>
      <w:start w:val="3"/>
    </w:lvl>
    <w:lvl w:ilvl="1">
      <w:lvlJc w:val="left"/>
      <w:lvlText w:val="%2"/>
      <w:numFmt w:val="lowerLetter"/>
      <w:start w:val="1"/>
    </w:lvl>
  </w:abstractNum>
  <w:abstractNum w:abstractNumId="55">
    <w:nsid w:val="1D9F6E5F"/>
    <w:multiLevelType w:val="hybridMultilevel"/>
    <w:lvl w:ilvl="0">
      <w:lvlJc w:val="left"/>
      <w:lvlText w:val="%1."/>
      <w:numFmt w:val="lowerLetter"/>
      <w:start w:val="4"/>
    </w:lvl>
  </w:abstractNum>
  <w:abstractNum w:abstractNumId="56">
    <w:nsid w:val="97E1B4E"/>
    <w:multiLevelType w:val="hybridMultilevel"/>
    <w:lvl w:ilvl="0">
      <w:lvlJc w:val="left"/>
      <w:lvlText w:val="%1."/>
      <w:numFmt w:val="lowerRoman"/>
      <w:start w:val="1"/>
    </w:lvl>
  </w:abstractNum>
  <w:abstractNum w:abstractNumId="57">
    <w:nsid w:val="51088277"/>
    <w:multiLevelType w:val="hybridMultilevel"/>
    <w:lvl w:ilvl="0">
      <w:lvlJc w:val="left"/>
      <w:lvlText w:val="(%1)"/>
      <w:numFmt w:val="lowerRoman"/>
      <w:start w:val="1"/>
    </w:lvl>
    <w:lvl w:ilvl="1">
      <w:lvlJc w:val="left"/>
      <w:lvlText w:val="%2."/>
      <w:numFmt w:val="lowerRoman"/>
      <w:start w:val="1"/>
    </w:lvl>
  </w:abstractNum>
  <w:abstractNum w:abstractNumId="58">
    <w:nsid w:val="1CA0C5FA"/>
    <w:multiLevelType w:val="hybridMultilevel"/>
    <w:lvl w:ilvl="0">
      <w:lvlJc w:val="left"/>
      <w:lvlText w:val="%1."/>
      <w:numFmt w:val="lowerLetter"/>
      <w:start w:val="6"/>
    </w:lvl>
  </w:abstractNum>
  <w:abstractNum w:abstractNumId="59">
    <w:nsid w:val="53584BCB"/>
    <w:multiLevelType w:val="hybridMultilevel"/>
    <w:lvl w:ilvl="0">
      <w:lvlJc w:val="left"/>
      <w:lvlText w:val="%1."/>
      <w:numFmt w:val="lowerLetter"/>
      <w:start w:val="7"/>
    </w:lvl>
    <w:lvl w:ilvl="1">
      <w:lvlJc w:val="left"/>
      <w:lvlText w:val="%2"/>
      <w:numFmt w:val="lowerLetter"/>
      <w:start w:val="1"/>
    </w:lvl>
  </w:abstractNum>
  <w:abstractNum w:abstractNumId="60">
    <w:nsid w:val="415E286C"/>
    <w:multiLevelType w:val="hybridMultilevel"/>
    <w:lvl w:ilvl="0">
      <w:lvlJc w:val="left"/>
      <w:lvlText w:val="%1"/>
      <w:numFmt w:val="lowerLetter"/>
      <w:start w:val="1"/>
    </w:lvl>
    <w:lvl w:ilvl="1">
      <w:lvlJc w:val="left"/>
      <w:lvlText w:val="%2."/>
      <w:numFmt w:val="lowerLetter"/>
      <w:start w:val="35"/>
    </w:lvl>
  </w:abstractNum>
  <w:abstractNum w:abstractNumId="61">
    <w:nsid w:val="7C58FD05"/>
    <w:multiLevelType w:val="hybridMultilevel"/>
    <w:lvl w:ilvl="0">
      <w:lvlJc w:val="left"/>
      <w:lvlText w:val="%1."/>
      <w:numFmt w:val="lowerLetter"/>
      <w:start w:val="9"/>
    </w:lvl>
    <w:lvl w:ilvl="1">
      <w:lvlJc w:val="left"/>
      <w:lvlText w:val="%2."/>
      <w:numFmt w:val="lowerLetter"/>
      <w:start w:val="1"/>
    </w:lvl>
  </w:abstractNum>
  <w:abstractNum w:abstractNumId="62">
    <w:nsid w:val="23D86AAC"/>
    <w:multiLevelType w:val="hybridMultilevel"/>
    <w:lvl w:ilvl="0">
      <w:lvlJc w:val="left"/>
      <w:lvlText w:val="%1."/>
      <w:numFmt w:val="lowerLetter"/>
      <w:start w:val="1"/>
    </w:lvl>
    <w:lvl w:ilvl="1">
      <w:lvlJc w:val="left"/>
      <w:lvlText w:val="%2"/>
      <w:numFmt w:val="lowerLetter"/>
      <w:start w:val="1"/>
    </w:lvl>
  </w:abstractNum>
  <w:abstractNum w:abstractNumId="63">
    <w:nsid w:val="45E6D486"/>
    <w:multiLevelType w:val="hybridMultilevel"/>
    <w:lvl w:ilvl="0">
      <w:lvlJc w:val="left"/>
      <w:lvlText w:val="%1"/>
      <w:numFmt w:val="lowerLetter"/>
      <w:start w:val="1"/>
    </w:lvl>
    <w:lvl w:ilvl="1">
      <w:lvlJc w:val="left"/>
      <w:lvlText w:val="%2."/>
      <w:numFmt w:val="lowerRoman"/>
      <w:start w:val="2"/>
    </w:lvl>
  </w:abstractNum>
  <w:abstractNum w:abstractNumId="64">
    <w:nsid w:val="5C10FE21"/>
    <w:multiLevelType w:val="hybridMultilevel"/>
    <w:lvl w:ilvl="0">
      <w:lvlJc w:val="left"/>
      <w:lvlText w:val="%1."/>
      <w:numFmt w:val="lowerLetter"/>
      <w:start w:val="2"/>
    </w:lvl>
    <w:lvl w:ilvl="1">
      <w:lvlJc w:val="left"/>
      <w:lvlText w:val="%2"/>
      <w:numFmt w:val="lowerRoman"/>
      <w:start w:val="1"/>
    </w:lvl>
  </w:abstractNum>
  <w:abstractNum w:abstractNumId="65">
    <w:nsid w:val="E7FFA2B"/>
    <w:multiLevelType w:val="hybridMultilevel"/>
    <w:lvl w:ilvl="0">
      <w:lvlJc w:val="left"/>
      <w:lvlText w:val="%1."/>
      <w:numFmt w:val="lowerLetter"/>
      <w:start w:val="3"/>
    </w:lvl>
  </w:abstractNum>
  <w:abstractNum w:abstractNumId="66">
    <w:nsid w:val="3C5991AA"/>
    <w:multiLevelType w:val="hybridMultilevel"/>
    <w:lvl w:ilvl="0">
      <w:lvlJc w:val="left"/>
      <w:lvlText w:val="%1"/>
      <w:numFmt w:val="upperLetter"/>
      <w:start w:val="1"/>
    </w:lvl>
    <w:lvl w:ilvl="1">
      <w:lvlJc w:val="left"/>
      <w:lvlText w:val="(%2)"/>
      <w:numFmt w:val="lowerLetter"/>
      <w:start w:val="24"/>
    </w:lvl>
  </w:abstractNum>
  <w:abstractNum w:abstractNumId="67">
    <w:nsid w:val="4BD8591A"/>
    <w:multiLevelType w:val="hybridMultilevel"/>
    <w:lvl w:ilvl="0">
      <w:lvlJc w:val="left"/>
      <w:lvlText w:val="%1."/>
      <w:numFmt w:val="upperLetter"/>
      <w:start w:val="2"/>
    </w:lvl>
    <w:lvl w:ilvl="1">
      <w:lvlJc w:val="left"/>
      <w:lvlText w:val="%2"/>
      <w:numFmt w:val="lowerLetter"/>
      <w:start w:val="1"/>
    </w:lvl>
  </w:abstractNum>
  <w:abstractNum w:abstractNumId="68">
    <w:nsid w:val="78DF6A55"/>
    <w:multiLevelType w:val="hybridMultilevel"/>
    <w:lvl w:ilvl="0">
      <w:lvlJc w:val="left"/>
      <w:lvlText w:val="%1."/>
      <w:numFmt w:val="decimal"/>
      <w:start w:val="1"/>
    </w:lvl>
  </w:abstractNum>
  <w:abstractNum w:abstractNumId="69">
    <w:nsid w:val="39B7AAA2"/>
    <w:multiLevelType w:val="hybridMultilevel"/>
    <w:lvl w:ilvl="0">
      <w:lvlJc w:val="left"/>
      <w:lvlText w:val="%1)"/>
      <w:numFmt w:val="decimal"/>
      <w:start w:val="1"/>
    </w:lvl>
  </w:abstractNum>
  <w:abstractNum w:abstractNumId="70">
    <w:nsid w:val="2B0D8DBE"/>
    <w:multiLevelType w:val="hybridMultilevel"/>
    <w:lvl w:ilvl="0">
      <w:lvlJc w:val="left"/>
      <w:lvlText w:val="(%1)"/>
      <w:numFmt w:val="lowerLetter"/>
      <w:start w:val="1"/>
    </w:lvl>
  </w:abstractNum>
  <w:abstractNum w:abstractNumId="71">
    <w:nsid w:val="6C80EC70"/>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72">
    <w:nsid w:val="379E21B5"/>
    <w:multiLevelType w:val="hybridMultilevel"/>
    <w:lvl w:ilvl="0">
      <w:lvlJc w:val="left"/>
      <w:lvlText w:val="%1)"/>
      <w:numFmt w:val="decimal"/>
      <w:start w:val="2"/>
    </w:lvl>
  </w:abstractNum>
  <w:abstractNum w:abstractNumId="73">
    <w:nsid w:val="69E373"/>
    <w:multiLevelType w:val="hybridMultilevel"/>
    <w:lvl w:ilvl="0">
      <w:lvlJc w:val="left"/>
      <w:lvlText w:val="•"/>
      <w:numFmt w:val="bullet"/>
      <w:start w:val="1"/>
    </w:lvl>
  </w:abstractNum>
  <w:abstractNum w:abstractNumId="74">
    <w:nsid w:val="2C27173B"/>
    <w:multiLevelType w:val="hybridMultilevel"/>
    <w:lvl w:ilvl="0">
      <w:lvlJc w:val="left"/>
      <w:lvlText w:val="•"/>
      <w:numFmt w:val="bullet"/>
      <w:start w:val="1"/>
    </w:lvl>
    <w:lvl w:ilvl="1">
      <w:lvlJc w:val="left"/>
      <w:lvlText w:val="o"/>
      <w:numFmt w:val="bullet"/>
      <w:start w:val="1"/>
    </w:lvl>
  </w:abstractNum>
  <w:abstractNum w:abstractNumId="75">
    <w:nsid w:val="4C9B090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6">
    <w:nsid w:val="6AA7B75C"/>
    <w:multiLevelType w:val="hybridMultilevel"/>
    <w:lvl w:ilvl="0">
      <w:lvlJc w:val="left"/>
      <w:lvlText w:val="•"/>
      <w:numFmt w:val="bullet"/>
      <w:start w:val="1"/>
    </w:lvl>
    <w:lvl w:ilvl="1">
      <w:lvlJc w:val="left"/>
      <w:lvlText w:val="•"/>
      <w:numFmt w:val="bullet"/>
      <w:start w:val="1"/>
    </w:lvl>
  </w:abstractNum>
  <w:abstractNum w:abstractNumId="77">
    <w:nsid w:val="1DF029D3"/>
    <w:multiLevelType w:val="hybridMultilevel"/>
    <w:lvl w:ilvl="0">
      <w:lvlJc w:val="left"/>
      <w:lvlText w:val="•"/>
      <w:numFmt w:val="bullet"/>
      <w:start w:val="1"/>
    </w:lvl>
    <w:lvl w:ilvl="1">
      <w:lvlJc w:val="left"/>
      <w:lvlText w:val="•"/>
      <w:numFmt w:val="bullet"/>
      <w:start w:val="1"/>
    </w:lvl>
  </w:abstractNum>
  <w:abstractNum w:abstractNumId="78">
    <w:nsid w:val="5675FF36"/>
    <w:multiLevelType w:val="hybridMultilevel"/>
    <w:lvl w:ilvl="0">
      <w:lvlJc w:val="left"/>
      <w:lvlText w:val="•"/>
      <w:numFmt w:val="bullet"/>
      <w:start w:val="1"/>
    </w:lvl>
  </w:abstractNum>
  <w:abstractNum w:abstractNumId="79">
    <w:nsid w:val="3DD15094"/>
    <w:multiLevelType w:val="hybridMultilevel"/>
    <w:lvl w:ilvl="0">
      <w:lvlJc w:val="left"/>
      <w:lvlText w:val="o"/>
      <w:numFmt w:val="bullet"/>
      <w:start w:val="1"/>
    </w:lvl>
  </w:abstractNum>
  <w:abstractNum w:abstractNumId="80">
    <w:nsid w:val="3DB012B3"/>
    <w:multiLevelType w:val="hybridMultilevel"/>
    <w:lvl w:ilvl="0">
      <w:lvlJc w:val="left"/>
      <w:lvlText w:val="%1."/>
      <w:numFmt w:val="lowerLetter"/>
      <w:start w:val="1"/>
    </w:lvl>
  </w:abstractNum>
  <w:abstractNum w:abstractNumId="81">
    <w:nsid w:val="2708C9AF"/>
    <w:multiLevelType w:val="hybridMultilevel"/>
    <w:lvl w:ilvl="0">
      <w:lvlJc w:val="left"/>
      <w:lvlText w:val="%1."/>
      <w:numFmt w:val="lowerLetter"/>
      <w:start w:val="11"/>
    </w:lvl>
  </w:abstractNum>
  <w:abstractNum w:abstractNumId="82">
    <w:nsid w:val="5B25ACE2"/>
    <w:multiLevelType w:val="hybridMultilevel"/>
    <w:lvl w:ilvl="0">
      <w:lvlJc w:val="left"/>
      <w:lvlText w:val="%1."/>
      <w:numFmt w:val="lowerLetter"/>
      <w:start w:val="2"/>
    </w:lvl>
    <w:lvl w:ilvl="1">
      <w:lvlJc w:val="left"/>
      <w:lvlText w:val="%2."/>
      <w:numFmt w:val="lowerRoman"/>
      <w:start w:val="1"/>
    </w:lvl>
  </w:abstractNum>
  <w:abstractNum w:abstractNumId="83">
    <w:nsid w:val="175DFCF0"/>
    <w:multiLevelType w:val="hybridMultilevel"/>
    <w:lvl w:ilvl="0">
      <w:lvlJc w:val="left"/>
      <w:lvlText w:val="%1."/>
      <w:numFmt w:val="lowerRoman"/>
      <w:start w:val="2"/>
    </w:lvl>
    <w:lvl w:ilvl="1">
      <w:lvlJc w:val="left"/>
      <w:lvlText w:val="(%2)"/>
      <w:numFmt w:val="lowerRoman"/>
      <w:start w:val="2"/>
    </w:lvl>
  </w:abstractNum>
  <w:abstractNum w:abstractNumId="84">
    <w:nsid w:val="4F97E3E4"/>
    <w:multiLevelType w:val="hybridMultilevel"/>
    <w:lvl w:ilvl="0">
      <w:lvlJc w:val="left"/>
      <w:lvlText w:val="%1"/>
      <w:numFmt w:val="lowerLetter"/>
      <w:start w:val="1"/>
    </w:lvl>
    <w:lvl w:ilvl="1">
      <w:lvlJc w:val="left"/>
      <w:lvlText w:val="%2."/>
      <w:numFmt w:val="lowerLetter"/>
      <w:start w:val="35"/>
    </w:lvl>
  </w:abstractNum>
  <w:abstractNum w:abstractNumId="85">
    <w:nsid w:val="53B0A9E"/>
    <w:multiLevelType w:val="hybridMultilevel"/>
    <w:lvl w:ilvl="0">
      <w:lvlJc w:val="left"/>
      <w:lvlText w:val="%1."/>
      <w:numFmt w:val="lowerLetter"/>
      <w:start w:val="5"/>
    </w:lvl>
    <w:lvl w:ilvl="1">
      <w:lvlJc w:val="left"/>
      <w:lvlText w:val="%2"/>
      <w:numFmt w:val="lowerLetter"/>
      <w:start w:val="1"/>
    </w:lvl>
  </w:abstractNum>
  <w:abstractNum w:abstractNumId="86">
    <w:nsid w:val="34FD6B4F"/>
    <w:multiLevelType w:val="hybridMultilevel"/>
    <w:lvl w:ilvl="0">
      <w:lvlJc w:val="left"/>
      <w:lvlText w:val="(%1)"/>
      <w:numFmt w:val="lowerRoman"/>
      <w:start w:val="1"/>
    </w:lvl>
    <w:lvl w:ilvl="1">
      <w:lvlJc w:val="left"/>
      <w:lvlText w:val="%2."/>
      <w:numFmt w:val="lowerRoman"/>
      <w:start w:val="1"/>
    </w:lvl>
  </w:abstractNum>
  <w:abstractNum w:abstractNumId="87">
    <w:nsid w:val="5915FF32"/>
    <w:multiLevelType w:val="hybridMultilevel"/>
    <w:lvl w:ilvl="0">
      <w:lvlJc w:val="left"/>
      <w:lvlText w:val="%1."/>
      <w:numFmt w:val="lowerLetter"/>
      <w:start w:val="7"/>
    </w:lvl>
    <w:lvl w:ilvl="1">
      <w:lvlJc w:val="left"/>
      <w:lvlText w:val="%2."/>
      <w:numFmt w:val="lowerRoman"/>
      <w:start w:val="1"/>
    </w:lvl>
  </w:abstractNum>
  <w:abstractNum w:abstractNumId="88">
    <w:nsid w:val="56438D15"/>
    <w:multiLevelType w:val="hybridMultilevel"/>
    <w:lvl w:ilvl="0">
      <w:lvlJc w:val="left"/>
      <w:lvlText w:val="%1."/>
      <w:numFmt w:val="lowerLetter"/>
      <w:start w:val="1"/>
    </w:lvl>
  </w:abstractNum>
  <w:abstractNum w:abstractNumId="89">
    <w:nsid w:val="519E314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0"/>
    </w:lvl>
  </w:abstractNum>
  <w:abstractNum w:abstractNumId="90">
    <w:nsid w:val="2C6E4AF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60"/>
    </w:lvl>
  </w:abstractNum>
  <w:abstractNum w:abstractNumId="91">
    <w:nsid w:val="17A1B582"/>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92">
    <w:nsid w:val="4DF72E4E"/>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93">
    <w:nsid w:val="5046B5A9"/>
    <w:multiLevelType w:val="hybridMultilevel"/>
    <w:lvl w:ilvl="0">
      <w:lvlJc w:val="left"/>
      <w:lvlText w:val="%1."/>
      <w:numFmt w:val="lowerLetter"/>
      <w:start w:val="3"/>
    </w:lvl>
  </w:abstractNum>
  <w:abstractNum w:abstractNumId="94">
    <w:nsid w:val="5D888A08"/>
    <w:multiLevelType w:val="hybridMultilevel"/>
    <w:lvl w:ilvl="0">
      <w:lvlJc w:val="left"/>
      <w:lvlText w:val="%1"/>
      <w:numFmt w:val="upperLetter"/>
      <w:start w:val="1"/>
    </w:lvl>
    <w:lvl w:ilvl="1">
      <w:lvlJc w:val="left"/>
      <w:lvlText w:val="(%2)"/>
      <w:numFmt w:val="lowerLetter"/>
      <w:start w:val="24"/>
    </w:lvl>
  </w:abstractNum>
  <w:abstractNum w:abstractNumId="95">
    <w:nsid w:val="2A082C70"/>
    <w:multiLevelType w:val="hybridMultilevel"/>
    <w:lvl w:ilvl="0">
      <w:lvlJc w:val="left"/>
      <w:lvlText w:val="%1."/>
      <w:numFmt w:val="upperLetter"/>
      <w:start w:val="2"/>
    </w:lvl>
    <w:lvl w:ilvl="1">
      <w:lvlJc w:val="left"/>
      <w:lvlText w:val="%2"/>
      <w:numFmt w:val="lowerLetter"/>
      <w:start w:val="1"/>
    </w:lvl>
  </w:abstractNum>
  <w:abstractNum w:abstractNumId="96">
    <w:nsid w:val="5EC6AFD4"/>
    <w:multiLevelType w:val="hybridMultilevel"/>
    <w:lvl w:ilvl="0">
      <w:lvlJc w:val="left"/>
      <w:lvlText w:val="%1."/>
      <w:numFmt w:val="decimal"/>
      <w:start w:val="1"/>
    </w:lvl>
  </w:abstractNum>
  <w:abstractNum w:abstractNumId="97">
    <w:nsid w:val="19E21BB2"/>
    <w:multiLevelType w:val="hybridMultilevel"/>
    <w:lvl w:ilvl="0">
      <w:lvlJc w:val="left"/>
      <w:lvlText w:val="☐"/>
      <w:numFmt w:val="bullet"/>
      <w:start w:val="1"/>
    </w:lvl>
  </w:abstractNum>
  <w:abstractNum w:abstractNumId="98">
    <w:nsid w:val="75E0858A"/>
    <w:multiLevelType w:val="hybridMultilevel"/>
    <w:lvl w:ilvl="0">
      <w:lvlJc w:val="left"/>
      <w:lvlText w:val="%1."/>
      <w:numFmt w:val="decimal"/>
      <w:start w:val="12"/>
    </w:lvl>
    <w:lvl w:ilvl="1">
      <w:lvlJc w:val="left"/>
      <w:lvlText w:val="%2."/>
      <w:numFmt w:val="upperLetter"/>
    </w:lvl>
    <w:lvl w:ilvl="2">
      <w:lvlJc w:val="left"/>
      <w:lvlText w:val="%3."/>
      <w:numFmt w:val="decimal"/>
      <w:start w:val="13"/>
    </w:lvl>
  </w:abstractNum>
  <w:abstractNum w:abstractNumId="99">
    <w:nsid w:val="57A61A29"/>
    <w:multiLevelType w:val="hybridMultilevel"/>
    <w:lvl w:ilvl="0">
      <w:lvlJc w:val="left"/>
      <w:lvlText w:val="%1."/>
      <w:numFmt w:val="decimal"/>
      <w:start w:val="14"/>
    </w:lvl>
  </w:abstractNum>
  <w:abstractNum w:abstractNumId="100">
    <w:nsid w:val="5399C654"/>
    <w:multiLevelType w:val="hybridMultilevel"/>
    <w:lvl w:ilvl="0">
      <w:lvlJc w:val="left"/>
      <w:lvlText w:val="%1."/>
      <w:numFmt w:val="decimal"/>
      <w:start w:val="1"/>
    </w:lvl>
    <w:lvl w:ilvl="1">
      <w:lvlJc w:val="left"/>
      <w:lvlText w:val="***"/>
      <w:numFmt w:val="bullet"/>
      <w:start w:val="1"/>
    </w:lvl>
  </w:abstractNum>
  <w:abstractNum w:abstractNumId="101">
    <w:nsid w:val="20EE1348"/>
    <w:multiLevelType w:val="hybridMultilevel"/>
    <w:lvl w:ilvl="0">
      <w:lvlJc w:val="left"/>
      <w:lvlText w:val="(%1)"/>
      <w:numFmt w:val="lowerLetter"/>
      <w:start w:val="2"/>
    </w:lvl>
  </w:abstractNum>
  <w:abstractNum w:abstractNumId="102">
    <w:nsid w:val="4427069A"/>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03">
    <w:nsid w:val="B37E80A"/>
    <w:multiLevelType w:val="hybridMultilevel"/>
    <w:lvl w:ilvl="0">
      <w:lvlJc w:val="left"/>
      <w:lvlText w:val="(%1)"/>
      <w:numFmt w:val="upperLetter"/>
      <w:start w:val="2"/>
    </w:lvl>
  </w:abstractNum>
  <w:abstractNum w:abstractNumId="104">
    <w:nsid w:val="2157F6BC"/>
    <w:multiLevelType w:val="hybridMultilevel"/>
    <w:lvl w:ilvl="0">
      <w:lvlJc w:val="left"/>
      <w:lvlText w:val="%1"/>
      <w:numFmt w:val="decimal"/>
      <w:start w:val="1"/>
    </w:lvl>
    <w:lvl w:ilvl="1">
      <w:lvlJc w:val="left"/>
      <w:lvlText w:val="(%2)"/>
      <w:numFmt w:val="lowerRoman"/>
      <w:start w:val="3"/>
    </w:lvl>
  </w:abstractNum>
  <w:abstractNum w:abstractNumId="105">
    <w:nsid w:val="704E1DD5"/>
    <w:multiLevelType w:val="hybridMultilevel"/>
    <w:lvl w:ilvl="0">
      <w:lvlJc w:val="left"/>
      <w:lvlText w:val="(%1)"/>
      <w:numFmt w:val="decimal"/>
      <w:start w:val="2"/>
    </w:lvl>
    <w:lvl w:ilvl="1">
      <w:lvlJc w:val="left"/>
      <w:lvlText w:val="%2"/>
      <w:numFmt w:val="lowerRoman"/>
      <w:start w:val="1"/>
    </w:lvl>
  </w:abstractNum>
  <w:abstractNum w:abstractNumId="106">
    <w:nsid w:val="57D2F10E"/>
    <w:multiLevelType w:val="hybridMultilevel"/>
    <w:lvl w:ilvl="0">
      <w:lvlJc w:val="left"/>
      <w:lvlText w:val="(%1)"/>
      <w:numFmt w:val="decimal"/>
      <w:start w:val="3"/>
    </w:lvl>
  </w:abstractNum>
  <w:abstractNum w:abstractNumId="107">
    <w:nsid w:val="BFFAE18"/>
    <w:multiLevelType w:val="hybridMultilevel"/>
    <w:lvl w:ilvl="0">
      <w:lvlJc w:val="left"/>
      <w:lvlText w:val="%1"/>
      <w:numFmt w:val="lowerLetter"/>
      <w:start w:val="1"/>
    </w:lvl>
    <w:lvl w:ilvl="1">
      <w:lvlJc w:val="left"/>
      <w:lvlText w:val="%2"/>
      <w:numFmt w:val="decimal"/>
      <w:start w:val="1"/>
    </w:lvl>
    <w:lvl w:ilvl="2">
      <w:lvlJc w:val="left"/>
      <w:lvlText w:val="(%3)"/>
      <w:numFmt w:val="decimal"/>
      <w:start w:val="4"/>
    </w:lvl>
    <w:lvl w:ilvl="3">
      <w:lvlJc w:val="left"/>
      <w:lvlText w:val="%4"/>
      <w:numFmt w:val="decimal"/>
      <w:start w:val="1"/>
    </w:lvl>
  </w:abstractNum>
  <w:abstractNum w:abstractNumId="108">
    <w:nsid w:val="E3E47A8"/>
    <w:multiLevelType w:val="hybridMultilevel"/>
    <w:lvl w:ilvl="0">
      <w:lvlJc w:val="left"/>
      <w:lvlText w:val="%1"/>
      <w:numFmt w:val="lowerLetter"/>
      <w:start w:val="1"/>
    </w:lvl>
    <w:lvl w:ilvl="1">
      <w:lvlJc w:val="left"/>
      <w:lvlText w:val="(%2)"/>
      <w:numFmt w:val="decimal"/>
      <w:start w:val="5"/>
    </w:lvl>
    <w:lvl w:ilvl="2">
      <w:lvlJc w:val="left"/>
      <w:lvlText w:val="%3"/>
      <w:numFmt w:val="decimal"/>
      <w:start w:val="1"/>
    </w:lvl>
    <w:lvl w:ilvl="3">
      <w:lvlJc w:val="left"/>
      <w:lvlText w:val="%4"/>
      <w:numFmt w:val="decimal"/>
      <w:start w:val="1"/>
    </w:lvl>
  </w:abstractNum>
  <w:abstractNum w:abstractNumId="109">
    <w:nsid w:val="2E48F044"/>
    <w:multiLevelType w:val="hybridMultilevel"/>
    <w:lvl w:ilvl="0">
      <w:lvlJc w:val="left"/>
      <w:lvlText w:val="(%1)"/>
      <w:numFmt w:val="lowerLetter"/>
      <w:start w:val="7"/>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10">
    <w:nsid w:val="49D0FEAC"/>
    <w:multiLevelType w:val="hybridMultilevel"/>
    <w:lvl w:ilvl="0">
      <w:lvlJc w:val="left"/>
      <w:lvlText w:val="☐"/>
      <w:numFmt w:val="bullet"/>
      <w:start w:val="1"/>
    </w:lvl>
  </w:abstractNum>
  <w:abstractNum w:abstractNumId="111">
    <w:nsid w:val="4BEE5A5B"/>
    <w:multiLevelType w:val="hybridMultilevel"/>
    <w:lvl w:ilvl="0">
      <w:lvlJc w:val="left"/>
      <w:lvlText w:val="☐"/>
      <w:numFmt w:val="bullet"/>
      <w:start w:val="1"/>
    </w:lvl>
  </w:abstractNum>
  <w:abstractNum w:abstractNumId="112">
    <w:nsid w:val="5551B9F3"/>
    <w:multiLevelType w:val="hybridMultilevel"/>
    <w:lvl w:ilvl="0">
      <w:lvlJc w:val="left"/>
      <w:lvlText w:val="%1."/>
      <w:numFmt w:val="decimal"/>
      <w:start w:val="12"/>
    </w:lvl>
  </w:abstractNum>
  <w:abstractNum w:abstractNumId="113">
    <w:nsid w:val="24F6AB8E"/>
    <w:multiLevelType w:val="hybridMultilevel"/>
    <w:lvl w:ilvl="0">
      <w:lvlJc w:val="left"/>
      <w:lvlText w:val="%1)"/>
      <w:numFmt w:val="decimal"/>
      <w:start w:val="1"/>
    </w:lvl>
  </w:abstractNum>
  <w:abstractNum w:abstractNumId="114">
    <w:nsid w:val="634C574C"/>
    <w:multiLevelType w:val="hybridMultilevel"/>
    <w:lvl w:ilvl="0">
      <w:lvlJc w:val="left"/>
      <w:lvlText w:val="%1."/>
      <w:numFmt w:val="decimal"/>
      <w:start w:val="1"/>
    </w:lvl>
  </w:abstractNum>
  <w:abstractNum w:abstractNumId="115">
    <w:nsid w:val="24E99DD7"/>
    <w:multiLevelType w:val="hybridMultilevel"/>
    <w:lvl w:ilvl="0">
      <w:lvlJc w:val="left"/>
      <w:lvlText w:val="%1."/>
      <w:numFmt w:val="decimal"/>
      <w:start w:val="2"/>
    </w:lvl>
  </w:abstractNum>
  <w:abstractNum w:abstractNumId="116">
    <w:nsid w:val="2A31B62D"/>
    <w:multiLevelType w:val="hybridMultilevel"/>
    <w:lvl w:ilvl="0">
      <w:lvlJc w:val="left"/>
      <w:lvlText w:val="%1."/>
      <w:numFmt w:val="decimal"/>
      <w:start w:val="3"/>
    </w:lvl>
  </w:abstractNum>
  <w:abstractNum w:abstractNumId="117">
    <w:nsid w:val="1849C29B"/>
    <w:multiLevelType w:val="hybridMultilevel"/>
    <w:lvl w:ilvl="0">
      <w:lvlJc w:val="left"/>
      <w:lvlText w:val="(%1)"/>
      <w:numFmt w:val="lowerLetter"/>
      <w:start w:val="2"/>
    </w:lvl>
  </w:abstractNum>
  <w:abstractNum w:abstractNumId="118">
    <w:nsid w:val="7DFF9D09"/>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119">
    <w:nsid w:val="754342"/>
    <w:multiLevelType w:val="hybridMultilevel"/>
    <w:lvl w:ilvl="0">
      <w:lvlJc w:val="left"/>
      <w:lvlText w:val="(%1)"/>
      <w:numFmt w:val="upperLetter"/>
      <w:start w:val="1"/>
    </w:lvl>
  </w:abstractNum>
  <w:abstractNum w:abstractNumId="120">
    <w:nsid w:val="69E7F3E5"/>
    <w:multiLevelType w:val="hybridMultilevel"/>
    <w:lvl w:ilvl="0">
      <w:lvlJc w:val="left"/>
      <w:lvlText w:val="%1"/>
      <w:numFmt w:val="decimal"/>
      <w:start w:val="1"/>
    </w:lvl>
    <w:lvl w:ilvl="1">
      <w:lvlJc w:val="left"/>
      <w:lvlText w:val="(%2)"/>
      <w:numFmt w:val="lowerRoman"/>
      <w:start w:val="3"/>
    </w:lvl>
  </w:abstractNum>
  <w:abstractNum w:abstractNumId="121">
    <w:nsid w:val="2A6DE806"/>
    <w:multiLevelType w:val="hybridMultilevel"/>
    <w:lvl w:ilvl="0">
      <w:lvlJc w:val="left"/>
      <w:lvlText w:val="(%1)"/>
      <w:numFmt w:val="decimal"/>
      <w:start w:val="2"/>
    </w:lvl>
    <w:lvl w:ilvl="1">
      <w:lvlJc w:val="left"/>
      <w:lvlText w:val="%2"/>
      <w:numFmt w:val="lowerRoman"/>
      <w:start w:val="1"/>
    </w:lvl>
  </w:abstractNum>
  <w:abstractNum w:abstractNumId="122">
    <w:nsid w:val="1816F8C4"/>
    <w:multiLevelType w:val="hybridMultilevel"/>
    <w:lvl w:ilvl="0">
      <w:lvlJc w:val="left"/>
      <w:lvlText w:val="(%1)"/>
      <w:numFmt w:val="decimal"/>
      <w:start w:val="3"/>
    </w:lvl>
  </w:abstractNum>
  <w:abstractNum w:abstractNumId="123">
    <w:nsid w:val="37DF2233"/>
    <w:multiLevelType w:val="hybridMultilevel"/>
    <w:lvl w:ilvl="0">
      <w:lvlJc w:val="left"/>
      <w:lvlText w:val="%1"/>
      <w:numFmt w:val="lowerLetter"/>
      <w:start w:val="1"/>
    </w:lvl>
    <w:lvl w:ilvl="1">
      <w:lvlJc w:val="left"/>
      <w:lvlText w:val="%2"/>
      <w:numFmt w:val="decimal"/>
      <w:start w:val="1"/>
    </w:lvl>
    <w:lvl w:ilvl="2">
      <w:lvlJc w:val="left"/>
      <w:lvlText w:val="(%3)"/>
      <w:numFmt w:val="decimal"/>
      <w:start w:val="4"/>
    </w:lvl>
    <w:lvl w:ilvl="3">
      <w:lvlJc w:val="left"/>
      <w:lvlText w:val="%4"/>
      <w:numFmt w:val="decimal"/>
      <w:start w:val="1"/>
    </w:lvl>
  </w:abstractNum>
  <w:abstractNum w:abstractNumId="124">
    <w:nsid w:val="7AB49DAF"/>
    <w:multiLevelType w:val="hybridMultilevel"/>
    <w:lvl w:ilvl="0">
      <w:lvlJc w:val="left"/>
      <w:lvlText w:val="%1"/>
      <w:numFmt w:val="lowerLetter"/>
      <w:start w:val="1"/>
    </w:lvl>
    <w:lvl w:ilvl="1">
      <w:lvlJc w:val="left"/>
      <w:lvlText w:val="(%2)"/>
      <w:numFmt w:val="decimal"/>
      <w:start w:val="5"/>
    </w:lvl>
    <w:lvl w:ilvl="2">
      <w:lvlJc w:val="left"/>
      <w:lvlText w:val="%3"/>
      <w:numFmt w:val="decimal"/>
      <w:start w:val="1"/>
    </w:lvl>
    <w:lvl w:ilvl="3">
      <w:lvlJc w:val="left"/>
      <w:lvlText w:val="%4"/>
      <w:numFmt w:val="decimal"/>
      <w:start w:val="1"/>
    </w:lvl>
  </w:abstractNum>
  <w:abstractNum w:abstractNumId="125">
    <w:nsid w:val="759F82CD"/>
    <w:multiLevelType w:val="hybridMultilevel"/>
    <w:lvl w:ilvl="0">
      <w:lvlJc w:val="left"/>
      <w:lvlText w:val="(%1)"/>
      <w:numFmt w:val="lowerLetter"/>
      <w:start w:val="7"/>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26">
    <w:nsid w:val="61E74EA3"/>
    <w:multiLevelType w:val="hybridMultilevel"/>
    <w:lvl w:ilvl="0">
      <w:lvlJc w:val="left"/>
      <w:lvlText w:val="%1."/>
      <w:numFmt w:val="decimal"/>
      <w:start w:val="1"/>
    </w:lvl>
  </w:abstractNum>
  <w:abstractNum w:abstractNumId="127">
    <w:nsid w:val="597B4D84"/>
    <w:multiLevelType w:val="hybridMultilevel"/>
    <w:lvl w:ilvl="0">
      <w:lvlJc w:val="left"/>
      <w:lvlText w:val="(%1)"/>
      <w:numFmt w:val="lowerLetter"/>
      <w:start w:val="1"/>
    </w:lvl>
  </w:abstractNum>
  <w:abstractNum w:abstractNumId="128">
    <w:nsid w:val="F819E7F"/>
    <w:multiLevelType w:val="hybridMultilevel"/>
    <w:lvl w:ilvl="0">
      <w:lvlJc w:val="left"/>
      <w:lvlText w:val="(%1)"/>
      <w:numFmt w:val="lowerLetter"/>
      <w:start w:val="2"/>
    </w:lvl>
  </w:abstractNum>
  <w:abstractNum w:abstractNumId="129">
    <w:nsid w:val="57C7D42D"/>
    <w:multiLevelType w:val="hybridMultilevel"/>
    <w:lvl w:ilvl="0">
      <w:lvlJc w:val="left"/>
      <w:lvlText w:val="%1."/>
      <w:numFmt w:val="lowerLetter"/>
      <w:start w:val="1"/>
    </w:lvl>
  </w:abstractNum>
  <w:abstractNum w:abstractNumId="130">
    <w:nsid w:val="312167AD"/>
    <w:multiLevelType w:val="hybridMultilevel"/>
    <w:lvl w:ilvl="0">
      <w:lvlJc w:val="left"/>
      <w:lvlText w:val="(%1)"/>
      <w:numFmt w:val="lowerLetter"/>
      <w:start w:val="1"/>
    </w:lvl>
    <w:lvl w:ilvl="1">
      <w:lvlJc w:val="left"/>
      <w:lvlText w:val="(%2)"/>
      <w:numFmt w:val="decimal"/>
      <w:start w:val="1"/>
    </w:lvl>
  </w:abstractNum>
  <w:abstractNum w:abstractNumId="131">
    <w:nsid w:val="631B64D4"/>
    <w:multiLevelType w:val="hybridMultilevel"/>
    <w:lvl w:ilvl="0">
      <w:lvlJc w:val="left"/>
      <w:lvlText w:val="%1"/>
      <w:numFmt w:val="upperLetter"/>
      <w:start w:val="1"/>
    </w:lvl>
    <w:lvl w:ilvl="1">
      <w:lvlJc w:val="left"/>
      <w:lvlText w:val="(%2)"/>
      <w:numFmt w:val="lowerRoman"/>
      <w:start w:val="1"/>
    </w:lvl>
  </w:abstractNum>
  <w:abstractNum w:abstractNumId="132">
    <w:nsid w:val="78B5E776"/>
    <w:multiLevelType w:val="hybridMultilevel"/>
    <w:lvl w:ilvl="0">
      <w:lvlJc w:val="left"/>
      <w:lvlText w:val="%1."/>
      <w:numFmt w:val="upperLetter"/>
      <w:start w:val="1"/>
    </w:lvl>
    <w:lvl w:ilvl="1">
      <w:lvlJc w:val="left"/>
      <w:lvlText w:val="%2"/>
      <w:numFmt w:val="lowerRoman"/>
      <w:start w:val="1"/>
    </w:lvl>
  </w:abstractNum>
  <w:abstractNum w:abstractNumId="133">
    <w:nsid w:val="75486E47"/>
    <w:multiLevelType w:val="hybridMultilevel"/>
    <w:lvl w:ilvl="0">
      <w:lvlJc w:val="left"/>
      <w:lvlText w:val="%1."/>
      <w:numFmt w:val="decimal"/>
      <w:start w:val="3"/>
    </w:lvl>
    <w:lvl w:ilvl="1">
      <w:lvlJc w:val="left"/>
      <w:lvlText w:val="%2"/>
      <w:numFmt w:val="decimal"/>
      <w:start w:val="1"/>
    </w:lvl>
  </w:abstractNum>
  <w:abstractNum w:abstractNumId="134">
    <w:nsid w:val="6E534CDE"/>
    <w:multiLevelType w:val="hybridMultilevel"/>
    <w:lvl w:ilvl="0">
      <w:lvlJc w:val="left"/>
      <w:lvlText w:val="%1."/>
      <w:numFmt w:val="decimal"/>
      <w:start w:val="1"/>
    </w:lvl>
    <w:lvl w:ilvl="1">
      <w:lvlJc w:val="left"/>
      <w:lvlText w:val="%2"/>
      <w:numFmt w:val="decimal"/>
      <w:start w:val="1"/>
    </w:lvl>
  </w:abstractNum>
  <w:abstractNum w:abstractNumId="135">
    <w:nsid w:val="1A0DDE32"/>
    <w:multiLevelType w:val="hybridMultilevel"/>
    <w:lvl w:ilvl="0">
      <w:lvlJc w:val="left"/>
      <w:lvlText w:val="%1."/>
      <w:numFmt w:val="lowerRoman"/>
      <w:start w:val="1"/>
    </w:lvl>
  </w:abstractNum>
  <w:abstractNum w:abstractNumId="136">
    <w:nsid w:val="65968C1C"/>
    <w:multiLevelType w:val="hybridMultilevel"/>
    <w:lvl w:ilvl="0">
      <w:lvlJc w:val="left"/>
      <w:lvlText w:val="%1"/>
      <w:numFmt w:val="lowerLetter"/>
      <w:start w:val="1"/>
    </w:lvl>
    <w:lvl w:ilvl="1">
      <w:lvlJc w:val="left"/>
      <w:lvlText w:val="%2."/>
      <w:numFmt w:val="lowerRoman"/>
      <w:start w:val="2"/>
    </w:lvl>
  </w:abstractNum>
  <w:abstractNum w:abstractNumId="137">
    <w:nsid w:val="46263DEC"/>
    <w:multiLevelType w:val="hybridMultilevel"/>
    <w:lvl w:ilvl="0">
      <w:lvlJc w:val="left"/>
      <w:lvlText w:val="(%1)"/>
      <w:numFmt w:val="lowerLetter"/>
      <w:start w:val="2"/>
    </w:lvl>
    <w:lvl w:ilvl="1">
      <w:lvlJc w:val="left"/>
      <w:lvlText w:val="%2"/>
      <w:numFmt w:val="lowerRoman"/>
      <w:start w:val="1"/>
    </w:lvl>
  </w:abstractNum>
  <w:abstractNum w:abstractNumId="138">
    <w:nsid w:val="260D8C4A"/>
    <w:multiLevelType w:val="hybridMultilevel"/>
    <w:lvl w:ilvl="0">
      <w:lvlJc w:val="left"/>
      <w:lvlText w:val="%1."/>
      <w:numFmt w:val="decimal"/>
      <w:start w:val="2"/>
    </w:lvl>
  </w:abstractNum>
  <w:abstractNum w:abstractNumId="139">
    <w:nsid w:val="73D4D3C4"/>
    <w:multiLevelType w:val="hybridMultilevel"/>
    <w:lvl w:ilvl="0">
      <w:lvlJc w:val="left"/>
      <w:lvlText w:val="(%1)"/>
      <w:numFmt w:val="lowerLetter"/>
      <w:start w:val="1"/>
    </w:lvl>
  </w:abstractNum>
  <w:abstractNum w:abstractNumId="140">
    <w:nsid w:val="746F2E30"/>
    <w:multiLevelType w:val="hybridMultilevel"/>
    <w:lvl w:ilvl="0">
      <w:lvlJc w:val="left"/>
      <w:lvlText w:val="%1."/>
      <w:numFmt w:val="decimal"/>
      <w:start w:val="3"/>
    </w:lvl>
  </w:abstractNum>
  <w:abstractNum w:abstractNumId="141">
    <w:nsid w:val="6FDE8AF6"/>
    <w:multiLevelType w:val="hybridMultilevel"/>
    <w:lvl w:ilvl="0">
      <w:lvlJc w:val="left"/>
      <w:lvlText w:val="%1."/>
      <w:numFmt w:val="decimal"/>
      <w:start w:val="4"/>
    </w:lvl>
    <w:lvl w:ilvl="1">
      <w:lvlJc w:val="left"/>
      <w:lvlText w:val="%2"/>
      <w:numFmt w:val="upperLetter"/>
      <w:start w:val="1"/>
    </w:lvl>
  </w:abstractNum>
  <w:abstractNum w:abstractNumId="142">
    <w:nsid w:val="3FC32E20"/>
    <w:multiLevelType w:val="hybridMultilevel"/>
    <w:lvl w:ilvl="0">
      <w:lvlJc w:val="left"/>
      <w:lvlText w:val="(%1)"/>
      <w:numFmt w:val="lowerLetter"/>
      <w:start w:val="24"/>
    </w:lvl>
  </w:abstractNum>
  <w:abstractNum w:abstractNumId="143">
    <w:nsid w:val="49C0E823"/>
    <w:multiLevelType w:val="hybridMultilevel"/>
    <w:lvl w:ilvl="0">
      <w:lvlJc w:val="left"/>
      <w:lvlText w:val="%1."/>
      <w:numFmt w:val="upperLetter"/>
      <w:start w:val="2"/>
    </w:lvl>
    <w:lvl w:ilvl="1">
      <w:lvlJc w:val="left"/>
      <w:lvlText w:val="***"/>
      <w:numFmt w:val="bullet"/>
      <w:start w:val="1"/>
    </w:lvl>
  </w:abstractNum>
  <w:abstractNum w:abstractNumId="144">
    <w:nsid w:val="14D53685"/>
    <w:multiLevelType w:val="hybridMultilevel"/>
    <w:lvl w:ilvl="0">
      <w:lvlJc w:val="left"/>
      <w:lvlText w:val="☐"/>
      <w:numFmt w:val="bullet"/>
      <w:start w:val="1"/>
    </w:lvl>
    <w:lvl w:ilvl="1">
      <w:lvlJc w:val="left"/>
      <w:lvlText w:val="☐"/>
      <w:numFmt w:val="bullet"/>
      <w:start w:val="1"/>
    </w:lvl>
  </w:abstractNum>
  <w:abstractNum w:abstractNumId="145">
    <w:nsid w:val="230F856C"/>
    <w:multiLevelType w:val="hybridMultilevel"/>
    <w:lvl w:ilvl="0">
      <w:lvlJc w:val="left"/>
      <w:lvlText w:val="%1."/>
      <w:numFmt w:val="decimal"/>
      <w:start w:val="12"/>
    </w:lvl>
    <w:lvl w:ilvl="1">
      <w:lvlJc w:val="left"/>
      <w:lvlText w:val="%2."/>
      <w:numFmt w:val="upperLetter"/>
    </w:lvl>
    <w:lvl w:ilvl="2">
      <w:lvlJc w:val="left"/>
      <w:lvlText w:val="%3."/>
      <w:numFmt w:val="decimal"/>
      <w:start w:val="13"/>
    </w:lvl>
  </w:abstractNum>
  <w:abstractNum w:abstractNumId="146">
    <w:nsid w:val="6EAA85FB"/>
    <w:multiLevelType w:val="hybridMultilevel"/>
    <w:lvl w:ilvl="0">
      <w:lvlJc w:val="left"/>
      <w:lvlText w:val="☒"/>
      <w:numFmt w:val="bullet"/>
      <w:start w:val="1"/>
    </w:lvl>
  </w:abstractNum>
  <w:abstractNum w:abstractNumId="147">
    <w:nsid w:val="3F06ECB2"/>
    <w:multiLevelType w:val="hybridMultilevel"/>
    <w:lvl w:ilvl="0">
      <w:lvlJc w:val="left"/>
      <w:lvlText w:val="%1)"/>
      <w:numFmt w:val="decimal"/>
      <w:start w:val="1"/>
    </w:lvl>
    <w:lvl w:ilvl="1">
      <w:lvlJc w:val="left"/>
      <w:lvlText w:val="***"/>
      <w:numFmt w:val="bullet"/>
      <w:start w:val="1"/>
    </w:lvl>
  </w:abstractNum>
  <w:abstractNum w:abstractNumId="148">
    <w:nsid w:val="3B594807"/>
    <w:multiLevelType w:val="hybridMultilevel"/>
    <w:lvl w:ilvl="0">
      <w:lvlJc w:val="left"/>
      <w:lvlText w:val="(%1)"/>
      <w:numFmt w:val="lowerLetter"/>
      <w:start w:val="2"/>
    </w:lvl>
  </w:abstractNum>
  <w:abstractNum w:abstractNumId="149">
    <w:nsid w:val="6CAA2304"/>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50">
    <w:nsid w:val="3F7C2FF4"/>
    <w:multiLevelType w:val="hybridMultilevel"/>
    <w:lvl w:ilvl="0">
      <w:lvlJc w:val="left"/>
      <w:lvlText w:val="(%1)"/>
      <w:numFmt w:val="upperLetter"/>
      <w:start w:val="2"/>
    </w:lvl>
  </w:abstractNum>
  <w:abstractNum w:abstractNumId="151">
    <w:nsid w:val="25413BEC"/>
    <w:multiLevelType w:val="hybridMultilevel"/>
    <w:lvl w:ilvl="0">
      <w:lvlJc w:val="left"/>
      <w:lvlText w:val="%1"/>
      <w:numFmt w:val="decimal"/>
      <w:start w:val="1"/>
    </w:lvl>
    <w:lvl w:ilvl="1">
      <w:lvlJc w:val="left"/>
      <w:lvlText w:val="(%2)"/>
      <w:numFmt w:val="lowerRoman"/>
      <w:start w:val="3"/>
    </w:lvl>
  </w:abstractNum>
  <w:abstractNum w:abstractNumId="152">
    <w:nsid w:val="17180B0B"/>
    <w:multiLevelType w:val="hybridMultilevel"/>
    <w:lvl w:ilvl="0">
      <w:lvlJc w:val="left"/>
      <w:lvlText w:val="(%1)"/>
      <w:numFmt w:val="decimal"/>
      <w:start w:val="2"/>
    </w:lvl>
    <w:lvl w:ilvl="1">
      <w:lvlJc w:val="left"/>
      <w:lvlText w:val="%2"/>
      <w:numFmt w:val="lowerRoman"/>
      <w:start w:val="1"/>
    </w:lvl>
  </w:abstractNum>
  <w:abstractNum w:abstractNumId="153">
    <w:nsid w:val="579328B9"/>
    <w:multiLevelType w:val="hybridMultilevel"/>
    <w:lvl w:ilvl="0">
      <w:lvlJc w:val="left"/>
      <w:lvlText w:val="(%1)"/>
      <w:numFmt w:val="decimal"/>
      <w:start w:val="3"/>
    </w:lvl>
  </w:abstractNum>
  <w:abstractNum w:abstractNumId="154">
    <w:nsid w:val="5D205E20"/>
    <w:multiLevelType w:val="hybridMultilevel"/>
    <w:lvl w:ilvl="0">
      <w:lvlJc w:val="left"/>
      <w:lvlText w:val="%1"/>
      <w:numFmt w:val="lowerLetter"/>
      <w:start w:val="1"/>
    </w:lvl>
    <w:lvl w:ilvl="1">
      <w:lvlJc w:val="left"/>
      <w:lvlText w:val="(%2)"/>
      <w:numFmt w:val="decimal"/>
      <w:start w:val="4"/>
    </w:lvl>
    <w:lvl w:ilvl="2">
      <w:lvlJc w:val="left"/>
      <w:lvlText w:val="%3"/>
      <w:numFmt w:val="decimal"/>
      <w:start w:val="1"/>
    </w:lvl>
  </w:abstractNum>
  <w:abstractNum w:abstractNumId="155">
    <w:nsid w:val="11CCA8BA"/>
    <w:multiLevelType w:val="hybridMultilevel"/>
    <w:lvl w:ilvl="0">
      <w:lvlJc w:val="left"/>
      <w:lvlText w:val="(%1)"/>
      <w:numFmt w:val="lowerLetter"/>
      <w:start w:val="7"/>
    </w:lvl>
    <w:lvl w:ilvl="1">
      <w:lvlJc w:val="left"/>
      <w:lvlText w:val="%2"/>
      <w:numFmt w:val="decimal"/>
      <w:start w:val="1"/>
    </w:lvl>
    <w:lvl w:ilvl="2">
      <w:lvlJc w:val="left"/>
      <w:lvlText w:val="(%3)"/>
      <w:numFmt w:val="decimal"/>
      <w:start w:val="1"/>
    </w:lvl>
  </w:abstractNum>
  <w:abstractNum w:abstractNumId="156">
    <w:nsid w:val="4D32AB86"/>
    <w:multiLevelType w:val="hybridMultilevel"/>
    <w:lvl w:ilvl="0">
      <w:lvlJc w:val="left"/>
      <w:lvlText w:val="☐"/>
      <w:numFmt w:val="bullet"/>
      <w:start w:val="1"/>
    </w:lvl>
    <w:lvl w:ilvl="1">
      <w:lvlJc w:val="left"/>
      <w:lvlText w:val="☐"/>
      <w:numFmt w:val="bullet"/>
      <w:start w:val="1"/>
    </w:lvl>
    <w:lvl w:ilvl="2">
      <w:lvlJc w:val="left"/>
      <w:lvlText w:val="%3."/>
      <w:numFmt w:val="decimal"/>
      <w:start w:val="11"/>
    </w:lvl>
  </w:abstractNum>
  <w:abstractNum w:abstractNumId="157">
    <w:nsid w:val="3F07ACC3"/>
    <w:multiLevelType w:val="hybridMultilevel"/>
    <w:lvl w:ilvl="0">
      <w:lvlJc w:val="left"/>
      <w:lvlText w:val="%1."/>
      <w:numFmt w:val="decimal"/>
      <w:start w:val="12"/>
    </w:lvl>
    <w:lvl w:ilvl="1">
      <w:lvlJc w:val="left"/>
      <w:lvlText w:val="☐"/>
      <w:numFmt w:val="bullet"/>
      <w:start w:val="1"/>
    </w:lvl>
    <w:lvl w:ilvl="2">
      <w:lvlJc w:val="left"/>
      <w:lvlText w:val="%3."/>
      <w:numFmt w:val="decimal"/>
      <w:start w:val="13"/>
    </w:lvl>
  </w:abstractNum>
  <w:abstractNum w:abstractNumId="158">
    <w:nsid w:val="6B47F63E"/>
    <w:multiLevelType w:val="hybridMultilevel"/>
    <w:lvl w:ilvl="0">
      <w:lvlJc w:val="left"/>
      <w:lvlText w:val="%1"/>
      <w:numFmt w:val="upperLetter"/>
      <w:start w:val="1"/>
    </w:lvl>
    <w:lvl w:ilvl="1">
      <w:lvlJc w:val="left"/>
      <w:lvlText w:val="%2."/>
      <w:numFmt w:val="decimal"/>
      <w:start w:val="13"/>
    </w:lvl>
    <w:lvl w:ilvl="2">
      <w:lvlJc w:val="left"/>
      <w:lvlText w:val="☐"/>
      <w:numFmt w:val="bullet"/>
      <w:start w:val="1"/>
    </w:lvl>
  </w:abstractNum>
  <w:abstractNum w:abstractNumId="159">
    <w:nsid w:val="5CB44A05"/>
    <w:multiLevelType w:val="hybridMultilevel"/>
    <w:lvl w:ilvl="0">
      <w:lvlJc w:val="left"/>
      <w:lvlText w:val="%1."/>
      <w:numFmt w:val="decimal"/>
      <w:start w:val="1"/>
    </w:lvl>
    <w:lvl w:ilvl="1">
      <w:lvlJc w:val="left"/>
      <w:lvlText w:val="%2)"/>
      <w:numFmt w:val="lowerLetter"/>
      <w:start w:val="1"/>
    </w:lvl>
  </w:abstractNum>
  <w:abstractNum w:abstractNumId="160">
    <w:nsid w:val="16CF80F1"/>
    <w:multiLevelType w:val="hybridMultilevel"/>
    <w:lvl w:ilvl="0">
      <w:lvlJc w:val="left"/>
      <w:lvlText w:val="%1."/>
      <w:numFmt w:val="decimal"/>
      <w:start w:val="1"/>
    </w:lvl>
    <w:lvl w:ilvl="1">
      <w:lvlJc w:val="left"/>
      <w:lvlText w:val="%2)"/>
      <w:numFmt w:val="lowerLetter"/>
      <w:start w:val="1"/>
    </w:lvl>
  </w:abstractNum>
  <w:abstractNum w:abstractNumId="161">
    <w:nsid w:val="1C695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2022-11-03T06:32:06Z</dcterms:created>
  <dcterms:modified xsi:type="dcterms:W3CDTF">2022-11-03T06:32:06Z</dcterms:modified>
</cp:coreProperties>
</file>