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91440</wp:posOffset>
            </wp:positionV>
            <wp:extent cx="917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3169285</wp:posOffset>
            </wp:positionH>
            <wp:positionV relativeFrom="paragraph">
              <wp:posOffset>28575</wp:posOffset>
            </wp:positionV>
            <wp:extent cx="9175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4"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500" w:right="3020" w:hanging="465"/>
        <w:spacing w:after="0" w:line="386" w:lineRule="auto"/>
        <w:tabs>
          <w:tab w:leader="none" w:pos="5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16"/>
          <w:szCs w:val="16"/>
          <w:b w:val="1"/>
          <w:bCs w:val="1"/>
          <w:u w:val="single" w:color="auto"/>
          <w:color w:val="auto"/>
        </w:rPr>
        <w:t>December 31, 2015</w:t>
      </w:r>
    </w:p>
    <w:p>
      <w:pPr>
        <w:spacing w:after="0" w:line="205" w:lineRule="exact"/>
        <w:rPr>
          <w:sz w:val="24"/>
          <w:szCs w:val="24"/>
          <w:color w:val="auto"/>
        </w:rPr>
      </w:pPr>
    </w:p>
    <w:p>
      <w:pPr>
        <w:ind w:left="120" w:hanging="85"/>
        <w:spacing w:after="0"/>
        <w:tabs>
          <w:tab w:leader="none" w:pos="120" w:val="left"/>
        </w:tabs>
        <w:numPr>
          <w:ilvl w:val="0"/>
          <w:numId w:val="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b w:val="1"/>
          <w:bCs w:val="1"/>
          <w:color w:val="auto"/>
        </w:rPr>
        <w:t>For the transition period from __________ to 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0-19034</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REGENERON PHARMACEUTICALS,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32" w:lineRule="exact"/>
        <w:rPr>
          <w:sz w:val="24"/>
          <w:szCs w:val="24"/>
          <w:color w:val="auto"/>
        </w:rPr>
      </w:pPr>
    </w:p>
    <w:tbl>
      <w:tblPr>
        <w:tblLayout w:type="fixed"/>
        <w:tblInd w:w="100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New York</w:t>
            </w:r>
          </w:p>
        </w:tc>
        <w:tc>
          <w:tcPr>
            <w:tcW w:w="2720" w:type="dxa"/>
            <w:vAlign w:val="bottom"/>
            <w:gridSpan w:val="2"/>
          </w:tcPr>
          <w:p>
            <w:pPr>
              <w:spacing w:after="0"/>
              <w:rPr>
                <w:sz w:val="17"/>
                <w:szCs w:val="17"/>
                <w:color w:val="auto"/>
              </w:rPr>
            </w:pPr>
          </w:p>
        </w:tc>
        <w:tc>
          <w:tcPr>
            <w:tcW w:w="180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13-3444607</w:t>
            </w:r>
          </w:p>
        </w:tc>
        <w:tc>
          <w:tcPr>
            <w:tcW w:w="720" w:type="dxa"/>
            <w:vAlign w:val="bottom"/>
          </w:tcPr>
          <w:p>
            <w:pPr>
              <w:spacing w:after="0"/>
              <w:rPr>
                <w:sz w:val="17"/>
                <w:szCs w:val="17"/>
                <w:color w:val="auto"/>
              </w:rPr>
            </w:pPr>
          </w:p>
        </w:tc>
      </w:tr>
      <w:tr>
        <w:trPr>
          <w:trHeight w:val="285"/>
        </w:trPr>
        <w:tc>
          <w:tcPr>
            <w:tcW w:w="5120" w:type="dxa"/>
            <w:vAlign w:val="bottom"/>
            <w:gridSpan w:val="4"/>
          </w:tcPr>
          <w:p>
            <w:pPr>
              <w:jc w:val="center"/>
              <w:ind w:right="110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400" w:type="dxa"/>
            <w:vAlign w:val="bottom"/>
            <w:gridSpan w:val="3"/>
          </w:tcPr>
          <w:p>
            <w:pPr>
              <w:jc w:val="center"/>
              <w:ind w:left="994"/>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36"/>
        </w:trPr>
        <w:tc>
          <w:tcPr>
            <w:tcW w:w="5120" w:type="dxa"/>
            <w:vAlign w:val="bottom"/>
            <w:gridSpan w:val="4"/>
          </w:tcPr>
          <w:p>
            <w:pPr>
              <w:jc w:val="center"/>
              <w:ind w:right="110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3400" w:type="dxa"/>
            <w:vAlign w:val="bottom"/>
            <w:gridSpan w:val="3"/>
          </w:tcPr>
          <w:p>
            <w:pPr>
              <w:jc w:val="center"/>
              <w:ind w:left="994"/>
              <w:spacing w:after="0"/>
              <w:rPr>
                <w:sz w:val="20"/>
                <w:szCs w:val="20"/>
                <w:color w:val="auto"/>
              </w:rPr>
            </w:pPr>
            <w:r>
              <w:rPr>
                <w:rFonts w:ascii="Arial" w:cs="Arial" w:eastAsia="Arial" w:hAnsi="Arial"/>
                <w:sz w:val="18"/>
                <w:szCs w:val="18"/>
                <w:b w:val="1"/>
                <w:bCs w:val="1"/>
                <w:color w:val="auto"/>
                <w:w w:val="91"/>
              </w:rPr>
              <w:t>10591-6707</w:t>
            </w:r>
          </w:p>
        </w:tc>
      </w:tr>
      <w:tr>
        <w:trPr>
          <w:trHeight w:val="285"/>
        </w:trPr>
        <w:tc>
          <w:tcPr>
            <w:tcW w:w="402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i w:val="1"/>
                <w:iCs w:val="1"/>
                <w:color w:val="auto"/>
                <w:w w:val="95"/>
              </w:rPr>
              <w:t>(Zip Code)</w:t>
            </w:r>
          </w:p>
        </w:tc>
        <w:tc>
          <w:tcPr>
            <w:tcW w:w="720" w:type="dxa"/>
            <w:vAlign w:val="bottom"/>
          </w:tcPr>
          <w:p>
            <w:pPr>
              <w:spacing w:after="0"/>
              <w:rPr>
                <w:sz w:val="24"/>
                <w:szCs w:val="24"/>
                <w:color w:val="auto"/>
              </w:rPr>
            </w:pPr>
          </w:p>
        </w:tc>
      </w:tr>
    </w:tbl>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847-7000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2320" w:type="dxa"/>
            <w:vAlign w:val="bottom"/>
          </w:tcPr>
          <w:p>
            <w:pPr>
              <w:spacing w:after="0"/>
              <w:rPr>
                <w:sz w:val="17"/>
                <w:szCs w:val="17"/>
                <w:color w:val="auto"/>
              </w:rPr>
            </w:pPr>
          </w:p>
        </w:tc>
        <w:tc>
          <w:tcPr>
            <w:tcW w:w="4420" w:type="dxa"/>
            <w:vAlign w:val="bottom"/>
            <w:gridSpan w:val="2"/>
          </w:tcPr>
          <w:p>
            <w:pPr>
              <w:jc w:val="center"/>
              <w:ind w:right="3120"/>
              <w:spacing w:after="0"/>
              <w:rPr>
                <w:sz w:val="20"/>
                <w:szCs w:val="20"/>
                <w:color w:val="auto"/>
              </w:rPr>
            </w:pPr>
            <w:r>
              <w:rPr>
                <w:rFonts w:ascii="Arial" w:cs="Arial" w:eastAsia="Arial" w:hAnsi="Arial"/>
                <w:sz w:val="18"/>
                <w:szCs w:val="18"/>
                <w:i w:val="1"/>
                <w:iCs w:val="1"/>
                <w:color w:val="auto"/>
                <w:w w:val="90"/>
              </w:rPr>
              <w:t>Title of each class</w:t>
            </w:r>
          </w:p>
        </w:tc>
        <w:tc>
          <w:tcPr>
            <w:tcW w:w="3760" w:type="dxa"/>
            <w:vAlign w:val="bottom"/>
            <w:gridSpan w:val="2"/>
          </w:tcPr>
          <w:p>
            <w:pPr>
              <w:jc w:val="center"/>
              <w:ind w:right="600"/>
              <w:spacing w:after="0"/>
              <w:rPr>
                <w:sz w:val="20"/>
                <w:szCs w:val="20"/>
                <w:color w:val="auto"/>
              </w:rPr>
            </w:pPr>
            <w:r>
              <w:rPr>
                <w:rFonts w:ascii="Arial" w:cs="Arial" w:eastAsia="Arial" w:hAnsi="Arial"/>
                <w:sz w:val="18"/>
                <w:szCs w:val="18"/>
                <w:i w:val="1"/>
                <w:iCs w:val="1"/>
                <w:color w:val="auto"/>
                <w:w w:val="88"/>
              </w:rPr>
              <w:t>Name of each exchange on which registered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3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67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Common Stock - par value $.001 per share</w:t>
            </w:r>
          </w:p>
        </w:tc>
        <w:tc>
          <w:tcPr>
            <w:tcW w:w="376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3"/>
              </w:rPr>
              <w:t>NASDAQ Global Select Market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2320" w:type="dxa"/>
            <w:vAlign w:val="bottom"/>
          </w:tcPr>
          <w:p>
            <w:pPr>
              <w:spacing w:after="0"/>
              <w:rPr>
                <w:sz w:val="24"/>
                <w:szCs w:val="24"/>
                <w:color w:val="auto"/>
              </w:rPr>
            </w:pPr>
          </w:p>
        </w:tc>
        <w:tc>
          <w:tcPr>
            <w:tcW w:w="8180" w:type="dxa"/>
            <w:vAlign w:val="bottom"/>
            <w:gridSpan w:val="4"/>
          </w:tcPr>
          <w:p>
            <w:pPr>
              <w:ind w:left="9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674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24"/>
                <w:szCs w:val="24"/>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color w:val="auto"/>
                <w:w w:val="96"/>
              </w:rPr>
              <w:t>No</w:t>
            </w:r>
          </w:p>
        </w:tc>
        <w:tc>
          <w:tcPr>
            <w:tcW w:w="100" w:type="dxa"/>
            <w:vAlign w:val="bottom"/>
            <w:tcBorders>
              <w:bottom w:val="single" w:sz="8" w:color="auto"/>
            </w:tcBorders>
          </w:tcPr>
          <w:p>
            <w:pPr>
              <w:spacing w:after="0"/>
              <w:rPr>
                <w:sz w:val="24"/>
                <w:szCs w:val="24"/>
                <w:color w:val="auto"/>
              </w:rPr>
            </w:pPr>
          </w:p>
        </w:tc>
      </w:tr>
      <w:tr>
        <w:trPr>
          <w:trHeight w:val="399"/>
        </w:trPr>
        <w:tc>
          <w:tcPr>
            <w:tcW w:w="6740" w:type="dxa"/>
            <w:vAlign w:val="bottom"/>
            <w:gridSpan w:val="3"/>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15(d) of the Act.</w:t>
            </w:r>
          </w:p>
        </w:tc>
        <w:tc>
          <w:tcPr>
            <w:tcW w:w="3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gridSpan w:val="3"/>
          </w:tcPr>
          <w:p>
            <w:pPr>
              <w:ind w:left="20"/>
              <w:spacing w:after="0"/>
              <w:rPr>
                <w:sz w:val="20"/>
                <w:szCs w:val="20"/>
                <w:color w:val="auto"/>
              </w:rPr>
            </w:pPr>
            <w:r>
              <w:rPr>
                <w:rFonts w:ascii="Arial" w:cs="Arial" w:eastAsia="Arial" w:hAnsi="Arial"/>
                <w:sz w:val="13"/>
                <w:szCs w:val="13"/>
                <w:color w:val="auto"/>
              </w:rPr>
              <w:t>No a</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89"/>
              </w:rPr>
              <w:t>Indicate by check mark whether the registrant: (1) has filed all reports required to be filed by Section 13 or 15(d) of the Securities Exchange Act of 1934 during the preceding 12 months (or for such shorter</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6740" w:type="dxa"/>
            <w:vAlign w:val="bottom"/>
            <w:gridSpan w:val="3"/>
          </w:tcPr>
          <w:p>
            <w:pPr>
              <w:spacing w:after="0"/>
              <w:rPr>
                <w:sz w:val="20"/>
                <w:szCs w:val="20"/>
                <w:color w:val="auto"/>
              </w:rPr>
            </w:pPr>
            <w:r>
              <w:rPr>
                <w:rFonts w:ascii="Arial" w:cs="Arial" w:eastAsia="Arial" w:hAnsi="Arial"/>
                <w:sz w:val="13"/>
                <w:szCs w:val="13"/>
                <w:color w:val="auto"/>
                <w:w w:val="88"/>
              </w:rPr>
              <w:t>period that the registrant was required to file such reports), and (2) has been subject to such filing requirements for the past 90 days.</w:t>
            </w:r>
          </w:p>
        </w:tc>
        <w:tc>
          <w:tcPr>
            <w:tcW w:w="3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Arial" w:cs="Arial" w:eastAsia="Arial" w:hAnsi="Arial"/>
                <w:sz w:val="13"/>
                <w:szCs w:val="13"/>
                <w:color w:val="auto"/>
              </w:rPr>
              <w:t>No</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88"/>
              </w:rPr>
              <w:t>Indicate by check mark whether the registrant has submitted electronically and posted on its corporate Web site, if any, every Interactive Data File required to be submitted and posted pursuant to Rule 405 of</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10500" w:type="dxa"/>
            <w:vAlign w:val="bottom"/>
            <w:gridSpan w:val="5"/>
          </w:tcPr>
          <w:p>
            <w:pPr>
              <w:spacing w:after="0"/>
              <w:rPr>
                <w:sz w:val="20"/>
                <w:szCs w:val="20"/>
                <w:color w:val="auto"/>
              </w:rPr>
            </w:pPr>
            <w:r>
              <w:rPr>
                <w:rFonts w:ascii="Arial" w:cs="Arial" w:eastAsia="Arial" w:hAnsi="Arial"/>
                <w:sz w:val="13"/>
                <w:szCs w:val="13"/>
                <w:color w:val="auto"/>
              </w:rPr>
              <w:t>Regulation S-T (§232.405 of this chapter) during the preceding 12 months (or for such shorter period that the registrant was required to submit and post such files).</w:t>
            </w: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120" w:type="dxa"/>
            <w:vAlign w:val="bottom"/>
            <w:gridSpan w:val="2"/>
          </w:tcPr>
          <w:p>
            <w:pPr>
              <w:ind w:left="20"/>
              <w:spacing w:after="0"/>
              <w:rPr>
                <w:sz w:val="20"/>
                <w:szCs w:val="20"/>
                <w:color w:val="auto"/>
              </w:rPr>
            </w:pPr>
            <w:r>
              <w:rPr>
                <w:rFonts w:ascii="Arial" w:cs="Arial" w:eastAsia="Arial" w:hAnsi="Arial"/>
                <w:sz w:val="13"/>
                <w:szCs w:val="13"/>
                <w:color w:val="auto"/>
              </w:rPr>
              <w:t>a</w:t>
            </w:r>
          </w:p>
        </w:tc>
        <w:tc>
          <w:tcPr>
            <w:tcW w:w="120" w:type="dxa"/>
            <w:vAlign w:val="bottom"/>
          </w:tcPr>
          <w:p>
            <w:pPr>
              <w:spacing w:after="0"/>
              <w:rPr>
                <w:sz w:val="14"/>
                <w:szCs w:val="14"/>
                <w:color w:val="auto"/>
              </w:rPr>
            </w:pPr>
          </w:p>
        </w:tc>
        <w:tc>
          <w:tcPr>
            <w:tcW w:w="320" w:type="dxa"/>
            <w:vAlign w:val="bottom"/>
            <w:gridSpan w:val="3"/>
          </w:tcPr>
          <w:p>
            <w:pPr>
              <w:ind w:left="40"/>
              <w:spacing w:after="0"/>
              <w:rPr>
                <w:sz w:val="20"/>
                <w:szCs w:val="20"/>
                <w:color w:val="auto"/>
              </w:rPr>
            </w:pPr>
            <w:r>
              <w:rPr>
                <w:rFonts w:ascii="Arial" w:cs="Arial" w:eastAsia="Arial" w:hAnsi="Arial"/>
                <w:sz w:val="13"/>
                <w:szCs w:val="13"/>
                <w:color w:val="auto"/>
              </w:rPr>
              <w:t>No</w:t>
            </w:r>
          </w:p>
        </w:tc>
      </w:tr>
      <w:tr>
        <w:trPr>
          <w:trHeight w:val="283"/>
        </w:trPr>
        <w:tc>
          <w:tcPr>
            <w:tcW w:w="10500" w:type="dxa"/>
            <w:vAlign w:val="bottom"/>
            <w:gridSpan w:val="5"/>
          </w:tcPr>
          <w:p>
            <w:pPr>
              <w:spacing w:after="0"/>
              <w:rPr>
                <w:sz w:val="20"/>
                <w:szCs w:val="20"/>
                <w:color w:val="auto"/>
              </w:rPr>
            </w:pPr>
            <w:r>
              <w:rPr>
                <w:rFonts w:ascii="Arial" w:cs="Arial" w:eastAsia="Arial" w:hAnsi="Arial"/>
                <w:sz w:val="13"/>
                <w:szCs w:val="13"/>
                <w:color w:val="auto"/>
                <w:w w:val="92"/>
              </w:rPr>
              <w:t>Indicate by check mark if disclosure of delinquent filers pursuant to Item 405 of Regulation S-K (§232.405 of this chapter) is not contained herein, and will not be contained, to the best of registrant's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170"/>
        </w:trPr>
        <w:tc>
          <w:tcPr>
            <w:tcW w:w="10500" w:type="dxa"/>
            <w:vAlign w:val="bottom"/>
            <w:gridSpan w:val="5"/>
          </w:tcPr>
          <w:p>
            <w:pPr>
              <w:spacing w:after="0"/>
              <w:rPr>
                <w:sz w:val="20"/>
                <w:szCs w:val="20"/>
                <w:color w:val="auto"/>
              </w:rPr>
            </w:pPr>
            <w:r>
              <w:rPr>
                <w:rFonts w:ascii="Arial" w:cs="Arial" w:eastAsia="Arial" w:hAnsi="Arial"/>
                <w:sz w:val="13"/>
                <w:szCs w:val="13"/>
                <w:color w:val="auto"/>
              </w:rPr>
              <w:t>knowledge, in definitive proxy or information statements incorporated by reference in Part III of this Form 10-K or any amendment to this form 10-K.</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a</w:t>
            </w:r>
          </w:p>
        </w:tc>
        <w:tc>
          <w:tcPr>
            <w:tcW w:w="320" w:type="dxa"/>
            <w:vAlign w:val="bottom"/>
            <w:gridSpan w:val="3"/>
          </w:tcPr>
          <w:p>
            <w:pPr>
              <w:spacing w:after="0"/>
              <w:rPr>
                <w:sz w:val="14"/>
                <w:szCs w:val="14"/>
                <w:color w:val="auto"/>
              </w:rPr>
            </w:pPr>
          </w:p>
        </w:tc>
      </w:tr>
    </w:tbl>
    <w:p>
      <w:pPr>
        <w:spacing w:after="0" w:line="148" w:lineRule="exact"/>
        <w:rPr>
          <w:sz w:val="24"/>
          <w:szCs w:val="24"/>
          <w:color w:val="auto"/>
        </w:rPr>
      </w:pPr>
    </w:p>
    <w:p>
      <w:pPr>
        <w:ind w:left="40" w:right="360"/>
        <w:spacing w:after="0" w:line="23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1120" w:type="dxa"/>
            <w:vAlign w:val="bottom"/>
          </w:tcPr>
          <w:p>
            <w:pPr>
              <w:jc w:val="right"/>
              <w:spacing w:after="0"/>
              <w:rPr>
                <w:sz w:val="20"/>
                <w:szCs w:val="20"/>
                <w:color w:val="auto"/>
              </w:rPr>
            </w:pPr>
            <w:r>
              <w:rPr>
                <w:rFonts w:ascii="Arial" w:cs="Arial" w:eastAsia="Arial" w:hAnsi="Arial"/>
                <w:sz w:val="13"/>
                <w:szCs w:val="13"/>
                <w:color w:val="auto"/>
              </w:rPr>
              <w:t>Large accelerated</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0"/>
        </w:trPr>
        <w:tc>
          <w:tcPr>
            <w:tcW w:w="1120" w:type="dxa"/>
            <w:vAlign w:val="bottom"/>
          </w:tcPr>
          <w:p>
            <w:pPr>
              <w:jc w:val="right"/>
              <w:spacing w:after="0"/>
              <w:rPr>
                <w:sz w:val="20"/>
                <w:szCs w:val="20"/>
                <w:color w:val="auto"/>
              </w:rPr>
            </w:pPr>
            <w:r>
              <w:rPr>
                <w:rFonts w:ascii="Arial" w:cs="Arial" w:eastAsia="Arial" w:hAnsi="Arial"/>
                <w:sz w:val="13"/>
                <w:szCs w:val="13"/>
                <w:color w:val="auto"/>
              </w:rPr>
              <w:t>filer</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p>
        </w:tc>
        <w:tc>
          <w:tcPr>
            <w:tcW w:w="1140" w:type="dxa"/>
            <w:vAlign w:val="bottom"/>
          </w:tcPr>
          <w:p>
            <w:pPr>
              <w:ind w:left="260"/>
              <w:spacing w:after="0"/>
              <w:rPr>
                <w:sz w:val="20"/>
                <w:szCs w:val="20"/>
                <w:color w:val="auto"/>
              </w:rPr>
            </w:pPr>
            <w:r>
              <w:rPr>
                <w:rFonts w:ascii="Arial" w:cs="Arial" w:eastAsia="Arial" w:hAnsi="Arial"/>
                <w:sz w:val="13"/>
                <w:szCs w:val="13"/>
                <w:color w:val="auto"/>
                <w:w w:val="92"/>
              </w:rPr>
              <w:t>Accelerated filer</w:t>
            </w:r>
          </w:p>
        </w:tc>
        <w:tc>
          <w:tcPr>
            <w:tcW w:w="120" w:type="dxa"/>
            <w:vAlign w:val="bottom"/>
            <w:tcBorders>
              <w:bottom w:val="single" w:sz="8" w:color="auto"/>
            </w:tcBorders>
          </w:tcPr>
          <w:p>
            <w:pPr>
              <w:spacing w:after="0"/>
              <w:rPr>
                <w:sz w:val="14"/>
                <w:szCs w:val="14"/>
                <w:color w:val="auto"/>
              </w:rPr>
            </w:pPr>
          </w:p>
        </w:tc>
        <w:tc>
          <w:tcPr>
            <w:tcW w:w="1380" w:type="dxa"/>
            <w:vAlign w:val="bottom"/>
          </w:tcPr>
          <w:p>
            <w:pPr>
              <w:ind w:left="280"/>
              <w:spacing w:after="0"/>
              <w:rPr>
                <w:sz w:val="20"/>
                <w:szCs w:val="20"/>
                <w:color w:val="auto"/>
              </w:rPr>
            </w:pPr>
            <w:r>
              <w:rPr>
                <w:rFonts w:ascii="Arial" w:cs="Arial" w:eastAsia="Arial" w:hAnsi="Arial"/>
                <w:sz w:val="13"/>
                <w:szCs w:val="13"/>
                <w:color w:val="auto"/>
                <w:w w:val="90"/>
              </w:rPr>
              <w:t>Non-accelerated filer</w:t>
            </w:r>
          </w:p>
        </w:tc>
        <w:tc>
          <w:tcPr>
            <w:tcW w:w="100" w:type="dxa"/>
            <w:vAlign w:val="bottom"/>
            <w:tcBorders>
              <w:bottom w:val="single" w:sz="8" w:color="auto"/>
            </w:tcBorders>
          </w:tcPr>
          <w:p>
            <w:pPr>
              <w:spacing w:after="0"/>
              <w:rPr>
                <w:sz w:val="14"/>
                <w:szCs w:val="14"/>
                <w:color w:val="auto"/>
              </w:rPr>
            </w:pPr>
          </w:p>
        </w:tc>
        <w:tc>
          <w:tcPr>
            <w:tcW w:w="1700" w:type="dxa"/>
            <w:vAlign w:val="bottom"/>
          </w:tcPr>
          <w:p>
            <w:pPr>
              <w:ind w:left="280"/>
              <w:spacing w:after="0"/>
              <w:rPr>
                <w:sz w:val="20"/>
                <w:szCs w:val="20"/>
                <w:color w:val="auto"/>
              </w:rPr>
            </w:pPr>
            <w:r>
              <w:rPr>
                <w:rFonts w:ascii="Arial" w:cs="Arial" w:eastAsia="Arial" w:hAnsi="Arial"/>
                <w:sz w:val="13"/>
                <w:szCs w:val="13"/>
                <w:color w:val="auto"/>
                <w:w w:val="90"/>
              </w:rPr>
              <w:t>Smaller reporting company</w:t>
            </w:r>
          </w:p>
        </w:tc>
        <w:tc>
          <w:tcPr>
            <w:tcW w:w="100" w:type="dxa"/>
            <w:vAlign w:val="bottom"/>
            <w:tcBorders>
              <w:bottom w:val="single" w:sz="8" w:color="auto"/>
            </w:tcBorders>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97"/>
        </w:trPr>
        <w:tc>
          <w:tcPr>
            <w:tcW w:w="5800" w:type="dxa"/>
            <w:vAlign w:val="bottom"/>
            <w:gridSpan w:val="8"/>
          </w:tcPr>
          <w:p>
            <w:pPr>
              <w:spacing w:after="0"/>
              <w:rPr>
                <w:sz w:val="20"/>
                <w:szCs w:val="20"/>
                <w:color w:val="auto"/>
              </w:rPr>
            </w:pPr>
            <w:r>
              <w:rPr>
                <w:rFonts w:ascii="Arial" w:cs="Arial" w:eastAsia="Arial" w:hAnsi="Arial"/>
                <w:sz w:val="13"/>
                <w:szCs w:val="13"/>
                <w:color w:val="auto"/>
                <w:w w:val="88"/>
              </w:rPr>
              <w:t>Indicate by check mark whether the registrant is a shell company (as defined in Rule 12b-2 of the Exchange Act).</w:t>
            </w:r>
          </w:p>
        </w:tc>
        <w:tc>
          <w:tcPr>
            <w:tcW w:w="5020" w:type="dxa"/>
            <w:vAlign w:val="bottom"/>
          </w:tcPr>
          <w:p>
            <w:pPr>
              <w:ind w:left="4800"/>
              <w:spacing w:after="0"/>
              <w:rPr>
                <w:sz w:val="20"/>
                <w:szCs w:val="20"/>
                <w:color w:val="auto"/>
              </w:rPr>
            </w:pPr>
            <w:r>
              <w:rPr>
                <w:rFonts w:ascii="Arial" w:cs="Arial" w:eastAsia="Arial" w:hAnsi="Arial"/>
                <w:sz w:val="13"/>
                <w:szCs w:val="13"/>
                <w:color w:val="auto"/>
                <w:w w:val="89"/>
              </w:rPr>
              <w:t>Yes</w:t>
            </w:r>
          </w:p>
        </w:tc>
        <w:tc>
          <w:tcPr>
            <w:tcW w:w="100" w:type="dxa"/>
            <w:vAlign w:val="bottom"/>
          </w:tcPr>
          <w:p>
            <w:pPr>
              <w:spacing w:after="0"/>
              <w:rPr>
                <w:sz w:val="24"/>
                <w:szCs w:val="24"/>
                <w:color w:val="auto"/>
              </w:rPr>
            </w:pPr>
          </w:p>
        </w:tc>
        <w:tc>
          <w:tcPr>
            <w:tcW w:w="460" w:type="dxa"/>
            <w:vAlign w:val="bottom"/>
            <w:gridSpan w:val="2"/>
          </w:tcPr>
          <w:p>
            <w:pPr>
              <w:ind w:left="160"/>
              <w:spacing w:after="0"/>
              <w:rPr>
                <w:sz w:val="20"/>
                <w:szCs w:val="20"/>
                <w:color w:val="auto"/>
              </w:rPr>
            </w:pPr>
            <w:r>
              <w:rPr>
                <w:rFonts w:ascii="Arial" w:cs="Arial" w:eastAsia="Arial" w:hAnsi="Arial"/>
                <w:sz w:val="13"/>
                <w:szCs w:val="13"/>
                <w:color w:val="auto"/>
              </w:rPr>
              <w:t>No a</w:t>
            </w:r>
          </w:p>
        </w:tc>
      </w:tr>
      <w:tr>
        <w:trPr>
          <w:trHeight w:val="22"/>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134" w:lineRule="exact"/>
        <w:rPr>
          <w:sz w:val="24"/>
          <w:szCs w:val="24"/>
          <w:color w:val="auto"/>
        </w:rPr>
      </w:pPr>
    </w:p>
    <w:p>
      <w:pPr>
        <w:jc w:val="both"/>
        <w:spacing w:after="0" w:line="247"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$50,626,000,000, computed by reference to the closing sales price of the stock on NASDAQ on June 30, 2015, the last trading day of the registrant's most recently completed second fiscal quarter. For purposes of this calculation only, the registrant has assumed that all of its directors and executive officers, and no other persons, are its affiliates. This determination of affiliate status is not necessarily a determination for other purposes.</w:t>
      </w:r>
    </w:p>
    <w:p>
      <w:pPr>
        <w:spacing w:after="0" w:line="133"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4, 2016:</w:t>
      </w:r>
    </w:p>
    <w:p>
      <w:pPr>
        <w:spacing w:after="0" w:line="242" w:lineRule="exact"/>
        <w:rPr>
          <w:sz w:val="24"/>
          <w:szCs w:val="24"/>
          <w:color w:val="auto"/>
        </w:rPr>
      </w:pPr>
    </w:p>
    <w:tbl>
      <w:tblPr>
        <w:tblLayout w:type="fixed"/>
        <w:tblInd w:w="3520" w:type="dxa"/>
        <w:tblCellMar>
          <w:top w:w="0" w:type="dxa"/>
          <w:left w:w="0" w:type="dxa"/>
          <w:bottom w:w="0" w:type="dxa"/>
          <w:right w:w="0" w:type="dxa"/>
        </w:tblCellMar>
      </w:tblPr>
      <w:tr>
        <w:trPr>
          <w:trHeight w:val="170"/>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Class of Common Stock</w:t>
            </w:r>
          </w:p>
        </w:tc>
        <w:tc>
          <w:tcPr>
            <w:tcW w:w="120" w:type="dxa"/>
            <w:vAlign w:val="bottom"/>
          </w:tcPr>
          <w:p>
            <w:pPr>
              <w:spacing w:after="0"/>
              <w:rPr>
                <w:sz w:val="14"/>
                <w:szCs w:val="14"/>
                <w:color w:val="auto"/>
              </w:rPr>
            </w:pPr>
          </w:p>
        </w:tc>
        <w:tc>
          <w:tcPr>
            <w:tcW w:w="2140" w:type="dxa"/>
            <w:vAlign w:val="bottom"/>
            <w:tcBorders>
              <w:bottom w:val="single" w:sz="8" w:color="auto"/>
            </w:tcBorders>
          </w:tcPr>
          <w:p>
            <w:pPr>
              <w:ind w:left="600"/>
              <w:spacing w:after="0"/>
              <w:rPr>
                <w:sz w:val="20"/>
                <w:szCs w:val="20"/>
                <w:color w:val="auto"/>
              </w:rPr>
            </w:pPr>
            <w:r>
              <w:rPr>
                <w:rFonts w:ascii="Arial" w:cs="Arial" w:eastAsia="Arial" w:hAnsi="Arial"/>
                <w:sz w:val="13"/>
                <w:szCs w:val="13"/>
                <w:color w:val="auto"/>
              </w:rPr>
              <w:t>Number of Shares</w:t>
            </w:r>
          </w:p>
        </w:tc>
      </w:tr>
      <w:tr>
        <w:trPr>
          <w:trHeight w:val="241"/>
        </w:trPr>
        <w:tc>
          <w:tcPr>
            <w:tcW w:w="2260" w:type="dxa"/>
            <w:vAlign w:val="bottom"/>
            <w:gridSpan w:val="2"/>
          </w:tcPr>
          <w:p>
            <w:pPr>
              <w:jc w:val="center"/>
              <w:ind w:right="140"/>
              <w:spacing w:after="0"/>
              <w:rPr>
                <w:sz w:val="20"/>
                <w:szCs w:val="20"/>
                <w:color w:val="auto"/>
              </w:rPr>
            </w:pPr>
            <w:r>
              <w:rPr>
                <w:rFonts w:ascii="Arial" w:cs="Arial" w:eastAsia="Arial" w:hAnsi="Arial"/>
                <w:sz w:val="13"/>
                <w:szCs w:val="13"/>
                <w:color w:val="auto"/>
                <w:w w:val="87"/>
              </w:rPr>
              <w:t>Class A Stock, $.001 par value</w:t>
            </w:r>
          </w:p>
        </w:tc>
        <w:tc>
          <w:tcPr>
            <w:tcW w:w="2140" w:type="dxa"/>
            <w:vAlign w:val="bottom"/>
          </w:tcPr>
          <w:p>
            <w:pPr>
              <w:jc w:val="right"/>
              <w:ind w:right="757"/>
              <w:spacing w:after="0"/>
              <w:rPr>
                <w:sz w:val="20"/>
                <w:szCs w:val="20"/>
                <w:color w:val="auto"/>
              </w:rPr>
            </w:pPr>
            <w:r>
              <w:rPr>
                <w:rFonts w:ascii="Arial" w:cs="Arial" w:eastAsia="Arial" w:hAnsi="Arial"/>
                <w:sz w:val="13"/>
                <w:szCs w:val="13"/>
                <w:color w:val="auto"/>
              </w:rPr>
              <w:t>1,913,776</w:t>
            </w:r>
          </w:p>
        </w:tc>
      </w:tr>
      <w:tr>
        <w:trPr>
          <w:trHeight w:val="270"/>
        </w:trPr>
        <w:tc>
          <w:tcPr>
            <w:tcW w:w="226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Common Stock, $.001 par value</w:t>
            </w:r>
          </w:p>
        </w:tc>
        <w:tc>
          <w:tcPr>
            <w:tcW w:w="2140" w:type="dxa"/>
            <w:vAlign w:val="bottom"/>
          </w:tcPr>
          <w:p>
            <w:pPr>
              <w:jc w:val="right"/>
              <w:ind w:right="697"/>
              <w:spacing w:after="0"/>
              <w:rPr>
                <w:sz w:val="20"/>
                <w:szCs w:val="20"/>
                <w:color w:val="auto"/>
              </w:rPr>
            </w:pPr>
            <w:r>
              <w:rPr>
                <w:rFonts w:ascii="Arial" w:cs="Arial" w:eastAsia="Arial" w:hAnsi="Arial"/>
                <w:sz w:val="13"/>
                <w:szCs w:val="13"/>
                <w:color w:val="auto"/>
              </w:rPr>
              <w:t>102,874,369</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r>
        <w:rPr>
          <w:rFonts w:ascii="Arial" w:cs="Arial" w:eastAsia="Arial" w:hAnsi="Arial"/>
          <w:sz w:val="14"/>
          <w:szCs w:val="14"/>
          <w:b w:val="1"/>
          <w:bCs w:val="1"/>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1"/>
          <w:szCs w:val="11"/>
          <w:color w:val="auto"/>
        </w:rPr>
        <w:t>Specified portions of the Registrant's definitive proxy statement to be filed in connection with solicitation of proxies for its 2016 Annual Meeting of Shareholders are incorporated by reference into Part III of this Form 10-K.</w:t>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Exhibit index is located on pages 91 to 97 of this filing.</w:t>
      </w:r>
    </w:p>
    <w:p>
      <w:pPr>
        <w:sectPr>
          <w:pgSz w:w="11900" w:h="16838" w:orient="portrait"/>
          <w:cols w:equalWidth="0" w:num="1">
            <w:col w:w="11420"/>
          </w:cols>
          <w:pgMar w:left="240" w:top="472" w:right="239" w:bottom="1440" w:gutter="0" w:footer="0" w:header="0"/>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gridSpan w:val="7"/>
          </w:tcPr>
          <w:p>
            <w:pPr>
              <w:ind w:left="400"/>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w:t>
              </w:r>
            </w:hyperlink>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Item 1A.</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Item 1B.</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Unresolved Staff Comments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Item 2.</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Properties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Item 3.</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54">
              <w:r>
                <w:rPr>
                  <w:rFonts w:ascii="Arial" w:cs="Arial" w:eastAsia="Arial" w:hAnsi="Arial"/>
                  <w:sz w:val="18"/>
                  <w:szCs w:val="18"/>
                  <w:color w:val="0000FF"/>
                </w:rPr>
                <w:t>Legal Proceedings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54</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56">
              <w:r>
                <w:rPr>
                  <w:rFonts w:ascii="Arial" w:cs="Arial" w:eastAsia="Arial" w:hAnsi="Arial"/>
                  <w:sz w:val="18"/>
                  <w:szCs w:val="18"/>
                  <w:color w:val="0000FF"/>
                </w:rPr>
                <w:t>Mine Safety Disclosures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55</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PART II</w:t>
              </w:r>
            </w:hyperlink>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Item 5.</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57">
              <w:r>
                <w:rPr>
                  <w:rFonts w:ascii="Arial" w:cs="Arial" w:eastAsia="Arial" w:hAnsi="Arial"/>
                  <w:sz w:val="18"/>
                  <w:szCs w:val="18"/>
                  <w:color w:val="0000FF"/>
                </w:rPr>
                <w:t>Market for Registrant's Common Equity, Related Stockholder Matters, and Issuer</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56</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w:anchor="page57">
              <w:r>
                <w:rPr>
                  <w:rFonts w:ascii="Arial" w:cs="Arial" w:eastAsia="Arial" w:hAnsi="Arial"/>
                  <w:sz w:val="18"/>
                  <w:szCs w:val="18"/>
                  <w:color w:val="0000FF"/>
                </w:rPr>
                <w:t>Purchases of Equity Securities</w:t>
              </w:r>
            </w:hyperlink>
          </w:p>
        </w:tc>
        <w:tc>
          <w:tcPr>
            <w:tcW w:w="100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Item 6.</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59">
              <w:r>
                <w:rPr>
                  <w:rFonts w:ascii="Arial" w:cs="Arial" w:eastAsia="Arial" w:hAnsi="Arial"/>
                  <w:sz w:val="18"/>
                  <w:szCs w:val="18"/>
                  <w:color w:val="0000FF"/>
                </w:rPr>
                <w:t>Selected Financial Data</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Item 7.</w:t>
              </w:r>
            </w:hyperlink>
          </w:p>
        </w:tc>
        <w:tc>
          <w:tcPr>
            <w:tcW w:w="6860" w:type="dxa"/>
            <w:vAlign w:val="bottom"/>
            <w:gridSpan w:val="23"/>
          </w:tcPr>
          <w:p>
            <w:pPr>
              <w:spacing w:after="0" w:line="202" w:lineRule="exact"/>
              <w:rPr>
                <w:rFonts w:ascii="Arial" w:cs="Arial" w:eastAsia="Arial" w:hAnsi="Arial"/>
                <w:sz w:val="18"/>
                <w:szCs w:val="18"/>
                <w:color w:val="0000FF"/>
                <w:w w:val="96"/>
              </w:rPr>
            </w:pPr>
            <w:hyperlink w:anchor="page60">
              <w:r>
                <w:rPr>
                  <w:rFonts w:ascii="Arial" w:cs="Arial" w:eastAsia="Arial" w:hAnsi="Arial"/>
                  <w:sz w:val="18"/>
                  <w:szCs w:val="18"/>
                  <w:color w:val="0000FF"/>
                  <w:w w:val="96"/>
                </w:rPr>
                <w:t>Management's Discussion and Analysis of Financial Condition and Results of Operations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Item 7A.</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90">
              <w:r>
                <w:rPr>
                  <w:rFonts w:ascii="Arial" w:cs="Arial" w:eastAsia="Arial" w:hAnsi="Arial"/>
                  <w:sz w:val="18"/>
                  <w:szCs w:val="18"/>
                  <w:color w:val="0000FF"/>
                </w:rPr>
                <w:t>Quantitative and Qualitative Disclosures About Market Risk</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89</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Item 8.</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Financial Statements and Supplementary Data</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90</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Item 9.</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w w:val="95"/>
              </w:rPr>
            </w:pPr>
            <w:hyperlink w:anchor="page91">
              <w:r>
                <w:rPr>
                  <w:rFonts w:ascii="Arial" w:cs="Arial" w:eastAsia="Arial" w:hAnsi="Arial"/>
                  <w:sz w:val="18"/>
                  <w:szCs w:val="18"/>
                  <w:color w:val="0000FF"/>
                  <w:w w:val="95"/>
                </w:rPr>
                <w:t>Changes in and Disagreements with Accountants on Accounting and Financial Disclosure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90</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Item 9A.</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91">
              <w:r>
                <w:rPr>
                  <w:rFonts w:ascii="Arial" w:cs="Arial" w:eastAsia="Arial" w:hAnsi="Arial"/>
                  <w:sz w:val="18"/>
                  <w:szCs w:val="18"/>
                  <w:color w:val="0000FF"/>
                </w:rPr>
                <w:t>Controls and Procedures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91">
              <w:r>
                <w:rPr>
                  <w:rFonts w:ascii="Arial" w:cs="Arial" w:eastAsia="Arial" w:hAnsi="Arial"/>
                  <w:sz w:val="18"/>
                  <w:szCs w:val="18"/>
                  <w:color w:val="0000FF"/>
                  <w:w w:val="89"/>
                </w:rPr>
                <w:t>90</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9B.</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Other Information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III</w:t>
              </w:r>
            </w:hyperlink>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10.</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Directors, Executive Officers and Corporate Governance</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11.</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Executive Compensation</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12.</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Security Ownership of Certain Beneficial Owners and Management and Related</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8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92">
              <w:r>
                <w:rPr>
                  <w:rFonts w:ascii="Arial" w:cs="Arial" w:eastAsia="Arial" w:hAnsi="Arial"/>
                  <w:sz w:val="18"/>
                  <w:szCs w:val="18"/>
                  <w:color w:val="0000FF"/>
                </w:rPr>
                <w:t>Stockholder Matters</w:t>
              </w:r>
            </w:hyperlink>
          </w:p>
        </w:tc>
        <w:tc>
          <w:tcPr>
            <w:tcW w:w="1080" w:type="dxa"/>
            <w:vAlign w:val="bottom"/>
            <w:gridSpan w:val="4"/>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13.</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Certain Relationships and Related Transactions, and Director Independence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14.</w:t>
              </w:r>
            </w:hyperlink>
          </w:p>
        </w:tc>
        <w:tc>
          <w:tcPr>
            <w:tcW w:w="6860" w:type="dxa"/>
            <w:vAlign w:val="bottom"/>
            <w:gridSpan w:val="23"/>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Principal Accounting Fees and Services</w:t>
              </w:r>
            </w:hyperlink>
          </w:p>
        </w:tc>
        <w:tc>
          <w:tcPr>
            <w:tcW w:w="1060" w:type="dxa"/>
            <w:vAlign w:val="bottom"/>
            <w:gridSpan w:val="5"/>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7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1360" w:type="dxa"/>
            <w:vAlign w:val="bottom"/>
            <w:gridSpan w:val="9"/>
          </w:tcPr>
          <w:p>
            <w:pPr>
              <w:ind w:left="40"/>
              <w:spacing w:after="0" w:line="202" w:lineRule="exact"/>
              <w:rPr>
                <w:rFonts w:ascii="Arial" w:cs="Arial" w:eastAsia="Arial" w:hAnsi="Arial"/>
                <w:sz w:val="18"/>
                <w:szCs w:val="18"/>
                <w:b w:val="1"/>
                <w:bCs w:val="1"/>
                <w:color w:val="0000FF"/>
              </w:rPr>
            </w:pPr>
            <w:hyperlink w:anchor="page92">
              <w:r>
                <w:rPr>
                  <w:rFonts w:ascii="Arial" w:cs="Arial" w:eastAsia="Arial" w:hAnsi="Arial"/>
                  <w:sz w:val="18"/>
                  <w:szCs w:val="18"/>
                  <w:b w:val="1"/>
                  <w:bCs w:val="1"/>
                  <w:color w:val="0000FF"/>
                </w:rPr>
                <w:t>PART IV</w:t>
              </w:r>
            </w:hyperlink>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360" w:type="dxa"/>
            <w:vAlign w:val="bottom"/>
            <w:gridSpan w:val="9"/>
            <w:shd w:val="clear" w:color="auto" w:fill="CCEEFF"/>
          </w:tcPr>
          <w:p>
            <w:pPr>
              <w:ind w:left="40"/>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Item 15.</w:t>
              </w:r>
            </w:hyperlink>
          </w:p>
        </w:tc>
        <w:tc>
          <w:tcPr>
            <w:tcW w:w="6860" w:type="dxa"/>
            <w:vAlign w:val="bottom"/>
            <w:gridSpan w:val="23"/>
            <w:shd w:val="clear" w:color="auto" w:fill="CCEEFF"/>
          </w:tcPr>
          <w:p>
            <w:pPr>
              <w:spacing w:after="0" w:line="202" w:lineRule="exact"/>
              <w:rPr>
                <w:rFonts w:ascii="Arial" w:cs="Arial" w:eastAsia="Arial" w:hAnsi="Arial"/>
                <w:sz w:val="18"/>
                <w:szCs w:val="18"/>
                <w:color w:val="0000FF"/>
              </w:rPr>
            </w:pPr>
            <w:hyperlink w:anchor="page92">
              <w:r>
                <w:rPr>
                  <w:rFonts w:ascii="Arial" w:cs="Arial" w:eastAsia="Arial" w:hAnsi="Arial"/>
                  <w:sz w:val="18"/>
                  <w:szCs w:val="18"/>
                  <w:color w:val="0000FF"/>
                </w:rPr>
                <w:t>Exhibits and Financial Statement Schedules</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2">
              <w:r>
                <w:rPr>
                  <w:rFonts w:ascii="Arial" w:cs="Arial" w:eastAsia="Arial" w:hAnsi="Arial"/>
                  <w:sz w:val="18"/>
                  <w:szCs w:val="18"/>
                  <w:color w:val="0000FF"/>
                  <w:w w:val="89"/>
                </w:rPr>
                <w:t>91</w:t>
              </w:r>
            </w:hyperlink>
          </w:p>
        </w:tc>
        <w:tc>
          <w:tcPr>
            <w:tcW w:w="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7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8220" w:type="dxa"/>
            <w:vAlign w:val="bottom"/>
            <w:gridSpan w:val="32"/>
            <w:shd w:val="clear" w:color="auto" w:fill="CCEEFF"/>
          </w:tcPr>
          <w:p>
            <w:pPr>
              <w:ind w:left="40"/>
              <w:spacing w:after="0" w:line="202" w:lineRule="exact"/>
              <w:rPr>
                <w:rFonts w:ascii="Arial" w:cs="Arial" w:eastAsia="Arial" w:hAnsi="Arial"/>
                <w:sz w:val="18"/>
                <w:szCs w:val="18"/>
                <w:b w:val="1"/>
                <w:bCs w:val="1"/>
                <w:color w:val="0000FF"/>
              </w:rPr>
            </w:pPr>
            <w:hyperlink w:anchor="page98">
              <w:r>
                <w:rPr>
                  <w:rFonts w:ascii="Arial" w:cs="Arial" w:eastAsia="Arial" w:hAnsi="Arial"/>
                  <w:sz w:val="18"/>
                  <w:szCs w:val="18"/>
                  <w:b w:val="1"/>
                  <w:bCs w:val="1"/>
                  <w:color w:val="0000FF"/>
                </w:rPr>
                <w:t>SIGNATURE PAGE</w:t>
              </w:r>
            </w:hyperlink>
          </w:p>
        </w:tc>
        <w:tc>
          <w:tcPr>
            <w:tcW w:w="1060" w:type="dxa"/>
            <w:vAlign w:val="bottom"/>
            <w:gridSpan w:val="5"/>
            <w:shd w:val="clear" w:color="auto" w:fill="CCEEFF"/>
          </w:tcPr>
          <w:p>
            <w:pPr>
              <w:jc w:val="center"/>
              <w:ind w:left="790"/>
              <w:spacing w:after="0" w:line="202"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98</w:t>
              </w:r>
            </w:hyperlink>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83" w:lineRule="exact"/>
        <w:rPr>
          <w:sz w:val="20"/>
          <w:szCs w:val="20"/>
          <w:color w:val="auto"/>
        </w:rPr>
      </w:pPr>
    </w:p>
    <w:p>
      <w:pPr>
        <w:jc w:val="both"/>
        <w:ind w:left="40"/>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80"/>
          </w:cols>
          <w:pgMar w:left="240" w:top="130"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7"/>
          <w:szCs w:val="17"/>
          <w:i w:val="1"/>
          <w:iCs w:val="1"/>
          <w:color w:val="auto"/>
        </w:rPr>
        <w:t>This Annual Report on Form 10-K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sarilumab, dupilumab, fasinumab, and REGN2222;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Praluent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(alirocumab) Injection, sarilumab, dupilumab, fasinumab, and REGN2222; ongoing regulatory obligations and oversight impacting our marketed products (such as EYLEA</w:t>
      </w:r>
      <w:r>
        <w:rPr>
          <w:rFonts w:ascii="Arial" w:cs="Arial" w:eastAsia="Arial" w:hAnsi="Arial"/>
          <w:sz w:val="24"/>
          <w:szCs w:val="24"/>
          <w:b w:val="1"/>
          <w:bCs w:val="1"/>
          <w:i w:val="1"/>
          <w:iCs w:val="1"/>
          <w:color w:val="auto"/>
          <w:vertAlign w:val="superscript"/>
        </w:rPr>
        <w:t>®</w:t>
      </w:r>
      <w:r>
        <w:rPr>
          <w:rFonts w:ascii="Arial" w:cs="Arial" w:eastAsia="Arial" w:hAnsi="Arial"/>
          <w:sz w:val="17"/>
          <w:szCs w:val="17"/>
          <w:i w:val="1"/>
          <w:iCs w:val="1"/>
          <w:color w:val="auto"/>
        </w:rPr>
        <w:t xml:space="preserve"> (aflibercept) Injection and Praluent),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income tax obligations,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intellectual property of other parties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Regeneron Pharmaceuticals, Inc. is a fully integrated biopharmaceutical company that discovers, invents, develops, manufactures, and commercializes medicines for the treatment of serious medical conditions. We commercialize medicines for eye diseases, high low-density lipoprotein (LDL) cholesterol, and a rare inflammatory condition and have product candidates in development in other areas of high unmet medical need, including oncology, rheumatoid arthritis (RA), asthma, atopic dermatitis, pain, and infectious diseases.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significant 2015 business highlights include:</w:t>
      </w:r>
    </w:p>
    <w:p>
      <w:pPr>
        <w:spacing w:after="0" w:line="144" w:lineRule="exact"/>
        <w:rPr>
          <w:sz w:val="20"/>
          <w:szCs w:val="20"/>
          <w:color w:val="auto"/>
        </w:rPr>
      </w:pPr>
    </w:p>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EYLEA (aflibercept) Injection, which is approved by the U.S. Food and Drug Administration (FDA) for use in retinal indications, delivered net sales growth of 54% over 2014, and is now the market-leading, branded anti-VEGF therapy in the United States.</w:t>
      </w:r>
    </w:p>
    <w:p>
      <w:pPr>
        <w:spacing w:after="0" w:line="1" w:lineRule="exact"/>
        <w:rPr>
          <w:rFonts w:ascii="Arial" w:cs="Arial" w:eastAsia="Arial" w:hAnsi="Arial"/>
          <w:sz w:val="18"/>
          <w:szCs w:val="18"/>
          <w:color w:val="auto"/>
        </w:rPr>
      </w:pPr>
    </w:p>
    <w:p>
      <w:pPr>
        <w:ind w:left="660" w:hanging="328"/>
        <w:spacing w:after="0" w:line="265"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along with our partner Sanofi, received regulatory approval in the United States and Europe for Praluent (alirocumab) Injection for the treatment of uncontrolled LDL-cholesterol in certain patients. Praluent has been launched in the United States and certain European countries.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reported positive data from three Phase 3 studies of sarilumab in rheumatoid arthritis and submitted a regulatory application to the FDA.</w:t>
      </w:r>
    </w:p>
    <w:p>
      <w:pPr>
        <w:spacing w:after="0" w:line="20"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reported positive, pivotal, Phase 2b data for dupilumab in the asthma indication and completed enrollment of three Phase 3 studies of dupilumab in atopic dermatitis.</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of our antibodies advanced to Phase 3 studies: REGN 2222 for the prevention of Respiratory Syncytial Virus (RSV) infection in infants; and fasinumab, an antibody against nerve growth factor (NGF), for osteoarthritis pain.</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entered into significant new research and development collaborations: a collaboration with Mitsubishi Tanabe Pharma Corporation for fasinumab in certain Asian countries and a broad immuno-oncology collaboration with Sanofi.</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initiatives in genomics also advanced, enabling us to sequence exomes at the rate of 100,000 per year.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left="660" w:hanging="328"/>
        <w:spacing w:after="0" w:line="22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From a company growth perspective, we hired our 4,000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employee, expanded into two new buildings on our Tarrytown, New York campus, continued to expand our bulk drug product manufacturing operations in Rensselaer, New York, and continued building out and hiring people for our new Limerick, Ireland commercial manufacturing facility.</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were named one of the two top employers in the global biopharmaceutical industry by </w:t>
      </w:r>
      <w:r>
        <w:rPr>
          <w:rFonts w:ascii="Arial" w:cs="Arial" w:eastAsia="Arial" w:hAnsi="Arial"/>
          <w:sz w:val="18"/>
          <w:szCs w:val="18"/>
          <w:i w:val="1"/>
          <w:iCs w:val="1"/>
          <w:color w:val="auto"/>
        </w:rPr>
        <w:t>Science</w:t>
      </w:r>
      <w:r>
        <w:rPr>
          <w:rFonts w:ascii="Arial" w:cs="Arial" w:eastAsia="Arial" w:hAnsi="Arial"/>
          <w:sz w:val="18"/>
          <w:szCs w:val="18"/>
          <w:color w:val="auto"/>
        </w:rPr>
        <w:t>, for the fifth consecutive year.</w:t>
      </w:r>
    </w:p>
    <w:p>
      <w:pPr>
        <w:spacing w:after="0" w:line="1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total revenues were $4,103.7 million in 2015, compared to $2,819.6 million in 2014 and $2,104.7 million in 2013. Our net income was $636.1 million, or $5.52 per diluted share, in 2015, compared to $338.1 million, or $2.98 per diluted share, in 2014, and $413.7 million, or $3.72 per diluted share, in 2013. Refer to Part II, Item 7. "Management's Discussion and Analysis of Financial Condition and Results of Operations - Results of Operations" below for further details of our financial results.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three marketed products:</w:t>
      </w:r>
    </w:p>
    <w:p>
      <w:pPr>
        <w:spacing w:after="0" w:line="275" w:lineRule="exact"/>
        <w:rPr>
          <w:sz w:val="20"/>
          <w:szCs w:val="20"/>
          <w:color w:val="auto"/>
        </w:rPr>
      </w:pPr>
    </w:p>
    <w:p>
      <w:pPr>
        <w:jc w:val="both"/>
        <w:ind w:left="660" w:hanging="328"/>
        <w:spacing w:after="0" w:line="273"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is available in the United States, European Union (EU),</w:t>
      </w:r>
      <w:r>
        <w:rPr>
          <w:rFonts w:ascii="Arial" w:cs="Arial" w:eastAsia="Arial" w:hAnsi="Arial"/>
          <w:sz w:val="17"/>
          <w:szCs w:val="17"/>
          <w:b w:val="1"/>
          <w:bCs w:val="1"/>
          <w:color w:val="auto"/>
        </w:rPr>
        <w:t xml:space="preserve"> </w:t>
      </w:r>
      <w:r>
        <w:rPr>
          <w:rFonts w:ascii="Arial" w:cs="Arial" w:eastAsia="Arial" w:hAnsi="Arial"/>
          <w:sz w:val="17"/>
          <w:szCs w:val="17"/>
          <w:color w:val="auto"/>
        </w:rPr>
        <w:t>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Japan and the EU for the treatment of myopic choroidal neovascularization (mCNV) and in the United States for the treatment of diabetic retinopathy in patients with DME. Bayer HealthCare has additional regulatory applications for EYLEA for various indications pending in other countries. We are collaborating with Bayer HealthCare on the global development and commercialization of EYLEA outside the United States.</w:t>
      </w:r>
    </w:p>
    <w:p>
      <w:pPr>
        <w:spacing w:after="0" w:line="10"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Praluent (alirocumab) Injection</w:t>
      </w:r>
      <w:r>
        <w:rPr>
          <w:rFonts w:ascii="Arial" w:cs="Arial" w:eastAsia="Arial" w:hAnsi="Arial"/>
          <w:sz w:val="17"/>
          <w:szCs w:val="17"/>
          <w:color w:val="auto"/>
        </w:rPr>
        <w:t>, which is available in the United States where it is indicated as an adjunct to diet and maximally tolerated statin</w:t>
      </w:r>
      <w:r>
        <w:rPr>
          <w:rFonts w:ascii="Arial" w:cs="Arial" w:eastAsia="Arial" w:hAnsi="Arial"/>
          <w:sz w:val="17"/>
          <w:szCs w:val="17"/>
          <w:b w:val="1"/>
          <w:bCs w:val="1"/>
          <w:color w:val="auto"/>
        </w:rPr>
        <w:t xml:space="preserve"> </w:t>
      </w:r>
      <w:r>
        <w:rPr>
          <w:rFonts w:ascii="Arial" w:cs="Arial" w:eastAsia="Arial" w:hAnsi="Arial"/>
          <w:sz w:val="17"/>
          <w:szCs w:val="17"/>
          <w:color w:val="auto"/>
        </w:rPr>
        <w:t>therapy for the treatment of adults with heterozygous familial hypercholesterolemia or clinical atherosclerotic cardiovascular disease (ASCVD), who require additional lowering of LDL cholesterol. In September 2015, the European Commission granted marketing authorization of Praluent for the treatment of adult patients with primary hypercholesterolemia (heterozygous familial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w:t>
      </w:r>
    </w:p>
    <w:p>
      <w:pPr>
        <w:spacing w:after="0" w:line="10" w:lineRule="exact"/>
        <w:rPr>
          <w:rFonts w:ascii="Arial" w:cs="Arial" w:eastAsia="Arial" w:hAnsi="Arial"/>
          <w:sz w:val="17"/>
          <w:szCs w:val="17"/>
          <w:color w:val="auto"/>
        </w:rPr>
      </w:pPr>
    </w:p>
    <w:p>
      <w:pPr>
        <w:jc w:val="both"/>
        <w:ind w:left="660" w:hanging="328"/>
        <w:spacing w:after="0" w:line="22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years and older.</w:t>
      </w:r>
    </w:p>
    <w:p>
      <w:pPr>
        <w:spacing w:after="0" w:line="256"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7"/>
          <w:szCs w:val="17"/>
          <w:color w:val="auto"/>
        </w:rPr>
        <w:t>In February 2015, we and Sanofi entered into an amended and restated ZALTRAP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agreement (Amended ZALTRAP Agreement). Under the terms of the Amended ZALTRAP Agreement, Sanofi is solely responsible for the development and commercialization of ZALTRAP (ziv-aflibercept) Injection for Intravenous Infusion for cancer indications worldwide. Sanofi bears the cost of all development and commercialization activities and reimburses Regeneron for its costs for any such activities. Sanofi pays us a percentage of aggregate net sales of ZALTRAP during each calendar year of between 15% to 30%, depending on the aggregate net sales of ZALTRAP in such calendar year. Refer to "Collaboration Agreements - Collaborations with Sanofi - ZALTRAP" below for further details of the Amended ZALTRAP Agreement. ZALTRAP is currently available in the United States, EU, and certain other countries for treatment, in combination with 5-fluorouracil, leucovorin, irinotecan (FOLFIRI), of patients with metastatic colorectal cancer (mCRC) that is resistant to or has progressed following an oxaliplatin-containing regimen.</w:t>
      </w:r>
    </w:p>
    <w:p>
      <w:pPr>
        <w:spacing w:after="0" w:line="245"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8"/>
          <w:szCs w:val="18"/>
          <w:color w:val="auto"/>
        </w:rPr>
        <w:t xml:space="preserve">We have 13 product candidates in clinical development, all of which were discovered in our research laboratories. These consist of a Trap-based clinical program and 12 fully human monoclonal antibody product candidates, as summarized below. Each of the antibodies in the table below was generated using our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5200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Trap-based Clinical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445770"/>
                    </a:xfrm>
                    <a:prstGeom prst="rect">
                      <a:avLst/>
                    </a:prstGeom>
                    <a:noFill/>
                  </pic:spPr>
                </pic:pic>
              </a:graphicData>
            </a:graphic>
          </wp:anchor>
        </w:drawing>
      </w:r>
    </w:p>
    <w:p>
      <w:pPr>
        <w:spacing w:after="0" w:line="43" w:lineRule="exact"/>
        <w:rPr>
          <w:sz w:val="20"/>
          <w:szCs w:val="20"/>
          <w:color w:val="auto"/>
        </w:rPr>
      </w:pPr>
    </w:p>
    <w:p>
      <w:pPr>
        <w:ind w:left="40"/>
        <w:spacing w:after="0" w:line="264" w:lineRule="auto"/>
        <w:rPr>
          <w:sz w:val="20"/>
          <w:szCs w:val="20"/>
          <w:color w:val="auto"/>
        </w:rPr>
      </w:pPr>
      <w:r>
        <w:rPr>
          <w:rFonts w:ascii="Arial" w:cs="Arial" w:eastAsia="Arial" w:hAnsi="Arial"/>
          <w:sz w:val="18"/>
          <w:szCs w:val="18"/>
          <w:color w:val="auto"/>
        </w:rPr>
        <w:t>In Phase 3 clinical development for the treatment of Neovascular Glaucoma (NVG) (in Japan) in collaboration with Bayer HealthCare. As described below, aflibercept is also being studied in combination with (i) an antibody to Platelet Derived Growth Factor Receptor Beta (PDGFR-beta), and (ii) an antibody to angiopoietin-2 (Ang2).</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Praluent</w:t>
      </w:r>
    </w:p>
    <w:p>
      <w:pPr>
        <w:spacing w:after="0" w:line="63" w:lineRule="exact"/>
        <w:rPr>
          <w:sz w:val="20"/>
          <w:szCs w:val="20"/>
          <w:color w:val="auto"/>
        </w:rPr>
      </w:pPr>
    </w:p>
    <w:p>
      <w:pPr>
        <w:ind w:left="40" w:right="20"/>
        <w:spacing w:after="0" w:line="257" w:lineRule="auto"/>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 In July 2015, the FDA approved Praluent as an adjunct to diet and maximally tolerated statin therapy for the treatment of adults with heterozygous familial hypercholesterolemia or clinical ASCVD, who require additional lowering of LDL cholesterol. In September 2015, the European Commission granted marketing authorization for Praluent for the treatment of LDL cholesterol in certain adult patients with hypercholesterolemia. The effect of Praluent on cardiovascular morbidity and mortality has not been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520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Sarilumab (REGN88)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the interleukin-6 receptor (IL-6R). In clinical development in rheumatoid arthritis (Phase 3) and non-infectious uveitis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Dupilumab (REGN668)</w:t>
      </w:r>
    </w:p>
    <w:p>
      <w:pPr>
        <w:spacing w:after="0" w:line="63" w:lineRule="exact"/>
        <w:rPr>
          <w:sz w:val="20"/>
          <w:szCs w:val="20"/>
          <w:color w:val="auto"/>
        </w:rPr>
      </w:pPr>
    </w:p>
    <w:p>
      <w:pPr>
        <w:ind w:left="40" w:right="100"/>
        <w:spacing w:after="0" w:line="264" w:lineRule="auto"/>
        <w:rPr>
          <w:sz w:val="20"/>
          <w:szCs w:val="20"/>
          <w:color w:val="auto"/>
        </w:rPr>
      </w:pPr>
      <w:r>
        <w:rPr>
          <w:rFonts w:ascii="Arial" w:cs="Arial" w:eastAsia="Arial" w:hAnsi="Arial"/>
          <w:sz w:val="18"/>
          <w:szCs w:val="18"/>
          <w:color w:val="auto"/>
        </w:rPr>
        <w:t>Antibody to the interleukin-4 receptor (IL-4R) alpha subunit. In clinical development in atopic dermatitis in adults (Phase 3), atopic dermatitis in pediatric patients (Phase 2), asthma (Phase 3), nasal polyps in patients who also have chronic sinusitis (NPwCS) (Phase 2), and eosinophilic esophagitis (EoE) (Phase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5200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i w:val="1"/>
          <w:iCs w:val="1"/>
          <w:color w:val="auto"/>
        </w:rPr>
        <w:t>REGN2810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Antibody to programmed cell death protein 1 (PD-1). Phase 1 clinical study in advanced malignancies initiated in the first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Antibody-based Clinical Program in Collaboration with Bayer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REGN2176-3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005" cy="445770"/>
                    </a:xfrm>
                    <a:prstGeom prst="rect">
                      <a:avLst/>
                    </a:prstGeom>
                    <a:noFill/>
                  </pic:spPr>
                </pic:pic>
              </a:graphicData>
            </a:graphic>
          </wp:anchor>
        </w:drawing>
      </w:r>
    </w:p>
    <w:p>
      <w:pPr>
        <w:ind w:left="40" w:right="120"/>
        <w:spacing w:after="0" w:line="254" w:lineRule="auto"/>
        <w:rPr>
          <w:sz w:val="20"/>
          <w:szCs w:val="20"/>
          <w:color w:val="auto"/>
        </w:rPr>
      </w:pPr>
      <w:r>
        <w:rPr>
          <w:rFonts w:ascii="Arial" w:cs="Arial" w:eastAsia="Arial" w:hAnsi="Arial"/>
          <w:sz w:val="18"/>
          <w:szCs w:val="18"/>
          <w:color w:val="auto"/>
        </w:rPr>
        <w:t>Combination product comprised of an antibody to PDGFR-beta co-formulated with aflibercept for intravitreal injection for use in ophthalmology. Phase 2 clinical study for the treatment of wet AMD initiated in the second quarter of 2015. Fast Track designation received from the FDA for the treatment of patients with wet AMD.</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Antibody-based Clinical Program in Collaboration with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2005" cy="18034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ind w:left="40"/>
        <w:spacing w:after="0"/>
        <w:rPr>
          <w:sz w:val="20"/>
          <w:szCs w:val="20"/>
          <w:color w:val="auto"/>
        </w:rPr>
      </w:pPr>
      <w:r>
        <w:rPr>
          <w:rFonts w:ascii="Arial" w:cs="Arial" w:eastAsia="Arial" w:hAnsi="Arial"/>
          <w:sz w:val="18"/>
          <w:szCs w:val="18"/>
          <w:color w:val="auto"/>
        </w:rPr>
        <w:t>Antibody to Nerve Growth Factor (NGF). Phase 2b/3 study (16-weeks) in pain due to osteoarthritis initiated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520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2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520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005" cy="889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REGN2222</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Antibody to the Respiratory Syncytial Virus-F (RSV-F) protein. Phase 3 clinical study in RSV initiated in the second quarter of 2015.</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005" cy="308610"/>
                    </a:xfrm>
                    <a:prstGeom prst="rect">
                      <a:avLst/>
                    </a:prstGeom>
                    <a:noFill/>
                  </pic:spPr>
                </pic:pic>
              </a:graphicData>
            </a:graphic>
          </wp:anchor>
        </w:drawing>
      </w:r>
    </w:p>
    <w:p>
      <w:pPr>
        <w:ind w:left="40" w:right="60"/>
        <w:spacing w:after="0" w:line="259" w:lineRule="auto"/>
        <w:rPr>
          <w:sz w:val="20"/>
          <w:szCs w:val="20"/>
          <w:color w:val="auto"/>
        </w:rPr>
      </w:pPr>
      <w:r>
        <w:rPr>
          <w:rFonts w:ascii="Arial" w:cs="Arial" w:eastAsia="Arial" w:hAnsi="Arial"/>
          <w:sz w:val="18"/>
          <w:szCs w:val="18"/>
          <w:color w:val="auto"/>
        </w:rPr>
        <w:t>Antibody to Angptl-3. Phase 2 clinical study for the treatment of dyslipidemia in homozygous familial hypercholesterolemia initiated in the first quarter of 2015. Partial clinical hold that excluded women of childbearing potential was lifted by the FDA in the third quarter of 2015.</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REGN1033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005" cy="308610"/>
                    </a:xfrm>
                    <a:prstGeom prst="rect">
                      <a:avLst/>
                    </a:prstGeom>
                    <a:noFill/>
                  </pic:spPr>
                </pic:pic>
              </a:graphicData>
            </a:graphic>
          </wp:anchor>
        </w:drawing>
      </w:r>
    </w:p>
    <w:p>
      <w:pPr>
        <w:ind w:left="40" w:right="460"/>
        <w:spacing w:after="0" w:line="306" w:lineRule="auto"/>
        <w:rPr>
          <w:sz w:val="20"/>
          <w:szCs w:val="20"/>
          <w:color w:val="auto"/>
        </w:rPr>
      </w:pPr>
      <w:r>
        <w:rPr>
          <w:rFonts w:ascii="Arial" w:cs="Arial" w:eastAsia="Arial" w:hAnsi="Arial"/>
          <w:sz w:val="16"/>
          <w:szCs w:val="16"/>
          <w:color w:val="auto"/>
        </w:rPr>
        <w:t>Antibody to myostatin (GDF8). Phase 2 monotherapy clinical development in skeletal muscle disorders completed. Combination therapy plans are in development. In the second quarter of 2015, Sanofi provided notice to Regeneron that it had elected not to continue co-development of REGN1033.</w:t>
      </w:r>
    </w:p>
    <w:p>
      <w:pPr>
        <w:ind w:left="4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Antibody to Feld1 in Phase 1/Phase 2 clinical development against allergic disease.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REGN1979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520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00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Bispecific antibody against CD20 and CD3. In Phase 1 clinical development for Non-Hodgkin's Lymphoma and Chronic Lymphocytic Leukemia.</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5200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005" cy="308610"/>
                    </a:xfrm>
                    <a:prstGeom prst="rect">
                      <a:avLst/>
                    </a:prstGeom>
                    <a:noFill/>
                  </pic:spPr>
                </pic:pic>
              </a:graphicData>
            </a:graphic>
          </wp:anchor>
        </w:drawing>
      </w:r>
    </w:p>
    <w:p>
      <w:pPr>
        <w:ind w:left="40" w:right="80"/>
        <w:spacing w:after="0" w:line="259"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Phase 1 clinical development for the treatment of wet AMD and DME completed.</w:t>
      </w: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130" w:right="4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160" w:right="560" w:firstLine="3"/>
        <w:spacing w:after="0" w:line="253" w:lineRule="auto"/>
        <w:tabs>
          <w:tab w:leader="none" w:pos="241" w:val="left"/>
        </w:tabs>
        <w:numPr>
          <w:ilvl w:val="0"/>
          <w:numId w:val="6"/>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sales of the product candidate.</w:t>
      </w:r>
    </w:p>
    <w:p>
      <w:pPr>
        <w:spacing w:after="0" w:line="12" w:lineRule="exact"/>
        <w:rPr>
          <w:sz w:val="20"/>
          <w:szCs w:val="20"/>
          <w:color w:val="auto"/>
        </w:rPr>
      </w:pPr>
    </w:p>
    <w:p>
      <w:pPr>
        <w:ind w:left="160" w:right="440" w:firstLine="3"/>
        <w:spacing w:after="0" w:line="238" w:lineRule="auto"/>
        <w:tabs>
          <w:tab w:leader="none" w:pos="278" w:val="left"/>
        </w:tabs>
        <w:numPr>
          <w:ilvl w:val="0"/>
          <w:numId w:val="7"/>
        </w:numPr>
        <w:rPr>
          <w:rFonts w:ascii="Arial" w:cs="Arial" w:eastAsia="Arial" w:hAnsi="Arial"/>
          <w:sz w:val="9"/>
          <w:szCs w:val="9"/>
          <w:color w:val="auto"/>
        </w:rPr>
      </w:pPr>
      <w:r>
        <w:rPr>
          <w:rFonts w:ascii="Arial" w:cs="Arial" w:eastAsia="Arial" w:hAnsi="Arial"/>
          <w:sz w:val="14"/>
          <w:szCs w:val="14"/>
          <w:color w:val="auto"/>
        </w:rPr>
        <w:t>Antibodies targeting the PDGF family of receptors and ligands in ophthalmology and all other indications, and antibodies targeting the Ang2 receptor and ligand in ophthalmology were previously included in our antibody collaboration with Sanofi. Under the terms of our agreements, Sanofi is entitled to receive potential development milestones and royalties on any future sales of the product candidate.</w:t>
      </w:r>
    </w:p>
    <w:p>
      <w:pPr>
        <w:spacing w:after="0" w:line="26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REGN1400, an antibody to ErbB3, REGN1154, an antibody against an undisclosed target, and REGN1193, an antibody to glucagon receptor (GCGR), each of which were previously in Phase 1 studies, are no longer in clinical development.</w:t>
      </w:r>
    </w:p>
    <w:p>
      <w:pPr>
        <w:spacing w:after="0" w:line="224"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core business strategy is to maintain a strong foundation in basic scientific research and discovery-enabling technologies, and to combine that foundation with our clinical development, manufacturing, and commercial capabilities. We are executing our long-term objective to build a successful, integrated, multi-product biopharmaceutical company that provides patients and medical professionals with innovative options for preventing and treating human diseases.</w:t>
      </w:r>
    </w:p>
    <w:p>
      <w:pPr>
        <w:spacing w:after="0" w:line="241" w:lineRule="exact"/>
        <w:rPr>
          <w:sz w:val="20"/>
          <w:szCs w:val="20"/>
          <w:color w:val="auto"/>
        </w:rPr>
      </w:pPr>
    </w:p>
    <w:p>
      <w:pPr>
        <w:jc w:val="both"/>
        <w:ind w:firstLine="230"/>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(aflibercept) Injection</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commenced sales of EYLEA in the United States for the treatment of wet AMD in 2011, macular edema following CRVO in 2012, DME in the third quarter of 2014, and macular edema following RVO in the fourth quarter of 2014. In addition, in March 2015, the FDA approved EYLEA for the treatment of diabetic retinopathy in patients with DME. Outside the United States, Bayer HealthCare commenced sales of EYLEA for the treatment of wet AMD in 2012, macular edema secondary to CRVO in 2013, visual impairment due to DME in the third quarter of 2014, and mCNV in Japan in the fourth quarter of 2014. In February and June 2015, the European Commission and the Japanese Ministry of Health, Labour and Welfare (MHLW), respectively, approved EYLEA for the treatment of macular edema following RVO, which includes macular edema following BRVO. In October 2015, the European Commission approved EYLEA for the treatment of visual impairment due to mCNV. In the fourth quarter of 2014, Bayer HealthCare submitted a regulatory application in China for EYLEA for the treatment of wet AMD. Bayer HealthCare has additional regulatory applications for EYLEA for various indications pending in other countries.</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are collaborating with Bayer HealthCare on the global development and commercialization of EYLEA outside the United States. Bayer HealthCare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Net product sales of EYLEA in the United States were $2,676.0 million in 2015, compared to $1,736.4 million in 2014 and $1,408.7 million in 2013. Bayer HealthCare records revenue from sales of EYLEA outside the United States, which were $1,413.3 million in 2015, compared to $1,038.5 million in 2014 and $472.1 million in 2013.</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(alirocumab) Injection</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July 2015, the FDA approved Praluent as an adjunct to diet and maximally tolerated statin therapy for the treatment of adults with heterozygous familial hypercholesterolemia or clinical ASCVD, who require additional lowering of LDL cholesterol. In addition,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 We are collaborating with Sanofi on the global development and commercialization of Praluent. Under our collaboration agreement, Sanofi records product sales and cost of sales for commercialized products, and Regeneron has the right to co-promote such products. We have exercised our option to co-promote Praluent in the United States. We and Sanofi share profits and losses from sales of Praluent.</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product sales of Praluent were $10.5 million in 2015.</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0"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ARCALYST (rilonacept) Injection for Subcutaneous Use</w:t>
      </w:r>
    </w:p>
    <w:p>
      <w:pPr>
        <w:spacing w:after="0" w:line="279"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ARCALYST is available in the United States for the treatment of CAPS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product sales of ARCALYST were $13.5 million in 2015, $14.4 million in 2014, and $17.1 million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Trap-based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CRVO is caused by obstruction of the central retinal vein that leads to a back-up of blood and fluid in the retina. Release of VEGF contributes to increased vascular permeability in the eye and macular edema. In BRVO, a blockage occurs in the blood vessels branching from the main vein draining the retina, resulting in the release of VEGF and consequent retinal edema. For centrally involved DME, VEGF-mediated leakage of fluid from blood vessels in the eye results in interference with vision. Wet AMD, diabetic retinopathy (which includes DME), and RVO are three of the leading causes of adult blindness in the developed world. In these conditions, severe visual loss is caused by neovascular proliferation and/or retinal edema.</w:t>
      </w:r>
    </w:p>
    <w:p>
      <w:pPr>
        <w:spacing w:after="0" w:line="25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proliferative diabetic retinopathy (PDR), and ocular ischemic syndrome (OIS).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NVG meets the criteria for an orphan indication in Japan where the estimated number of NVG patients is 30,000 to 40,000. In the second quarter of 2015, Bayer HealthCare initiated a Phase 3 study in Japan to assess the efficacy and safety of intravitreal administration of aflibercept in comparison to sham treatment on the change in IOP in patients with NVG.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that is intended to lower LDL cholesterol.</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0"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Phase 3 ODYSSEY Program</w:t>
      </w:r>
      <w:r>
        <w:rPr>
          <w:rFonts w:ascii="Arial" w:cs="Arial" w:eastAsia="Arial" w:hAnsi="Arial"/>
          <w:sz w:val="17"/>
          <w:szCs w:val="17"/>
          <w:color w:val="auto"/>
        </w:rPr>
        <w:t>. We and Sanofi initiated the global Phase 3 ODYSSEY program for Praluent in 2012. The ODYSSEY program consists of</w:t>
      </w:r>
      <w:r>
        <w:rPr>
          <w:rFonts w:ascii="Arial" w:cs="Arial" w:eastAsia="Arial" w:hAnsi="Arial"/>
          <w:sz w:val="17"/>
          <w:szCs w:val="17"/>
          <w:i w:val="1"/>
          <w:iCs w:val="1"/>
          <w:color w:val="auto"/>
        </w:rPr>
        <w:t xml:space="preserve"> </w:t>
      </w:r>
      <w:r>
        <w:rPr>
          <w:rFonts w:ascii="Arial" w:cs="Arial" w:eastAsia="Arial" w:hAnsi="Arial"/>
          <w:sz w:val="17"/>
          <w:szCs w:val="17"/>
          <w:color w:val="auto"/>
        </w:rPr>
        <w:t>more than 25,000 patients, and includes clinical trials evaluating the effect of Praluent, dosed every two weeks, on lowering LDL cholesterol. In addition, the potential of Praluent to demonstrate cardiovascular benefit is being prospectively assessed in the ongoing 18,000-patient ODYSSEY OUTCOMES trial, which is fully enrolled and is expected to be completed in 2017. LDL cholesterol reduction is the primary efficacy endpoint for initial regulatory filings. Additionally, the ODYSSEY program includes two trials of Praluent dosed every four weeks, ODYSSEY CHOICE I and ODYSSEY CHOICE II. Patients in the ODYSSEY CHOICE I trial received Praluent 300 milligrams (mg) (most in combination with statins) every four weeks and patients in the CHOICE II trial received Praluent 150 mg monotherapy and in combination with non-statin lipid lowering therapy every four weeks.</w:t>
      </w:r>
    </w:p>
    <w:p>
      <w:pPr>
        <w:spacing w:after="0" w:line="23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2013, we and Sanofi reported data from the ODYSSEY MONO trial, which evaluated the efficacy and safety of Praluent monotherapy versus ezetimibe monotherapy in patients with primary hypercholesterolemia. In 2014, we and Sanofi reported detailed positive results from nine additional Phase 3 ODYSSEY studies. All ten studies (ODYSSEY MONO, LONG TERM, FH I, FH II, HIGH FH, COMBO I, COMBO II, OPTIONS I, OPTIONS II, and ALTERNATIVE) met their primary efficacy endpoint of a greater percent reduction from baseline in LDL-C at 24 weeks compared to placebo or active comparator. Based on the positive results of these studies, a Biologics License Application (BLA) for U.S. regulatory approval of Praluent was submitted, and accepted by the FDA in January 2015. An FDA rare pediatric disease priority review voucher was utilized in connection with this BLA submission, as a result of which the submission was accepted by the FDA for priority review. In July 2015, the FDA approved Praluent as an adjunct to diet and maximally tolerated statin therapy for the treatment of adults with heterozygous familial hypercholesterolemia or clinical ASCVD, who require additional lowering of LDL cholesterol. In addition, in September 2015, the European Commission granted marketing authorization of Praluent for the treatment of adult patients with primary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2015, we and Sanofi announced that the ODYSSEY CHOICE I and ODYSSEY CHOICE II studies met their primary efficacy endpoints. The trials compared the reduction from baseline in LDL-C at 24 weeks with Praluent versus placebo in patients with hypercholesterolemia. In these trials dosing every four weeks, the mean percent reduction in LDL-C from baseline was consistent with that seen in previous Phase 3 trials evaluating Praluent in every other week dosing. The most common adverse events (AEs) in the trials (occurring in at least 5% of Praluent-treated patients) were injection site reactions, headache, upper respiratory tract infection, arthralgia, nausea, sinusitis, pain in extremity, and fatigue. Injection site reactions occurred more frequently in the Praluent groups compared to placebo.</w:t>
      </w:r>
    </w:p>
    <w:p>
      <w:pPr>
        <w:spacing w:after="0" w:line="24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ODYSSEY JAPAN was a trial that evaluated Praluent (n =144) compared to placebo (n =72), both on top of standard care, in Japanese patients with hypercholesterolemia, with either HeFH or at high CV risk, and who could not reach their LDL-C treatment goal as defined by the Japan Atherosclerosis Society (JAS) guidelines despite lipid-lowering treatments that included statins. The mean LDL-C value at baseline was 141.2 mg/dL. Patients were initially randomized to receive either Praluent 75 mg every two weeks administered as a single 1 mL injection, or placebo. Patients in both groups received statins, with or without other lipid-lowering therapies. In July 2015, we and Sanofi announced that the Phase 3 ODYSSEY JAPAN trial met its primary endpoint. At week 24, patients in the Praluent group experienced an average 64% greater reduction from baseline in their LDL-C when added to current standard of care including statins, compared to standard of care alone (p&lt;0.0001). Patients were started on the lower dose of 75 mg, with the option to adjust their dose to 150 mg if they had not achieved their LDL-C goal (as defined by the JAS guidelines) at week 8. At week 24, 97% of patients in the Praluent group reached their LDL-C treatment goal, compared to 10% for placebo (p&lt;0.0001). Ninety-nine percent of Japanese patients who received Praluent at week 8 remained on the initial 75 mg dose, while 1% of patients had their dose adjusted to receive 150 mg every two weeks, also as a single 1 milliliter (mL) injection. The most common adverse events (occurring in at least 5% of patients in the Praluent group) were nasopharyngitis, injection site reaction, and back pain. In July 2015, results were presented at the Annual Scientific Meeting of the JAS in Sendai, Japan.</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Sarilumab (REGN88;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Rheumatoid Arthritis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Studies</w:t>
      </w:r>
      <w:r>
        <w:rPr>
          <w:rFonts w:ascii="Arial" w:cs="Arial" w:eastAsia="Arial" w:hAnsi="Arial"/>
          <w:sz w:val="18"/>
          <w:szCs w:val="18"/>
          <w:color w:val="auto"/>
        </w:rPr>
        <w:t>. In 2013, we and Sanofi announced that in the 52 week SARIL-RA-MOBILITY Phase 3 clinical trial in adult patients with active RA who</w:t>
      </w:r>
      <w:r>
        <w:rPr>
          <w:rFonts w:ascii="Arial" w:cs="Arial" w:eastAsia="Arial" w:hAnsi="Arial"/>
          <w:sz w:val="18"/>
          <w:szCs w:val="18"/>
          <w:i w:val="1"/>
          <w:iCs w:val="1"/>
          <w:color w:val="auto"/>
        </w:rPr>
        <w:t xml:space="preserve"> </w:t>
      </w:r>
      <w:r>
        <w:rPr>
          <w:rFonts w:ascii="Arial" w:cs="Arial" w:eastAsia="Arial" w:hAnsi="Arial"/>
          <w:sz w:val="18"/>
          <w:szCs w:val="18"/>
          <w:color w:val="auto"/>
        </w:rPr>
        <w:t>were inadequate responders to methotrexate (MTX) therapy, sarilumab treatment in combination with</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MTX improved disease signs and symptoms as well as physical function, and inhibited progression of joint damage. Additional data from the trial were presented at the annual meeting of the European League Against Rheumatism (EULAR) in June 2015.</w:t>
      </w:r>
    </w:p>
    <w:p>
      <w:pPr>
        <w:spacing w:after="0" w:line="224" w:lineRule="exact"/>
        <w:rPr>
          <w:sz w:val="20"/>
          <w:szCs w:val="20"/>
          <w:color w:val="auto"/>
        </w:rPr>
      </w:pPr>
    </w:p>
    <w:p>
      <w:pPr>
        <w:jc w:val="both"/>
        <w:ind w:right="20" w:firstLine="243"/>
        <w:spacing w:after="0" w:line="276" w:lineRule="auto"/>
        <w:rPr>
          <w:sz w:val="20"/>
          <w:szCs w:val="20"/>
          <w:color w:val="auto"/>
        </w:rPr>
      </w:pPr>
      <w:r>
        <w:rPr>
          <w:rFonts w:ascii="Arial" w:cs="Arial" w:eastAsia="Arial" w:hAnsi="Arial"/>
          <w:sz w:val="17"/>
          <w:szCs w:val="17"/>
          <w:color w:val="auto"/>
        </w:rPr>
        <w:t>In the second quarter of 2015, we and Sanofi announced that in the 24 week SARIL-RA-TARGET Phase 3 clinical trial in adult patients with active RA who were inadequate responders or intolerant of TNF-alpha inhibitors, sarilumab treatment in combination with non-biologic disease modifying anti-rheumatic drugs (DMARD) therapy improved disease signs and symptoms, as well as physical function. Data from this trial were subsequently presented at the annual meeting of the American College of Rheumatology (ACR) in November 2015. A BLA for U.S. regulatory approval of sarilumab was accepted for review by the FDA in December 2015. The target date for an FDA decision on the BLA is October 30, 2016.</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primary endpoints and most common AEs for the MOBILITY and TARGET trials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272415</wp:posOffset>
            </wp:positionV>
            <wp:extent cx="6835140" cy="33959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5140" cy="339598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Completed Efficacy and Safety Studies</w:t>
      </w:r>
      <w:r>
        <w:rPr>
          <w:rFonts w:ascii="Arial" w:cs="Arial" w:eastAsia="Arial" w:hAnsi="Arial"/>
          <w:sz w:val="25"/>
          <w:szCs w:val="25"/>
          <w:b w:val="1"/>
          <w:bCs w:val="1"/>
          <w:i w:val="1"/>
          <w:iCs w:val="1"/>
          <w:color w:val="auto"/>
          <w:vertAlign w:val="superscript"/>
        </w:rPr>
        <w:t>*</w:t>
      </w:r>
    </w:p>
    <w:tbl>
      <w:tblPr>
        <w:tblLayout w:type="fixed"/>
        <w:tblInd w:w="660" w:type="dxa"/>
        <w:tblCellMar>
          <w:top w:w="0" w:type="dxa"/>
          <w:left w:w="0" w:type="dxa"/>
          <w:bottom w:w="0" w:type="dxa"/>
          <w:right w:w="0" w:type="dxa"/>
        </w:tblCellMar>
      </w:tblPr>
      <w:tr>
        <w:trPr>
          <w:trHeight w:val="264"/>
        </w:trPr>
        <w:tc>
          <w:tcPr>
            <w:tcW w:w="2080" w:type="dxa"/>
            <w:vAlign w:val="bottom"/>
            <w:tcBorders>
              <w:top w:val="single" w:sz="8" w:color="auto"/>
              <w:right w:val="single" w:sz="8" w:color="auto"/>
            </w:tcBorders>
          </w:tcPr>
          <w:p>
            <w:pPr>
              <w:spacing w:after="0"/>
              <w:rPr>
                <w:sz w:val="22"/>
                <w:szCs w:val="22"/>
                <w:color w:val="auto"/>
              </w:rPr>
            </w:pPr>
          </w:p>
        </w:tc>
        <w:tc>
          <w:tcPr>
            <w:tcW w:w="1940" w:type="dxa"/>
            <w:vAlign w:val="bottom"/>
            <w:tcBorders>
              <w:top w:val="single" w:sz="8" w:color="auto"/>
              <w:right w:val="single" w:sz="8" w:color="auto"/>
            </w:tcBorders>
          </w:tcPr>
          <w:p>
            <w:pPr>
              <w:spacing w:after="0"/>
              <w:rPr>
                <w:sz w:val="22"/>
                <w:szCs w:val="22"/>
                <w:color w:val="auto"/>
              </w:rPr>
            </w:pPr>
          </w:p>
        </w:tc>
        <w:tc>
          <w:tcPr>
            <w:tcW w:w="3460" w:type="dxa"/>
            <w:vAlign w:val="bottom"/>
            <w:tcBorders>
              <w:top w:val="single" w:sz="8" w:color="auto"/>
              <w:bottom w:val="single" w:sz="8" w:color="auto"/>
            </w:tcBorders>
            <w:gridSpan w:val="3"/>
          </w:tcPr>
          <w:p>
            <w:pPr>
              <w:ind w:left="1240"/>
              <w:spacing w:after="0" w:line="264" w:lineRule="exact"/>
              <w:rPr>
                <w:sz w:val="20"/>
                <w:szCs w:val="20"/>
                <w:color w:val="auto"/>
              </w:rPr>
            </w:pPr>
            <w:r>
              <w:rPr>
                <w:rFonts w:ascii="Arial" w:cs="Arial" w:eastAsia="Arial" w:hAnsi="Arial"/>
                <w:sz w:val="18"/>
                <w:szCs w:val="18"/>
                <w:b w:val="1"/>
                <w:bCs w:val="1"/>
                <w:color w:val="auto"/>
                <w:w w:val="90"/>
              </w:rPr>
              <w:t>Primary efficacy endpoints</w:t>
            </w:r>
            <w:r>
              <w:rPr>
                <w:rFonts w:ascii="Arial" w:cs="Arial" w:eastAsia="Arial" w:hAnsi="Arial"/>
                <w:sz w:val="25"/>
                <w:szCs w:val="25"/>
                <w:b w:val="1"/>
                <w:bCs w:val="1"/>
                <w:color w:val="auto"/>
                <w:w w:val="90"/>
                <w:vertAlign w:val="superscript"/>
              </w:rPr>
              <w:t>**</w:t>
            </w:r>
          </w:p>
        </w:tc>
        <w:tc>
          <w:tcPr>
            <w:tcW w:w="1260" w:type="dxa"/>
            <w:vAlign w:val="bottom"/>
            <w:tcBorders>
              <w:top w:val="single" w:sz="8" w:color="auto"/>
              <w:bottom w:val="single" w:sz="8" w:color="auto"/>
              <w:right w:val="single" w:sz="8" w:color="auto"/>
            </w:tcBorders>
          </w:tcPr>
          <w:p>
            <w:pPr>
              <w:spacing w:after="0"/>
              <w:rPr>
                <w:sz w:val="22"/>
                <w:szCs w:val="22"/>
                <w:color w:val="auto"/>
              </w:rPr>
            </w:pPr>
          </w:p>
        </w:tc>
        <w:tc>
          <w:tcPr>
            <w:tcW w:w="2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auto"/>
              <w:right w:val="single" w:sz="8" w:color="auto"/>
            </w:tcBorders>
          </w:tcPr>
          <w:p>
            <w:pPr>
              <w:ind w:left="820"/>
              <w:spacing w:after="0"/>
              <w:rPr>
                <w:sz w:val="20"/>
                <w:szCs w:val="20"/>
                <w:color w:val="auto"/>
              </w:rPr>
            </w:pPr>
            <w:r>
              <w:rPr>
                <w:rFonts w:ascii="Arial" w:cs="Arial" w:eastAsia="Arial" w:hAnsi="Arial"/>
                <w:sz w:val="18"/>
                <w:szCs w:val="18"/>
                <w:b w:val="1"/>
                <w:bCs w:val="1"/>
                <w:color w:val="auto"/>
              </w:rPr>
              <w:t>Study</w:t>
            </w:r>
          </w:p>
        </w:tc>
        <w:tc>
          <w:tcPr>
            <w:tcW w:w="19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b w:val="1"/>
                <w:bCs w:val="1"/>
                <w:color w:val="auto"/>
              </w:rPr>
              <w:t>Patient group</w:t>
            </w:r>
          </w:p>
        </w:tc>
        <w:tc>
          <w:tcPr>
            <w:tcW w:w="17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2"/>
              </w:rPr>
              <w:t>ACR</w:t>
            </w:r>
            <w:r>
              <w:rPr>
                <w:rFonts w:ascii="Arial" w:cs="Arial" w:eastAsia="Arial" w:hAnsi="Arial"/>
                <w:sz w:val="25"/>
                <w:szCs w:val="25"/>
                <w:b w:val="1"/>
                <w:bCs w:val="1"/>
                <w:color w:val="auto"/>
                <w:w w:val="92"/>
                <w:vertAlign w:val="superscript"/>
              </w:rPr>
              <w:t>a</w:t>
            </w:r>
            <w:r>
              <w:rPr>
                <w:rFonts w:ascii="Arial" w:cs="Arial" w:eastAsia="Arial" w:hAnsi="Arial"/>
                <w:sz w:val="18"/>
                <w:szCs w:val="18"/>
                <w:b w:val="1"/>
                <w:bCs w:val="1"/>
                <w:color w:val="auto"/>
                <w:w w:val="92"/>
              </w:rPr>
              <w:t xml:space="preserve"> 20/50/70</w:t>
            </w:r>
          </w:p>
        </w:tc>
        <w:tc>
          <w:tcPr>
            <w:tcW w:w="1520" w:type="dxa"/>
            <w:vAlign w:val="bottom"/>
            <w:tcBorders>
              <w:bottom w:val="single" w:sz="8" w:color="auto"/>
              <w:right w:val="single" w:sz="8" w:color="auto"/>
            </w:tcBorders>
          </w:tcPr>
          <w:p>
            <w:pPr>
              <w:jc w:val="center"/>
              <w:spacing w:after="0" w:line="264" w:lineRule="exact"/>
              <w:rPr>
                <w:sz w:val="20"/>
                <w:szCs w:val="20"/>
                <w:color w:val="auto"/>
              </w:rPr>
            </w:pPr>
            <w:r>
              <w:rPr>
                <w:rFonts w:ascii="Arial" w:cs="Arial" w:eastAsia="Arial" w:hAnsi="Arial"/>
                <w:sz w:val="18"/>
                <w:szCs w:val="18"/>
                <w:b w:val="1"/>
                <w:bCs w:val="1"/>
                <w:color w:val="auto"/>
                <w:w w:val="99"/>
              </w:rPr>
              <w:t>HAQ-DI</w:t>
            </w:r>
            <w:r>
              <w:rPr>
                <w:rFonts w:ascii="Arial" w:cs="Arial" w:eastAsia="Arial" w:hAnsi="Arial"/>
                <w:sz w:val="25"/>
                <w:szCs w:val="25"/>
                <w:b w:val="1"/>
                <w:bCs w:val="1"/>
                <w:color w:val="auto"/>
                <w:w w:val="99"/>
                <w:vertAlign w:val="superscript"/>
              </w:rPr>
              <w:t>b</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ind w:right="170"/>
              <w:spacing w:after="0" w:line="264" w:lineRule="exact"/>
              <w:rPr>
                <w:sz w:val="20"/>
                <w:szCs w:val="20"/>
                <w:color w:val="auto"/>
              </w:rPr>
            </w:pPr>
            <w:r>
              <w:rPr>
                <w:rFonts w:ascii="Arial" w:cs="Arial" w:eastAsia="Arial" w:hAnsi="Arial"/>
                <w:sz w:val="18"/>
                <w:szCs w:val="18"/>
                <w:b w:val="1"/>
                <w:bCs w:val="1"/>
                <w:color w:val="auto"/>
                <w:w w:val="86"/>
              </w:rPr>
              <w:t>mTSS</w:t>
            </w:r>
            <w:r>
              <w:rPr>
                <w:rFonts w:ascii="Arial" w:cs="Arial" w:eastAsia="Arial" w:hAnsi="Arial"/>
                <w:sz w:val="25"/>
                <w:szCs w:val="25"/>
                <w:b w:val="1"/>
                <w:bCs w:val="1"/>
                <w:color w:val="auto"/>
                <w:w w:val="86"/>
                <w:vertAlign w:val="superscript"/>
              </w:rPr>
              <w:t>c</w:t>
            </w:r>
          </w:p>
        </w:tc>
        <w:tc>
          <w:tcPr>
            <w:tcW w:w="20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Safety findings</w:t>
            </w:r>
          </w:p>
        </w:tc>
        <w:tc>
          <w:tcPr>
            <w:tcW w:w="0" w:type="dxa"/>
            <w:vAlign w:val="bottom"/>
          </w:tcPr>
          <w:p>
            <w:pPr>
              <w:spacing w:after="0"/>
              <w:rPr>
                <w:sz w:val="1"/>
                <w:szCs w:val="1"/>
                <w:color w:val="auto"/>
              </w:rPr>
            </w:pPr>
          </w:p>
        </w:tc>
      </w:tr>
      <w:tr>
        <w:trPr>
          <w:trHeight w:val="264"/>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 xml:space="preserve">MOBILITY </w:t>
            </w:r>
            <w:r>
              <w:rPr>
                <w:rFonts w:ascii="Arial" w:cs="Arial" w:eastAsia="Arial" w:hAnsi="Arial"/>
                <w:sz w:val="14"/>
                <w:szCs w:val="14"/>
                <w:i w:val="1"/>
                <w:iCs w:val="1"/>
                <w:color w:val="auto"/>
              </w:rPr>
              <w:t>(n=1,197)</w:t>
            </w:r>
          </w:p>
        </w:tc>
        <w:tc>
          <w:tcPr>
            <w:tcW w:w="19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150mg + MTX (n=400)</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Moderate to severe active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58/37/20</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-0.53</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0.90</w:t>
            </w:r>
          </w:p>
        </w:tc>
        <w:tc>
          <w:tcPr>
            <w:tcW w:w="2040" w:type="dxa"/>
            <w:vAlign w:val="bottom"/>
          </w:tcPr>
          <w:p>
            <w:pPr>
              <w:ind w:left="20"/>
              <w:spacing w:after="0"/>
              <w:rPr>
                <w:sz w:val="20"/>
                <w:szCs w:val="20"/>
                <w:color w:val="auto"/>
              </w:rPr>
            </w:pPr>
            <w:r>
              <w:rPr>
                <w:rFonts w:ascii="Arial" w:cs="Arial" w:eastAsia="Arial" w:hAnsi="Arial"/>
                <w:sz w:val="18"/>
                <w:szCs w:val="18"/>
                <w:color w:val="auto"/>
              </w:rPr>
              <w:t>Infections, neutropenia,</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 with inadequate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(p&lt;0.0001 vs.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(p&lt;0.0001 vs.</w:t>
            </w:r>
          </w:p>
        </w:tc>
        <w:tc>
          <w:tcPr>
            <w:tcW w:w="220" w:type="dxa"/>
            <w:vAlign w:val="bottom"/>
          </w:tcPr>
          <w:p>
            <w:pPr>
              <w:spacing w:after="0"/>
              <w:rPr>
                <w:sz w:val="18"/>
                <w:szCs w:val="18"/>
                <w:color w:val="auto"/>
              </w:rPr>
            </w:pPr>
          </w:p>
        </w:tc>
        <w:tc>
          <w:tcPr>
            <w:tcW w:w="12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(p&lt;0.0001 vs.</w:t>
            </w:r>
          </w:p>
        </w:tc>
        <w:tc>
          <w:tcPr>
            <w:tcW w:w="2040" w:type="dxa"/>
            <w:vAlign w:val="bottom"/>
          </w:tcPr>
          <w:p>
            <w:pPr>
              <w:ind w:left="20"/>
              <w:spacing w:after="0"/>
              <w:rPr>
                <w:sz w:val="20"/>
                <w:szCs w:val="20"/>
                <w:color w:val="auto"/>
              </w:rPr>
            </w:pPr>
            <w:r>
              <w:rPr>
                <w:rFonts w:ascii="Arial" w:cs="Arial" w:eastAsia="Arial" w:hAnsi="Arial"/>
                <w:sz w:val="18"/>
                <w:szCs w:val="18"/>
                <w:color w:val="auto"/>
                <w:w w:val="92"/>
              </w:rPr>
              <w:t>injection site reactions, and</w:t>
            </w: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response to MTX</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220" w:type="dxa"/>
            <w:vAlign w:val="bottom"/>
          </w:tcPr>
          <w:p>
            <w:pPr>
              <w:spacing w:after="0"/>
              <w:rPr>
                <w:sz w:val="20"/>
                <w:szCs w:val="20"/>
                <w:color w:val="auto"/>
              </w:rPr>
            </w:pPr>
          </w:p>
        </w:tc>
        <w:tc>
          <w:tcPr>
            <w:tcW w:w="12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placebo)</w:t>
            </w:r>
          </w:p>
        </w:tc>
        <w:tc>
          <w:tcPr>
            <w:tcW w:w="2040" w:type="dxa"/>
            <w:vAlign w:val="bottom"/>
          </w:tcPr>
          <w:p>
            <w:pPr>
              <w:ind w:left="20"/>
              <w:spacing w:after="0"/>
              <w:rPr>
                <w:sz w:val="20"/>
                <w:szCs w:val="20"/>
                <w:color w:val="auto"/>
              </w:rPr>
            </w:pPr>
            <w:r>
              <w:rPr>
                <w:rFonts w:ascii="Arial" w:cs="Arial" w:eastAsia="Arial" w:hAnsi="Arial"/>
                <w:sz w:val="18"/>
                <w:szCs w:val="18"/>
                <w:color w:val="auto"/>
                <w:w w:val="99"/>
              </w:rPr>
              <w:t>increased transaminases</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right w:val="single" w:sz="8" w:color="auto"/>
            </w:tcBorders>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200mg + MTX (n=398)</w:t>
            </w:r>
          </w:p>
        </w:tc>
        <w:tc>
          <w:tcPr>
            <w:tcW w:w="194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66/46/25</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-0.55</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(p&lt;0.0001 vs.</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(p&lt;0.0001 vs.</w:t>
            </w:r>
          </w:p>
        </w:tc>
        <w:tc>
          <w:tcPr>
            <w:tcW w:w="220" w:type="dxa"/>
            <w:vAlign w:val="bottom"/>
          </w:tcPr>
          <w:p>
            <w:pPr>
              <w:spacing w:after="0"/>
              <w:rPr>
                <w:sz w:val="18"/>
                <w:szCs w:val="18"/>
                <w:color w:val="auto"/>
              </w:rPr>
            </w:pPr>
          </w:p>
        </w:tc>
        <w:tc>
          <w:tcPr>
            <w:tcW w:w="12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(p&lt;0.0001 vs.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220" w:type="dxa"/>
            <w:vAlign w:val="bottom"/>
          </w:tcPr>
          <w:p>
            <w:pPr>
              <w:spacing w:after="0"/>
              <w:rPr>
                <w:sz w:val="20"/>
                <w:szCs w:val="20"/>
                <w:color w:val="auto"/>
              </w:rPr>
            </w:pPr>
          </w:p>
        </w:tc>
        <w:tc>
          <w:tcPr>
            <w:tcW w:w="12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9"/>
              </w:rPr>
              <w:t>placebo)</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right w:val="single" w:sz="8" w:color="auto"/>
            </w:tcBorders>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Placebo + MTX (n=399)</w:t>
            </w:r>
          </w:p>
        </w:tc>
        <w:tc>
          <w:tcPr>
            <w:tcW w:w="19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33/17/7</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-0.29</w:t>
            </w:r>
          </w:p>
        </w:tc>
        <w:tc>
          <w:tcPr>
            <w:tcW w:w="220" w:type="dxa"/>
            <w:vAlign w:val="bottom"/>
          </w:tcPr>
          <w:p>
            <w:pPr>
              <w:spacing w:after="0"/>
              <w:rPr>
                <w:sz w:val="20"/>
                <w:szCs w:val="20"/>
                <w:color w:val="auto"/>
              </w:rPr>
            </w:pPr>
          </w:p>
        </w:tc>
        <w:tc>
          <w:tcPr>
            <w:tcW w:w="126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2.78</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 xml:space="preserve">TARGET </w:t>
            </w:r>
            <w:r>
              <w:rPr>
                <w:rFonts w:ascii="Arial" w:cs="Arial" w:eastAsia="Arial" w:hAnsi="Arial"/>
                <w:sz w:val="14"/>
                <w:szCs w:val="14"/>
                <w:i w:val="1"/>
                <w:iCs w:val="1"/>
                <w:color w:val="auto"/>
              </w:rPr>
              <w:t>(n=546)</w:t>
            </w:r>
          </w:p>
        </w:tc>
        <w:tc>
          <w:tcPr>
            <w:tcW w:w="19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150mg + DMARD (n=181)</w:t>
            </w: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Moderate to severe active</w:t>
            </w:r>
          </w:p>
        </w:tc>
        <w:tc>
          <w:tcPr>
            <w:tcW w:w="1720" w:type="dxa"/>
            <w:vAlign w:val="bottom"/>
            <w:tcBorders>
              <w:right w:val="single" w:sz="8" w:color="auto"/>
            </w:tcBorders>
          </w:tcPr>
          <w:p>
            <w:pPr>
              <w:jc w:val="center"/>
              <w:spacing w:after="0" w:line="222" w:lineRule="exact"/>
              <w:rPr>
                <w:sz w:val="20"/>
                <w:szCs w:val="20"/>
                <w:color w:val="auto"/>
              </w:rPr>
            </w:pPr>
            <w:r>
              <w:rPr>
                <w:rFonts w:ascii="Arial" w:cs="Arial" w:eastAsia="Arial" w:hAnsi="Arial"/>
                <w:sz w:val="18"/>
                <w:szCs w:val="18"/>
                <w:color w:val="auto"/>
                <w:w w:val="87"/>
              </w:rPr>
              <w:t>56/37/20</w:t>
            </w:r>
            <w:r>
              <w:rPr>
                <w:rFonts w:ascii="Arial" w:cs="Arial" w:eastAsia="Arial" w:hAnsi="Arial"/>
                <w:sz w:val="25"/>
                <w:szCs w:val="25"/>
                <w:b w:val="1"/>
                <w:bCs w:val="1"/>
                <w:i w:val="1"/>
                <w:iCs w:val="1"/>
                <w:color w:val="auto"/>
                <w:w w:val="87"/>
                <w:vertAlign w:val="superscript"/>
              </w:rPr>
              <w:t>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-0.46</w:t>
            </w:r>
          </w:p>
        </w:tc>
        <w:tc>
          <w:tcPr>
            <w:tcW w:w="220" w:type="dxa"/>
            <w:vAlign w:val="bottom"/>
          </w:tcPr>
          <w:p>
            <w:pPr>
              <w:spacing w:after="0"/>
              <w:rPr>
                <w:sz w:val="19"/>
                <w:szCs w:val="19"/>
                <w:color w:val="auto"/>
              </w:rPr>
            </w:pPr>
          </w:p>
        </w:tc>
        <w:tc>
          <w:tcPr>
            <w:tcW w:w="126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rPr>
              <w:t>NA</w:t>
            </w:r>
          </w:p>
        </w:tc>
        <w:tc>
          <w:tcPr>
            <w:tcW w:w="2040" w:type="dxa"/>
            <w:vAlign w:val="bottom"/>
          </w:tcPr>
          <w:p>
            <w:pPr>
              <w:ind w:left="20"/>
              <w:spacing w:after="0"/>
              <w:rPr>
                <w:sz w:val="20"/>
                <w:szCs w:val="20"/>
                <w:color w:val="auto"/>
              </w:rPr>
            </w:pPr>
            <w:r>
              <w:rPr>
                <w:rFonts w:ascii="Arial" w:cs="Arial" w:eastAsia="Arial" w:hAnsi="Arial"/>
                <w:sz w:val="18"/>
                <w:szCs w:val="18"/>
                <w:color w:val="auto"/>
              </w:rPr>
              <w:t>Infections, neutropenia,</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RA with inadequate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(p&lt;0.0001 vs. placebo</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(p=0.0007 vs.</w:t>
            </w: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w w:val="92"/>
              </w:rPr>
              <w:t>injection site reactions, and</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response to, or intolerant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for ACR20 and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hypertriglyceridemia</w:t>
            </w: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of, one or more tumor</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ACR50)</w:t>
            </w:r>
          </w:p>
        </w:tc>
        <w:tc>
          <w:tcPr>
            <w:tcW w:w="15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80" w:type="dxa"/>
            <w:vAlign w:val="bottom"/>
            <w:tcBorders>
              <w:bottom w:val="single" w:sz="8" w:color="auto"/>
              <w:right w:val="single" w:sz="8" w:color="auto"/>
            </w:tcBorders>
          </w:tcPr>
          <w:p>
            <w:pPr>
              <w:spacing w:after="0"/>
              <w:rPr>
                <w:sz w:val="3"/>
                <w:szCs w:val="3"/>
                <w:color w:val="auto"/>
              </w:rPr>
            </w:pPr>
          </w:p>
        </w:tc>
        <w:tc>
          <w:tcPr>
            <w:tcW w:w="1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necrosis factor-alpha</w:t>
            </w:r>
          </w:p>
        </w:tc>
        <w:tc>
          <w:tcPr>
            <w:tcW w:w="17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200mg + DMARD (n=184)</w:t>
            </w:r>
          </w:p>
        </w:tc>
        <w:tc>
          <w:tcPr>
            <w:tcW w:w="194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5"/>
                <w:szCs w:val="15"/>
                <w:color w:val="auto"/>
              </w:rPr>
              <w:t>61/41/16</w:t>
            </w:r>
            <w:r>
              <w:rPr>
                <w:rFonts w:ascii="Arial" w:cs="Arial" w:eastAsia="Arial" w:hAnsi="Arial"/>
                <w:sz w:val="21"/>
                <w:szCs w:val="21"/>
                <w:i w:val="1"/>
                <w:iCs w:val="1"/>
                <w:color w:val="auto"/>
                <w:vertAlign w:val="superscript"/>
              </w:rPr>
              <w:t>e</w:t>
            </w:r>
          </w:p>
        </w:tc>
        <w:tc>
          <w:tcPr>
            <w:tcW w:w="15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-0.47</w:t>
            </w:r>
          </w:p>
        </w:tc>
        <w:tc>
          <w:tcPr>
            <w:tcW w:w="2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(TNF-alpha) inhibitors</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(p&lt;0.0001 vs. placebo</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(p=0.0004 vs.</w:t>
            </w: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80" w:type="dxa"/>
            <w:vAlign w:val="bottom"/>
            <w:tcBorders>
              <w:right w:val="single" w:sz="8" w:color="auto"/>
            </w:tcBorders>
          </w:tcPr>
          <w:p>
            <w:pPr>
              <w:spacing w:after="0"/>
              <w:rPr>
                <w:sz w:val="3"/>
                <w:szCs w:val="3"/>
                <w:color w:val="auto"/>
              </w:rPr>
            </w:pPr>
          </w:p>
        </w:tc>
        <w:tc>
          <w:tcPr>
            <w:tcW w:w="1940" w:type="dxa"/>
            <w:vAlign w:val="bottom"/>
            <w:tcBorders>
              <w:right w:val="single" w:sz="8" w:color="auto"/>
            </w:tcBorders>
          </w:tcPr>
          <w:p>
            <w:pPr>
              <w:spacing w:after="0"/>
              <w:rPr>
                <w:sz w:val="3"/>
                <w:szCs w:val="3"/>
                <w:color w:val="auto"/>
              </w:rPr>
            </w:pPr>
          </w:p>
        </w:tc>
        <w:tc>
          <w:tcPr>
            <w:tcW w:w="1720" w:type="dxa"/>
            <w:vAlign w:val="bottom"/>
            <w:tcBorders>
              <w:right w:val="single" w:sz="8" w:color="auto"/>
            </w:tcBorders>
            <w:vMerge w:val="continue"/>
          </w:tcPr>
          <w:p>
            <w:pPr>
              <w:spacing w:after="0"/>
              <w:rPr>
                <w:sz w:val="3"/>
                <w:szCs w:val="3"/>
                <w:color w:val="auto"/>
              </w:rPr>
            </w:pPr>
          </w:p>
        </w:tc>
        <w:tc>
          <w:tcPr>
            <w:tcW w:w="1520" w:type="dxa"/>
            <w:vAlign w:val="bottom"/>
            <w:tcBorders>
              <w:right w:val="single" w:sz="8" w:color="auto"/>
            </w:tcBorders>
            <w:vMerge w:val="continue"/>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Borders>
              <w:right w:val="single" w:sz="8" w:color="auto"/>
            </w:tcBorders>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8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for ACR20 and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placebo)</w:t>
            </w:r>
          </w:p>
        </w:tc>
        <w:tc>
          <w:tcPr>
            <w:tcW w:w="2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ACR50)</w:t>
            </w:r>
          </w:p>
        </w:tc>
        <w:tc>
          <w:tcPr>
            <w:tcW w:w="15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right w:val="single" w:sz="8" w:color="auto"/>
            </w:tcBorders>
          </w:tcPr>
          <w:p>
            <w:pPr>
              <w:spacing w:after="0"/>
              <w:rPr>
                <w:sz w:val="2"/>
                <w:szCs w:val="2"/>
                <w:color w:val="auto"/>
              </w:rPr>
            </w:pPr>
          </w:p>
        </w:tc>
        <w:tc>
          <w:tcPr>
            <w:tcW w:w="1940" w:type="dxa"/>
            <w:vAlign w:val="bottom"/>
            <w:tcBorders>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80" w:type="dxa"/>
            <w:vAlign w:val="bottom"/>
            <w:tcBorders>
              <w:right w:val="single" w:sz="8" w:color="auto"/>
            </w:tcBorders>
          </w:tcPr>
          <w:p>
            <w:pPr>
              <w:ind w:left="60"/>
              <w:spacing w:after="0"/>
              <w:rPr>
                <w:sz w:val="20"/>
                <w:szCs w:val="20"/>
                <w:color w:val="auto"/>
              </w:rPr>
            </w:pPr>
            <w:r>
              <w:rPr>
                <w:rFonts w:ascii="Arial" w:cs="Arial" w:eastAsia="Arial" w:hAnsi="Arial"/>
                <w:sz w:val="13"/>
                <w:szCs w:val="13"/>
                <w:i w:val="1"/>
                <w:iCs w:val="1"/>
                <w:color w:val="auto"/>
              </w:rPr>
              <w:t>Placebo + DMARD (n=181)</w:t>
            </w:r>
          </w:p>
        </w:tc>
        <w:tc>
          <w:tcPr>
            <w:tcW w:w="194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34/18/7</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-0.26</w:t>
            </w:r>
          </w:p>
        </w:tc>
        <w:tc>
          <w:tcPr>
            <w:tcW w:w="2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20"/>
        <w:spacing w:after="0"/>
        <w:rPr>
          <w:sz w:val="20"/>
          <w:szCs w:val="20"/>
          <w:color w:val="auto"/>
        </w:rPr>
      </w:pPr>
      <w:r>
        <w:rPr>
          <w:rFonts w:ascii="Arial" w:cs="Arial" w:eastAsia="Arial" w:hAnsi="Arial"/>
          <w:sz w:val="14"/>
          <w:szCs w:val="14"/>
          <w:color w:val="auto"/>
        </w:rPr>
        <w:t>* - represent completed, placebo-controlled, double-blind efficacy studies</w:t>
      </w:r>
    </w:p>
    <w:p>
      <w:pPr>
        <w:spacing w:after="0" w:line="13" w:lineRule="exact"/>
        <w:rPr>
          <w:sz w:val="20"/>
          <w:szCs w:val="20"/>
          <w:color w:val="auto"/>
        </w:rPr>
      </w:pPr>
    </w:p>
    <w:p>
      <w:pPr>
        <w:ind w:left="1060" w:right="220" w:hanging="242"/>
        <w:spacing w:after="0" w:line="241" w:lineRule="auto"/>
        <w:tabs>
          <w:tab w:leader="none" w:pos="997" w:val="left"/>
        </w:tabs>
        <w:numPr>
          <w:ilvl w:val="0"/>
          <w:numId w:val="8"/>
        </w:numPr>
        <w:rPr>
          <w:rFonts w:ascii="Arial" w:cs="Arial" w:eastAsia="Arial" w:hAnsi="Arial"/>
          <w:sz w:val="14"/>
          <w:szCs w:val="14"/>
          <w:color w:val="auto"/>
        </w:rPr>
      </w:pPr>
      <w:r>
        <w:rPr>
          <w:rFonts w:ascii="Arial" w:cs="Arial" w:eastAsia="Arial" w:hAnsi="Arial"/>
          <w:sz w:val="14"/>
          <w:szCs w:val="14"/>
          <w:color w:val="auto"/>
        </w:rPr>
        <w:t>- in MOBILITY, proportion of patients achieving ACR20 at week 24, change from baseline in HAQ-DI at week 16, and change from baseline mTSS at week 52 were co-primary endpoints. In TARGET, proportion of patients achieving ACR20 at week 24 and change from baseline in HAQ-DI at week 24 were co-primary endpoints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NA = not applicable</w:t>
      </w:r>
    </w:p>
    <w:p>
      <w:pPr>
        <w:spacing w:after="0" w:line="43" w:lineRule="exact"/>
        <w:rPr>
          <w:sz w:val="20"/>
          <w:szCs w:val="20"/>
          <w:color w:val="auto"/>
        </w:rPr>
      </w:pPr>
    </w:p>
    <w:p>
      <w:pPr>
        <w:ind w:left="1400" w:hanging="582"/>
        <w:spacing w:after="0"/>
        <w:tabs>
          <w:tab w:leader="none" w:pos="1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ACR = American College of Rheumatology score</w:t>
      </w:r>
    </w:p>
    <w:p>
      <w:pPr>
        <w:spacing w:after="0" w:line="95" w:lineRule="exact"/>
        <w:rPr>
          <w:rFonts w:ascii="Arial" w:cs="Arial" w:eastAsia="Arial" w:hAnsi="Arial"/>
          <w:sz w:val="14"/>
          <w:szCs w:val="14"/>
          <w:color w:val="auto"/>
        </w:rPr>
      </w:pPr>
    </w:p>
    <w:p>
      <w:pPr>
        <w:ind w:left="1420" w:hanging="602"/>
        <w:spacing w:after="0"/>
        <w:tabs>
          <w:tab w:leader="none" w:pos="1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HAQ-DI = the Health Assessment Question-Disability Index</w:t>
      </w:r>
    </w:p>
    <w:p>
      <w:pPr>
        <w:spacing w:after="0" w:line="95" w:lineRule="exact"/>
        <w:rPr>
          <w:rFonts w:ascii="Arial" w:cs="Arial" w:eastAsia="Arial" w:hAnsi="Arial"/>
          <w:sz w:val="14"/>
          <w:szCs w:val="14"/>
          <w:color w:val="auto"/>
        </w:rPr>
      </w:pPr>
    </w:p>
    <w:p>
      <w:pPr>
        <w:ind w:left="1400" w:hanging="582"/>
        <w:spacing w:after="0"/>
        <w:tabs>
          <w:tab w:leader="none" w:pos="1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mTSS = van der Heijde modified total Sharp score</w:t>
      </w:r>
    </w:p>
    <w:p>
      <w:pPr>
        <w:spacing w:after="0" w:line="95" w:lineRule="exact"/>
        <w:rPr>
          <w:rFonts w:ascii="Arial" w:cs="Arial" w:eastAsia="Arial" w:hAnsi="Arial"/>
          <w:sz w:val="14"/>
          <w:szCs w:val="14"/>
          <w:color w:val="auto"/>
        </w:rPr>
      </w:pPr>
    </w:p>
    <w:p>
      <w:pPr>
        <w:ind w:left="1420" w:hanging="602"/>
        <w:spacing w:after="0"/>
        <w:tabs>
          <w:tab w:leader="none" w:pos="14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p&lt;0.0002 vs. placebo for ACR70</w:t>
      </w:r>
    </w:p>
    <w:p>
      <w:pPr>
        <w:spacing w:after="0" w:line="95" w:lineRule="exact"/>
        <w:rPr>
          <w:rFonts w:ascii="Arial" w:cs="Arial" w:eastAsia="Arial" w:hAnsi="Arial"/>
          <w:sz w:val="14"/>
          <w:szCs w:val="14"/>
          <w:color w:val="auto"/>
        </w:rPr>
      </w:pPr>
    </w:p>
    <w:p>
      <w:pPr>
        <w:ind w:left="1400" w:hanging="582"/>
        <w:spacing w:after="0"/>
        <w:tabs>
          <w:tab w:leader="none" w:pos="1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p&lt;0.0056 vs. placebo for ACR70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226695</wp:posOffset>
            </wp:positionV>
            <wp:extent cx="6380480" cy="1551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0480" cy="1551940"/>
                    </a:xfrm>
                    <a:prstGeom prst="rect">
                      <a:avLst/>
                    </a:prstGeom>
                    <a:noFill/>
                  </pic:spPr>
                </pic:pic>
              </a:graphicData>
            </a:graphic>
          </wp:anchor>
        </w:drawing>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Completed Safety Studies</w:t>
      </w:r>
    </w:p>
    <w:p>
      <w:pPr>
        <w:spacing w:after="0" w:line="34"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2140" w:type="dxa"/>
            <w:vAlign w:val="bottom"/>
            <w:tcBorders>
              <w:top w:val="single" w:sz="8" w:color="auto"/>
              <w:right w:val="single" w:sz="8" w:color="auto"/>
            </w:tcBorders>
          </w:tcPr>
          <w:p>
            <w:pPr>
              <w:spacing w:after="0"/>
              <w:rPr>
                <w:sz w:val="20"/>
                <w:szCs w:val="20"/>
                <w:color w:val="auto"/>
              </w:rPr>
            </w:pPr>
          </w:p>
        </w:tc>
        <w:tc>
          <w:tcPr>
            <w:tcW w:w="2220" w:type="dxa"/>
            <w:vAlign w:val="bottom"/>
            <w:tcBorders>
              <w:top w:val="single" w:sz="8" w:color="auto"/>
              <w:right w:val="single" w:sz="8" w:color="auto"/>
            </w:tcBorders>
          </w:tcPr>
          <w:p>
            <w:pPr>
              <w:spacing w:after="0"/>
              <w:rPr>
                <w:sz w:val="20"/>
                <w:szCs w:val="20"/>
                <w:color w:val="auto"/>
              </w:rPr>
            </w:pPr>
          </w:p>
        </w:tc>
        <w:tc>
          <w:tcPr>
            <w:tcW w:w="4100" w:type="dxa"/>
            <w:vAlign w:val="bottom"/>
            <w:tcBorders>
              <w:top w:val="single" w:sz="8" w:color="auto"/>
              <w:right w:val="single" w:sz="8" w:color="auto"/>
            </w:tcBorders>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Study met primary</w:t>
            </w:r>
          </w:p>
        </w:tc>
      </w:tr>
      <w:tr>
        <w:trPr>
          <w:trHeight w:val="234"/>
        </w:trPr>
        <w:tc>
          <w:tcPr>
            <w:tcW w:w="2140" w:type="dxa"/>
            <w:vAlign w:val="bottom"/>
            <w:tcBorders>
              <w:right w:val="single" w:sz="8" w:color="auto"/>
            </w:tcBorders>
          </w:tcPr>
          <w:p>
            <w:pPr>
              <w:ind w:left="840"/>
              <w:spacing w:after="0"/>
              <w:rPr>
                <w:sz w:val="20"/>
                <w:szCs w:val="20"/>
                <w:color w:val="auto"/>
              </w:rPr>
            </w:pPr>
            <w:r>
              <w:rPr>
                <w:rFonts w:ascii="Arial" w:cs="Arial" w:eastAsia="Arial" w:hAnsi="Arial"/>
                <w:sz w:val="18"/>
                <w:szCs w:val="18"/>
                <w:b w:val="1"/>
                <w:bCs w:val="1"/>
                <w:color w:val="auto"/>
              </w:rPr>
              <w:t>Study</w:t>
            </w:r>
          </w:p>
        </w:tc>
        <w:tc>
          <w:tcPr>
            <w:tcW w:w="222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Patient group</w:t>
            </w:r>
          </w:p>
        </w:tc>
        <w:tc>
          <w:tcPr>
            <w:tcW w:w="4100" w:type="dxa"/>
            <w:vAlign w:val="bottom"/>
            <w:tcBorders>
              <w:right w:val="single" w:sz="8" w:color="auto"/>
            </w:tcBorders>
          </w:tcPr>
          <w:p>
            <w:pPr>
              <w:ind w:left="1340"/>
              <w:spacing w:after="0"/>
              <w:rPr>
                <w:sz w:val="20"/>
                <w:szCs w:val="20"/>
                <w:color w:val="auto"/>
              </w:rPr>
            </w:pPr>
            <w:r>
              <w:rPr>
                <w:rFonts w:ascii="Arial" w:cs="Arial" w:eastAsia="Arial" w:hAnsi="Arial"/>
                <w:sz w:val="18"/>
                <w:szCs w:val="18"/>
                <w:b w:val="1"/>
                <w:bCs w:val="1"/>
                <w:color w:val="auto"/>
              </w:rPr>
              <w:t>Primary endpoint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endpoint?</w:t>
            </w: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1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ASCERTAIN </w:t>
            </w:r>
            <w:r>
              <w:rPr>
                <w:rFonts w:ascii="Arial" w:cs="Arial" w:eastAsia="Arial" w:hAnsi="Arial"/>
                <w:sz w:val="14"/>
                <w:szCs w:val="14"/>
                <w:i w:val="1"/>
                <w:iCs w:val="1"/>
                <w:color w:val="auto"/>
              </w:rPr>
              <w:t>(n=202)</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Moderate to severe active</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Assess safety of two subcutaneous doses of sarilumab</w:t>
            </w:r>
          </w:p>
        </w:tc>
        <w:tc>
          <w:tcPr>
            <w:tcW w:w="1580" w:type="dxa"/>
            <w:vAlign w:val="bottom"/>
          </w:tcPr>
          <w:p>
            <w:pPr>
              <w:ind w:left="20"/>
              <w:spacing w:after="0"/>
              <w:rPr>
                <w:sz w:val="20"/>
                <w:szCs w:val="20"/>
                <w:color w:val="auto"/>
              </w:rPr>
            </w:pPr>
            <w:r>
              <w:rPr>
                <w:rFonts w:ascii="Arial" w:cs="Arial" w:eastAsia="Arial" w:hAnsi="Arial"/>
                <w:sz w:val="18"/>
                <w:szCs w:val="18"/>
                <w:color w:val="auto"/>
              </w:rPr>
              <w:t>Yes</w:t>
            </w:r>
          </w:p>
        </w:tc>
      </w:tr>
      <w:tr>
        <w:trPr>
          <w:trHeight w:val="216"/>
        </w:trPr>
        <w:tc>
          <w:tcPr>
            <w:tcW w:w="21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RA with inadequate response</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and tocilizumab in combination with DMARDs</w:t>
            </w:r>
          </w:p>
        </w:tc>
        <w:tc>
          <w:tcPr>
            <w:tcW w:w="1580" w:type="dxa"/>
            <w:vAlign w:val="bottom"/>
          </w:tcPr>
          <w:p>
            <w:pPr>
              <w:spacing w:after="0"/>
              <w:rPr>
                <w:sz w:val="18"/>
                <w:szCs w:val="18"/>
                <w:color w:val="auto"/>
              </w:rPr>
            </w:pPr>
          </w:p>
        </w:tc>
      </w:tr>
      <w:tr>
        <w:trPr>
          <w:trHeight w:val="216"/>
        </w:trPr>
        <w:tc>
          <w:tcPr>
            <w:tcW w:w="21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to, or intolerant of, one or</w:t>
            </w:r>
          </w:p>
        </w:tc>
        <w:tc>
          <w:tcPr>
            <w:tcW w:w="410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1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more TNF-alpha inhibitors</w:t>
            </w:r>
          </w:p>
        </w:tc>
        <w:tc>
          <w:tcPr>
            <w:tcW w:w="410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214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EASY </w:t>
            </w:r>
            <w:r>
              <w:rPr>
                <w:rFonts w:ascii="Arial" w:cs="Arial" w:eastAsia="Arial" w:hAnsi="Arial"/>
                <w:sz w:val="14"/>
                <w:szCs w:val="14"/>
                <w:i w:val="1"/>
                <w:iCs w:val="1"/>
                <w:color w:val="auto"/>
              </w:rPr>
              <w:t>(n=217)</w:t>
            </w: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Completed patients from</w:t>
            </w:r>
          </w:p>
        </w:tc>
        <w:tc>
          <w:tcPr>
            <w:tcW w:w="41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Product technical failures</w:t>
            </w:r>
          </w:p>
        </w:tc>
        <w:tc>
          <w:tcPr>
            <w:tcW w:w="1580" w:type="dxa"/>
            <w:vAlign w:val="bottom"/>
          </w:tcPr>
          <w:p>
            <w:pPr>
              <w:ind w:left="20"/>
              <w:spacing w:after="0"/>
              <w:rPr>
                <w:sz w:val="20"/>
                <w:szCs w:val="20"/>
                <w:color w:val="auto"/>
              </w:rPr>
            </w:pPr>
            <w:r>
              <w:rPr>
                <w:rFonts w:ascii="Arial" w:cs="Arial" w:eastAsia="Arial" w:hAnsi="Arial"/>
                <w:sz w:val="18"/>
                <w:szCs w:val="18"/>
                <w:color w:val="auto"/>
              </w:rPr>
              <w:t>Yes</w:t>
            </w:r>
          </w:p>
        </w:tc>
      </w:tr>
      <w:tr>
        <w:trPr>
          <w:trHeight w:val="216"/>
        </w:trPr>
        <w:tc>
          <w:tcPr>
            <w:tcW w:w="214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MOBILITY, TARGET, or</w:t>
            </w:r>
          </w:p>
        </w:tc>
        <w:tc>
          <w:tcPr>
            <w:tcW w:w="410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214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ASCERTAIN trials</w:t>
            </w:r>
          </w:p>
        </w:tc>
        <w:tc>
          <w:tcPr>
            <w:tcW w:w="410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2140" w:type="dxa"/>
            <w:vAlign w:val="bottom"/>
            <w:tcBorders>
              <w:bottom w:val="single" w:sz="8" w:color="auto"/>
              <w:right w:val="single" w:sz="8" w:color="auto"/>
            </w:tcBorders>
          </w:tcPr>
          <w:p>
            <w:pPr>
              <w:spacing w:after="0"/>
              <w:rPr>
                <w:sz w:val="2"/>
                <w:szCs w:val="2"/>
                <w:color w:val="auto"/>
              </w:rPr>
            </w:pPr>
          </w:p>
        </w:tc>
        <w:tc>
          <w:tcPr>
            <w:tcW w:w="222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40"/>
          </w:cols>
          <w:pgMar w:left="240" w:top="130"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40"/>
          </w:cols>
          <w:pgMar w:left="240" w:top="130" w:right="21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Additional results from the Phase 3 studies will be presented at upcoming medical congresses.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and Sanofi have also initiated additional Phase 3 studies, SARIL-RA-ONE, SARIL-RA-MONARCH, and SARIL-RA-KAKEHASI (in Japan). In addition, the SARIL-RA-HARUKA long-term safety trial was initiated in Japan in the first quarter of 2015. In the second quarter of 2015, an open-label, randomized, parallel group, single-dose Phase 1 study to assess the safety of IL-6 receptor blockade with sarilumab or tocilizumab monotherapy in Japanese patients with RA was also initiated. The broad SARIL-RA clinical development program is focused on adult populations with moderate-to-severe RA who are inadequate responders to either MTX or tumor necrosis factor alpha inhibitor therapy. Patients who complete SARIL-RA-MOBILITY, SARIL-RA-TARGET, SARIL-RA-ASCERTAIN, or SARIL-RA-ONE are offered enrollment into the ongoing SARIL-RA-EXTEND, which is an open-label, long-term safety study of sarilumab.</w:t>
      </w:r>
    </w:p>
    <w:p>
      <w:pPr>
        <w:spacing w:after="0" w:line="243"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i w:val="1"/>
          <w:iCs w:val="1"/>
          <w:color w:val="auto"/>
        </w:rPr>
        <w:t>Phase 2 SARIL-NIU-SATURN Study</w:t>
      </w:r>
      <w:r>
        <w:rPr>
          <w:rFonts w:ascii="Arial" w:cs="Arial" w:eastAsia="Arial" w:hAnsi="Arial"/>
          <w:sz w:val="16"/>
          <w:szCs w:val="16"/>
          <w:color w:val="auto"/>
        </w:rPr>
        <w:t>. SARIL-NIU-SATURN was a small Phase 2, randomized double-masked, placebo-controlled study (n=58)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to assess the effect of sarilumab on non-infectious uveitis of the posterior ocular segment. The primary endpoint of the study was the proportion of patients with a 2-step decrease in vitreous haze (based on a 9-point grading scale) or a steroid dose of less than 10 mg/day at week 16. Results of this study at the pre-specified primary endpoint, week 16, showed that compared with placebo patients, a greater proportion of patients randomized to sarilumab met the primary endpoint; however, this was not statistically significant. Approximately 70% of patients enrolled in the study had a baseline vitreous haze score of less than 2 as judged by the reading center, limiting our ability to interpret the vitreous haze component of the primary endpoint for these patients. Other indications of a positive effect of treatment with sarilumab compared to placebo included decreased average vitreous haze score, reduced macular edema and improved best-corrected visual acuity in patients presenting with more severe baseline ocular inflammation, and associated with improvement of leakage on fluorescein angiography. Overall, safety observations were consistent with the findings in studies of other indications with sarilumab. The study is ongoing and will continue through week 52, when we will discuss next steps with our collaborator Sanofi.</w:t>
      </w:r>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Dupilumab (REGN668; IL-4R Antibody) for allergic and inflammatory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i w:val="1"/>
          <w:iCs w:val="1"/>
          <w:color w:val="auto"/>
        </w:rPr>
        <w:t>Phase 2b Trial</w:t>
      </w:r>
      <w:r>
        <w:rPr>
          <w:rFonts w:ascii="Arial" w:cs="Arial" w:eastAsia="Arial" w:hAnsi="Arial"/>
          <w:sz w:val="17"/>
          <w:szCs w:val="17"/>
          <w:color w:val="auto"/>
        </w:rPr>
        <w:t>. In 2015, results from a Phase 2b dose-ranging study of dupilumab in adult patients with moderate-to-severe atopic dermatitis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w:t>
      </w:r>
      <w:r>
        <w:rPr>
          <w:rFonts w:ascii="Arial" w:cs="Arial" w:eastAsia="Arial" w:hAnsi="Arial"/>
          <w:sz w:val="17"/>
          <w:szCs w:val="17"/>
          <w:i w:val="1"/>
          <w:iCs w:val="1"/>
          <w:color w:val="auto"/>
        </w:rPr>
        <w:t>The Lancet</w:t>
      </w:r>
      <w:r>
        <w:rPr>
          <w:rFonts w:ascii="Arial" w:cs="Arial" w:eastAsia="Arial" w:hAnsi="Arial"/>
          <w:sz w:val="17"/>
          <w:szCs w:val="17"/>
          <w:color w:val="auto"/>
        </w:rPr>
        <w:t>. All doses of dupilumab met the primary endpoint of a greater improvement in Eczema Severe Score Index (EASI) scores from baseline compared to placebo. In the Phase 2b trial, all five subcutaneous doses of dupilumab showed a dose-dependent improvement in the primary endpoint, the mean percent change in EASI score from baseline to week 16. The improvements in EASI score ranged from a high of 74% for patients in the highest dose group, who received 300 mg weekly, to a low of 45% in patients who received the lowest dose of 100 mg monthly, compared to 18% for patients in the placebo group (p&lt;0.0001 for all doses). The most common AE in the Phase 2b study was nasopharyngitis, which was balanced across dupilumab treatment groups (18.5% to 23%) compared to placebo (21%). Injection site reactions were more frequent in the dupilumab group (5% to 9.5%) compared to placebo (3%), as was headache (12% to 15%) compared to placebo (8%).</w:t>
      </w:r>
    </w:p>
    <w:p>
      <w:pPr>
        <w:spacing w:after="0" w:line="233"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Dupilumab-treated patients showed highly statistically significant and dose-dependent improvements in additional key efficacy measures compared to placebo after 16 weeks of treatment:</w:t>
      </w:r>
    </w:p>
    <w:p>
      <w:pPr>
        <w:spacing w:after="0" w:line="89" w:lineRule="exact"/>
        <w:rPr>
          <w:sz w:val="20"/>
          <w:szCs w:val="20"/>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12% to 33% of dupilumab-treated patients achieved clearing or near-clearing of skin lesions, as measured by an Investigator's Global Assessment (IGA) score of 0 or 1, compared to 2% with placebo (p=0.02 to p&lt;0.0001).</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Dupilumab-treated patients experienced a 16.5% to 47% mean reduction in itching, as measured by the pruritus numerical-rating scale (NRS) score, compared to an increase of 5% in the placebo group (p=0.0005 to p&lt;0.0001).</w:t>
      </w:r>
    </w:p>
    <w:p>
      <w:pPr>
        <w:spacing w:after="0" w:line="10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This Phase 2b double-blind, placebo-controlled, 16-week, dose-ranging study randomized 380 patients with moderate-to-severe atopic dermatitis, who could not be adequately controlled with topical medication or for whom topical treatment was not advisable. Patients were randomized to receive one of five doses of dupilumab (300 mg weekly, 300 mg every other week, 300 mg monthly, 200 mg every other week, 100 mg monthly) or placebo. Patients in the study had approximately 50% of their skin affected by atopic dermatitis at baseline. In the year preceding enrollment in the study, approximately 35% of patients received an oral</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corticosteroid and approximately 20% received a systemic non-steroid immunosuppressant for atopic dermatitis. Approximately 60% of patients had another allergic condition, including approximately 40% of patients who had a history of asthma.</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In 2015, three Phase 3 trials in atopic dermatitis, LIBERTY AD CHRONOS, LIBERTY AD SOLO 1, and LIBERTY AD SOLO 2,</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enrollment. Patients from these studies were transitioned to either the ongoing LIBERTY CONTINUE or LIBERTY AD Open label Extension trials. The LIBERTY AD Phase 3 clinical program consists of patients with moderate-to-severe atopic dermatitis at sites worldwide.</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November 2014, the FDA granted Breakthrough Therapy designation to dupilumab for the treatment of adults with moderate-to-severe atopic dermatitis who are not adequately controlled with topical prescription therapy and/or for whom these treatments are not appropriate. This designation is based on positive results from Phase 1 and 2 clinical trials, the determination that atopic dermatitis is a serious disease, and preliminary clinical evidence that indicates that the drug may demonstrate substantial improvement over existing therapies.</w:t>
      </w:r>
    </w:p>
    <w:p>
      <w:pPr>
        <w:spacing w:after="0" w:line="241"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December 2015, the United Kingdom (UK) Medicines &amp; Healthcare products Regulatory Agency (MHRA) granted Promising Innovative Medicine (PIM) Designation to dupilumab in the short-term treatment of adult patients with severe atopic dermatitis who have responded inadequately to all available topical prescription treatments and/or systemic ciclosporin, or who are intolerant of or ineligible for such treatments. A PIM Designation is an early indication that a medicinal product is a promising candidate for the Early Access to Medicines Scheme (EAMS), in the treatment, diagnosis, or prevention of life-threatening or seriously debilitating conditions with unmet need. PIM Designation is the first step in a 2-step EAMS process that allows patients to be treated with dupilumab in advance of formal regulatory approval.</w:t>
      </w:r>
    </w:p>
    <w:p>
      <w:pPr>
        <w:spacing w:after="0" w:line="2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i w:val="1"/>
          <w:iCs w:val="1"/>
          <w:color w:val="auto"/>
        </w:rPr>
        <w:t>Phase 2 Trial in Pediatric Patients</w:t>
      </w:r>
      <w:r>
        <w:rPr>
          <w:rFonts w:ascii="Arial" w:cs="Arial" w:eastAsia="Arial" w:hAnsi="Arial"/>
          <w:sz w:val="18"/>
          <w:szCs w:val="18"/>
          <w:color w:val="auto"/>
        </w:rPr>
        <w:t>. In March 2015, a Phase 2 pharmacokinetic and safety study in pediatric patients (6-17 years of age) with moderate-to-severe atopic dermatitis was initiated and is fully enrolled.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i w:val="1"/>
          <w:iCs w:val="1"/>
          <w:color w:val="auto"/>
        </w:rPr>
        <w:t>Phase 2b Study</w:t>
      </w:r>
      <w:r>
        <w:rPr>
          <w:rFonts w:ascii="Arial" w:cs="Arial" w:eastAsia="Arial" w:hAnsi="Arial"/>
          <w:sz w:val="16"/>
          <w:szCs w:val="16"/>
          <w:color w:val="auto"/>
        </w:rPr>
        <w:t>. In May 2015, we and Sanofi presented positive results from an interim analysis of a pivotal Phase 2b study of dupilumab in adult patients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moderate-to-severe asthma, who are uncontrolled despite treatment with inhaled corticosteroids and long-acting beta agonists (ICS/LABA), at the American Thoracic Society 2015 International Conference. The results of this study demonstrated that dupilumab added to standard-of-care therapy demonstrated fewer exacerbations and improved lung function across both the high and low baseline eosinophil groups of patients. As previously reported in 2014, the study met its primary endpoint of improving lung function in asthma patients with high blood eosinophil counts ((HEos), greater than or equal to 300 eosinophilic cells/microliter). New data presented on secondary endpoints at the American Thoracic Society 2015 International Conference included positive results in study patients with low blood eosinophil counts ((LEos), less than 300 eosinophilic cells/microliter), who are thought to be less likely to suffer from "allergic" asthma and thus less likely to respond to Type 2 helper T-cell (TH2) targeted therapies. Based on discussions with the FDA, this Phase 2b study may be considered one of two pivotal efficacy studies required for a potential dupilumab BLA in asthma.</w:t>
      </w:r>
    </w:p>
    <w:p>
      <w:pPr>
        <w:spacing w:after="0" w:line="221"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The results presented in May 2015 focused on LEos asthma patients. In this population, patients treated every other week with either 200 mg or 300 mg doses of dupilumab showed a greater than 8% improvement in forced expiratory volume over one second ((FEV1), a standard measure of lung function) at week 12 (p&lt;0.001), in comparison to placebo, both in combination with ICS/LABA. Additionally, the 200 mg and 300 mg every other week doses of dupilumab in combination with ICS/LABA showed 68% and 62% reductions, respectively, in adjusted annualized rate of severe exacerbations in the LEos population (p&lt;0.01 and p&lt;0.05), in comparison to placebo in combination with ICS/LABA. These results are consistent with previously reported positive results in HEos asthma patients and the overall patient population, in which the two every other week doses (200 mg and 300 mg) of dupilumab in combination with ICS/LABA demonstrated a statistically significant 12% to 15% improvement in FEV1 over placebo at week 12 and a 64% to 75% improvement in annualized rate of severe exacerbations over placebo. Dupilumab also significantly reduced mean fractional exhaled nitric oxide (FeNO) across both every other week doses tested (200 mg and 300 mg) and the three patient populations (overall, LEos and HEos), in a roughly dose-dependent manner. FeNO is recommended by the American Thoracic Society clinical practice guidelines to assess airway inflammation, since higher-than-normal levels of nitric oxide may be released when a patient has a chronic airway disease, such as asthma.</w:t>
      </w:r>
    </w:p>
    <w:p>
      <w:pPr>
        <w:spacing w:after="0" w:line="237"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The most common AE was injection site reaction, which was more frequent in the dupilumab dose groups (13% to 25%) compared to placebo (12%). Other common AEs in the study included upper respiratory tract infection (10% to 13% dupilumab; 13% placebo), headache (5% to 10% dupilumab; 8% placebo), nasopharyngitis (3% to 10% dupilumab; 6% placebo) and bronchitis (5% to 8% dupilumab; 8% placebo). The incidence of infections was balanced across treatment groups (42% to 45% dupilumab; 46% placebo), as was the incidence of serious AEs (3% to 7% dupilumab; 5% placebo).</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These results were based on a pre-specified interim analysis, which occurred when all patients had reached week 12 of the 24-week treatment period; the average treatment duration at the time of the analysis was 21.4 weeks. The primary endpoint of the study was improvement from baseline in FEV1 at week 12 in the HEos group.</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A Phase 3 trial, LIBERTY ASTHMA QUEST, in patients with uncontrolled persistent asthma was initiated in the second quarter of 2015.</w:t>
      </w:r>
      <w:r>
        <w:rPr>
          <w:rFonts w:ascii="Arial" w:cs="Arial" w:eastAsia="Arial" w:hAnsi="Arial"/>
          <w:sz w:val="16"/>
          <w:szCs w:val="16"/>
          <w:i w:val="1"/>
          <w:iCs w:val="1"/>
          <w:color w:val="auto"/>
        </w:rPr>
        <w:t xml:space="preserve"> </w:t>
      </w:r>
      <w:r>
        <w:rPr>
          <w:rFonts w:ascii="Arial" w:cs="Arial" w:eastAsia="Arial" w:hAnsi="Arial"/>
          <w:sz w:val="16"/>
          <w:szCs w:val="16"/>
          <w:color w:val="auto"/>
        </w:rPr>
        <w:t>LIBERTY ASTHMA QUEST is expected to serve as the second required pivotal efficacy study, since, based on discussions with the FDA, the Phase 2b study will also be considered a pivotal efficacy study. The global, placebo-controlled Phase 3 study is expected to enroll more than 1,600 patients with uncontrolled persistent asthma and will evaluate two doses of dupilumab, 200 mg and 300 mg, subcutaneously administered every other week.</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Polyposis</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i w:val="1"/>
          <w:iCs w:val="1"/>
          <w:color w:val="auto"/>
        </w:rPr>
        <w:t>Phase 2 Trial</w:t>
      </w:r>
      <w:r>
        <w:rPr>
          <w:rFonts w:ascii="Arial" w:cs="Arial" w:eastAsia="Arial" w:hAnsi="Arial"/>
          <w:sz w:val="17"/>
          <w:szCs w:val="17"/>
          <w:color w:val="auto"/>
        </w:rPr>
        <w:t>. In 2013, a Phase 2 trial in NPwCS was initiated. In September 2014, we and Sanofi announced positive results from the Phase 2 proof-of-concept study of dupilumab in patients with moderate-to-severe NPwCS who did not respond to intranasal corticosteroids. The randomized, double-blind, placebo-controlled study enrolled 60 adult patients with moderate-to-severe NPwCS. Patients in the study received 300 mg of dupilumab, following an initial loading dose of 600 mg, or placebo, administered once per week subcutaneously for 16 weeks. All patients in the study also received a standard-of-care nasal corticosteroid spray. Patients were eligible for the study if they continued to have severe NPwCS despite standard treatment for at least one month. Fifty percent of patients in the study had received prior surgery for their condition. Asthma was also present in 58 percent of NPwCS patients in the study. The conditions are often co-morbid and symptoms/exacerbations are frequently interdependent.</w:t>
      </w:r>
    </w:p>
    <w:p>
      <w:pPr>
        <w:spacing w:after="0" w:line="23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study, dupilumab resulted in a statistically-significant decrease in the size of nasal polyps, as measured by endoscopic Nasal Polyp Score (NPS), the primary endpoint of the study. Statistically significant improvements in all secondary efficacy endpoints were also observed, including objective measures of sinusitis by CT scan, nasal air flow, and patient-reported symptoms (sense of smell, congestion, postnasal drip, runny nose and sleep disturbance). In a pre-specified exploratory analysis, dupilumab-treated patients who also had asthma demonstrated significant improvements in asthma control. The safety profile was consistent with previous studies. The most common AEs with dupilumab were injection site reactions, nasopharyngitis, oropharyngeal pain, epistaxis, headache, and dizziness.</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i w:val="1"/>
          <w:iCs w:val="1"/>
          <w:color w:val="auto"/>
        </w:rPr>
        <w:t xml:space="preserve">Phase 2 Trial. </w:t>
      </w:r>
      <w:r>
        <w:rPr>
          <w:rFonts w:ascii="Arial" w:cs="Arial" w:eastAsia="Arial" w:hAnsi="Arial"/>
          <w:sz w:val="18"/>
          <w:szCs w:val="18"/>
          <w:color w:val="auto"/>
        </w:rPr>
        <w:t>A Phase 2 trial of dupilumab in eosinophilic esophagitis was initiated in the first quarter of 2015. EoE is a chronic allergic inflammatory</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that is considered a major cause of gastrointestinal illness. Eosinophils are a type of white 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REGN2222 (RSV-F Antibody) for RSV</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 xml:space="preserve">Respiratory Syncytial Virus, or RSV, is a virus that infects the lungs and breathing passages. It is the most common cause of bronchiolitis (inflammation of the small airways) and is the second most common cause of death, globally, in the first year of life. RSV results in a significant healthcare burden, as it is the leading cause of infant hospitalizations in the United States. In addition to hospitalizations, RSV frequently results in emergency department, urgent care, and physicians’ office visits. It is estimated that about half of all children will have an RSV infection by their first birthday. REGN2222 is a fully human monoclonal antibody to the RSV-F protein. REGN2222 was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w:t>
      </w:r>
    </w:p>
    <w:p>
      <w:pPr>
        <w:spacing w:after="0" w:line="227"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Based on clinical results from a Phase 1 study, a Phase 3 pivotal clinical study of REGN2222 (NURSERY Pre-Term) was initiated in the third quarter of 2015 and is currently enrolling patients.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October 2015, the FDA granted Fast Track designation to REGN2222 for the prevention of serious lower respiratory tract disease caused by RSV.</w:t>
      </w: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Persistent osteoarthritic pain represents a growing unmet medical need. Pain is a frequent reason for physician visits, a common reason for taking prescription medications, and a major cause of work disability and impaired quality of life. Targeting NGF is a potential advance in pain management. NGF expression is elevated in many acute and chronic painful conditions and NGF blockade has demonstrated efficacy in various animal models of pain.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A Phase 2b/3 clinical study (16-weeks) in patients with pain due to osteoarthritis was initiated in the second quarter of 2015. In the first quarter of 2016, the FDA confirmed that we may proceed with studies of longer than sixteen-week duration.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17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2015, we and the Biomedical Advanced Research and Development Authority (BARDA) of the U.S. Department of Health and Human Services (HHS) entered into an agreement to develop, test, and manufacture a monoclonal antibody therapy for the treatment of Ebola virus infection. HHS will provide initial funding of approximately $17.0 million to support our preclinical development and antibody manufacturing. HHS also has the option to provide for up to an additional $32.2 million for a Phase 1 study in healthy volunteers, and further manufacturing and development studies.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Technologies</w:t>
      </w:r>
    </w:p>
    <w:p>
      <w:pPr>
        <w:spacing w:after="0" w:line="28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scientists have developed two different technologies to design protein therapeutics to block the action of specific cell surface or secreted proteins. The first technology, termed the "Trap" technology, was used to generate EYLEA, ZALTRAP, and ARCALYST. These novel "Traps" are composed of fusions between two distinct receptor components and the constant region of an antibody molecule called the "Fc region," resulting in high affinity product candidates.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is our second technology platform; it is used for discovering, developing, and producing fully human monoclonal antibodies that can address both secreted and cell-surface targets.</w:t>
      </w:r>
    </w:p>
    <w:p>
      <w:pPr>
        <w:spacing w:after="0" w:line="242"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8"/>
          <w:szCs w:val="18"/>
          <w:b w:val="1"/>
          <w:bCs w:val="1"/>
          <w:i w:val="1"/>
          <w:iCs w:val="1"/>
          <w:color w:val="auto"/>
        </w:rPr>
        <w:t xml:space="preserve">VelociSuite. </w:t>
      </w:r>
      <w:r>
        <w:rPr>
          <w:rFonts w:ascii="Arial" w:cs="Arial" w:eastAsia="Arial" w:hAnsi="Arial"/>
          <w:sz w:val="18"/>
          <w:szCs w:val="18"/>
          <w:i w:val="1"/>
          <w:iCs w:val="1"/>
          <w:color w:val="auto"/>
        </w:rPr>
        <w:t>VelociSuite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 VelociGene, VelociMouse</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VelociMab</w:t>
      </w:r>
      <w:r>
        <w:rPr>
          <w:rFonts w:ascii="Arial" w:cs="Arial" w:eastAsia="Arial" w:hAnsi="Arial"/>
          <w:sz w:val="18"/>
          <w:szCs w:val="18"/>
          <w:color w:val="auto"/>
        </w:rPr>
        <w:t>.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VelocImmune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mouse platform is utilized to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fully human monoclonal antibodies.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was generated by exploiting our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technology (see below), in a process in which six megabases of mouse immune gene loci were replaced, or "humanized," with corresponding human immune gene loci.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mice can be used to generate efficiently fully human monoclonal antibodies to targets of therapeutic interest.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and our entire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to produce our next generation of drug candidates for preclinical and clinical development.</w:t>
      </w:r>
    </w:p>
    <w:p>
      <w:pPr>
        <w:spacing w:after="0" w:line="260"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offers the 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3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8"/>
          <w:szCs w:val="18"/>
          <w:i w:val="1"/>
          <w:iCs w:val="1"/>
          <w:color w:val="auto"/>
        </w:rPr>
        <w:t>VelociMouse</w:t>
      </w:r>
      <w:r>
        <w:rPr>
          <w:rFonts w:ascii="Arial" w:cs="Arial" w:eastAsia="Arial" w:hAnsi="Arial"/>
          <w:sz w:val="18"/>
          <w:szCs w:val="18"/>
          <w:color w:val="auto"/>
        </w:rPr>
        <w:t xml:space="preserve"> technology are suitable for direct phenotyping or other studies. We have also developed our </w:t>
      </w:r>
      <w:r>
        <w:rPr>
          <w:rFonts w:ascii="Arial" w:cs="Arial" w:eastAsia="Arial" w:hAnsi="Arial"/>
          <w:sz w:val="18"/>
          <w:szCs w:val="18"/>
          <w:i w:val="1"/>
          <w:iCs w:val="1"/>
          <w:color w:val="auto"/>
        </w:rPr>
        <w:t>VelociMab</w:t>
      </w:r>
      <w:r>
        <w:rPr>
          <w:rFonts w:ascii="Arial" w:cs="Arial" w:eastAsia="Arial" w:hAnsi="Arial"/>
          <w:sz w:val="18"/>
          <w:szCs w:val="18"/>
          <w:color w:val="auto"/>
        </w:rPr>
        <w:t xml:space="preserve"> platform for the rapid screening of antibodies and rapid generation of expression cell lines for our Traps and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human monoclonal antibodies.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 xml:space="preserve">We have utilized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to develop a class of potential drug candidates, known as bi-specific antibodies. In the area of immunotherapies in oncology, we are exploring the use of bi-specific antibodies that target tumor antigens and the CD3 receptor on T-cells to harness the oncolytic properties of T-cells. Our first such bi-specific antibody, which entered into clinical development in 2014, targets CD20 and CD3.</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 xml:space="preserve">Regeneron Genetics Center. </w:t>
      </w:r>
      <w:r>
        <w:rPr>
          <w:rFonts w:ascii="Arial" w:cs="Arial" w:eastAsia="Arial" w:hAnsi="Arial"/>
          <w:sz w:val="18"/>
          <w:szCs w:val="18"/>
          <w:color w:val="auto"/>
        </w:rPr>
        <w:t>In 2014, we launched a new human genetics initiative via a wholly owned subsidiary, Regeneron Genetics Center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(RGC). RGC leverages de-identified clinical, genomic, and molecular data from human volunteers to identify medically relevant associations in a blinded fashion designed to preserve patients' privacy. The objective of RGC is to expand the use of human genetics for discovering and validating genetic factors that cause or influence a range of diseases where there are major unmet medical needs, with the prospect of improving the drug discovery and development process. RGC is undertaking multiple approaches, including large population-based efforts as well as family- and founder-based approaches. RGC utilizes laboratory automation and innovative approaches to cloud computing to achieve high-quality throughput at a rate that currently exceeds 100,000 unique samples sequenced per year.</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Central to the work of RGC is a collaboration with the Geisinger Health System of Pennsylvania. Geisinger collects samples from consented patient volunteers, while RGC performs sequencing and genotyping to generate de-identified genomic data. In addition, RGC has expanded on its foundational population-based collaboration with Geisinger with a growing number of other institutions worldwide, including Columbia University Medical Center, the Clinic for Special Children, Baylor College of Medicine, and SickKids in Toronto.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Antibodies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November 2007, we and Sanofi have been parties to a global, strategic collaboration to discover, develop, and commercialize fully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was responsible for funding up to $160.0 million per year of our antibody discovery activities over the period from 2010-2017. However, in connection with the companies' July 2015 immuno-oncology collaboration as described below, the 2015-2017 amounts have been revised, and Sanofi is now responsible for funding up to $145.0 million in 2015, and up to $130.0 million in each of 2016 and 2017 to identify and validate potential drug discovery targets and develop fully human monoclonal antibodies against these targets. Our discovery activities to identify and validate potential drug discovery targets in the field of immuno-oncology and develop fully human monoclonal antibodies against these targets will now be funded by Sanofi under the terms of the companies’ new immuno-oncology collaboration. We lead the design and conduct of research activities under the Antibody Discovery Agreement, including target identification and validation, antibody development, research and preclinical activities through filing of an Investigational New Drug application (IND) or its equivalent, toxicology studies, and manufacture of preclinical and clinical supplies. Sanofi has an option to extend certain antibody development and preclinical activities relating to selected program targets for up to an additional three years after 2017.</w:t>
      </w:r>
    </w:p>
    <w:p>
      <w:pPr>
        <w:spacing w:after="0" w:line="22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246"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will record product sales and cost of sales for commercialized products, and Regeneron has the right to co-promote such products. We have exercised our option to co-promote Praluent, sarilumab, and dupilumab in the United States. We have not exercised our option to co-promote Praluent outside the United States; however, we retain the right to do so at a future date subject to the terms of the collaboration agreement. We and Sanofi will equally share profits and losses from sales within the United States. We and Sanofi will share profits outside the United States on a sliding scale based on sales starting at 65% (Sanofi)/35% (us) and ending at 55% (Sanofi)/45% (us), and will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b w:val="1"/>
          <w:bCs w:val="1"/>
          <w:i w:val="1"/>
          <w:iCs w:val="1"/>
          <w:color w:val="auto"/>
        </w:rPr>
        <w:t xml:space="preserve">Immuno-Oncology. </w:t>
      </w:r>
      <w:r>
        <w:rPr>
          <w:rFonts w:ascii="Arial" w:cs="Arial" w:eastAsia="Arial" w:hAnsi="Arial"/>
          <w:sz w:val="17"/>
          <w:szCs w:val="17"/>
          <w:color w:val="auto"/>
        </w:rPr>
        <w:t>In July 2015, we and Sanofi entered into a global strategic collaboration to discover, develop, and commercialize antibody-based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44"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ZALTRAP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September 2003 to February 2015, we and Sanofi were parties to a global collaboration (ZALTRAP Collaboration Agreement)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commercialization of ZALTRAP. In February 2015, we and Sanofi entered into an Amended ZALTRAP Agreement.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us a percentage of aggregate net sales of ZALTRAP during each calendar year, which percentage shall be from 15% to 30%, depending on the aggregate net sales of ZALTRAP in such calendar year. We will also be paid for all quantities of ZALTRAP manufactured by us pursuant to a supply agreement through the earlier of 2021 or the date Sanofi receives regulatory approval to manufacture ZALTRAP at one of its facilities or a facility of a third party. In addition, Regeneron no longer has a contingent contractual obligation (which was approximately $461 million at December 31, 2014) to reimburse Sanofi for 50% of the development expenses that Sanofi previously funded for the development of ZALTRAP under the ZALTRAP Collaboration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 HealthCare</w:t>
      </w:r>
    </w:p>
    <w:p>
      <w:pPr>
        <w:spacing w:after="0" w:line="27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i w:val="1"/>
          <w:iCs w:val="1"/>
          <w:color w:val="auto"/>
        </w:rPr>
        <w:t>EYLEA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October 2006, we and Bayer HealthCare have been parties to a license and collaboration agreement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development and commercialization outside the United States of EYLEA. Under the agreement, we and Bayer HealthCare collaborate on, and share the costs of, the development of EYLEA through an integrated global plan. Bayer HealthCare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 payments and $165.0 million of sales milestone payments from Bayer HealthCare. During the first quarter of 2015, we earned the final potential milestone payment under our Bayer HealthCare collaboration agreement in connection with EYLEA outside the United States.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HealthCare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HealthCare at a faster rate. As a result, we expect that a portion of our share of EYLEA profits outside the United States will be used to reimburse Bayer HealthCare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i w:val="1"/>
          <w:iCs w:val="1"/>
          <w:color w:val="auto"/>
        </w:rPr>
        <w:t>PDGFR-beta antibody outside the United States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January 2014, we entered into an agreement with Bayer HealthCare governing the joint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and commercialization outside the United States of an antibody product candidate to PDGFR-beta, including in combination with EYLEA, for the treatment of ocular diseases or disorders. REGN2176-3, a combination product candidate comprised of an antibody to PDGFR-beta co-formulated with EYLEA,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agreement, Bayer HealthCare made a $25.5 million non-refundable up-front payment to us in January 2014, and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a total of $5.0 million of development milestone payments to us in the 2014, and an additional $5.0 million development milestone payment to us in 2015. We are eligible to receive a $10.0 million additional future development milestone payment from Bayer HealthCare, although this payment could be reduced by half if Bayer HealthCare does not opt-in to the collaboration.</w:t>
      </w:r>
    </w:p>
    <w:p>
      <w:pPr>
        <w:spacing w:after="0" w:line="24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we have exclusive commercialization rights and will retain all of the profits from sales. If Bayer HealthCare does not opt-in to the collaboration, we will have exclusive rights to develop and commercialize PDGFR-beta antibodies (except as a combination product with EYLEA) for use outside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Fasinumab Asia. </w:t>
      </w:r>
      <w:r>
        <w:rPr>
          <w:rFonts w:ascii="Arial" w:cs="Arial" w:eastAsia="Arial" w:hAnsi="Arial"/>
          <w:sz w:val="18"/>
          <w:szCs w:val="18"/>
          <w:color w:val="auto"/>
        </w:rPr>
        <w:t>In September 2015, we entered into a collaboration agreement with Mitsubishi Tanabe Pharma Corporation (MTPC) providing MTPC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the first quarter of 2016, MTPC</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0"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became obligated to make an additional $45.0 million payment to us. We are also entitled to receive up to an aggregate of $170.0 million in development milestone and other contingent payments.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MTPC has ceased developing or commercializing fasinumab in the MTPC Territories.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bulk drug materials at our manufacturing facilities in Rensselaer, New York, which consists of approximately 440,000 square feet of owned research, manufacturing, office, and warehouse space. We currently have approximately 76,000 liters of cell culture capacity at these facilities. At December 31, 2015, we employed approximately 1,325 people at our Rensselaer facilities.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2014, we acquired a 400,000 square foot facility in Limerick, Ireland. We are renovating this facility to accommodate and support our growth, primarily in connection with expanding our manufacturing capacity to support our global supply chain.</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Certain raw materials or other products necessary for the manufacture and formulation of EYLEA, Praluent, ARCALYST, and our product candidates are provided by single-source unaffiliated third-party suppliers. In addition, we rely on certain third parties to perform packaging, filling, finishing, labeling, distribution, laboratory testing, and other services related to the manufacture of EYLEA, Praluent, ARCALYST, and our product candidates, and to supply various raw materials and other products. See Part I, Item 1A. "Risk Factors - Risks Related to Manufacturing and Supply" for further information.</w:t>
      </w:r>
    </w:p>
    <w:p>
      <w:pPr>
        <w:spacing w:after="0" w:line="20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We are approved to manufacture our marketed products at our Rensselaer facilities.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 New Products Marketing and Planning group, a Market Research group, and a Market Access group to evaluate commercial opportunities for our targets and drug candidates, assess the competitive environment, and analyze the commercial potential of our product portfolio, and prepare for market launch of new products. These groups are fully functional to support our product and product candidates that we are independently developing and/or commercializing, and also work closely with our collaborators for co-developed products to develop marketing plans and forecasts and to develop and execute pre-launch market development programs.</w:t>
      </w:r>
    </w:p>
    <w:p>
      <w:pPr>
        <w:spacing w:after="0" w:line="242"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also have a full-service commercialization group to handle various aspects of our commercial programs. The group includes experienced professionals in the fields of marketing, communications, professional education, patient education and advocacy, reimbursement and market access, trade and distribution, commercial operations, commercial analytics, market research, and forecasting. Moreover, for EYLEA and Praluent, we have hired, trained, and deployed a field-based organization including regional sales directors, medical sales specialists, and reimbursement managers, each typically with a number of years of experience in the biopharmaceutical industry in a variety of therapeutic areas including oncology, ophthalmology, immunology, and inflammation. Hiring has commenced for our U.S. field teams for both sarilumab and dupilumab. We have approximately 70 field-based employees working on EYLEA and 330 field-based employees working on Praluent. We have significantly expanded the commercialization group to support the launch of Praluent in 2015. We outsource the warehousing and distribution of our finished drug products.</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connection with the sales and marketing of ARCALYST for CAPS, we have a marketing, trade, reimbursement, and distribution group to provide case management and reimbursement services to patients with CAPS and their treating physicians.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sell EYLEA in the United States to several distributors and specialty pharmacies. We sell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 For the years ended December 31, 2015, 2014, and 2013, we recorded 67%, 73%, and 76%, respectively, of our total gross product revenue from sales to a single distributor, Besse Medical, which is a subsidiary of AmerisourceBergen Corporation. We are also a party to collaboration agreements with Bayer HealthCare and Sanofi, whereby our collaborator is responsible for recording product sales of EYLEA outside the United States and global sales of Praluent,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face substantial competition from pharmaceutical, biotechnology, and chemical companies. Our competitors include Genentech (a member of the Roche Group), Roche, Novartis AG, Pfizer Inc., Allergan, Inc., Eli Lilly and Company, AbbVie Inc., Merck &amp; Co., Inc., Amgen Inc., AstraZeneca PLC, Bristol-Myers Squibb Company, Johnson &amp; Johnson, GlaxoSmithKline plc,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if we are able to commercialize additional product candidates, one or more of our competitors may have brought a competitive product to market earlier than us or may have obtained or obtain patent protection that dominates or adversely affects our activities or products. Our ability to compete depends, to a great extent, on how fast we can develop safe and effective product candidates, complete clinical testing and approval processes, and supply commercial quantities of the product to the market. Competition among product candidates approved for sale is based on efficacy, safety, reliability, availability, price, patent position, and other factors.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EYLEA. </w:t>
      </w:r>
      <w:r>
        <w:rPr>
          <w:rFonts w:ascii="Arial" w:cs="Arial" w:eastAsia="Arial" w:hAnsi="Arial"/>
          <w:sz w:val="18"/>
          <w:szCs w:val="18"/>
          <w:color w:val="auto"/>
        </w:rPr>
        <w:t>The following table provides an overview of the competitive landscape for EYLEA:</w:t>
      </w:r>
    </w:p>
    <w:p>
      <w:pPr>
        <w:spacing w:after="0" w:line="200" w:lineRule="exact"/>
        <w:rPr>
          <w:sz w:val="20"/>
          <w:szCs w:val="20"/>
          <w:color w:val="auto"/>
        </w:rPr>
      </w:pPr>
    </w:p>
    <w:p>
      <w:pPr>
        <w:spacing w:after="0" w:line="237"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Competitor</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Commercial or</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Product/Product</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Development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2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1700" w:type="dxa"/>
            <w:vAlign w:val="bottom"/>
            <w:gridSpan w:val="2"/>
          </w:tcPr>
          <w:p>
            <w:pPr>
              <w:ind w:left="340"/>
              <w:spacing w:after="0"/>
              <w:rPr>
                <w:sz w:val="20"/>
                <w:szCs w:val="20"/>
                <w:color w:val="auto"/>
              </w:rPr>
            </w:pPr>
            <w:r>
              <w:rPr>
                <w:rFonts w:ascii="Arial" w:cs="Arial" w:eastAsia="Arial" w:hAnsi="Arial"/>
                <w:sz w:val="18"/>
                <w:szCs w:val="18"/>
                <w:b w:val="1"/>
                <w:bCs w:val="1"/>
                <w:color w:val="auto"/>
              </w:rPr>
              <w:t>Competitor</w:t>
            </w:r>
          </w:p>
        </w:tc>
        <w:tc>
          <w:tcPr>
            <w:tcW w:w="2020" w:type="dxa"/>
            <w:vAlign w:val="bottom"/>
            <w:gridSpan w:val="2"/>
          </w:tcPr>
          <w:p>
            <w:pPr>
              <w:ind w:left="560"/>
              <w:spacing w:after="0"/>
              <w:rPr>
                <w:sz w:val="20"/>
                <w:szCs w:val="20"/>
                <w:color w:val="auto"/>
              </w:rPr>
            </w:pPr>
            <w:r>
              <w:rPr>
                <w:rFonts w:ascii="Arial" w:cs="Arial" w:eastAsia="Arial" w:hAnsi="Arial"/>
                <w:sz w:val="18"/>
                <w:szCs w:val="18"/>
                <w:b w:val="1"/>
                <w:bCs w:val="1"/>
                <w:color w:val="auto"/>
              </w:rPr>
              <w:t>Indication</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Territory</w:t>
            </w:r>
          </w:p>
        </w:tc>
        <w:tc>
          <w:tcPr>
            <w:tcW w:w="0" w:type="dxa"/>
            <w:vAlign w:val="bottom"/>
          </w:tcPr>
          <w:p>
            <w:pPr>
              <w:spacing w:after="0"/>
              <w:rPr>
                <w:sz w:val="1"/>
                <w:szCs w:val="1"/>
                <w:color w:val="auto"/>
              </w:rPr>
            </w:pPr>
          </w:p>
        </w:tc>
      </w:tr>
      <w:tr>
        <w:trPr>
          <w:trHeight w:val="27"/>
        </w:trPr>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80" w:type="dxa"/>
            <w:vAlign w:val="bottom"/>
            <w:gridSpan w:val="2"/>
            <w:shd w:val="clear" w:color="auto" w:fill="CCEEFF"/>
          </w:tcPr>
          <w:p>
            <w:pPr>
              <w:ind w:left="40"/>
              <w:spacing w:after="0" w:line="222" w:lineRule="exact"/>
              <w:rPr>
                <w:sz w:val="20"/>
                <w:szCs w:val="20"/>
                <w:color w:val="auto"/>
              </w:rPr>
            </w:pPr>
            <w:r>
              <w:rPr>
                <w:rFonts w:ascii="Arial" w:cs="Arial" w:eastAsia="Arial" w:hAnsi="Arial"/>
                <w:sz w:val="18"/>
                <w:szCs w:val="18"/>
                <w:color w:val="auto"/>
              </w:rPr>
              <w:t>Lucentis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(ranibizumab)</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Novartis/Genentech</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DME,</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macular edema following</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RVO, choroidal</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neovascularization</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secondary to pathologic</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myopia, diabetic</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retinopathy in patients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with DME, and other eye</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indications</w:t>
            </w: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line="228" w:lineRule="exact"/>
              <w:rPr>
                <w:sz w:val="20"/>
                <w:szCs w:val="20"/>
                <w:color w:val="auto"/>
              </w:rPr>
            </w:pPr>
            <w:r>
              <w:rPr>
                <w:rFonts w:ascii="Arial" w:cs="Arial" w:eastAsia="Arial" w:hAnsi="Arial"/>
                <w:sz w:val="18"/>
                <w:szCs w:val="18"/>
                <w:color w:val="auto"/>
              </w:rPr>
              <w:t>Avastin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(bevacizumab)</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Used to treat wet AMD, DME,</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Roche/Genentech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DME, and</w:t>
            </w:r>
          </w:p>
        </w:tc>
        <w:tc>
          <w:tcPr>
            <w:tcW w:w="1700" w:type="dxa"/>
            <w:vAlign w:val="bottom"/>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(off-label)</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and macular edema following</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w w:val="99"/>
              </w:rPr>
              <w:t>macular edema following</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RVO</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line="228" w:lineRule="exact"/>
              <w:rPr>
                <w:sz w:val="20"/>
                <w:szCs w:val="20"/>
                <w:color w:val="auto"/>
              </w:rPr>
            </w:pPr>
            <w:r>
              <w:rPr>
                <w:rFonts w:ascii="Arial" w:cs="Arial" w:eastAsia="Arial" w:hAnsi="Arial"/>
                <w:sz w:val="18"/>
                <w:szCs w:val="18"/>
                <w:color w:val="auto"/>
              </w:rPr>
              <w:t>Ozurdex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(dexamethasone</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Allergan</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DME, RVO</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intravitreal implant)</w:t>
            </w: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line="228" w:lineRule="exact"/>
              <w:rPr>
                <w:sz w:val="20"/>
                <w:szCs w:val="20"/>
                <w:color w:val="auto"/>
              </w:rPr>
            </w:pPr>
            <w:r>
              <w:rPr>
                <w:rFonts w:ascii="Arial" w:cs="Arial" w:eastAsia="Arial" w:hAnsi="Arial"/>
                <w:sz w:val="18"/>
                <w:szCs w:val="18"/>
                <w:color w:val="auto"/>
              </w:rPr>
              <w:t>Iluvien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(fluocinolone acetonide</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Alimera Sciences</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DME</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 EU</w:t>
            </w:r>
          </w:p>
        </w:tc>
        <w:tc>
          <w:tcPr>
            <w:tcW w:w="0" w:type="dxa"/>
            <w:vAlign w:val="bottom"/>
          </w:tcPr>
          <w:p>
            <w:pPr>
              <w:spacing w:after="0"/>
              <w:rPr>
                <w:sz w:val="1"/>
                <w:szCs w:val="1"/>
                <w:color w:val="auto"/>
              </w:rPr>
            </w:pPr>
          </w:p>
        </w:tc>
      </w:tr>
      <w:tr>
        <w:trPr>
          <w:trHeight w:val="230"/>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intravitreal implant)</w:t>
            </w: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Conbercept</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Approved in China for wet</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Chengdu Kanghong</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AMD</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 development for other eye</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Group</w:t>
            </w:r>
          </w:p>
        </w:tc>
        <w:tc>
          <w:tcPr>
            <w:tcW w:w="1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60" w:type="dxa"/>
            <w:vAlign w:val="bottom"/>
            <w:gridSpan w:val="2"/>
            <w:vMerge w:val="continue"/>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indications</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line="228" w:lineRule="exact"/>
              <w:rPr>
                <w:sz w:val="20"/>
                <w:szCs w:val="20"/>
                <w:color w:val="auto"/>
              </w:rPr>
            </w:pPr>
            <w:r>
              <w:rPr>
                <w:rFonts w:ascii="Arial" w:cs="Arial" w:eastAsia="Arial" w:hAnsi="Arial"/>
                <w:sz w:val="18"/>
                <w:szCs w:val="18"/>
                <w:color w:val="auto"/>
              </w:rPr>
              <w:t>Fovista</w:t>
            </w:r>
            <w:r>
              <w:rPr>
                <w:rFonts w:ascii="Arial" w:cs="Arial" w:eastAsia="Arial" w:hAnsi="Arial"/>
                <w:sz w:val="25"/>
                <w:szCs w:val="25"/>
                <w:color w:val="auto"/>
                <w:vertAlign w:val="superscript"/>
              </w:rPr>
              <w:t>®</w:t>
            </w:r>
            <w:r>
              <w:rPr>
                <w:rFonts w:ascii="Arial" w:cs="Arial" w:eastAsia="Arial" w:hAnsi="Arial"/>
                <w:sz w:val="18"/>
                <w:szCs w:val="18"/>
                <w:color w:val="auto"/>
              </w:rPr>
              <w:t>, an aptamer directed</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In development (Phase 3 trials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Ophthotech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against PDGF-B</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initiated in 2013 evaluating</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Corporation (in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multiple combinations of</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collaboration with</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Fovista, including Lucentis +</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Roche/Genentech</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Fovista, Avastin + Fovista, and</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and Novartis)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EYLEA + Fovista</w:t>
            </w:r>
            <w:r>
              <w:rPr>
                <w:rFonts w:ascii="Arial" w:cs="Arial" w:eastAsia="Arial" w:hAnsi="Arial"/>
                <w:sz w:val="14"/>
                <w:szCs w:val="14"/>
                <w:color w:val="auto"/>
              </w:rPr>
              <w:t>)</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RTH258 (ESBA1008), a single</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(non-inferiority</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chain antibody fragment directed</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Phase 3 trial initiated in 2014</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against VEGF-A</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comparing RTH258 and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Abicipar pegol (anti-VEGF-A-</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In development (non-inferiority</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Allergan</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80" w:type="dxa"/>
            <w:vAlign w:val="bottom"/>
            <w:gridSpan w:val="2"/>
          </w:tcPr>
          <w:p>
            <w:pPr>
              <w:ind w:left="40"/>
              <w:spacing w:after="0" w:line="216" w:lineRule="exact"/>
              <w:rPr>
                <w:sz w:val="20"/>
                <w:szCs w:val="20"/>
                <w:color w:val="auto"/>
              </w:rPr>
            </w:pPr>
            <w:r>
              <w:rPr>
                <w:rFonts w:ascii="Arial" w:cs="Arial" w:eastAsia="Arial" w:hAnsi="Arial"/>
                <w:sz w:val="18"/>
                <w:szCs w:val="18"/>
                <w:color w:val="auto"/>
              </w:rPr>
              <w:t>DARPin</w:t>
            </w:r>
            <w:r>
              <w:rPr>
                <w:rFonts w:ascii="Arial" w:cs="Arial" w:eastAsia="Arial" w:hAnsi="Arial"/>
                <w:sz w:val="25"/>
                <w:szCs w:val="25"/>
                <w:color w:val="auto"/>
                <w:vertAlign w:val="superscript"/>
              </w:rPr>
              <w:t>®</w:t>
            </w:r>
            <w:r>
              <w:rPr>
                <w:rFonts w:ascii="Arial" w:cs="Arial" w:eastAsia="Arial" w:hAnsi="Arial"/>
                <w:sz w:val="18"/>
                <w:szCs w:val="18"/>
                <w:color w:val="auto"/>
              </w:rPr>
              <w:t>)</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Phase 3 trial initiated in 2015</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comparing dosing regimens of</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abicipar pegol and Lucentis)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Bi-specific antibody</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 2)</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Roche/Genentech</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RG7716</w:t>
            </w: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Lucentis Port Delivery System</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In development (Phase 2)</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Roche/Genentech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PF582, a biosimilar to Lucentis</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 1/2)</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Pfenex Inc. (in</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collaboration with</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Pfizer)</w:t>
            </w:r>
          </w:p>
        </w:tc>
        <w:tc>
          <w:tcPr>
            <w:tcW w:w="1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40"/>
              <w:spacing w:after="0"/>
              <w:rPr>
                <w:sz w:val="20"/>
                <w:szCs w:val="20"/>
                <w:color w:val="auto"/>
              </w:rPr>
            </w:pPr>
            <w:r>
              <w:rPr>
                <w:rFonts w:ascii="Arial" w:cs="Arial" w:eastAsia="Arial" w:hAnsi="Arial"/>
                <w:sz w:val="18"/>
                <w:szCs w:val="18"/>
                <w:color w:val="auto"/>
              </w:rPr>
              <w:t>FYB201, a biosimilar to Lucentis</w:t>
            </w:r>
          </w:p>
        </w:tc>
        <w:tc>
          <w:tcPr>
            <w:tcW w:w="2560" w:type="dxa"/>
            <w:vAlign w:val="bottom"/>
            <w:gridSpan w:val="2"/>
          </w:tcPr>
          <w:p>
            <w:pPr>
              <w:ind w:left="20"/>
              <w:spacing w:after="0"/>
              <w:rPr>
                <w:sz w:val="20"/>
                <w:szCs w:val="20"/>
                <w:color w:val="auto"/>
              </w:rPr>
            </w:pPr>
            <w:r>
              <w:rPr>
                <w:rFonts w:ascii="Arial" w:cs="Arial" w:eastAsia="Arial" w:hAnsi="Arial"/>
                <w:sz w:val="18"/>
                <w:szCs w:val="18"/>
                <w:color w:val="auto"/>
              </w:rPr>
              <w:t>In development (Phase 3)</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Formycon AG (in</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collaboration with</w:t>
            </w:r>
          </w:p>
        </w:tc>
        <w:tc>
          <w:tcPr>
            <w:tcW w:w="2020" w:type="dxa"/>
            <w:vAlign w:val="bottom"/>
            <w:gridSpan w:val="2"/>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Bioeq GmbH)</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LMG324</w:t>
            </w:r>
          </w:p>
        </w:tc>
        <w:tc>
          <w:tcPr>
            <w:tcW w:w="2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 development (Phase 1/2)</w:t>
            </w:r>
          </w:p>
        </w:tc>
        <w:tc>
          <w:tcPr>
            <w:tcW w:w="1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Novartis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Wet AMD and related</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240" w:top="130" w:right="6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EYLEA faces, see Part I, Item 1A. "Risk Factors - Risks Related to Commercialization of EYLEA - </w:t>
      </w:r>
      <w:r>
        <w:rPr>
          <w:rFonts w:ascii="Arial" w:cs="Arial" w:eastAsia="Arial" w:hAnsi="Arial"/>
          <w:sz w:val="18"/>
          <w:szCs w:val="18"/>
          <w:i w:val="1"/>
          <w:iCs w:val="1"/>
          <w:color w:val="auto"/>
        </w:rPr>
        <w:t>The commercial success of EYLEA is subject to strong competition</w:t>
      </w:r>
      <w:r>
        <w:rPr>
          <w:rFonts w:ascii="Arial" w:cs="Arial" w:eastAsia="Arial" w:hAnsi="Arial"/>
          <w:sz w:val="18"/>
          <w:szCs w:val="18"/>
          <w:color w:val="auto"/>
        </w:rPr>
        <w:t xml:space="preserve">" and Part I, Item 1A. "Risk Factors - Risks Related to Commercialization of Products - </w:t>
      </w:r>
      <w:r>
        <w:rPr>
          <w:rFonts w:ascii="Arial" w:cs="Arial" w:eastAsia="Arial" w:hAnsi="Arial"/>
          <w:sz w:val="18"/>
          <w:szCs w:val="18"/>
          <w:i w:val="1"/>
          <w:iCs w:val="1"/>
          <w:color w:val="auto"/>
        </w:rPr>
        <w:t>Our marketed products are subject to significant competition, and our product candidates or new</w:t>
      </w:r>
      <w:r>
        <w:rPr>
          <w:rFonts w:ascii="Arial" w:cs="Arial" w:eastAsia="Arial" w:hAnsi="Arial"/>
          <w:sz w:val="18"/>
          <w:szCs w:val="18"/>
          <w:color w:val="auto"/>
        </w:rPr>
        <w:t xml:space="preserve"> </w:t>
      </w:r>
      <w:r>
        <w:rPr>
          <w:rFonts w:ascii="Arial" w:cs="Arial" w:eastAsia="Arial" w:hAnsi="Arial"/>
          <w:sz w:val="18"/>
          <w:szCs w:val="18"/>
          <w:i w:val="1"/>
          <w:iCs w:val="1"/>
          <w:color w:val="auto"/>
        </w:rPr>
        <w:t>indications for our marketed products, if any are approved for marketing, may face significant competition.</w:t>
      </w:r>
      <w:r>
        <w:rPr>
          <w:rFonts w:ascii="Arial" w:cs="Arial" w:eastAsia="Arial" w:hAnsi="Arial"/>
          <w:sz w:val="18"/>
          <w:szCs w:val="18"/>
          <w:color w:val="auto"/>
        </w:rPr>
        <w:t>"</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Praluent. </w:t>
      </w:r>
      <w:r>
        <w:rPr>
          <w:rFonts w:ascii="Arial" w:cs="Arial" w:eastAsia="Arial" w:hAnsi="Arial"/>
          <w:sz w:val="18"/>
          <w:szCs w:val="18"/>
          <w:color w:val="auto"/>
        </w:rPr>
        <w:t>The following table provides an overview of the competitive landscape for Praluent:</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Commercial or</w:t>
            </w:r>
          </w:p>
        </w:tc>
        <w:tc>
          <w:tcPr>
            <w:tcW w:w="1760" w:type="dxa"/>
            <w:vAlign w:val="bottom"/>
          </w:tcPr>
          <w:p>
            <w:pPr>
              <w:spacing w:after="0"/>
              <w:rPr>
                <w:sz w:val="18"/>
                <w:szCs w:val="18"/>
                <w:color w:val="auto"/>
              </w:rPr>
            </w:pPr>
          </w:p>
        </w:tc>
      </w:tr>
      <w:tr>
        <w:trPr>
          <w:trHeight w:val="216"/>
        </w:trPr>
        <w:tc>
          <w:tcPr>
            <w:tcW w:w="2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Competitor Product/Product</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Development</w:t>
            </w:r>
          </w:p>
        </w:tc>
        <w:tc>
          <w:tcPr>
            <w:tcW w:w="1760" w:type="dxa"/>
            <w:vAlign w:val="bottom"/>
          </w:tcPr>
          <w:p>
            <w:pPr>
              <w:spacing w:after="0"/>
              <w:rPr>
                <w:sz w:val="18"/>
                <w:szCs w:val="18"/>
                <w:color w:val="auto"/>
              </w:rPr>
            </w:pPr>
          </w:p>
        </w:tc>
      </w:tr>
      <w:tr>
        <w:trPr>
          <w:trHeight w:val="234"/>
        </w:trPr>
        <w:tc>
          <w:tcPr>
            <w:tcW w:w="2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Candidate</w:t>
            </w:r>
          </w:p>
        </w:tc>
        <w:tc>
          <w:tcPr>
            <w:tcW w:w="2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Status</w:t>
            </w:r>
          </w:p>
        </w:tc>
        <w:tc>
          <w:tcPr>
            <w:tcW w:w="1760" w:type="dxa"/>
            <w:vAlign w:val="bottom"/>
          </w:tcPr>
          <w:p>
            <w:pPr>
              <w:ind w:left="440"/>
              <w:spacing w:after="0"/>
              <w:rPr>
                <w:sz w:val="20"/>
                <w:szCs w:val="20"/>
                <w:color w:val="auto"/>
              </w:rPr>
            </w:pPr>
            <w:r>
              <w:rPr>
                <w:rFonts w:ascii="Arial" w:cs="Arial" w:eastAsia="Arial" w:hAnsi="Arial"/>
                <w:sz w:val="18"/>
                <w:szCs w:val="18"/>
                <w:b w:val="1"/>
                <w:bCs w:val="1"/>
                <w:color w:val="auto"/>
              </w:rPr>
              <w:t>Competitor</w:t>
            </w:r>
          </w:p>
        </w:tc>
      </w:tr>
      <w:tr>
        <w:trPr>
          <w:trHeight w:val="27"/>
        </w:trPr>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35"/>
        </w:trPr>
        <w:tc>
          <w:tcPr>
            <w:tcW w:w="2980" w:type="dxa"/>
            <w:vAlign w:val="bottom"/>
            <w:gridSpan w:val="2"/>
          </w:tcPr>
          <w:p>
            <w:pPr>
              <w:ind w:left="20"/>
              <w:spacing w:after="0"/>
              <w:rPr>
                <w:sz w:val="20"/>
                <w:szCs w:val="20"/>
                <w:color w:val="auto"/>
              </w:rPr>
            </w:pPr>
            <w:r>
              <w:rPr>
                <w:rFonts w:ascii="Arial" w:cs="Arial" w:eastAsia="Arial" w:hAnsi="Arial"/>
                <w:sz w:val="18"/>
                <w:szCs w:val="18"/>
                <w:color w:val="auto"/>
              </w:rPr>
              <w:t>Repatha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(evolocumab)</w:t>
            </w: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1760" w:type="dxa"/>
            <w:vAlign w:val="bottom"/>
          </w:tcPr>
          <w:p>
            <w:pPr>
              <w:ind w:left="20"/>
              <w:spacing w:after="0"/>
              <w:rPr>
                <w:sz w:val="20"/>
                <w:szCs w:val="20"/>
                <w:color w:val="auto"/>
              </w:rPr>
            </w:pPr>
            <w:r>
              <w:rPr>
                <w:rFonts w:ascii="Arial" w:cs="Arial" w:eastAsia="Arial" w:hAnsi="Arial"/>
                <w:sz w:val="18"/>
                <w:szCs w:val="18"/>
                <w:color w:val="auto"/>
              </w:rPr>
              <w:t>Amgen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-224790</wp:posOffset>
            </wp:positionV>
            <wp:extent cx="6980555" cy="2204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0555" cy="22040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Indication/Target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PCSK9 inhibitor antibody;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adjunct to diet and (i)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maximally tolerated statin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therapy for the treatment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adults with HeFH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clinical atherosclerotic</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cardiovascular disease, who</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require additional lowering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LDL-C or (ii) other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LDL-lowering therapies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patients with homozygous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familial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hypercholesterolemia who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require additional lowering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LDL-C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60"/>
        <w:spacing w:after="0"/>
        <w:rPr>
          <w:sz w:val="20"/>
          <w:szCs w:val="20"/>
          <w:color w:val="auto"/>
        </w:rPr>
      </w:pPr>
      <w:r>
        <w:rPr>
          <w:rFonts w:ascii="Arial" w:cs="Arial" w:eastAsia="Arial" w:hAnsi="Arial"/>
          <w:sz w:val="18"/>
          <w:szCs w:val="18"/>
          <w:b w:val="1"/>
          <w:bCs w:val="1"/>
          <w:color w:val="auto"/>
        </w:rPr>
        <w:t>Territory</w:t>
      </w:r>
    </w:p>
    <w:p>
      <w:pPr>
        <w:spacing w:after="0" w:line="81" w:lineRule="exact"/>
        <w:rPr>
          <w:sz w:val="20"/>
          <w:szCs w:val="20"/>
          <w:color w:val="auto"/>
        </w:rPr>
      </w:pPr>
    </w:p>
    <w:p>
      <w:pPr>
        <w:ind w:right="600"/>
        <w:spacing w:after="0" w:line="340" w:lineRule="auto"/>
        <w:rPr>
          <w:sz w:val="20"/>
          <w:szCs w:val="20"/>
          <w:color w:val="auto"/>
        </w:rPr>
      </w:pPr>
      <w:r>
        <w:rPr>
          <w:rFonts w:ascii="Arial" w:cs="Arial" w:eastAsia="Arial" w:hAnsi="Arial"/>
          <w:sz w:val="15"/>
          <w:szCs w:val="15"/>
          <w:color w:val="auto"/>
        </w:rPr>
        <w:t>United States, Canada, EU, Japan</w:t>
      </w:r>
    </w:p>
    <w:p>
      <w:pPr>
        <w:spacing w:after="0" w:line="2724" w:lineRule="exact"/>
        <w:rPr>
          <w:sz w:val="20"/>
          <w:szCs w:val="20"/>
          <w:color w:val="auto"/>
        </w:rPr>
      </w:pPr>
    </w:p>
    <w:p>
      <w:pPr>
        <w:sectPr>
          <w:pgSz w:w="11900" w:h="16838" w:orient="portrait"/>
          <w:cols w:equalWidth="0" w:num="3">
            <w:col w:w="7500" w:space="140"/>
            <w:col w:w="2000" w:space="180"/>
            <w:col w:w="1600"/>
          </w:cols>
          <w:pgMar w:left="240" w:top="130" w:right="239" w:bottom="1440" w:gutter="0" w:footer="0" w:header="0"/>
          <w:type w:val="continuous"/>
        </w:sectPr>
      </w:pPr>
    </w:p>
    <w:tbl>
      <w:tblPr>
        <w:tblLayout w:type="fixed"/>
        <w:tblInd w:w="220" w:type="dxa"/>
        <w:tblCellMar>
          <w:top w:w="0" w:type="dxa"/>
          <w:left w:w="0" w:type="dxa"/>
          <w:bottom w:w="0" w:type="dxa"/>
          <w:right w:w="0" w:type="dxa"/>
        </w:tblCellMar>
      </w:tblPr>
      <w:tr>
        <w:trPr>
          <w:trHeight w:val="230"/>
        </w:trPr>
        <w:tc>
          <w:tcPr>
            <w:tcW w:w="2920" w:type="dxa"/>
            <w:vAlign w:val="bottom"/>
          </w:tcPr>
          <w:p>
            <w:pPr>
              <w:ind w:left="20"/>
              <w:spacing w:after="0"/>
              <w:rPr>
                <w:sz w:val="20"/>
                <w:szCs w:val="20"/>
                <w:color w:val="auto"/>
              </w:rPr>
            </w:pPr>
            <w:r>
              <w:rPr>
                <w:rFonts w:ascii="Arial" w:cs="Arial" w:eastAsia="Arial" w:hAnsi="Arial"/>
                <w:sz w:val="18"/>
                <w:szCs w:val="18"/>
                <w:color w:val="auto"/>
                <w:w w:val="94"/>
              </w:rPr>
              <w:t>Bococizumab (RN316 / PF-04950615)</w:t>
            </w:r>
          </w:p>
        </w:tc>
        <w:tc>
          <w:tcPr>
            <w:tcW w:w="2280" w:type="dxa"/>
            <w:vAlign w:val="bottom"/>
          </w:tcPr>
          <w:p>
            <w:pPr>
              <w:ind w:left="80"/>
              <w:spacing w:after="0"/>
              <w:rPr>
                <w:sz w:val="20"/>
                <w:szCs w:val="20"/>
                <w:color w:val="auto"/>
              </w:rPr>
            </w:pPr>
            <w:r>
              <w:rPr>
                <w:rFonts w:ascii="Arial" w:cs="Arial" w:eastAsia="Arial" w:hAnsi="Arial"/>
                <w:sz w:val="18"/>
                <w:szCs w:val="18"/>
                <w:color w:val="auto"/>
              </w:rPr>
              <w:t>In development (Phase 3)</w:t>
            </w:r>
          </w:p>
        </w:tc>
        <w:tc>
          <w:tcPr>
            <w:tcW w:w="2100" w:type="dxa"/>
            <w:vAlign w:val="bottom"/>
          </w:tcPr>
          <w:p>
            <w:pPr>
              <w:ind w:left="340"/>
              <w:spacing w:after="0"/>
              <w:rPr>
                <w:sz w:val="20"/>
                <w:szCs w:val="20"/>
                <w:color w:val="auto"/>
              </w:rPr>
            </w:pPr>
            <w:r>
              <w:rPr>
                <w:rFonts w:ascii="Arial" w:cs="Arial" w:eastAsia="Arial" w:hAnsi="Arial"/>
                <w:sz w:val="18"/>
                <w:szCs w:val="18"/>
                <w:color w:val="auto"/>
              </w:rPr>
              <w:t>Pfizer</w:t>
            </w:r>
          </w:p>
        </w:tc>
        <w:tc>
          <w:tcPr>
            <w:tcW w:w="2200" w:type="dxa"/>
            <w:vAlign w:val="bottom"/>
          </w:tcPr>
          <w:p>
            <w:pPr>
              <w:ind w:left="120"/>
              <w:spacing w:after="0"/>
              <w:rPr>
                <w:sz w:val="20"/>
                <w:szCs w:val="20"/>
                <w:color w:val="auto"/>
              </w:rPr>
            </w:pPr>
            <w:r>
              <w:rPr>
                <w:rFonts w:ascii="Arial" w:cs="Arial" w:eastAsia="Arial" w:hAnsi="Arial"/>
                <w:sz w:val="18"/>
                <w:szCs w:val="18"/>
                <w:color w:val="auto"/>
              </w:rPr>
              <w:t>Antibody against PCSK9</w:t>
            </w:r>
          </w:p>
        </w:tc>
        <w:tc>
          <w:tcPr>
            <w:tcW w:w="15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7"/>
        </w:trPr>
        <w:tc>
          <w:tcPr>
            <w:tcW w:w="29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LY3015014</w:t>
            </w:r>
          </w:p>
        </w:tc>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 development (Phase 2)</w:t>
            </w:r>
          </w:p>
        </w:tc>
        <w:tc>
          <w:tcPr>
            <w:tcW w:w="2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Eli Lilly</w:t>
            </w:r>
          </w:p>
        </w:tc>
        <w:tc>
          <w:tcPr>
            <w:tcW w:w="2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Antibody against PCSK9</w:t>
            </w:r>
          </w:p>
        </w:tc>
        <w:tc>
          <w:tcPr>
            <w:tcW w:w="1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ALN-PCSsc</w:t>
            </w:r>
          </w:p>
        </w:tc>
        <w:tc>
          <w:tcPr>
            <w:tcW w:w="2280" w:type="dxa"/>
            <w:vAlign w:val="bottom"/>
          </w:tcPr>
          <w:p>
            <w:pPr>
              <w:ind w:left="80"/>
              <w:spacing w:after="0"/>
              <w:rPr>
                <w:sz w:val="20"/>
                <w:szCs w:val="20"/>
                <w:color w:val="auto"/>
              </w:rPr>
            </w:pPr>
            <w:r>
              <w:rPr>
                <w:rFonts w:ascii="Arial" w:cs="Arial" w:eastAsia="Arial" w:hAnsi="Arial"/>
                <w:sz w:val="18"/>
                <w:szCs w:val="18"/>
                <w:color w:val="auto"/>
              </w:rPr>
              <w:t>In development (Phase 2)</w:t>
            </w:r>
          </w:p>
        </w:tc>
        <w:tc>
          <w:tcPr>
            <w:tcW w:w="2100" w:type="dxa"/>
            <w:vAlign w:val="bottom"/>
          </w:tcPr>
          <w:p>
            <w:pPr>
              <w:ind w:left="340"/>
              <w:spacing w:after="0"/>
              <w:rPr>
                <w:sz w:val="20"/>
                <w:szCs w:val="20"/>
                <w:color w:val="auto"/>
              </w:rPr>
            </w:pPr>
            <w:r>
              <w:rPr>
                <w:rFonts w:ascii="Arial" w:cs="Arial" w:eastAsia="Arial" w:hAnsi="Arial"/>
                <w:sz w:val="18"/>
                <w:szCs w:val="18"/>
                <w:color w:val="auto"/>
              </w:rPr>
              <w:t>Alnylam</w:t>
            </w:r>
          </w:p>
        </w:tc>
        <w:tc>
          <w:tcPr>
            <w:tcW w:w="2200" w:type="dxa"/>
            <w:vAlign w:val="bottom"/>
          </w:tcPr>
          <w:p>
            <w:pPr>
              <w:ind w:left="120"/>
              <w:spacing w:after="0"/>
              <w:rPr>
                <w:sz w:val="20"/>
                <w:szCs w:val="20"/>
                <w:color w:val="auto"/>
              </w:rPr>
            </w:pPr>
            <w:r>
              <w:rPr>
                <w:rFonts w:ascii="Arial" w:cs="Arial" w:eastAsia="Arial" w:hAnsi="Arial"/>
                <w:sz w:val="18"/>
                <w:szCs w:val="18"/>
                <w:color w:val="auto"/>
              </w:rPr>
              <w:t>RNAi molecule against</w:t>
            </w:r>
          </w:p>
        </w:tc>
        <w:tc>
          <w:tcPr>
            <w:tcW w:w="15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00" w:type="dxa"/>
            <w:vAlign w:val="bottom"/>
          </w:tcPr>
          <w:p>
            <w:pPr>
              <w:ind w:left="340"/>
              <w:spacing w:after="0"/>
              <w:rPr>
                <w:sz w:val="20"/>
                <w:szCs w:val="20"/>
                <w:color w:val="auto"/>
              </w:rPr>
            </w:pPr>
            <w:r>
              <w:rPr>
                <w:rFonts w:ascii="Arial" w:cs="Arial" w:eastAsia="Arial" w:hAnsi="Arial"/>
                <w:sz w:val="18"/>
                <w:szCs w:val="18"/>
                <w:color w:val="auto"/>
              </w:rPr>
              <w:t>Pharmaceuticals, Inc.</w:t>
            </w:r>
          </w:p>
        </w:tc>
        <w:tc>
          <w:tcPr>
            <w:tcW w:w="2200" w:type="dxa"/>
            <w:vAlign w:val="bottom"/>
          </w:tcPr>
          <w:p>
            <w:pPr>
              <w:ind w:left="120"/>
              <w:spacing w:after="0"/>
              <w:rPr>
                <w:sz w:val="20"/>
                <w:szCs w:val="20"/>
                <w:color w:val="auto"/>
              </w:rPr>
            </w:pPr>
            <w:r>
              <w:rPr>
                <w:rFonts w:ascii="Arial" w:cs="Arial" w:eastAsia="Arial" w:hAnsi="Arial"/>
                <w:sz w:val="18"/>
                <w:szCs w:val="18"/>
                <w:color w:val="auto"/>
              </w:rPr>
              <w:t>PCSK9 (injectable, small</w:t>
            </w:r>
          </w:p>
        </w:tc>
        <w:tc>
          <w:tcPr>
            <w:tcW w:w="15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00" w:type="dxa"/>
            <w:vAlign w:val="bottom"/>
          </w:tcPr>
          <w:p>
            <w:pPr>
              <w:ind w:left="340"/>
              <w:spacing w:after="0"/>
              <w:rPr>
                <w:sz w:val="20"/>
                <w:szCs w:val="20"/>
                <w:color w:val="auto"/>
              </w:rPr>
            </w:pPr>
            <w:r>
              <w:rPr>
                <w:rFonts w:ascii="Arial" w:cs="Arial" w:eastAsia="Arial" w:hAnsi="Arial"/>
                <w:sz w:val="18"/>
                <w:szCs w:val="18"/>
                <w:color w:val="auto"/>
              </w:rPr>
              <w:t>(in collaboration with</w:t>
            </w:r>
          </w:p>
        </w:tc>
        <w:tc>
          <w:tcPr>
            <w:tcW w:w="2200" w:type="dxa"/>
            <w:vAlign w:val="bottom"/>
          </w:tcPr>
          <w:p>
            <w:pPr>
              <w:ind w:left="120"/>
              <w:spacing w:after="0"/>
              <w:rPr>
                <w:sz w:val="20"/>
                <w:szCs w:val="20"/>
                <w:color w:val="auto"/>
              </w:rPr>
            </w:pPr>
            <w:r>
              <w:rPr>
                <w:rFonts w:ascii="Arial" w:cs="Arial" w:eastAsia="Arial" w:hAnsi="Arial"/>
                <w:sz w:val="18"/>
                <w:szCs w:val="18"/>
                <w:color w:val="auto"/>
              </w:rPr>
              <w:t>molecule)</w:t>
            </w:r>
          </w:p>
        </w:tc>
        <w:tc>
          <w:tcPr>
            <w:tcW w:w="15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100" w:type="dxa"/>
            <w:vAlign w:val="bottom"/>
          </w:tcPr>
          <w:p>
            <w:pPr>
              <w:ind w:left="340"/>
              <w:spacing w:after="0"/>
              <w:rPr>
                <w:sz w:val="20"/>
                <w:szCs w:val="20"/>
                <w:color w:val="auto"/>
              </w:rPr>
            </w:pPr>
            <w:r>
              <w:rPr>
                <w:rFonts w:ascii="Arial" w:cs="Arial" w:eastAsia="Arial" w:hAnsi="Arial"/>
                <w:sz w:val="18"/>
                <w:szCs w:val="18"/>
                <w:color w:val="auto"/>
              </w:rPr>
              <w:t>The Medicines</w:t>
            </w:r>
          </w:p>
        </w:tc>
        <w:tc>
          <w:tcPr>
            <w:tcW w:w="2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tcPr>
          <w:p>
            <w:pPr>
              <w:ind w:left="340"/>
              <w:spacing w:after="0"/>
              <w:rPr>
                <w:sz w:val="20"/>
                <w:szCs w:val="20"/>
                <w:color w:val="auto"/>
              </w:rPr>
            </w:pPr>
            <w:r>
              <w:rPr>
                <w:rFonts w:ascii="Arial" w:cs="Arial" w:eastAsia="Arial" w:hAnsi="Arial"/>
                <w:sz w:val="18"/>
                <w:szCs w:val="18"/>
                <w:color w:val="auto"/>
              </w:rPr>
              <w:t>Company)</w:t>
            </w:r>
          </w:p>
        </w:tc>
        <w:tc>
          <w:tcPr>
            <w:tcW w:w="2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Anacetrapib</w:t>
            </w:r>
          </w:p>
        </w:tc>
        <w:tc>
          <w:tcPr>
            <w:tcW w:w="2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development (Phase 3)</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Merck</w:t>
            </w: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CETP-inhibitor (oral, small</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37"/>
        </w:trPr>
        <w:tc>
          <w:tcPr>
            <w:tcW w:w="29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molecule)</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AMG-899 (TA-8995)</w:t>
            </w:r>
          </w:p>
        </w:tc>
        <w:tc>
          <w:tcPr>
            <w:tcW w:w="2280" w:type="dxa"/>
            <w:vAlign w:val="bottom"/>
          </w:tcPr>
          <w:p>
            <w:pPr>
              <w:ind w:left="80"/>
              <w:spacing w:after="0"/>
              <w:rPr>
                <w:sz w:val="20"/>
                <w:szCs w:val="20"/>
                <w:color w:val="auto"/>
              </w:rPr>
            </w:pPr>
            <w:r>
              <w:rPr>
                <w:rFonts w:ascii="Arial" w:cs="Arial" w:eastAsia="Arial" w:hAnsi="Arial"/>
                <w:sz w:val="18"/>
                <w:szCs w:val="18"/>
                <w:color w:val="auto"/>
              </w:rPr>
              <w:t>In development (Phase 2)</w:t>
            </w:r>
          </w:p>
        </w:tc>
        <w:tc>
          <w:tcPr>
            <w:tcW w:w="2100" w:type="dxa"/>
            <w:vAlign w:val="bottom"/>
          </w:tcPr>
          <w:p>
            <w:pPr>
              <w:ind w:left="340"/>
              <w:spacing w:after="0"/>
              <w:rPr>
                <w:sz w:val="20"/>
                <w:szCs w:val="20"/>
                <w:color w:val="auto"/>
              </w:rPr>
            </w:pPr>
            <w:r>
              <w:rPr>
                <w:rFonts w:ascii="Arial" w:cs="Arial" w:eastAsia="Arial" w:hAnsi="Arial"/>
                <w:sz w:val="18"/>
                <w:szCs w:val="18"/>
                <w:color w:val="auto"/>
              </w:rPr>
              <w:t>Amgen</w:t>
            </w:r>
          </w:p>
        </w:tc>
        <w:tc>
          <w:tcPr>
            <w:tcW w:w="2200" w:type="dxa"/>
            <w:vAlign w:val="bottom"/>
          </w:tcPr>
          <w:p>
            <w:pPr>
              <w:ind w:left="120"/>
              <w:spacing w:after="0"/>
              <w:rPr>
                <w:sz w:val="20"/>
                <w:szCs w:val="20"/>
                <w:color w:val="auto"/>
              </w:rPr>
            </w:pPr>
            <w:r>
              <w:rPr>
                <w:rFonts w:ascii="Arial" w:cs="Arial" w:eastAsia="Arial" w:hAnsi="Arial"/>
                <w:sz w:val="18"/>
                <w:szCs w:val="18"/>
                <w:color w:val="auto"/>
                <w:w w:val="98"/>
              </w:rPr>
              <w:t>CETP Inhibitor (oral, small</w:t>
            </w:r>
          </w:p>
        </w:tc>
        <w:tc>
          <w:tcPr>
            <w:tcW w:w="15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0" w:type="dxa"/>
            <w:vAlign w:val="bottom"/>
          </w:tcPr>
          <w:p>
            <w:pPr>
              <w:ind w:left="120"/>
              <w:spacing w:after="0"/>
              <w:rPr>
                <w:sz w:val="20"/>
                <w:szCs w:val="20"/>
                <w:color w:val="auto"/>
              </w:rPr>
            </w:pPr>
            <w:r>
              <w:rPr>
                <w:rFonts w:ascii="Arial" w:cs="Arial" w:eastAsia="Arial" w:hAnsi="Arial"/>
                <w:sz w:val="18"/>
                <w:szCs w:val="18"/>
                <w:color w:val="auto"/>
              </w:rPr>
              <w:t>molecule)</w:t>
            </w:r>
          </w:p>
        </w:tc>
        <w:tc>
          <w:tcPr>
            <w:tcW w:w="1500" w:type="dxa"/>
            <w:vAlign w:val="bottom"/>
          </w:tcPr>
          <w:p>
            <w:pPr>
              <w:spacing w:after="0"/>
              <w:rPr>
                <w:sz w:val="20"/>
                <w:szCs w:val="20"/>
                <w:color w:val="auto"/>
              </w:rPr>
            </w:pPr>
          </w:p>
        </w:tc>
      </w:tr>
      <w:tr>
        <w:trPr>
          <w:trHeight w:val="27"/>
        </w:trPr>
        <w:tc>
          <w:tcPr>
            <w:tcW w:w="29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ETC-1002 (bempedoic acid)</w:t>
            </w:r>
          </w:p>
        </w:tc>
        <w:tc>
          <w:tcPr>
            <w:tcW w:w="2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 development (Phase 2)</w:t>
            </w:r>
          </w:p>
        </w:tc>
        <w:tc>
          <w:tcPr>
            <w:tcW w:w="2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Esperion Therapeutics,</w:t>
            </w: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ACL-inhibitor</w:t>
            </w:r>
          </w:p>
        </w:tc>
        <w:tc>
          <w:tcPr>
            <w:tcW w:w="1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91"/>
        </w:trPr>
        <w:tc>
          <w:tcPr>
            <w:tcW w:w="2920" w:type="dxa"/>
            <w:vAlign w:val="bottom"/>
            <w:tcBorders>
              <w:bottom w:val="single" w:sz="8" w:color="CCEEFF"/>
            </w:tcBorders>
            <w:shd w:val="clear" w:color="auto" w:fill="CCEEFF"/>
          </w:tcPr>
          <w:p>
            <w:pPr>
              <w:spacing w:after="0"/>
              <w:rPr>
                <w:sz w:val="24"/>
                <w:szCs w:val="24"/>
                <w:color w:val="auto"/>
              </w:rPr>
            </w:pPr>
          </w:p>
        </w:tc>
        <w:tc>
          <w:tcPr>
            <w:tcW w:w="228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w:t>
            </w:r>
          </w:p>
        </w:tc>
        <w:tc>
          <w:tcPr>
            <w:tcW w:w="2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(oral, small molecule)</w:t>
            </w:r>
          </w:p>
        </w:tc>
        <w:tc>
          <w:tcPr>
            <w:tcW w:w="1500" w:type="dxa"/>
            <w:vAlign w:val="bottom"/>
            <w:tcBorders>
              <w:bottom w:val="single" w:sz="8" w:color="CCEEFF"/>
            </w:tcBorders>
            <w:shd w:val="clear" w:color="auto" w:fill="CCEEFF"/>
          </w:tcPr>
          <w:p>
            <w:pPr>
              <w:spacing w:after="0"/>
              <w:rPr>
                <w:sz w:val="24"/>
                <w:szCs w:val="24"/>
                <w:color w:val="auto"/>
              </w:rPr>
            </w:pPr>
          </w:p>
        </w:tc>
      </w:tr>
      <w:tr>
        <w:trPr>
          <w:trHeight w:val="229"/>
        </w:trPr>
        <w:tc>
          <w:tcPr>
            <w:tcW w:w="2920" w:type="dxa"/>
            <w:vAlign w:val="bottom"/>
          </w:tcPr>
          <w:p>
            <w:pPr>
              <w:ind w:left="20"/>
              <w:spacing w:after="0"/>
              <w:rPr>
                <w:sz w:val="20"/>
                <w:szCs w:val="20"/>
                <w:color w:val="auto"/>
              </w:rPr>
            </w:pPr>
            <w:r>
              <w:rPr>
                <w:rFonts w:ascii="Arial" w:cs="Arial" w:eastAsia="Arial" w:hAnsi="Arial"/>
                <w:sz w:val="18"/>
                <w:szCs w:val="18"/>
                <w:color w:val="auto"/>
              </w:rPr>
              <w:t>CAT-2054</w:t>
            </w:r>
          </w:p>
        </w:tc>
        <w:tc>
          <w:tcPr>
            <w:tcW w:w="2280" w:type="dxa"/>
            <w:vAlign w:val="bottom"/>
          </w:tcPr>
          <w:p>
            <w:pPr>
              <w:ind w:left="80"/>
              <w:spacing w:after="0"/>
              <w:rPr>
                <w:sz w:val="20"/>
                <w:szCs w:val="20"/>
                <w:color w:val="auto"/>
              </w:rPr>
            </w:pPr>
            <w:r>
              <w:rPr>
                <w:rFonts w:ascii="Arial" w:cs="Arial" w:eastAsia="Arial" w:hAnsi="Arial"/>
                <w:sz w:val="18"/>
                <w:szCs w:val="18"/>
                <w:color w:val="auto"/>
              </w:rPr>
              <w:t>In development (Phase 2)</w:t>
            </w:r>
          </w:p>
        </w:tc>
        <w:tc>
          <w:tcPr>
            <w:tcW w:w="2100" w:type="dxa"/>
            <w:vAlign w:val="bottom"/>
          </w:tcPr>
          <w:p>
            <w:pPr>
              <w:ind w:left="340"/>
              <w:spacing w:after="0"/>
              <w:rPr>
                <w:sz w:val="20"/>
                <w:szCs w:val="20"/>
                <w:color w:val="auto"/>
              </w:rPr>
            </w:pPr>
            <w:r>
              <w:rPr>
                <w:rFonts w:ascii="Arial" w:cs="Arial" w:eastAsia="Arial" w:hAnsi="Arial"/>
                <w:sz w:val="18"/>
                <w:szCs w:val="18"/>
                <w:color w:val="auto"/>
              </w:rPr>
              <w:t>Catabasis</w:t>
            </w:r>
          </w:p>
        </w:tc>
        <w:tc>
          <w:tcPr>
            <w:tcW w:w="2200" w:type="dxa"/>
            <w:vAlign w:val="bottom"/>
          </w:tcPr>
          <w:p>
            <w:pPr>
              <w:ind w:left="120"/>
              <w:spacing w:after="0"/>
              <w:rPr>
                <w:sz w:val="20"/>
                <w:szCs w:val="20"/>
                <w:color w:val="auto"/>
              </w:rPr>
            </w:pPr>
            <w:r>
              <w:rPr>
                <w:rFonts w:ascii="Arial" w:cs="Arial" w:eastAsia="Arial" w:hAnsi="Arial"/>
                <w:sz w:val="18"/>
                <w:szCs w:val="18"/>
                <w:color w:val="auto"/>
              </w:rPr>
              <w:t>SREBP modulator (oral,</w:t>
            </w:r>
          </w:p>
        </w:tc>
        <w:tc>
          <w:tcPr>
            <w:tcW w:w="15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30"/>
        </w:trPr>
        <w:tc>
          <w:tcPr>
            <w:tcW w:w="2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100" w:type="dxa"/>
            <w:vAlign w:val="bottom"/>
          </w:tcPr>
          <w:p>
            <w:pPr>
              <w:ind w:left="340"/>
              <w:spacing w:after="0"/>
              <w:rPr>
                <w:sz w:val="20"/>
                <w:szCs w:val="20"/>
                <w:color w:val="auto"/>
              </w:rPr>
            </w:pPr>
            <w:r>
              <w:rPr>
                <w:rFonts w:ascii="Arial" w:cs="Arial" w:eastAsia="Arial" w:hAnsi="Arial"/>
                <w:sz w:val="18"/>
                <w:szCs w:val="18"/>
                <w:color w:val="auto"/>
              </w:rPr>
              <w:t>Pharmaceuticals, Inc.</w:t>
            </w:r>
          </w:p>
        </w:tc>
        <w:tc>
          <w:tcPr>
            <w:tcW w:w="2200" w:type="dxa"/>
            <w:vAlign w:val="bottom"/>
          </w:tcPr>
          <w:p>
            <w:pPr>
              <w:ind w:left="120"/>
              <w:spacing w:after="0"/>
              <w:rPr>
                <w:sz w:val="20"/>
                <w:szCs w:val="20"/>
                <w:color w:val="auto"/>
              </w:rPr>
            </w:pPr>
            <w:r>
              <w:rPr>
                <w:rFonts w:ascii="Arial" w:cs="Arial" w:eastAsia="Arial" w:hAnsi="Arial"/>
                <w:sz w:val="18"/>
                <w:szCs w:val="18"/>
                <w:color w:val="auto"/>
              </w:rPr>
              <w:t>small molecule)</w:t>
            </w:r>
          </w:p>
        </w:tc>
        <w:tc>
          <w:tcPr>
            <w:tcW w:w="1500" w:type="dxa"/>
            <w:vAlign w:val="bottom"/>
          </w:tcPr>
          <w:p>
            <w:pPr>
              <w:spacing w:after="0"/>
              <w:rPr>
                <w:sz w:val="20"/>
                <w:szCs w:val="20"/>
                <w:color w:val="auto"/>
              </w:rPr>
            </w:pPr>
          </w:p>
        </w:tc>
      </w:tr>
    </w:tbl>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 xml:space="preserve">The table above is not exhaustive. For additional information regarding the substantial competition Praluent faces, see Part I, Item 1A. "Risk Factors - Risks Related to Commercialization of Praluent - </w:t>
      </w:r>
      <w:r>
        <w:rPr>
          <w:rFonts w:ascii="Arial" w:cs="Arial" w:eastAsia="Arial" w:hAnsi="Arial"/>
          <w:sz w:val="18"/>
          <w:szCs w:val="18"/>
          <w:i w:val="1"/>
          <w:iCs w:val="1"/>
          <w:color w:val="auto"/>
        </w:rPr>
        <w:t>The commercial success of Praluent is subject to strong competition</w:t>
      </w: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i w:val="1"/>
          <w:iCs w:val="1"/>
          <w:color w:val="auto"/>
        </w:rPr>
        <w:t xml:space="preserve">Monoclonal Antibodies. </w:t>
      </w:r>
      <w:r>
        <w:rPr>
          <w:rFonts w:ascii="Arial" w:cs="Arial" w:eastAsia="Arial" w:hAnsi="Arial"/>
          <w:sz w:val="17"/>
          <w:szCs w:val="17"/>
          <w:color w:val="auto"/>
        </w:rPr>
        <w:t>Our clinical candidates in development are all fully human monoclonal antibodies which were generated using our</w:t>
      </w:r>
      <w:r>
        <w:rPr>
          <w:rFonts w:ascii="Arial" w:cs="Arial" w:eastAsia="Arial" w:hAnsi="Arial"/>
          <w:sz w:val="17"/>
          <w:szCs w:val="17"/>
          <w:i w:val="1"/>
          <w:iCs w:val="1"/>
          <w:color w:val="auto"/>
        </w:rPr>
        <w:t xml:space="preserve"> VelocImmune </w:t>
      </w:r>
      <w:r>
        <w:rPr>
          <w:rFonts w:ascii="Arial" w:cs="Arial" w:eastAsia="Arial" w:hAnsi="Arial"/>
          <w:sz w:val="17"/>
          <w:szCs w:val="17"/>
          <w:color w:val="auto"/>
        </w:rPr>
        <w:t xml:space="preserve">technology. Our antibody generation technologies and clinical candidates face competition from many pharmaceutical and biotechnology companies using various technologies. Numerous other companies are developing therapeutic antibody products. Companies such as Pfizer, Johnson &amp; Johnson, AstraZeneca, Amgen, Biogen Idec, Inc., Novartis, Roche/Genentech, Bristol-Myers Squibb, AbbVie, and GlaxoSmithKline have generated therapeutic products that are currently in development or on the market that are derived from recombinant DNA that comprise human antibody sequences. Astellas has licensed our </w:t>
      </w:r>
      <w:r>
        <w:rPr>
          <w:rFonts w:ascii="Arial" w:cs="Arial" w:eastAsia="Arial" w:hAnsi="Arial"/>
          <w:sz w:val="17"/>
          <w:szCs w:val="17"/>
          <w:i w:val="1"/>
          <w:iCs w:val="1"/>
          <w:color w:val="auto"/>
        </w:rPr>
        <w:t xml:space="preserve">VelocImmune </w:t>
      </w:r>
      <w:r>
        <w:rPr>
          <w:rFonts w:ascii="Arial" w:cs="Arial" w:eastAsia="Arial" w:hAnsi="Arial"/>
          <w:sz w:val="17"/>
          <w:szCs w:val="17"/>
          <w:color w:val="auto"/>
        </w:rPr>
        <w:t>technology as part of their internal antibody development programs.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an overview of the competitive landscape for our antibody programs that are in late-stage clinical development.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Competitor</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Commercial or</w:t>
            </w:r>
          </w:p>
        </w:tc>
        <w:tc>
          <w:tcPr>
            <w:tcW w:w="2260" w:type="dxa"/>
            <w:vAlign w:val="bottom"/>
          </w:tcPr>
          <w:p>
            <w:pPr>
              <w:spacing w:after="0"/>
              <w:rPr>
                <w:sz w:val="18"/>
                <w:szCs w:val="18"/>
                <w:color w:val="auto"/>
              </w:rPr>
            </w:pPr>
          </w:p>
        </w:tc>
      </w:tr>
      <w:tr>
        <w:trPr>
          <w:trHeight w:val="216"/>
        </w:trPr>
        <w:tc>
          <w:tcPr>
            <w:tcW w:w="2360" w:type="dxa"/>
            <w:vAlign w:val="bottom"/>
            <w:gridSpan w:val="2"/>
          </w:tcPr>
          <w:p>
            <w:pPr>
              <w:ind w:left="320"/>
              <w:spacing w:after="0"/>
              <w:rPr>
                <w:sz w:val="20"/>
                <w:szCs w:val="20"/>
                <w:color w:val="auto"/>
              </w:rPr>
            </w:pPr>
            <w:r>
              <w:rPr>
                <w:rFonts w:ascii="Arial" w:cs="Arial" w:eastAsia="Arial" w:hAnsi="Arial"/>
                <w:sz w:val="18"/>
                <w:szCs w:val="18"/>
                <w:b w:val="1"/>
                <w:bCs w:val="1"/>
                <w:color w:val="auto"/>
              </w:rPr>
              <w:t>Regeneron Antibody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Product/Product</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Development</w:t>
            </w:r>
          </w:p>
        </w:tc>
        <w:tc>
          <w:tcPr>
            <w:tcW w:w="2260" w:type="dxa"/>
            <w:vAlign w:val="bottom"/>
          </w:tcPr>
          <w:p>
            <w:pPr>
              <w:spacing w:after="0"/>
              <w:rPr>
                <w:sz w:val="18"/>
                <w:szCs w:val="18"/>
                <w:color w:val="auto"/>
              </w:rPr>
            </w:pPr>
          </w:p>
        </w:tc>
      </w:tr>
      <w:tr>
        <w:trPr>
          <w:trHeight w:val="234"/>
        </w:trPr>
        <w:tc>
          <w:tcPr>
            <w:tcW w:w="2360" w:type="dxa"/>
            <w:vAlign w:val="bottom"/>
            <w:gridSpan w:val="2"/>
          </w:tcPr>
          <w:p>
            <w:pPr>
              <w:ind w:left="780"/>
              <w:spacing w:after="0"/>
              <w:rPr>
                <w:sz w:val="20"/>
                <w:szCs w:val="20"/>
                <w:color w:val="auto"/>
              </w:rPr>
            </w:pPr>
            <w:r>
              <w:rPr>
                <w:rFonts w:ascii="Arial" w:cs="Arial" w:eastAsia="Arial" w:hAnsi="Arial"/>
                <w:sz w:val="18"/>
                <w:szCs w:val="18"/>
                <w:b w:val="1"/>
                <w:bCs w:val="1"/>
                <w:color w:val="auto"/>
              </w:rPr>
              <w:t>Program</w:t>
            </w:r>
          </w:p>
        </w:tc>
        <w:tc>
          <w:tcPr>
            <w:tcW w:w="2160" w:type="dxa"/>
            <w:vAlign w:val="bottom"/>
            <w:gridSpan w:val="2"/>
          </w:tcPr>
          <w:p>
            <w:pPr>
              <w:ind w:left="580"/>
              <w:spacing w:after="0"/>
              <w:rPr>
                <w:sz w:val="20"/>
                <w:szCs w:val="20"/>
                <w:color w:val="auto"/>
              </w:rPr>
            </w:pPr>
            <w:r>
              <w:rPr>
                <w:rFonts w:ascii="Arial" w:cs="Arial" w:eastAsia="Arial" w:hAnsi="Arial"/>
                <w:sz w:val="18"/>
                <w:szCs w:val="18"/>
                <w:b w:val="1"/>
                <w:bCs w:val="1"/>
                <w:color w:val="auto"/>
              </w:rPr>
              <w:t>Competitor</w:t>
            </w: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Candidate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Status</w:t>
            </w:r>
          </w:p>
        </w:tc>
        <w:tc>
          <w:tcPr>
            <w:tcW w:w="2260" w:type="dxa"/>
            <w:vAlign w:val="bottom"/>
          </w:tcPr>
          <w:p>
            <w:pPr>
              <w:ind w:left="880"/>
              <w:spacing w:after="0"/>
              <w:rPr>
                <w:sz w:val="20"/>
                <w:szCs w:val="20"/>
                <w:color w:val="auto"/>
              </w:rPr>
            </w:pPr>
            <w:r>
              <w:rPr>
                <w:rFonts w:ascii="Arial" w:cs="Arial" w:eastAsia="Arial" w:hAnsi="Arial"/>
                <w:sz w:val="18"/>
                <w:szCs w:val="18"/>
                <w:b w:val="1"/>
                <w:bCs w:val="1"/>
                <w:color w:val="auto"/>
              </w:rPr>
              <w:t>Target</w:t>
            </w:r>
          </w:p>
        </w:tc>
      </w:tr>
      <w:tr>
        <w:trPr>
          <w:trHeight w:val="27"/>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2"/>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Sarilumab (Phase 3)</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64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Actemra</w:t>
            </w:r>
            <w:r>
              <w:rPr>
                <w:rFonts w:ascii="Arial" w:cs="Arial" w:eastAsia="Arial" w:hAnsi="Arial"/>
                <w:sz w:val="25"/>
                <w:szCs w:val="25"/>
                <w:color w:val="auto"/>
                <w:vertAlign w:val="superscript"/>
              </w:rPr>
              <w:t>®</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IL-6R for</w:t>
            </w:r>
          </w:p>
        </w:tc>
      </w:tr>
      <w:tr>
        <w:trPr>
          <w:trHeight w:val="216"/>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Target: IL-6R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(Tocilizumab)</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treatment of rheumatoid</w:t>
            </w:r>
          </w:p>
        </w:tc>
      </w:tr>
      <w:tr>
        <w:trPr>
          <w:trHeight w:val="216"/>
        </w:trPr>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arthritis and systemic juvenile</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idiopathic arthritis</w:t>
            </w: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Johnson &amp; Johnson (in</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Sirukumab</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IL-6</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collaboration with</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GlaxoSmithKline)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Alder Biopharmaceuticals,</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Clazakizumab</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IL-6</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Ablynx (in collaboration</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ALX-0061</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IL-6R</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with AbbVie)</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R-Pharm</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Olokizumab</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IL-6</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Pfizer</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PF-04236921</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IL-6</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1/Phase 2)</w:t>
            </w: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 237</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IL-6R</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1/Phase 3)</w:t>
            </w: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RuYi</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Gerilimzumab</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IL-6</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Dupilumab (Phase 2/Phase 3)</w:t>
            </w: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GlaxoSmithKline</w:t>
            </w:r>
          </w:p>
        </w:tc>
        <w:tc>
          <w:tcPr>
            <w:tcW w:w="1640" w:type="dxa"/>
            <w:vAlign w:val="bottom"/>
            <w:gridSpan w:val="2"/>
            <w:shd w:val="clear" w:color="auto" w:fill="CCEEFF"/>
          </w:tcPr>
          <w:p>
            <w:pPr>
              <w:ind w:left="20"/>
              <w:spacing w:after="0" w:line="228" w:lineRule="exact"/>
              <w:rPr>
                <w:sz w:val="20"/>
                <w:szCs w:val="20"/>
                <w:color w:val="auto"/>
              </w:rPr>
            </w:pPr>
            <w:r>
              <w:rPr>
                <w:rFonts w:ascii="Arial" w:cs="Arial" w:eastAsia="Arial" w:hAnsi="Arial"/>
                <w:sz w:val="18"/>
                <w:szCs w:val="18"/>
                <w:color w:val="auto"/>
              </w:rPr>
              <w:t>Nucala</w:t>
            </w:r>
            <w:r>
              <w:rPr>
                <w:rFonts w:ascii="Arial" w:cs="Arial" w:eastAsia="Arial" w:hAnsi="Arial"/>
                <w:sz w:val="25"/>
                <w:szCs w:val="25"/>
                <w:color w:val="auto"/>
                <w:vertAlign w:val="superscript"/>
              </w:rPr>
              <w:t>®</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Approved</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IL-5</w:t>
            </w:r>
          </w:p>
        </w:tc>
      </w:tr>
      <w:tr>
        <w:trPr>
          <w:trHeight w:val="237"/>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Target: IL-4R</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(mepolizumab)</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Teva</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Reslizumab</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Submitted for</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IL-5</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regulatory approval</w:t>
            </w: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Roche</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Lebrikizumab</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IL-13</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AstraZeneca</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Benralizumab</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IL-5R</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AstraZeneca</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Tralokinumab</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IL-13</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Novartis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QBX258</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Fixed dose combination of</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antibodies against IL-4 and</w:t>
            </w:r>
          </w:p>
        </w:tc>
      </w:tr>
      <w:tr>
        <w:trPr>
          <w:trHeight w:val="230"/>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IL-13</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Amgen</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AMG-157</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TSLP</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w w:val="97"/>
              </w:rPr>
              <w:t>Fasinumab (Phase 2b/ Phase</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Pfizer/Eli Lilly</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Tanezumab</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NGF</w:t>
            </w:r>
          </w:p>
        </w:tc>
      </w:tr>
      <w:tr>
        <w:trPr>
          <w:trHeight w:val="216"/>
        </w:trPr>
        <w:tc>
          <w:tcPr>
            <w:tcW w:w="2260" w:type="dxa"/>
            <w:vAlign w:val="bottom"/>
          </w:tcPr>
          <w:p>
            <w:pPr>
              <w:ind w:left="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ind w:left="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Target: NGF</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Johnson &amp; Johnson</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Fulranumab</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NGF</w:t>
            </w:r>
          </w:p>
        </w:tc>
      </w:tr>
      <w:tr>
        <w:trPr>
          <w:trHeight w:val="237"/>
        </w:trPr>
        <w:tc>
          <w:tcPr>
            <w:tcW w:w="2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spacing w:after="0"/>
              <w:rPr>
                <w:sz w:val="20"/>
                <w:szCs w:val="20"/>
                <w:color w:val="auto"/>
              </w:rPr>
            </w:pPr>
          </w:p>
        </w:tc>
      </w:tr>
      <w:tr>
        <w:trPr>
          <w:trHeight w:val="22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REGN2222 (Phase 3)</w:t>
            </w: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AstraZeneca</w:t>
            </w:r>
          </w:p>
        </w:tc>
        <w:tc>
          <w:tcPr>
            <w:tcW w:w="1640" w:type="dxa"/>
            <w:vAlign w:val="bottom"/>
            <w:gridSpan w:val="2"/>
          </w:tcPr>
          <w:p>
            <w:pPr>
              <w:ind w:left="20"/>
              <w:spacing w:after="0" w:line="228" w:lineRule="exact"/>
              <w:rPr>
                <w:sz w:val="20"/>
                <w:szCs w:val="20"/>
                <w:color w:val="auto"/>
              </w:rPr>
            </w:pPr>
            <w:r>
              <w:rPr>
                <w:rFonts w:ascii="Arial" w:cs="Arial" w:eastAsia="Arial" w:hAnsi="Arial"/>
                <w:sz w:val="18"/>
                <w:szCs w:val="18"/>
                <w:color w:val="auto"/>
              </w:rPr>
              <w:t>Synagis</w:t>
            </w:r>
            <w:r>
              <w:rPr>
                <w:rFonts w:ascii="Arial" w:cs="Arial" w:eastAsia="Arial" w:hAnsi="Arial"/>
                <w:sz w:val="25"/>
                <w:szCs w:val="25"/>
                <w:color w:val="auto"/>
                <w:vertAlign w:val="superscript"/>
              </w:rPr>
              <w:t>®</w:t>
            </w:r>
          </w:p>
        </w:tc>
        <w:tc>
          <w:tcPr>
            <w:tcW w:w="1860" w:type="dxa"/>
            <w:vAlign w:val="bottom"/>
            <w:gridSpan w:val="2"/>
          </w:tcPr>
          <w:p>
            <w:pPr>
              <w:ind w:left="40"/>
              <w:spacing w:after="0"/>
              <w:rPr>
                <w:sz w:val="20"/>
                <w:szCs w:val="20"/>
                <w:color w:val="auto"/>
              </w:rPr>
            </w:pPr>
            <w:r>
              <w:rPr>
                <w:rFonts w:ascii="Arial" w:cs="Arial" w:eastAsia="Arial" w:hAnsi="Arial"/>
                <w:sz w:val="18"/>
                <w:szCs w:val="18"/>
                <w:color w:val="auto"/>
              </w:rPr>
              <w:t>Approved</w:t>
            </w:r>
          </w:p>
        </w:tc>
        <w:tc>
          <w:tcPr>
            <w:tcW w:w="2260" w:type="dxa"/>
            <w:vAlign w:val="bottom"/>
          </w:tcPr>
          <w:p>
            <w:pPr>
              <w:ind w:left="20"/>
              <w:spacing w:after="0"/>
              <w:rPr>
                <w:sz w:val="20"/>
                <w:szCs w:val="20"/>
                <w:color w:val="auto"/>
              </w:rPr>
            </w:pPr>
            <w:r>
              <w:rPr>
                <w:rFonts w:ascii="Arial" w:cs="Arial" w:eastAsia="Arial" w:hAnsi="Arial"/>
                <w:sz w:val="18"/>
                <w:szCs w:val="18"/>
                <w:color w:val="auto"/>
              </w:rPr>
              <w:t>Antibody against RSV-F</w:t>
            </w:r>
          </w:p>
        </w:tc>
      </w:tr>
      <w:tr>
        <w:trPr>
          <w:trHeight w:val="230"/>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Target: RSV-F</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(palivizumab)</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ind w:left="20"/>
              <w:spacing w:after="0"/>
              <w:rPr>
                <w:sz w:val="20"/>
                <w:szCs w:val="20"/>
                <w:color w:val="auto"/>
              </w:rPr>
            </w:pPr>
            <w:r>
              <w:rPr>
                <w:rFonts w:ascii="Arial" w:cs="Arial" w:eastAsia="Arial" w:hAnsi="Arial"/>
                <w:sz w:val="18"/>
                <w:szCs w:val="18"/>
                <w:color w:val="auto"/>
              </w:rPr>
              <w:t>protein</w:t>
            </w: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9"/>
        </w:trPr>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AstraZeneca/AIMM</w:t>
            </w:r>
          </w:p>
        </w:tc>
        <w:tc>
          <w:tcPr>
            <w:tcW w:w="1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MEDI8897</w:t>
            </w:r>
          </w:p>
        </w:tc>
        <w:tc>
          <w:tcPr>
            <w:tcW w:w="1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In development (Phase</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Antibody against RSV-F</w:t>
            </w:r>
          </w:p>
        </w:tc>
      </w:tr>
      <w:tr>
        <w:trPr>
          <w:trHeight w:val="230"/>
        </w:trPr>
        <w:tc>
          <w:tcPr>
            <w:tcW w:w="2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Therapeutics</w:t>
            </w: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protein</w:t>
            </w:r>
          </w:p>
        </w:tc>
      </w:tr>
      <w:tr>
        <w:trPr>
          <w:trHeight w:val="27"/>
        </w:trPr>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The table above is not exhaustive. For additional information regarding our antibody programs and the substantial competition they face, see "Clinical Programs" above and Part I, Item 1A. "Risk Factors - Risks Related to Commercialization of Products - </w:t>
      </w:r>
      <w:r>
        <w:rPr>
          <w:rFonts w:ascii="Arial" w:cs="Arial" w:eastAsia="Arial" w:hAnsi="Arial"/>
          <w:sz w:val="16"/>
          <w:szCs w:val="16"/>
          <w:i w:val="1"/>
          <w:iCs w:val="1"/>
          <w:color w:val="auto"/>
        </w:rPr>
        <w:t>Our marketed products are subject to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competition, and our product candidates or new indications for our marketed products, if any are approved for marketing, may face significant competition</w:t>
      </w:r>
      <w:r>
        <w:rPr>
          <w:rFonts w:ascii="Arial" w:cs="Arial" w:eastAsia="Arial" w:hAnsi="Arial"/>
          <w:sz w:val="16"/>
          <w:szCs w:val="16"/>
          <w:color w:val="auto"/>
        </w:rPr>
        <w:t>."</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Many pharmaceutical and biotechnology companies are attempting to discover new therapeutics for indications in which we invest</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time and 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operating results, financial condition, cash flows, or future prospects.</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and Trade Secrets</w:t>
      </w:r>
    </w:p>
    <w:p>
      <w:pPr>
        <w:spacing w:after="0" w:line="283"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Our success depends, in part, on our ability to obtain patents, maintain trade secret protection, and operate without infringing on the proprietary rights of third parties (see Part I, Item 1A. "Risk Factors - Risks Related to Intellectual Property and Market Exclusivity - </w:t>
      </w:r>
      <w:r>
        <w:rPr>
          <w:rFonts w:ascii="Arial" w:cs="Arial" w:eastAsia="Arial" w:hAnsi="Arial"/>
          <w:sz w:val="16"/>
          <w:szCs w:val="16"/>
          <w:i w:val="1"/>
          <w:iCs w:val="1"/>
          <w:color w:val="auto"/>
        </w:rPr>
        <w:t>We may be restricted in our development,</w:t>
      </w:r>
      <w:r>
        <w:rPr>
          <w:rFonts w:ascii="Arial" w:cs="Arial" w:eastAsia="Arial" w:hAnsi="Arial"/>
          <w:sz w:val="16"/>
          <w:szCs w:val="16"/>
          <w:color w:val="auto"/>
        </w:rPr>
        <w:t xml:space="preserve"> </w:t>
      </w:r>
      <w:r>
        <w:rPr>
          <w:rFonts w:ascii="Arial" w:cs="Arial" w:eastAsia="Arial" w:hAnsi="Arial"/>
          <w:sz w:val="16"/>
          <w:szCs w:val="16"/>
          <w:i w:val="1"/>
          <w:iCs w:val="1"/>
          <w:color w:val="auto"/>
        </w:rPr>
        <w:t>manufacturing, and/or commercialization activities by patents or other proprietary rights of others, and could be subject to damage awards if we are found to have infringed such patents or rights</w:t>
      </w:r>
      <w:r>
        <w:rPr>
          <w:rFonts w:ascii="Arial" w:cs="Arial" w:eastAsia="Arial" w:hAnsi="Arial"/>
          <w:sz w:val="16"/>
          <w:szCs w:val="16"/>
          <w:color w:val="auto"/>
        </w:rPr>
        <w:t>"). Our policy is to file patent applications to protect technology, inventions, and improvements that we consider</w:t>
      </w:r>
      <w:r>
        <w:rPr>
          <w:rFonts w:ascii="Arial" w:cs="Arial" w:eastAsia="Arial" w:hAnsi="Arial"/>
          <w:sz w:val="16"/>
          <w:szCs w:val="16"/>
          <w:i w:val="1"/>
          <w:iCs w:val="1"/>
          <w:color w:val="auto"/>
        </w:rPr>
        <w:t xml:space="preserve"> </w:t>
      </w:r>
      <w:r>
        <w:rPr>
          <w:rFonts w:ascii="Arial" w:cs="Arial" w:eastAsia="Arial" w:hAnsi="Arial"/>
          <w:sz w:val="16"/>
          <w:szCs w:val="16"/>
          <w:color w:val="auto"/>
        </w:rPr>
        <w:t>important to our business and operations. We hold an ownership interest in a number of issued patents in the United States and foreign countries with respect to our products and technologies. In addition, we hold an ownership interest in hundreds of patent applications in the United States and foreign countries.</w:t>
      </w:r>
    </w:p>
    <w:p>
      <w:pPr>
        <w:spacing w:after="0" w:line="21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patent portfolio includes granted patents and pending patent applications covering our </w:t>
      </w:r>
      <w:r>
        <w:rPr>
          <w:rFonts w:ascii="Arial" w:cs="Arial" w:eastAsia="Arial" w:hAnsi="Arial"/>
          <w:sz w:val="18"/>
          <w:szCs w:val="18"/>
          <w:i w:val="1"/>
          <w:iCs w:val="1"/>
          <w:color w:val="auto"/>
        </w:rPr>
        <w:t>VelociSuite</w:t>
      </w:r>
      <w:r>
        <w:rPr>
          <w:rFonts w:ascii="Arial" w:cs="Arial" w:eastAsia="Arial" w:hAnsi="Arial"/>
          <w:sz w:val="18"/>
          <w:szCs w:val="18"/>
          <w:color w:val="auto"/>
        </w:rPr>
        <w:t xml:space="preserve"> technologies, including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mouse platform which produces fully human monoclonal antibodies. Our issued patents covering these technologies generally expire between 2020 and 2030. However, we continue to file patent applications directed to improvements to these technology platforms.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patent portfolio also includes issued patents and pending applications relating to commercialized products and our product candidates in clinical development. These patents cover the proteins and DNA encoding the proteins, manufacturing patents, method of use patents, and pharmaceutical compositions, as well as various methods of using the products. For each of EYLEA, Praluent, ARCALYST, and ZALTRAP, these patents generally expire between 2020 and 2029. However, the projected patent terms may be subject to extension based on potential patent term extensions in countries where such extensions are available.</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also are the nonexclusive licensee of a number of additional patents and patent applications. In 2011, we and Genentech entered into a Non-Exclusive License and Partial Settlement Agreement relating to ophthalmic sales of EYLEA in the United States. Pursuant to this agreement, we received a non-exclusive license to certain patents relating to VEGF receptor proteins, known as the Davis-Smyth patents, and other technology patents. In 2013, we entered into an Amended and Restated Non-Exclusive License and Settlement Agreement with Genentech; under the amended agreement, we received a worldwide non-exclusive license to the Davis-Smyth patents, and certain other patents, owned or co-owned by Genentech for the prevention or treatment of human eye diseases and eye disorders through administration of EYLEA to the eye. Also in 2013, we entered into a Non-Exclusive License and Settlement Agreement with Genentech and Sanofi under which we and Sanofi received a worldwide non-exclusive license to the Davis-Smyth patents, and certain other patents, in all indications for human use other than the prevention or treatment of eye diseases and eye disorders through administration to the eye.</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have non-exclusive license agreements with Amgen and other organizations for patent rights related to ARCALYST.</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4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 (see Part I, Item 1A. "Risk Factors - Risks Related to Intellectual Property and Market Exclusivity - </w:t>
      </w:r>
      <w:r>
        <w:rPr>
          <w:rFonts w:ascii="Arial" w:cs="Arial" w:eastAsia="Arial" w:hAnsi="Arial"/>
          <w:sz w:val="18"/>
          <w:szCs w:val="18"/>
          <w:i w:val="1"/>
          <w:iCs w:val="1"/>
          <w:color w:val="auto"/>
        </w:rPr>
        <w:t>We may be restricted in our development, manufacturing, and/or</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 activities by patents or other proprietary rights of others, and could be subject to damage awards if we are found to have infringed such patents or rights</w:t>
      </w:r>
      <w:r>
        <w:rPr>
          <w:rFonts w:ascii="Arial" w:cs="Arial" w:eastAsia="Arial" w:hAnsi="Arial"/>
          <w:sz w:val="18"/>
          <w:szCs w:val="18"/>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8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Regulation by government authorities in the United States and foreign countries is a significant factor in the research, development, manufacture, and marketing of our products and our product candidates (see Part I, Item 1A. "Risk Factors - Risks Related to Commercialization of EYLEA - </w:t>
      </w:r>
      <w:r>
        <w:rPr>
          <w:rFonts w:ascii="Arial" w:cs="Arial" w:eastAsia="Arial" w:hAnsi="Arial"/>
          <w:sz w:val="16"/>
          <w:szCs w:val="16"/>
          <w:i w:val="1"/>
          <w:iCs w:val="1"/>
          <w:color w:val="auto"/>
        </w:rPr>
        <w:t>We and Bayer</w:t>
      </w:r>
      <w:r>
        <w:rPr>
          <w:rFonts w:ascii="Arial" w:cs="Arial" w:eastAsia="Arial" w:hAnsi="Arial"/>
          <w:sz w:val="16"/>
          <w:szCs w:val="16"/>
          <w:color w:val="auto"/>
        </w:rPr>
        <w:t xml:space="preserve"> </w:t>
      </w:r>
      <w:r>
        <w:rPr>
          <w:rFonts w:ascii="Arial" w:cs="Arial" w:eastAsia="Arial" w:hAnsi="Arial"/>
          <w:sz w:val="16"/>
          <w:szCs w:val="16"/>
          <w:i w:val="1"/>
          <w:iCs w:val="1"/>
          <w:color w:val="auto"/>
        </w:rPr>
        <w:t>HealthCare are subject to significant ongoing regulatory obligations and oversight with respect to EYLEA. If we or Bayer HealthCare fail to maintain regulatory compliance for EYLEA, EYLEA marketing approval may be withdrawn, which would materially harm our business, prospects, operating results, and financial condition.</w:t>
      </w:r>
      <w:r>
        <w:rPr>
          <w:rFonts w:ascii="Arial" w:cs="Arial" w:eastAsia="Arial" w:hAnsi="Arial"/>
          <w:sz w:val="16"/>
          <w:szCs w:val="16"/>
          <w:color w:val="auto"/>
        </w:rPr>
        <w:t>"; "Risks Related to Commercialization of Praluent -</w:t>
      </w:r>
      <w:r>
        <w:rPr>
          <w:rFonts w:ascii="Arial" w:cs="Arial" w:eastAsia="Arial" w:hAnsi="Arial"/>
          <w:sz w:val="16"/>
          <w:szCs w:val="16"/>
          <w:i w:val="1"/>
          <w:iCs w:val="1"/>
          <w:color w:val="auto"/>
        </w:rPr>
        <w:t xml:space="preserve"> 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r>
        <w:rPr>
          <w:rFonts w:ascii="Arial" w:cs="Arial" w:eastAsia="Arial" w:hAnsi="Arial"/>
          <w:sz w:val="16"/>
          <w:szCs w:val="16"/>
          <w:color w:val="auto"/>
        </w:rPr>
        <w:t>."; and "Risks Related to Maintaining Approval of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Marketed Products and the Development and Obtaining Approval of Our Product Candidates and New Indications for Our Marketed Products - </w:t>
      </w:r>
      <w:r>
        <w:rPr>
          <w:rFonts w:ascii="Arial" w:cs="Arial" w:eastAsia="Arial" w:hAnsi="Arial"/>
          <w:sz w:val="16"/>
          <w:szCs w:val="16"/>
          <w:i w:val="1"/>
          <w:iCs w:val="1"/>
          <w:color w:val="auto"/>
        </w:rPr>
        <w:t>If we do not</w:t>
      </w:r>
      <w:r>
        <w:rPr>
          <w:rFonts w:ascii="Arial" w:cs="Arial" w:eastAsia="Arial" w:hAnsi="Arial"/>
          <w:sz w:val="16"/>
          <w:szCs w:val="16"/>
          <w:color w:val="auto"/>
        </w:rPr>
        <w:t xml:space="preserve"> </w:t>
      </w:r>
      <w:r>
        <w:rPr>
          <w:rFonts w:ascii="Arial" w:cs="Arial" w:eastAsia="Arial" w:hAnsi="Arial"/>
          <w:sz w:val="16"/>
          <w:szCs w:val="16"/>
          <w:i w:val="1"/>
          <w:iCs w:val="1"/>
          <w:color w:val="auto"/>
        </w:rPr>
        <w:t>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r>
        <w:rPr>
          <w:rFonts w:ascii="Arial" w:cs="Arial" w:eastAsia="Arial" w:hAnsi="Arial"/>
          <w:sz w:val="16"/>
          <w:szCs w:val="16"/>
          <w:color w:val="auto"/>
        </w:rPr>
        <w:t>). All of our product candidates will require regulatory approval before they can be commercialized. In particular, human therapeutic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2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IND,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BLA for evaluation to determine whether the product candidate may be approved for commercial sale. In responding to a BLA, the FDA may grant marketing approval, request additional information, or deny the application.</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08" w:lineRule="exact"/>
        <w:rPr>
          <w:sz w:val="20"/>
          <w:szCs w:val="20"/>
          <w:color w:val="auto"/>
        </w:rPr>
      </w:pPr>
    </w:p>
    <w:p>
      <w:pPr>
        <w:jc w:val="both"/>
        <w:ind w:right="20" w:firstLine="243"/>
        <w:spacing w:after="0" w:line="259" w:lineRule="auto"/>
        <w:rPr>
          <w:sz w:val="20"/>
          <w:szCs w:val="20"/>
          <w:color w:val="auto"/>
        </w:rPr>
      </w:pPr>
      <w:r>
        <w:rPr>
          <w:rFonts w:ascii="Arial" w:cs="Arial" w:eastAsia="Arial" w:hAnsi="Arial"/>
          <w:sz w:val="18"/>
          <w:szCs w:val="18"/>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manage our business as one segment which includes all activities related to the discovery, development, and commercialization of pharmaceutical products for the treatment of serious medical conditions.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2015, we had approximately 4,300 full-time employees, of whom approximately 650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HealthCare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years ended December 31, 2015 and 2014, EYLEA net sales in the United States represented 65% and 62% of our total revenues, respectively. If we were to experience difficulty with the commercialization of EYLEA in the United States, if Bayer HealthCare were to experience any difficulty with the commercialization of EYLEA outside the United States, or if we and Bayer HealthCare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0"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effectively communicate to the marketplace the benefits of the dosing regimen of EYLEA as compared to the dosing regimen of Lucentis, and the willingness of retinal specialists and patients to switch from Lucentis or off-label use of repackaged Avastin to EYLEA or to start treatment with EYLEA;</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 and</w:t>
      </w:r>
    </w:p>
    <w:p>
      <w:pPr>
        <w:spacing w:after="0" w:line="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Bayer HealthCare are subject to significant ongoing regulatory obligations and oversight with respect to EYLEA. If we or Bayer HealthCare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We and Bayer HealthCare are subject to significant ongoing regulatory obligations and oversight with respect to EYLEA for its currently approved indications in the United States, EU, and other countries where the product is approved. If we or Bayer HealthCare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w:t>
      </w:r>
      <w:r>
        <w:rPr>
          <w:rFonts w:ascii="Arial" w:cs="Arial" w:eastAsia="Arial" w:hAnsi="Arial"/>
          <w:sz w:val="17"/>
          <w:szCs w:val="17"/>
          <w:color w:val="auto"/>
        </w:rPr>
        <w:t xml:space="preserve"> </w:t>
      </w:r>
      <w:r>
        <w:rPr>
          <w:rFonts w:ascii="Arial" w:cs="Arial" w:eastAsia="Arial" w:hAnsi="Arial"/>
          <w:sz w:val="17"/>
          <w:szCs w:val="17"/>
          <w:i w:val="1"/>
          <w:iCs w:val="1"/>
          <w:color w:val="auto"/>
        </w:rPr>
        <w:t>and maintaining regulatory approval for drug products is costly, time-consuming, and highly uncertain</w:t>
      </w:r>
      <w:r>
        <w:rPr>
          <w:rFonts w:ascii="Arial" w:cs="Arial" w:eastAsia="Arial" w:hAnsi="Arial"/>
          <w:sz w:val="17"/>
          <w:szCs w:val="17"/>
          <w:color w:val="auto"/>
        </w:rPr>
        <w:t>"), EYLEA marketing approval may be withdrawn,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Economic pressure on state budgets may also have a similar impact. A reduction in the availability or extent of reimbursement from U.S. government programs could have a material adverse effect on the sales of EYLEA.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The market for eye disease products is very competitive (an overview of the competitive landscape for EYLEA is provided in Part I, Item 1. "Business - Competition - </w:t>
      </w:r>
      <w:r>
        <w:rPr>
          <w:rFonts w:ascii="Arial" w:cs="Arial" w:eastAsia="Arial" w:hAnsi="Arial"/>
          <w:sz w:val="17"/>
          <w:szCs w:val="17"/>
          <w:i w:val="1"/>
          <w:iCs w:val="1"/>
          <w:color w:val="auto"/>
        </w:rPr>
        <w:t>EYLEA</w:t>
      </w:r>
      <w:r>
        <w:rPr>
          <w:rFonts w:ascii="Arial" w:cs="Arial" w:eastAsia="Arial" w:hAnsi="Arial"/>
          <w:sz w:val="17"/>
          <w:szCs w:val="17"/>
          <w:color w:val="auto"/>
        </w:rPr>
        <w:t>"). For example, Novartis and Genentech/Roche are collaborating on the commercialization and further development of a VEGF antibody fragment, Lucentis, for the treatment of various eye indications. Lucentis was approved by the FDA in June 2006 for the treatment of wet AMD, in June 2010 for the treatment of macular edema following RVO (including CRVO and BRVO), in August 2012 for the treatment of DME, and in February 2015 for the treatment of diabetic retinopathy in patients with DME. Lucentis was also approved by the EMA for wet AMD in January 2007, for DME in January 2011, for the treatment of macular edema following RVO (including CRVO and BRVO) in June 2011, and for mCNV in July 2013. Competitors are also exploring the development of a biosimilar version of Lucentis; in particular, Pfenex Inc. (in collaboration with Pfizer) is developing PF582 (currently in a Phase 1b/2a trial in patients with wet AMD), and Formycon AG (in collaboration with bioeq GmbH) is developing FYB201 (currently in a Phase 3 trial in patients with wet AMD). Other competitive or potentially competitive products include Allergan's Ozurdex (approved by the FDA in June 2009 for the treatment of macular edema following RVO and in September 2014 for the treatment of DME) and Alimera Sciences' Iluvien (approved by the FDA in September 2014 for the treatment of DME in patients who have been previously treated with a course of corticosteroids and did not have a clinically significant rise in intraocular pressure), both of which are intravitreal implants of corticosteroids.</w:t>
      </w:r>
    </w:p>
    <w:p>
      <w:pPr>
        <w:spacing w:after="0" w:line="23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initiated a non-inferiority Phase 3 trial comparing RTH258 and EYLEA in December 2014. Allergan is developing abicipar pegol (an anti-VEGF-A DARPin)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PDGF). Ophthotech Corporation (in collaboration with Genentech/Roche) is developing Fovista, an aptamer directed against platelet-derived growth factor subunit B (PDGF-B), as a product candidate intended to be used in combination with an anti-VEGF therapy in wet AMD. In 2013, Ophthotech initiated Phase 3 trials in AMD evaluating multiple combinations of Fovista, including Lucentis + Fovista, Avastin + Fovista, and EYLEA + Fovista. Genentech/Roche is developing a bi-specific antibody targeting both VEGF and Ang2 for wet AMD (currently in a Phase 2 trial in patients with wet AMD). Competitors are also developing eye-drop formulations, oral therapies, and gene/cell therapies for various indications that, if approved, would compete with EYLEA in one or more of its currently approved indications.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addition, ophthalmologists are using with success off-label, third-party repackaged versions of Genentech/Roche's approved VEGF antagonist, Avastin, for the treatment of wet AMD, DME, and RVO. The relatively low cost of therapy with repackaged Avastin in patients with wet AMD presents a significant competitive challenge in this indication. Competitors (including Amgen) are also developing a biosimilar version of Avastin. Long-term, controlled clinical trials comparing Lucentis to Avastin in the treatment of wet AMD are being conducted. One-year data from the Comparison of Age-Related Macular Degeneration Treatments Trial (CATT) were reported in April 2011 and indicated that Avastin dosed monthly was non-inferior to Lucentis dosed monthly in the primary efficacy endpoint of mean visual acuity gain at 52 weeks. Two-year data from CATT were reported in April 2012 and indicated that monthly Avastin was non-inferior to monthly Lucentis in mean visual acuity gain; as-needed dosing was </w:t>
      </w:r>
      <w:r>
        <w:rPr>
          <w:rFonts w:ascii="Arial" w:cs="Arial" w:eastAsia="Arial" w:hAnsi="Arial"/>
          <w:sz w:val="16"/>
          <w:szCs w:val="16"/>
          <w:i w:val="1"/>
          <w:iCs w:val="1"/>
          <w:color w:val="auto"/>
        </w:rPr>
        <w:t>not</w:t>
      </w:r>
      <w:r>
        <w:rPr>
          <w:rFonts w:ascii="Arial" w:cs="Arial" w:eastAsia="Arial" w:hAnsi="Arial"/>
          <w:sz w:val="16"/>
          <w:szCs w:val="16"/>
          <w:color w:val="auto"/>
        </w:rPr>
        <w:t xml:space="preserve"> non-inferior to monthly dosing. Avastin is also being evaluated in eye diseases in trials that have been initiated in the United Kingdom, Canada, Brazil, Mexico, Germany, Israel, and other countries. Furthermore, Lucentis and off-label use of repackaged Avastin present significant competitive challenges as doctors and patients have had significant experience using these medicines. Moreover, the reported results of the CATT study, combined with the relatively low cost of repackaged Avastin in treating patients with wet AMD, may exacerbate the competitive challenge which EYLEA faces in this or other eye indications for which it is approved.</w:t>
      </w:r>
    </w:p>
    <w:p>
      <w:pPr>
        <w:spacing w:after="0" w:line="227"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Finally, ZALTRAP has not been manufactured and formulated for use in intravitreal injections, and while we believe that ZALTRAP would not be well tolerated if administered directly to the eye, there is a risk that third parties may attempt to repackage ZALTRAP for off-label use and sale for the treatment of wet AMD and other diseases of the eye, which would present a potential low-cost competitive threat to EYLEA for its approved indications.</w:t>
      </w:r>
    </w:p>
    <w:p>
      <w:pPr>
        <w:spacing w:after="0" w:line="22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HealthCare for commercializing EYLEA.</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our commercialization experience is still relatively limited and we have no sales, marketing, commercial, or distribution capabilities for EYLEA outside the United States.</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Under the terms of our license and collaboration agreement with Bayer HealthCare (which is terminable by Bayer HealthCare at any time upon six or twelve months' advance notice), we rely on Bayer HealthCare for sales, marketing, and distribution of EYLEA in countries outside the United States. If we and Bayer HealthCare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HealthCare collaboration agreement would create substantial new and additional risks to the successful development and commercialization of EYLEA, particularly outside the United States. For additional information regarding our collaboration with Bayer HealthCare, see "Risks Related to Our Reliance on Third Parties - </w:t>
      </w:r>
      <w:r>
        <w:rPr>
          <w:rFonts w:ascii="Arial" w:cs="Arial" w:eastAsia="Arial" w:hAnsi="Arial"/>
          <w:sz w:val="17"/>
          <w:szCs w:val="17"/>
          <w:i w:val="1"/>
          <w:iCs w:val="1"/>
          <w:color w:val="auto"/>
        </w:rPr>
        <w:t>If our collaboration with Bayer HealthCare for EYLEA is terminated, or Bayer HealthCare materially breaches its obligations thereunder,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7"/>
          <w:szCs w:val="17"/>
          <w:color w:val="auto"/>
        </w:rPr>
        <w:t>" below.</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Sales of EYLEA recorded by us and Bayer HealthCare could be reduced by imports from countries where EYLEA may be available at lower prices.</w:t>
      </w:r>
    </w:p>
    <w:p>
      <w:pPr>
        <w:spacing w:after="0" w:line="30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sales of EYLEA in the United States and Bayer HealthCare's sales of EYLEA in other countries may be reduced if EYLEA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HealthCare, pricing and reimbursement for EYLEA outside the United States is the responsibility of Bayer HealthCare. Prices for EYLEA in territories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 HealthCare's sales, thereby adversely affecting our results of operations. In addition, there have been proposals to legalize the import of pharmaceuticals from outside the United States. If such legislation were enacted, our future revenues derived from EYLEA sales could be reduced.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Praluent</w:t>
      </w:r>
    </w:p>
    <w:p>
      <w:pPr>
        <w:spacing w:after="0" w:line="283"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b w:val="1"/>
          <w:bCs w:val="1"/>
          <w:i w:val="1"/>
          <w:iCs w:val="1"/>
          <w:color w:val="auto"/>
        </w:rPr>
        <w:t>If we and Sanofi are unable to successfully commercialize Praluent, our business, prospects, operating results, and financial condition may be materially harmed.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commercial success of Praluent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Praluent,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and Sanofi's ability to effectively communicate to the marketplace the benefits of Praluent;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patients and providers to obtain and maintain sufficient coverage and reimbursement from third-party payers, including Medicare and Medicaid in the United States and other government and private payers in the United States and foreign jurisdictions;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and Sanofi's ability to maintain sales of Praluent in the face of competitive products, including Amgen's Repatha, as well as product candidates currently in clinical development;</w:t>
      </w:r>
    </w:p>
    <w:p>
      <w:pPr>
        <w:jc w:val="both"/>
        <w:ind w:left="660" w:right="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results of post-approval studies of Praluent (including the ongoing ODYSSEY OUTCOMES trial prospectively assessing the potential of Praluent to demonstrate cardiovascular benefit), whether conducted by us or by others and whether mandated by regulatory agencies or voluntary, and other data about Praluent (or data about products similar to Praluent that implicate an entire class of products or are perceived to do so);</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Praluent;</w:t>
      </w:r>
    </w:p>
    <w:p>
      <w:pPr>
        <w:spacing w:after="0" w:line="9"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Praluent with third parties who perform fill/finish or other steps in the manufacture of Praluent to ensure that they meet our standards and those of regulatory authorities, including the FDA, which extensively regulate and monitor pharmaceutical manufacturing facilities.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More detailed information about the risks related to the commercialization of Praluent is provided in the risk factors below.</w:t>
      </w:r>
    </w:p>
    <w:p>
      <w:pPr>
        <w:spacing w:after="0" w:line="27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Praluent. If we or Sanofi fail to maintain regulatory compliance for Praluent, Praluent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We and Sanofi are subject to significant ongoing regulatory obligations and oversight with respect to Praluent for its currently approved indications in the United States and the EU. If we or Sanofi fail to maintain regulatory compliance for Praluent for its currently approved indications (including because Praluent does not meet the relevant endpoints of any required post-approval studies, such as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Obtaining and maintaining regulatory approval for drug products is costly, time-consuming, and highly uncertain</w:t>
      </w:r>
      <w:r>
        <w:rPr>
          <w:rFonts w:ascii="Arial" w:cs="Arial" w:eastAsia="Arial" w:hAnsi="Arial"/>
          <w:sz w:val="16"/>
          <w:szCs w:val="16"/>
          <w:color w:val="auto"/>
        </w:rPr>
        <w:t>"), Praluent marketing approval may be withdrawn, which would materially harm our business, prospects, operating results,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below.</w:t>
      </w:r>
    </w:p>
    <w:p>
      <w:pPr>
        <w:spacing w:after="0" w:line="22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Praluent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Praluent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Sales of Praluent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201"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Praluent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Praluent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Praluent. If Praluent is not included within an adequate number of formularies, adequate reimbursement levels are not provided, or the eligible insured patient population for Praluent is limited, this could have a material adverse effect on our and Sanofi's ability to commercialize Praluent.</w:t>
      </w:r>
    </w:p>
    <w:p>
      <w:pPr>
        <w:spacing w:after="0" w:line="243"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6"/>
          <w:szCs w:val="16"/>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Praluent. Since Praluent is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Praluent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2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Praluent is subject to strong competition.</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There is significant actual and potential future competition for Praluent (an overview of the competitive landscape for Praluent is provided in Part I, Item</w:t>
      </w:r>
    </w:p>
    <w:p>
      <w:pPr>
        <w:spacing w:after="0" w:line="46" w:lineRule="exact"/>
        <w:rPr>
          <w:sz w:val="20"/>
          <w:szCs w:val="20"/>
          <w:color w:val="auto"/>
        </w:rPr>
      </w:pPr>
    </w:p>
    <w:p>
      <w:pPr>
        <w:jc w:val="both"/>
        <w:ind w:firstLine="8"/>
        <w:spacing w:after="0" w:line="287" w:lineRule="auto"/>
        <w:tabs>
          <w:tab w:leader="none" w:pos="199"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"Business - Competition - </w:t>
      </w:r>
      <w:r>
        <w:rPr>
          <w:rFonts w:ascii="Arial" w:cs="Arial" w:eastAsia="Arial" w:hAnsi="Arial"/>
          <w:sz w:val="16"/>
          <w:szCs w:val="16"/>
          <w:i w:val="1"/>
          <w:iCs w:val="1"/>
          <w:color w:val="auto"/>
        </w:rPr>
        <w:t>Praluent</w:t>
      </w:r>
      <w:r>
        <w:rPr>
          <w:rFonts w:ascii="Arial" w:cs="Arial" w:eastAsia="Arial" w:hAnsi="Arial"/>
          <w:sz w:val="16"/>
          <w:szCs w:val="16"/>
          <w:color w:val="auto"/>
        </w:rPr>
        <w:t>"). Amgen's PCSK9 program is currently the most advanced of the competitors, having already received regulatory approval from the FDA and marketing authorization from the European Commission for its PCSK9 inhibitor Repatha. Amgen may obtain marketing approval for Repatha in one or more additional countries before Praluent is approved in those countries. Several other companies, including Pfizer, also have development programs for antibodies against PCSK9. Alnylam, in collaboration with The Medicines Company, has a clinical program underway with an RNAi molecule against PCSK9. In addition, there are therapeutic products targeting PCSK9 operating through other mechanisms of action in development, including an oral product. Oral products that lower LDL-C, if approved, may also be competitive with PCSK9 inhibitors, including Praluent. Certain late-stage inhibitors of cholesterylester transfer protein (CETP), such as Merck's anacetrapib, lower LDL-C and may be launched with supporting data from outcomes trials prior to the completion of our own outcomes trial for Praluent. Other oral agents for lowering LDL-C that may potentially compete with Praluent include ETC-1002 and CAT-2054, which are being developed by Esperion Therapeutics and Catabasis Pharmaceuticals, respectively.</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Praluent.</w:t>
      </w:r>
    </w:p>
    <w:p>
      <w:pPr>
        <w:spacing w:after="0" w:line="27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accordance with the terms of our Antibody Collaboration with Sanofi, we have elected to co-promote Praluent with Sanofi in the United States. As such, we continue to rely in part on Sanofi's sales and marketing organization in the United States. If we and Sanofi fail to coordinate our United States sales and marketing efforts effectively, sales of Praluent may be materially affected. Sanofi also maintains other important responsibilities relating to Praluent in the United States. For example, Sanofi records product sales and cost of sales for Praluent in the United States, serves as the lead regulatory party (</w:t>
      </w:r>
      <w:r>
        <w:rPr>
          <w:rFonts w:ascii="Arial" w:cs="Arial" w:eastAsia="Arial" w:hAnsi="Arial"/>
          <w:sz w:val="17"/>
          <w:szCs w:val="17"/>
          <w:i w:val="1"/>
          <w:iCs w:val="1"/>
          <w:color w:val="auto"/>
        </w:rPr>
        <w:t>e.g.</w:t>
      </w:r>
      <w:r>
        <w:rPr>
          <w:rFonts w:ascii="Arial" w:cs="Arial" w:eastAsia="Arial" w:hAnsi="Arial"/>
          <w:sz w:val="17"/>
          <w:szCs w:val="17"/>
          <w:color w:val="auto"/>
        </w:rPr>
        <w:t>, is responsible for regulatory filings and negotiations relating to Praluent in the United States), and leads negotiations with payors.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 xml:space="preserve">We also rely on Sanofi for sales, marketing, and distribution of Praluent in countries outside the United States. If we and Sanofi are unsuccessful in commercializing Praluent,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Praluent. Therefore, termination of our Antibody Collaboration would create substantial new and additional risks to the successful commercialization of Praluent, particularly outside the United States. For additional information regarding our Antibody Collaboration with Sanofi, see "Risks Related to Our Reliance on Third Parties - </w:t>
      </w:r>
      <w:r>
        <w:rPr>
          <w:rFonts w:ascii="Arial" w:cs="Arial" w:eastAsia="Arial" w:hAnsi="Arial"/>
          <w:sz w:val="18"/>
          <w:szCs w:val="18"/>
          <w:i w:val="1"/>
          <w:iCs w:val="1"/>
          <w:color w:val="auto"/>
        </w:rPr>
        <w:t>If any of our collaborations with Sanofi is terminated, our business, prospects, operating results, and financial condition, and our</w:t>
      </w:r>
      <w:r>
        <w:rPr>
          <w:rFonts w:ascii="Arial" w:cs="Arial" w:eastAsia="Arial" w:hAnsi="Arial"/>
          <w:sz w:val="18"/>
          <w:szCs w:val="18"/>
          <w:color w:val="auto"/>
        </w:rPr>
        <w:t xml:space="preserve"> </w:t>
      </w:r>
      <w:r>
        <w:rPr>
          <w:rFonts w:ascii="Arial" w:cs="Arial" w:eastAsia="Arial" w:hAnsi="Arial"/>
          <w:sz w:val="18"/>
          <w:szCs w:val="18"/>
          <w:i w:val="1"/>
          <w:iCs w:val="1"/>
          <w:color w:val="auto"/>
        </w:rPr>
        <w:t>ability to discover, develop, manufacture, and commercialize our pipeline of product candidates in the time expected, or at all, would be materially harmed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below.</w:t>
      </w:r>
    </w:p>
    <w:p>
      <w:pPr>
        <w:spacing w:after="0" w:line="2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Sales of Praluent recorded by Sanofi could be reduced by imports from countries where Praluent may be available at lower prices.</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Sales of Praluent recorded by Sanofi in the United States and other countries (which impact our share of any profits or losses from the commercialization of Praluent under our Antibody Collaboration with Sanofi and, therefore, our results of operations) may be reduced if Praluent is imported into those countries from lower priced markets, whether legally or illegally (a practice known as parallel trading or reimportation). Parallel traders (who may repackage or resize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Praluent outside the United States is the responsibility of Sanofi. Prices for Praluent in territories outside the United States are based on local market economics and competition and are likely to differ from country to country. In the United States, prices for pharmaceuticals are generally higher than in the bordering nations of Canada and Mexico and sales of Praluent in the United States that are recorded by Sanofi may be reduced if Praluent marketed in those bordering nations is imported into the United States. Parallel-trading practices also are of particular relevance to the EU, where they have been encouraged by the current regulatory framework. These types of imports may exert pressure on the pricing of Praluent in a particular market or the sales recorded by Sanofi, thereby adversely affecting our results of operations. In addition, there have been proposals to legalize the import of pharmaceuticals from outside the United States. If such legislation were enacted, our future revenues derived from Praluent sales could be reduced.</w:t>
      </w:r>
    </w:p>
    <w:p>
      <w:pPr>
        <w:spacing w:after="0" w:line="23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22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FDA may also require us to conduct additional clinical trials after granting approval of a product. Its ability to do so has been enhanced by the Food and Drug Administration Amendments Act of 2007, pursuant to which the FDA has the explicit authority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42"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6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221"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development of serious or life-threatening adverse events (or side effects) caused by or connected with exposure to the product candidate,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3"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For example, a randomized, double-blind Phase 3 trial (VENICE) that evaluated ZALTRAP as a first-line treatment for metastatic androgen-independent prostate cancer in combination with docetaxel/prednisone did not meet the pre-specified criterion of improvement in overall survival in April 2011. 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2"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16"/>
        <w:spacing w:after="0" w:line="302"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EYLEA is being studied in an additional indication,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immunogenicity, demyelination, and changes in neurocognitive function. There also are risks inherent in subcutaneous injections, including subcutaneous injections with Praluent, such as injection-site reactions (including redness, itching, swelling, pain, and tenderness) and other side effects. These and other complications or side effects could harm further development and/or commercialization of Praluent.</w:t>
      </w:r>
    </w:p>
    <w:p>
      <w:pPr>
        <w:spacing w:after="0" w:line="21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Some of our products and, if approved, product candidates may be used with drug delivery devices, which have their own regulatory and other risks.</w:t>
      </w:r>
    </w:p>
    <w:p>
      <w:pPr>
        <w:spacing w:after="0" w:line="3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Some of our products (such as Praluent) are used and, if approved, some of our product candidates may be used in combination with a drug 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our product candidates used with such drug delivery devices may be substantially delayed in receiving regulatory approval or may not be approved at all. In addition, some of these drug 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the subject of opposition proceedings in the European Patent Office, as described in Part I, Item 3. "Legal Proceedings" of this report. We have pending patent applications in the United States Patent and Trademark Office, the European Patent Office, and the patent offices of other foreign jurisdictions, and it is likely that we will need to defend patents from challenges by others from time to time in the future. Certain of our U.S. patents may also be challenged by parties who file a request for post-grant review under the America Invents Act of 2011. Post-grant review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16"/>
        <w:spacing w:after="0" w:line="297"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212"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our patents. For example, we are currently parties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this report. In addition, we are currently parties to patent infringement proceedings initiated by Amgen against us and Sanofi relating to Praluent, as described in Part I, Item 3. "Legal Proceedings" of this report. We are aware of additional patents and pending applications owned by others that claim antibodies to PCSK9 and methods of treating hypercholesterolemia with such antibodies. We are also aware of patents and pending applications owned by others that respectively claim antibodies to IL-6R and IL-4R and methods of treating rheumatoid arthritis and uveitis and atopic dermatitis and asthma with such antibodies. In addition to Praluent, our late-stage antibody-based pipeline includes sarilumab, an antibody to IL-6R, for the treatment of rheumatoid arthritis and non-infectious uveitis; dupilumab, an antibody to IL-4R, for the treatment of atopic dermatitis, asthma, nasal polyposis, and eosinophilic esophagitis; REGN2222, an antibody targeting RSV-F; and fasinumab, an antibody to NGF. Although we do not believe that any of our late-stage antibody product candidates infringes any valid claim in these patents or patent applications, these other parties could initiate a lawsuit for patent infringement and assert their patents are valid and cover our late-stage antibody product candidates, similar to the patent infringement proceedings initiated by Amgen referred to above. As described in Part I, Item 3. "Legal Proceedings" of this report, we and Sanofi-Aventis U.S. LLC initiated invalidity actions against patents jointly owned by Genentech and City of Hope relating to the production of recombinant antibodies by host cells. We currently produce our antibody product and antibody product candidates using recombinant antibodies from host cells and may choose to produce additional antibody product candidates in this manner. Neither ARCALYST nor EYLEA is a recombinant antibody. Genentech has licensed these patents to several different companies under confidential license agreements. If we desire a license for any of our antibody products or product candidates as part of a settlement for these invalidity actions and are unable to obtain a license on commercially reasonable terms or at all, we may be restricted in our ability to make recombinant antibodies in, or to import them into, the United States.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00" w:lineRule="exact"/>
        <w:rPr>
          <w:sz w:val="20"/>
          <w:szCs w:val="20"/>
          <w:color w:val="auto"/>
        </w:rPr>
      </w:pPr>
    </w:p>
    <w:p>
      <w:pPr>
        <w:spacing w:after="0" w:line="238"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described above under "</w:t>
      </w:r>
      <w:r>
        <w:rPr>
          <w:rFonts w:ascii="Arial" w:cs="Arial" w:eastAsia="Arial" w:hAnsi="Arial"/>
          <w:sz w:val="17"/>
          <w:szCs w:val="17"/>
          <w:i w:val="1"/>
          <w:iCs w:val="1"/>
          <w:color w:val="auto"/>
        </w:rPr>
        <w:t>If we cannot protect the confidentiality of our trade secrets or our patents are insufficient to protect our proprietary rights, our</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and competitive position will be harmed,</w:t>
      </w:r>
      <w:r>
        <w:rPr>
          <w:rFonts w:ascii="Arial" w:cs="Arial" w:eastAsia="Arial" w:hAnsi="Arial"/>
          <w:sz w:val="17"/>
          <w:szCs w:val="17"/>
          <w:color w:val="auto"/>
        </w:rPr>
        <w:t>" the scope and enforceability of our patent rights may vary from country to country. The failure to obtain</w:t>
      </w:r>
      <w:r>
        <w:rPr>
          <w:rFonts w:ascii="Arial" w:cs="Arial" w:eastAsia="Arial" w:hAnsi="Arial"/>
          <w:sz w:val="17"/>
          <w:szCs w:val="17"/>
          <w:i w:val="1"/>
          <w:iCs w:val="1"/>
          <w:color w:val="auto"/>
        </w:rPr>
        <w:t xml:space="preserve"> </w:t>
      </w:r>
      <w:r>
        <w:rPr>
          <w:rFonts w:ascii="Arial" w:cs="Arial" w:eastAsia="Arial" w:hAnsi="Arial"/>
          <w:sz w:val="17"/>
          <w:szCs w:val="17"/>
          <w:color w:val="auto"/>
        </w:rPr>
        <w:t>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27"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Under the federal Patient Protection and Affordable Care Act, or PPACA, enacted in 2010, there is an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1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Praluent and, if approved, our product candidates or other indications for our marketed products, and to advance our clinical pipeline.</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EYLEA, Praluent, ZALTRAP, and ARCALYST, and (b) our antibody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We have commenced construction of additional manufacturing space at our Rensselaer, New York site to increase our manufacturing capacity. In addition, 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Praluent, and ARCALYST and could also delay or require us to discontinue one or more of our clinical development programs. As a result, our business, prospects, operating results, and financial condition could be materially harmed.</w:t>
      </w:r>
    </w:p>
    <w:p>
      <w:pPr>
        <w:spacing w:after="0" w:line="200" w:lineRule="exact"/>
        <w:rPr>
          <w:sz w:val="20"/>
          <w:szCs w:val="20"/>
          <w:color w:val="auto"/>
        </w:rPr>
      </w:pPr>
    </w:p>
    <w:p>
      <w:pPr>
        <w:spacing w:after="0" w:line="24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Our ability to continue to manufacture EYLEA, Praluent, ZALTRAP, and ARCALYST in our Rensselaer, New York facilities and, in the future, our ability to manufacture our marketed products at additional facilities,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46"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sales of EYLEA or Praluent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178"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3"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24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Praluent,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30"/>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For a description of additional risks relating specifically to the commercialization of EYLEA and Praluent, see above under "Risks Related to Commercialization of EYLEA" and "Risks Related to Commercialization of Praluent," respectively.</w:t>
      </w:r>
    </w:p>
    <w:p>
      <w:pPr>
        <w:spacing w:after="0" w:line="224"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Praluent, the PCSK9 antibody we are developing and commercializing in collaboration with Sanofi, as described in greater detail above under "Risks Related to Commercialization of Praluent - </w:t>
      </w:r>
      <w:r>
        <w:rPr>
          <w:rFonts w:ascii="Arial" w:cs="Arial" w:eastAsia="Arial" w:hAnsi="Arial"/>
          <w:sz w:val="18"/>
          <w:szCs w:val="18"/>
          <w:i w:val="1"/>
          <w:iCs w:val="1"/>
          <w:color w:val="auto"/>
        </w:rPr>
        <w:t>The commercial success of Praluent is subject to</w:t>
      </w:r>
      <w:r>
        <w:rPr>
          <w:rFonts w:ascii="Arial" w:cs="Arial" w:eastAsia="Arial" w:hAnsi="Arial"/>
          <w:sz w:val="18"/>
          <w:szCs w:val="18"/>
          <w:color w:val="auto"/>
        </w:rPr>
        <w:t xml:space="preserve"> </w:t>
      </w:r>
      <w:r>
        <w:rPr>
          <w:rFonts w:ascii="Arial" w:cs="Arial" w:eastAsia="Arial" w:hAnsi="Arial"/>
          <w:sz w:val="18"/>
          <w:szCs w:val="18"/>
          <w:i w:val="1"/>
          <w:iCs w:val="1"/>
          <w:color w:val="auto"/>
        </w:rPr>
        <w:t>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 xml:space="preserve">We are aware of several pharmaceutical and biotechnology companies actively engaged in the research and development of antibody products against targets that are also the targets of our early- and late-stage product candidates (an overview of the competitive landscape for our antibody programs that are in late-stage clinical development is provided in Part I, Item 1. "Business - Competition - </w:t>
      </w:r>
      <w:r>
        <w:rPr>
          <w:rFonts w:ascii="Arial" w:cs="Arial" w:eastAsia="Arial" w:hAnsi="Arial"/>
          <w:sz w:val="16"/>
          <w:szCs w:val="16"/>
          <w:i w:val="1"/>
          <w:iCs w:val="1"/>
          <w:color w:val="auto"/>
        </w:rPr>
        <w:t>Monoclonal Antibodies</w:t>
      </w:r>
      <w:r>
        <w:rPr>
          <w:rFonts w:ascii="Arial" w:cs="Arial" w:eastAsia="Arial" w:hAnsi="Arial"/>
          <w:sz w:val="16"/>
          <w:szCs w:val="16"/>
          <w:color w:val="auto"/>
        </w:rPr>
        <w:t>"). For example, Pfizer (in collaboration with Eli Lilly) and Johnson &amp; Johnson are developing antibody product candidates against NGF. Genentech/Roche is marketing an antibody against IL-6R (Actemra) for the treatment of rheumatoid arthritis that would compete with sarilumab, our IL-6R antibody, if it is approved. In addition, several other companies, including Johnson &amp; Johnson (in collaboration with GlaxoSmithKline), Alder Biopharmaceuticals, Ablynx (in collaboration with AbbVie), R-Pharm, and Pfizer have antibodies against IL-6 or IL-6R in clinical development. A number of companies are developing antibodies that, if approved, may compete with dupilumab, our IL-4R antibody, if it is approved, including Roche (an antibody against IL-13), Teva (an antibody against IL-5), AstraZeneca (antibodies against IL-5R and IL-13), Novartis (a combination antibody against IL-4 and IL-13), and Amgen (in collaboration with AstraZeneca) (an antibody against thymic stromal lymphopoietin, or TSLP). GlaxoSmithKline's Nucala may also compete with dupilumab, if dupilumab is approved.</w:t>
      </w:r>
    </w:p>
    <w:p>
      <w:pPr>
        <w:sectPr>
          <w:pgSz w:w="11900" w:h="16838" w:orient="portrait"/>
          <w:cols w:equalWidth="0" w:num="1">
            <w:col w:w="11420"/>
          </w:cols>
          <w:pgMar w:left="240" w:top="130" w:right="239" w:bottom="1440" w:gutter="0" w:footer="0" w:header="0"/>
        </w:sect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1440"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RSV, competitors have marketed antibodies as well as antibodies in clinical development, including AstraZeneca (in collaboration with AIMM Therapeutics).</w:t>
      </w:r>
    </w:p>
    <w:p>
      <w:pPr>
        <w:spacing w:after="0" w:line="224" w:lineRule="exact"/>
        <w:rPr>
          <w:sz w:val="20"/>
          <w:szCs w:val="20"/>
          <w:color w:val="auto"/>
        </w:rPr>
      </w:pPr>
    </w:p>
    <w:p>
      <w:pPr>
        <w:jc w:val="both"/>
        <w:ind w:firstLine="230"/>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In addition, in order for private insurance and governmental payers (such as Medicare and Medicaid in the United States) to reimburse the cost of our products, we must, among other things, maintain registration of the products in the National Drug Code registry, maintain our re-labeler license, maintain formulary approval by pharmacy benefits managers, and maintain recognition by insurance companies and the Centers for Medicare and Medicaid Services of the Department of Health and Human Services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12"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0"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4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years ended December 31, 2015 and 2014, we recorded 67% and 73%, respectively, of our total gross product revenue from sales to a single distributor, Besse Medical, a subsidiary of AmerisourceBergen Corporation.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3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24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For additional risks relating to commercialization of EYLEA and Praluent outside the United States, see also "Risks Related to Commercialization of EYLEA - </w:t>
      </w:r>
      <w:r>
        <w:rPr>
          <w:rFonts w:ascii="Arial" w:cs="Arial" w:eastAsia="Arial" w:hAnsi="Arial"/>
          <w:sz w:val="18"/>
          <w:szCs w:val="18"/>
          <w:i w:val="1"/>
          <w:iCs w:val="1"/>
          <w:color w:val="auto"/>
        </w:rPr>
        <w:t>We rely on our collaboration with Bayer HealthCare for commercializing EYLEA</w:t>
      </w:r>
      <w:r>
        <w:rPr>
          <w:rFonts w:ascii="Arial" w:cs="Arial" w:eastAsia="Arial" w:hAnsi="Arial"/>
          <w:sz w:val="18"/>
          <w:szCs w:val="18"/>
          <w:color w:val="auto"/>
        </w:rPr>
        <w:t xml:space="preserve">" and "Risks Related to Commercialization of Praluent - </w:t>
      </w:r>
      <w:r>
        <w:rPr>
          <w:rFonts w:ascii="Arial" w:cs="Arial" w:eastAsia="Arial" w:hAnsi="Arial"/>
          <w:sz w:val="18"/>
          <w:szCs w:val="18"/>
          <w:i w:val="1"/>
          <w:iCs w:val="1"/>
          <w:color w:val="auto"/>
        </w:rPr>
        <w:t>We rely</w:t>
      </w:r>
      <w:r>
        <w:rPr>
          <w:rFonts w:ascii="Arial" w:cs="Arial" w:eastAsia="Arial" w:hAnsi="Arial"/>
          <w:sz w:val="18"/>
          <w:szCs w:val="18"/>
          <w:color w:val="auto"/>
        </w:rPr>
        <w:t xml:space="preserve"> </w:t>
      </w:r>
      <w:r>
        <w:rPr>
          <w:rFonts w:ascii="Arial" w:cs="Arial" w:eastAsia="Arial" w:hAnsi="Arial"/>
          <w:sz w:val="18"/>
          <w:szCs w:val="18"/>
          <w:i w:val="1"/>
          <w:iCs w:val="1"/>
          <w:color w:val="auto"/>
        </w:rPr>
        <w:t>on our Antibody Collaboration with Sanofi for commercializing Praluent</w:t>
      </w:r>
      <w:r>
        <w:rPr>
          <w:rFonts w:ascii="Arial" w:cs="Arial" w:eastAsia="Arial" w:hAnsi="Arial"/>
          <w:sz w:val="18"/>
          <w:szCs w:val="18"/>
          <w:color w:val="auto"/>
        </w:rPr>
        <w:t>,"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223" w:lineRule="exact"/>
        <w:rPr>
          <w:sz w:val="20"/>
          <w:szCs w:val="20"/>
          <w:color w:val="auto"/>
        </w:rPr>
      </w:pPr>
    </w:p>
    <w:p>
      <w:pPr>
        <w:jc w:val="both"/>
        <w:ind w:firstLine="230"/>
        <w:spacing w:after="0" w:line="269" w:lineRule="auto"/>
        <w:rPr>
          <w:sz w:val="20"/>
          <w:szCs w:val="20"/>
          <w:color w:val="auto"/>
        </w:rPr>
      </w:pPr>
      <w:r>
        <w:rPr>
          <w:rFonts w:ascii="Arial" w:cs="Arial" w:eastAsia="Arial" w:hAnsi="Arial"/>
          <w:sz w:val="17"/>
          <w:szCs w:val="17"/>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the Centers for Medicare &amp; Medicaid Services, the agency responsible for implementing these disclosure requirements. We will need to continue to dedicate significant resources to comply with these requirements. The PPACA also includes various provisions designed to strengthen fraud and 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enacted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34"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ind w:firstLine="230"/>
        <w:spacing w:after="0" w:line="277" w:lineRule="auto"/>
        <w:rPr>
          <w:sz w:val="20"/>
          <w:szCs w:val="20"/>
          <w:color w:val="auto"/>
        </w:rPr>
      </w:pPr>
      <w:r>
        <w:rPr>
          <w:rFonts w:ascii="Arial" w:cs="Arial" w:eastAsia="Arial" w:hAnsi="Arial"/>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drugs from other jurisdictions, and legislation on comparative effectiveness research are examples of previously enacted and possible future changes in laws that could adversely affect our business.</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ind w:right="20" w:firstLine="230"/>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14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the availability of the U.S. research and development tax credit,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1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8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11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We rely heavily on funding from Sanofi to support our target discovery and antibody research and development programs, as well as our immuno-oncology research and development programs. Sanofi has committed to reimburse us for up to (i) $405 million of the costs of our efforts to identify and validate drug discovery targets and pre-clinically develop fully human monoclonal antibodies against such targets under our Antibody Discovery Agreement and (ii) $825 million of the costs of our efforts to identify and validate potential immuno-oncology targets and develop fully-human therapeutic antibodies against such targets under the IO Discovery and Development Agreement. Sanofi also initially funds almost all of the development expenses incurred in connection with the clinical development of product candidates (i) that Sanofi elects to co-develop with us under our Antibody Collaboration and (ii)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Praluent, sarilumab, and dupilumab)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26"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If Sanofi does not elect to co-develop the product candidates that we discover or opts out of their development under our Antibody Collaboration or our IO Collaboration, unless we enter into a collaboration agreement with another party, we would be required to fund and oversee on our own the clinical trials, any regulatory responsibilities, and the ensuing commercialization efforts to support those antibody products. For example, Sanofi has elected not to continue co-development of fasinumab, REGN2222, and REGN1033, and decided not to opt in to the evinacumab and other programs.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 xml:space="preserve">If Sanofi terminates any of the collaborations with us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Praluent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prospects, operating results, and financial condition may be adversely affected</w:t>
      </w:r>
      <w:r>
        <w:rPr>
          <w:rFonts w:ascii="Arial" w:cs="Arial" w:eastAsia="Arial" w:hAnsi="Arial"/>
          <w:sz w:val="16"/>
          <w:szCs w:val="16"/>
          <w:color w:val="auto"/>
        </w:rPr>
        <w:t>" above). Termination of our Antibody Collaboration would create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new and additional risks to the successful development and commercialization of Praluent, particularly outside the United States.</w:t>
      </w:r>
    </w:p>
    <w:p>
      <w:pPr>
        <w:spacing w:after="0" w:line="22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HealthCare for EYLEA is terminated, or Bayer HealthCare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 xml:space="preserve">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HealthCare has responsibility for selling EYLEA outside the United States using its sales force and, in Japan, in cooperation with Santen Pharmaceuticals Co. Ltd. pursuant to a Co-Promotion and Distribution Agreement with Bayer HealthCare's Japanese affiliate. We cannot assure you that regulatory approvals will be received for EYLEA in additional indications outside the United States or that EYLEA will be successfully commercialized outside the United States.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outside the United States and are unable to do so, our business, prospects, operating results, and financial condition may be adversely affected</w:t>
      </w:r>
      <w:r>
        <w:rPr>
          <w:rFonts w:ascii="Arial" w:cs="Arial" w:eastAsia="Arial" w:hAnsi="Arial"/>
          <w:sz w:val="16"/>
          <w:szCs w:val="16"/>
          <w:color w:val="auto"/>
        </w:rPr>
        <w:t>" above).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of the Bayer HealthCare collaboration agreement would create substantial new and additional risks to the successful development and commercialization of EYLEA, particularly outside the United States.</w:t>
      </w:r>
    </w:p>
    <w:p>
      <w:pPr>
        <w:spacing w:after="0" w:line="227"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46"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President, Regeneron Laboratories and our Chief Scientific Officer; and Neil Stahl, Ph.D., our Executive Vice President, Research and Development. As we continue to commercialize EYLEA and Praluent and begin to commercialize other products assuming the receipt of required regulatory approvals,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malicious intrusion, and computer viruses, which may result in the impairment of production and key business processes. We also have outsourced significant elements of our information technology infrastructure and operations to third parties, which may provide access to our confidential information to such third parties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In addition, our systems are potentially vulnerable to data security breaches - whether by employees or others - 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46"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 HealthCare's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EYLEA and Praluent and the anticipated commercial launches of our late-stage product candidates and new indications for our marketed products, manufacturing scale-up, expenses related to clinical trials testing of antibody product candidates we are developing on our own (without Sanofi), and expenses related to the requirement, following receipt of the first positive Phase 3 trial results for a co-developed drug candidate, for us to fund 20% of Phase 3 clinical trial costs for any of our antibody product candidates being developed in collaboration with Sanofi.</w:t>
      </w:r>
    </w:p>
    <w:p>
      <w:pPr>
        <w:spacing w:after="0" w:line="223"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Our ability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 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EYLEA, we may face delay, reduction, or elimination of our research and development or preclinical or clinical programs and our commercialization activities, which would significantly limit our potential to generate revenue.</w:t>
      </w:r>
    </w:p>
    <w:p>
      <w:pPr>
        <w:spacing w:after="0" w:line="22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As of December 31, 2015, we had $809.1 million in cash and cash equivalents and $868.3 million in marketable securities (including $31.5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operating results, in particular net product sales of EYLEA;</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acceptance of, and fluctuations in market share for, our marketed products, especially EYLEA and Praluent;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by others to our patents in the European Patent Office and in the U.S. Patent and Trademark Office;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increasing its ownership of our Common Stock. As a result, the public float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3"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A small number of our shareholders beneficially own a substantial amount of our Common Stock. As of December 31, 2015, our five largest shareholders plus Dr. Schleifer, our Chief Executive Officer, beneficially owned approximately 46.4% of our outstanding shares of Common Stock, assuming, in the case of our Chief Executive Officer, the conversion of his Class A Stock into Common Stock and the exercise of all options held by him which are exercisable within 60 days of December 31, 2015. As of December 31, 2015, Sanofi beneficially owned 23,108,570 shares of our Common Stock, representing approximately 22.5%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and (ii) the expiration of our Antibody Discovery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our company. In February 2013, we received from Sanofi a notification under the Hart-Scott-Rodino Antitrust Improvements Act of 1976 that it intends to acquire additional Common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 through open market purchases and direct purchases from shareholders.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30"/>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2015, holders of Class A Stock held 15.7%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December 31, 2015:</w:t>
      </w:r>
    </w:p>
    <w:p>
      <w:pPr>
        <w:spacing w:after="0" w:line="233" w:lineRule="exact"/>
        <w:rPr>
          <w:sz w:val="20"/>
          <w:szCs w:val="20"/>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10.5% of our outstanding shares of Common Stock, assuming conversion of their Class A Stock into Common Stock and the exercise of all options held by such persons which are exercisable within 60 days of December 31, 2015, and 21.8% of the combined voting power of our outstanding shares of Common Stock and Class A Stock, assuming the exercise of all options held by such persons which are exercisable within 60 days of December 31, 2015;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46.4% of our outstanding shares of Common Stock, assuming, in the case of our Chief Executive Officer, the conversion of his Class A Stock into Common Stock and the exercise of all options held by him which are exercisable within 60 days of December 31, 2015. In addition, these five shareholders plus our Chief Executive Officer held approximately 52.4% of the combined voting power of our outstanding shares of Common Stock and Class A Stock, assuming the exercise of all options held by our Chief Executive Officer which are exercisable within 60 days of December 31, 2015.</w:t>
      </w:r>
    </w:p>
    <w:p>
      <w:pPr>
        <w:spacing w:after="0" w:line="233"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30"/>
        <w:spacing w:after="0" w:line="287" w:lineRule="auto"/>
        <w:rPr>
          <w:sz w:val="20"/>
          <w:szCs w:val="20"/>
          <w:color w:val="auto"/>
        </w:rPr>
      </w:pPr>
      <w:r>
        <w:rPr>
          <w:rFonts w:ascii="Arial" w:cs="Arial" w:eastAsia="Arial" w:hAnsi="Arial"/>
          <w:sz w:val="16"/>
          <w:szCs w:val="16"/>
          <w:color w:val="auto"/>
        </w:rPr>
        <w:t>In addition, upon Sanofi reaching 20% ownership of our then outstanding shares of Class A Stock and Common Stock (taken together),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our company,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 Mr. Ingram was subsequently elected as a Class I director at our 2014 Annual Shareholder Meeting for a term expiring at the 2016 Annual Shareholder Meeting and resigned on November 10, 2015. In December 2015, Sanofi disclosed in an amendment to its Schedule 13D filed with the SEC its intention to designate a successor designee.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The convertible note hedges and warrant transactions we entered into in connection with our convertible senior notes issuance may affect the trading price of our Common Stock.</w:t>
      </w:r>
    </w:p>
    <w:p>
      <w:pPr>
        <w:spacing w:after="0" w:line="22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In connection with our offering of our 1.875% convertible senior notes due October 1, 2016, or the Notes, we entered into convertible note hedge transactions with four financial institutions, or the hedge counterparties, the purpose of which was to reduce the potential dilution to our Common Stock and/or offset potential cash payments in excess of the principal amount of the Notes (as applicable) upon conversion of the Notes. In the event that the hedge counterparties fail to deliver shares to us or potential cash payments (as applicable)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 As of December 31, 2015, an aggregate principal amount of $11.2 million of the Notes and 2,109,098 warrants (subject to adjustment from time to time as provided in the applicable warrant agreements) remained outstanding.</w:t>
      </w:r>
    </w:p>
    <w:p>
      <w:pPr>
        <w:spacing w:after="0" w:line="246"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connection with hedging these transactions, the hedge counterparties and/or their affiliates may have entered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247"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In addition, we intend to continue to exercise options under the convertible note hedge transactions whenever Notes are converted. In order to unwind their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236" w:lineRule="exact"/>
        <w:rPr>
          <w:sz w:val="20"/>
          <w:szCs w:val="20"/>
          <w:color w:val="auto"/>
        </w:rPr>
      </w:pPr>
    </w:p>
    <w:p>
      <w:pPr>
        <w:jc w:val="both"/>
        <w:ind w:firstLine="135"/>
        <w:spacing w:after="0" w:line="340" w:lineRule="auto"/>
        <w:rPr>
          <w:sz w:val="20"/>
          <w:szCs w:val="20"/>
          <w:color w:val="auto"/>
        </w:rPr>
      </w:pPr>
      <w:r>
        <w:rPr>
          <w:rFonts w:ascii="Arial" w:cs="Arial" w:eastAsia="Arial" w:hAnsi="Arial"/>
          <w:sz w:val="15"/>
          <w:szCs w:val="15"/>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and our Notes and related warrant and hedge transactions, could deter, delay, or prevent an acquisition or other "change in control" of us and could adversely affect the price of our Common Stock.</w:t>
      </w:r>
    </w:p>
    <w:p>
      <w:pPr>
        <w:spacing w:after="0" w:line="185"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30"/>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22"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Similarly, under our 2014 PDGFR-beta license and collaboration agreement with Bayer HealthCare, Bayer HealthCare is prohibited from seeking to influence the control of our company or acquiring more than 20% of our then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(other than by Dr. Schleifer or his affiliates) of more than 20% of the voting power of our then outstanding Class A Stock and Common Stock (taken together); (iv) the issuance of shares of capital stock to another party (other than to an underwriter in a public offering) that would result in such party's having more than 7% of the voting power of our then outstanding Class A Stock and Common Stock (taken together) unless such third party enters into a standstill agreement containing terms substantially similar to the standstill obligations of Bayer HealthCare; or (v) other specified events, such as a liquidation or dissolution of our company.</w:t>
      </w:r>
    </w:p>
    <w:p>
      <w:pPr>
        <w:spacing w:after="0" w:line="251"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The holders of our Notes have fundamental change purchase rights, which require us to purchase all or a portion of their Notes upon the occurrence of a fundamental change, as defined in the indenture governing the Notes. In addition, the indenture contains provisions requiring an increase to the conversion rate for conversions in connection with make-whole fundamental changes. These rights and provisions may in certain circumstances delay or prevent a takeover of us and the removal of incumbent management that might otherwise be beneficial to investors. In addition, upon the occurrence of certain extraordinary events, the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24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and our 2014 Long-Term Incentive Plan may become fully vested in connection with a "change in control" of our company, as defined in the plans. Further, under the amended and restated investor agreement between us and Sanofi, we are required under certain circumstances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6"/>
          <w:szCs w:val="16"/>
          <w:i w:val="1"/>
          <w:iCs w:val="1"/>
          <w:color w:val="auto"/>
        </w:rPr>
        <w:t>Our existing</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 may be able to exert significant influence over matters requiring shareholder approval and over our management</w:t>
      </w:r>
      <w:r>
        <w:rPr>
          <w:rFonts w:ascii="Arial" w:cs="Arial" w:eastAsia="Arial" w:hAnsi="Arial"/>
          <w:sz w:val="16"/>
          <w:szCs w:val="16"/>
          <w:color w:val="auto"/>
        </w:rPr>
        <w:t>," a Sanofi designee served on</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from April 2014 to November 2015, and Sanofi has disclosed its intention to designate a successor designee. These contractual provisions may also have the effect of deterring, delaying, or preventing an acquisition or other change in control.</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conduct our research, development, manufacturing, and administrative activities at our owned and leased facilities. Below is a summary of such properties. In the future, we may lease, operate, purchase, or construct additional facilities in which to conduct expanded research and development and manufacturing activities and support commercial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At our Tarrytown, New York location, we lease approximately 1,108,000 square feet of laboratory and office space. This includes approximately 297,000 square feet of laboratory and office space constructed in two new buildings, which were completed in 2015.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Additionally, in April 2015, we acquired an approximate 100-acre parcel of undeveloped land adjacent to our current Tarrytown, New York location for an aggregate purchase price of $73.0 million. We intend to develop this property to accommodate and support our growth, primarily in connection with expanding our existing research and development and office space.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Rensselaer, New York</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own facilities in Rensselaer, New York totaling approximately 440,000 square feet of research, manufacturing, office, and warehouse space. We also lease approximately 75,000 square feet of additional laboratory and office space.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Limerick, Ireland</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2014, we acquired a 400,000 square foot manufacturing facility in Limerick, Ireland. We are in process of renovating this facility to accommodate and support our growth, primarily in connection with expanding our manufacturing capacity to support our global supply chain.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83"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below. The outcome of any such proceedings, regardless of the merits, is inherently uncertain. For a description of risks relating to these and other legal proceedings we face, see Part I, Item 1A. "Risk Factors," including the discussion under the headings entitled "Risks Related to Intellectual Property and Market Exclusivity," "Regulatory and Litigation Risks," and "Risks Related to Our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287 Patent, </w:t>
      </w:r>
      <w:r>
        <w:rPr>
          <w:rFonts w:ascii="Arial" w:cs="Arial" w:eastAsia="Arial" w:hAnsi="Arial"/>
          <w:sz w:val="18"/>
          <w:szCs w:val="18"/>
          <w:color w:val="auto"/>
        </w:rPr>
        <w:t>'</w:t>
      </w:r>
      <w:r>
        <w:rPr>
          <w:rFonts w:ascii="Arial" w:cs="Arial" w:eastAsia="Arial" w:hAnsi="Arial"/>
          <w:sz w:val="18"/>
          <w:szCs w:val="18"/>
          <w:b w:val="1"/>
          <w:bCs w:val="1"/>
          <w:i w:val="1"/>
          <w:iCs w:val="1"/>
          <w:color w:val="auto"/>
        </w:rPr>
        <w:t>018 Patent, and '163 Patent</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are parties to patent infringement litigation initiated by us involving our European Patent No. 1,360,287 (the '287 Patent), our European Patent No. 2,264,163 (the '163 Patent), and our U.S. Patent No. 8,502,018 (the '018 Patent), all of which concern genetically altered mice capable of producing chimeric antibodies that are part human and part mouse. Chimeric antibody sequences can be used to produce high-affinity fully human monoclonal antibodies. In these proceedings, we claim infringement of several claims of the '287 Patent, the '163 Patent, and the '018 Patent (as applicable), and seek,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w:t>
      </w:r>
    </w:p>
    <w:p>
      <w:pPr>
        <w:spacing w:after="0" w:line="2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On September 25, 2013, we commenced '287 Patent infringement litigation against Kymab Ltd, a company based in the United Kingdom, in the English High Court of Justice, Chancery Division, Patents Court, in London. On December 18, 2013, Kymab filed a defense to our lawsuit and counterclaimed alleging invalidity of the '287 Patent. On January 3, 2014, we commenced '287 Patent infringement litigation against Novo Nordisk A/S, a company based in Denmark, in the English High Court of Justice, Chancery Division, Patents Court, in London. On March 27, 2014, Novo Nordisk served a defense to our lawsuit and counterclaimed alleging invalidity of the '287 Patent. Novo Nordisk also intervened in the opposition to the '287 Patent in the European Patent Office (EPO) on April 3, 2014. The case against Kymab and the case against Novo Nordisk were consolidated in the Patents Court in London in May 2014. On October 19, 2015, following the grant of the '163 Patent by the EPO, we added an infringement claim based on the '163 Patent to our '287 Patent infringement litigation against Kymab and Novo Nordisk in the English High Court of Justice, Chancery Division, Patents Court, in London. Both Kymab and Novo Nordisk counterclaimed alleging invalidity of the '163 Patent. In November 2015, we withdrew our claims against Novo Nordisk, while preserving our rights to pursue an infringement action against it in jurisdictions other than the United Kingdom. A trial to adjudicate the claims of infringement and invalidity of the '287 Patent and the '163 Patent was held from November 16, 2015 through December 8, 2015. On February 1, 2016, the court issued a final judgment, finding that the asserted claims of the '287 and '163 Patents are novel, not obvious, and infringed by Kymab's genetically engineered mice. However, the court invalidated the '287 and '163 Patents on the ground of insufficiency. We plan to appeal this decision.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11, 2014, we commenced '287 Patent infringement litigation and '018 Patent infringement litigation against Merus B.V., a company based in Utrecht, The Netherlands, in the District Court of The Hague and the United States District Court for the Southern District of New York, respectively. On November 2, 2015, the United States District Court for the Southern District of New York issued an opinion and order in our '018 Patent infringement litigation against Merus B.V. finding that the '018 Patent was procured by inequitable conduct, thus rendering it unenforceable. On December 17, 2015, we filed a notice of appeal with the U.S. Court of Appeals for the Federal Circuit.</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Our '287 Patent was also the subject of opposition proceedings in the EPO initiated by Kymab and Merus in June 2013, alleging lack of novelty, lack of inventive step, and insufficiency. On September 17, 2014, following an oral hearing held to evaluate the validity of the '287 Patent, the Opposition Division of the EPO revoked the '287 Patent in its entirety on the grounds of lack of inventive step. We filed an appeal with the EPO on September 18, 2014, which had the effect of reinstating the '287 Patent. On November 9, 2015, the Technical Board of Appeal of the EPO reversed the decision of the Opposition Division and found the amended claims of the '287 Patent were valid. A final written decision is expected to be issued in the first quarter of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prevent us and the other defendants from manufacturing, using, offering to sell, or selling within the United States (as well as importing into the United States) Praluent, the antibody to PCSK9 for LDL cholesterol reduction we are jointly developing with Sanofi. On November 11, 2014 and November 17, 2014, Amgen filed complaints against Regeneron, Sanofi, Sanofi-Aventis U.S. LLC, and Aventis Pharmaceuticals, Inc. in the same court seeking the same relief. Amgen asserts U.S. Patent Nos. 8,563,698, 8,829,165 (the '165 Patent), and 8,859,741 (the '741 Patent) in the first complaint, U.S. Patent Nos. 8,871,913 and 8,871,914 (the '914 Patent) in the second complaint, U.S. Patent No. 8,883,983 in the third complaint, and U.S. Patent No. 8,889,834 in the fourth complaint. Amgen also seeks a judgment of patent infringement of</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asserted patents, monetary damages (together with interest), costs and expenses of the lawsuits, and attorneys' fees. On December 15, 2014, all of the four proceedings were consolidated into a single case.</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September 15, 2015, Amgen filed a motion for leave to file a supplemental and second amended complaint, which was granted on January 29, 2016. As amended, the complaint alleges, among other things, willful infringement of the asserted patents, which would allow the court to increase damages up to three times the amount assessed if the court finds willful infringement. On October 20, 2015, the District Court issued its claim construction order, in which it defined the meaning of certain disputed claim terms; none of the court's rulings was dispositive of the issues in the case. On November 3, 2015, pursuant to court order, the patents asserted by Amgen were narrowed to the '165, '741, and '914 Patents. The trial is currently set to begin on March 7, 2016, and a permanent injunction hearing (which would be held if the court finds infringement of a valid patent claim by us and Sanofi) is currently scheduled to begin on March 23, 2016.</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Patents Owned by Genentech and City of Hope</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On July 27, 2015, we and Sanofi-Aventis U.S. LLC filed a complaint in the United States District Court for the Central District of California (Western Division) seeking a declaratory judgment of invalidity, as well as non-infringement by the manufacture, use, sale, offer of sale, or importation of Praluent (alirocumab), of U.S. Patent No. 7,923,221 jointly owned by Genentech, Inc. (Genentech) and City of Hope relating to the production of recombinant antibodies by host cells. On the same day, we and Sanofi-Aventis U.S. LLC initiated an inter partes review in the United States Patent and Trademark Office (USPTO) seeking a declaration of invalidity of certain claims of U.S. Patent No. 6,331,415 jointly owned by Genentech and City of Hope relating to the production of recombinant antibodies by host cells. On February 5, 2016, the USPTO instituted an inter partes review of the validity of most of the patent claims for which review had been requested. On September 17, 2015, Genentech and City of Hope answered the complaint previously filed by us and Sanofi in the District Court and counterclaimed, alleging that we and Sanofi infringe the '221 Patent and seeking, among other types of relief, damages and a permanent injunction. On November 2, 2015, the court set a tentative trial date beginning on September 27, 2016.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Shareholder Derivative Claims</w:t>
      </w:r>
    </w:p>
    <w:p>
      <w:pPr>
        <w:spacing w:after="0" w:line="27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current and certain former non-employee members of our board of directors, the Chairman of the board of directors, our Chief Executive Officer, and our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Regeneron for the alleged breaches of fiduciary duties and unjust enrichment; changes to Regeneron's corporate governance and internal procedures; invalidation of Regeneron's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We intend to move to dismiss the shareholder derivative complaint. Pursuant to our By-Laws and the New York Business Corporation Law, expenses in connection with the foregoing are being advanced by us to certain current and former directors and/or officers.</w:t>
      </w:r>
    </w:p>
    <w:p>
      <w:pPr>
        <w:spacing w:after="0" w:line="2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or about December 15, 2015, we received a shareholder litigation demand upon our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our board of directors investigate and bring legal action against these directors for breach of fiduciary duty, unjust enrichment, and corporate waste, and implement internal controls and systems designed to prohibit and prevent similar actions in the future. Our board of directors, working with outside counsel, investigated the allegations in the demand and the shareholder derivative complaint, and has determined to defer its decision on the demand until the court rules on the forthcoming motion to dismiss the shareholder derivative complaint, as discussed above.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ind w:left="820" w:right="20" w:hanging="80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for Registrant's Common Equity</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Our Common Stock, par value $.001 per share, is quoted on The NASDAQ Global Select Market under the symbol "REGN." Our Class A Stock, par value $.001 per share, is not publicly quoted or traded.</w:t>
      </w:r>
    </w:p>
    <w:p>
      <w:pPr>
        <w:spacing w:after="0" w:line="22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sales prices for our Common Stock as reported by The NASDAQ Global Select Market:</w:t>
      </w:r>
    </w:p>
    <w:p>
      <w:pPr>
        <w:spacing w:after="0" w:line="247"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Low</w:t>
            </w:r>
          </w:p>
        </w:tc>
      </w:tr>
      <w:tr>
        <w:trPr>
          <w:trHeight w:val="27"/>
        </w:trPr>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352.49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262.97</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269.50</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285.06</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320.06</w:t>
            </w:r>
          </w:p>
        </w:tc>
      </w:tr>
      <w:tr>
        <w:trPr>
          <w:trHeight w:val="324"/>
        </w:trPr>
        <w:tc>
          <w:tcPr>
            <w:tcW w:w="6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495.50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393.00</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433.47</w:t>
            </w:r>
          </w:p>
        </w:tc>
      </w:tr>
      <w:tr>
        <w:trPr>
          <w:trHeight w:val="243"/>
        </w:trPr>
        <w:tc>
          <w:tcPr>
            <w:tcW w:w="642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605.93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435.52</w:t>
            </w:r>
          </w:p>
        </w:tc>
      </w:tr>
      <w:tr>
        <w:trPr>
          <w:trHeight w:val="27"/>
        </w:trPr>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448.10</w:t>
            </w:r>
          </w:p>
        </w:tc>
      </w:tr>
      <w:tr>
        <w:trPr>
          <w:trHeight w:val="27"/>
        </w:trPr>
        <w:tc>
          <w:tcPr>
            <w:tcW w:w="6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February 4, 2016, there were 212 shareholders of record of our Common Stock and 24 shareholders of record of our Class A Stock.</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never paid cash dividends on our Common Stock or Class A Stock and do not anticipate paying any in the foreseeable future.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STOCK PERFORMANCE GRAPH</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NQ US Benchmark Pharma TR Index, and (ii) Standard &amp; Poor's 500 Stock Index (S&amp;P 500) for the period from December 31, 2010 through December 31, 2015. The comparison assumes that $100 was invested on December 31, 2010 in our Common Stock and in both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153035</wp:posOffset>
            </wp:positionV>
            <wp:extent cx="5848985" cy="3430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12/31/2014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12/31/2015</w:t>
            </w:r>
          </w:p>
        </w:tc>
      </w:tr>
      <w:tr>
        <w:trPr>
          <w:trHeight w:val="27"/>
        </w:trPr>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Regeneron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1,249.62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1,653.58</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S&amp;P 500</w:t>
            </w:r>
          </w:p>
        </w:tc>
        <w:tc>
          <w:tcPr>
            <w:tcW w:w="1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162.52</w:t>
            </w:r>
          </w:p>
        </w:tc>
      </w:tr>
      <w:tr>
        <w:trPr>
          <w:trHeight w:val="27"/>
        </w:trPr>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NQ US Pharma TR Index</w:t>
            </w: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234.05</w:t>
            </w:r>
          </w:p>
        </w:tc>
      </w:tr>
      <w:tr>
        <w:trPr>
          <w:trHeight w:val="27"/>
        </w:trPr>
        <w:tc>
          <w:tcPr>
            <w:tcW w:w="3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This performance graph shall not be deemed "filed" for purposes of Section 18 of the Securities Exchange Act of 1934, as amended, or incorporated by reference into any filing of ours under the Securities Act of 1933, as amended, or the Securities Exchange Act, except as shall be expressly set forth by specific reference to such filing.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upon Conversion of Notes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2015, we settled the conversion of $166.5 million principal amount of our 1.875% convertible senior notes through the payment of $166.5 million in cash (equal to the principal amount of the converted Notes) and issuance of 1,625,113 shares of our Common Stock to the holders of the Notes surrendered for conversion. We issued and sold the Notes in October 2011 in a private placement in reliance on the exemption from registration provided by Section 4(2) of the Securities Act of 1933, as amended. In connection with these conversions, we exercised a proportionate amount of our convertible note hedges, as a result of which we received from our hedge counterparties an aggregate of 1,625,088 shares of our Common Stock.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following table reflects shares of Common Stock withheld by us in the fourth quarter of 2015 for employees to satisfy their tax withholding obligations arising upon the vesting of restricted equity awards granted under the Regeneron Pharmaceuticals, Inc. Second Amended and Restated 2000 Long-Term Incentive Plan or the Regeneron Pharmaceuticals, Inc. 2014 Long-Term Incentive Plan.</w:t>
      </w:r>
    </w:p>
    <w:p>
      <w:pPr>
        <w:spacing w:after="0" w:line="366" w:lineRule="exact"/>
        <w:rPr>
          <w:sz w:val="20"/>
          <w:szCs w:val="20"/>
          <w:color w:val="auto"/>
        </w:rPr>
      </w:pPr>
    </w:p>
    <w:tbl>
      <w:tblPr>
        <w:tblLayout w:type="fixed"/>
        <w:tblInd w:w="18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Number (or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Units)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Approximate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 as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Part of</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Publicly</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that May Yet Be</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of Shares (or</w:t>
            </w: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Announced</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1"/>
              </w:rPr>
              <w:t>Purchased Under</w:t>
            </w:r>
          </w:p>
        </w:tc>
      </w:tr>
      <w:tr>
        <w:trPr>
          <w:trHeight w:val="216"/>
        </w:trPr>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Units)</w:t>
            </w: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Paid per Share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Plans or</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Period</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(or Unit)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Programs</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r>
      <w:tr>
        <w:trPr>
          <w:trHeight w:val="27"/>
        </w:trPr>
        <w:tc>
          <w:tcPr>
            <w:tcW w:w="2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358"/>
        </w:trPr>
        <w:tc>
          <w:tcPr>
            <w:tcW w:w="2100" w:type="dxa"/>
            <w:vAlign w:val="bottom"/>
          </w:tcPr>
          <w:p>
            <w:pPr>
              <w:jc w:val="right"/>
              <w:ind w:right="170"/>
              <w:spacing w:after="0"/>
              <w:rPr>
                <w:sz w:val="20"/>
                <w:szCs w:val="20"/>
                <w:color w:val="auto"/>
              </w:rPr>
            </w:pPr>
            <w:r>
              <w:rPr>
                <w:rFonts w:ascii="Arial" w:cs="Arial" w:eastAsia="Arial" w:hAnsi="Arial"/>
                <w:sz w:val="18"/>
                <w:szCs w:val="18"/>
                <w:color w:val="auto"/>
              </w:rPr>
              <w:t>12/1/2015-12/31/2015</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5,327</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544.35</w:t>
            </w:r>
          </w:p>
        </w:tc>
        <w:tc>
          <w:tcPr>
            <w:tcW w:w="100" w:type="dxa"/>
            <w:vAlign w:val="bottom"/>
          </w:tcPr>
          <w:p>
            <w:pPr>
              <w:spacing w:after="0"/>
              <w:rPr>
                <w:sz w:val="24"/>
                <w:szCs w:val="24"/>
                <w:color w:val="auto"/>
              </w:rPr>
            </w:pP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30" w:right="25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selected financial data set forth below for the years ended December 31, 2015, 2014, and 2013 and as of December 31, 2015 and 2014 are derived from and should be read in conjunction with our audited financial statements, including the notes thereto, included elsewhere in this report. The selected financial data for the years ended December 31, 2012 and 2011 and as of December 31, 2013, 2012, and 2011 are derived from our audited financial statements not included in this report. Certain revisions have been made to the previously reported amounts in each of the periods presented below, including revisions related to our accounting for certain stock option awards; see Note 1 and Note 14 to our Consolidated Financial Statements for further details.</w:t>
      </w:r>
    </w:p>
    <w:p>
      <w:pPr>
        <w:spacing w:after="0" w:line="23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8"/>
          </w:tcPr>
          <w:p>
            <w:pPr>
              <w:ind w:left="640"/>
              <w:spacing w:after="0"/>
              <w:rPr>
                <w:sz w:val="20"/>
                <w:szCs w:val="20"/>
                <w:color w:val="auto"/>
              </w:rPr>
            </w:pPr>
            <w:r>
              <w:rPr>
                <w:rFonts w:ascii="Arial" w:cs="Arial" w:eastAsia="Arial" w:hAnsi="Arial"/>
                <w:sz w:val="18"/>
                <w:szCs w:val="18"/>
                <w:b w:val="1"/>
                <w:bCs w:val="1"/>
                <w:color w:val="auto"/>
              </w:rPr>
              <w:t>Year Ended December 31,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Statement of Operations Data:</w:t>
            </w: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2,689,478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1,750,762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1,425,839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858,093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44,686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Collaboration revenue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1,339,361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1,036,854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369,681</w:t>
            </w:r>
          </w:p>
        </w:tc>
        <w:tc>
          <w:tcPr>
            <w:tcW w:w="0" w:type="dxa"/>
            <w:vAlign w:val="bottom"/>
          </w:tcPr>
          <w:p>
            <w:pPr>
              <w:spacing w:after="0"/>
              <w:rPr>
                <w:sz w:val="1"/>
                <w:szCs w:val="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74,889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26,471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31,457</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4,103,728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2,819,557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1,378,477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445,824</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1,271,353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625,554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529,506</w:t>
            </w:r>
          </w:p>
        </w:tc>
        <w:tc>
          <w:tcPr>
            <w:tcW w:w="0" w:type="dxa"/>
            <w:vAlign w:val="bottom"/>
          </w:tcPr>
          <w:p>
            <w:pPr>
              <w:spacing w:after="0"/>
              <w:rPr>
                <w:sz w:val="1"/>
                <w:szCs w:val="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838,526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519,267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229,859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119,361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241,702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83,927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4,216</w:t>
            </w:r>
          </w:p>
        </w:tc>
        <w:tc>
          <w:tcPr>
            <w:tcW w:w="0" w:type="dxa"/>
            <w:vAlign w:val="bottom"/>
          </w:tcPr>
          <w:p>
            <w:pPr>
              <w:spacing w:after="0"/>
              <w:rPr>
                <w:sz w:val="1"/>
                <w:szCs w:val="1"/>
                <w:color w:val="auto"/>
              </w:rPr>
            </w:pPr>
          </w:p>
        </w:tc>
      </w:tr>
      <w:tr>
        <w:trPr>
          <w:trHeight w:val="243"/>
        </w:trPr>
        <w:tc>
          <w:tcPr>
            <w:tcW w:w="4780" w:type="dxa"/>
            <w:vAlign w:val="bottom"/>
          </w:tcPr>
          <w:p>
            <w:pPr>
              <w:ind w:left="160"/>
              <w:spacing w:after="0"/>
              <w:rPr>
                <w:sz w:val="20"/>
                <w:szCs w:val="20"/>
                <w:color w:val="auto"/>
              </w:rPr>
            </w:pPr>
            <w:r>
              <w:rPr>
                <w:rFonts w:ascii="Arial" w:cs="Arial" w:eastAsia="Arial" w:hAnsi="Arial"/>
                <w:sz w:val="18"/>
                <w:szCs w:val="18"/>
                <w:color w:val="auto"/>
              </w:rPr>
              <w:t>Cost of collaboration and contract manufacturing</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151,007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37,307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2,851,812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1,995,638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1,361,695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939,868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653,083</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1,251,916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743,050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438,609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(207,259)</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761,235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(224,992)</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Income tax (expense) benefit </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(589,041)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(423,109)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(282,644)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347,081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636,056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338,126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413,738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742,398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0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90"/>
              </w:rPr>
              <w:t>As of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r>
      <w:tr>
        <w:trPr>
          <w:trHeight w:val="27"/>
        </w:trPr>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Unrestricted and restricted cash, cash equivalents, and</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marketable securities (current and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1,677,385</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  1,360,634</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587,511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810,550</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5,609,132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3,837,672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2,091,723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1,323,583</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Convertible senior notes (current and non-current)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10,802</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146,773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320,315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296,518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275,019</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lease obligations (current and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364,708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312,291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160,514</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Capital lease obligations (current and non-current)</w:t>
            </w: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2,506</w:t>
            </w:r>
          </w:p>
        </w:tc>
      </w:tr>
      <w:tr>
        <w:trPr>
          <w:trHeight w:val="27"/>
        </w:trPr>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3,654,837</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2,550,251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1,964,716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1,256,618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485,732</w:t>
            </w:r>
          </w:p>
        </w:tc>
      </w:tr>
      <w:tr>
        <w:trPr>
          <w:trHeight w:val="27"/>
        </w:trPr>
        <w:tc>
          <w:tcPr>
            <w:tcW w:w="4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hanging="247"/>
        <w:spacing w:after="0" w:line="216" w:lineRule="auto"/>
        <w:tabs>
          <w:tab w:leader="none" w:pos="622"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Income tax benefit for the year ended December 31, 2012 was primarily attributable to the release of substantially all of the valuation allowance against our deferred tax assets.</w:t>
      </w:r>
    </w:p>
    <w:p>
      <w:pPr>
        <w:sectPr>
          <w:pgSz w:w="11900" w:h="16838" w:orient="portrait"/>
          <w:cols w:equalWidth="0" w:num="1">
            <w:col w:w="11420"/>
          </w:cols>
          <w:pgMar w:left="240" w:top="130"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0" w:right="239" w:bottom="1440" w:gutter="0" w:footer="0" w:header="0"/>
          <w:type w:val="continuous"/>
        </w:sectPr>
      </w:pPr>
    </w:p>
    <w:bookmarkStart w:id="60" w:name="page61"/>
    <w:bookmarkEnd w:id="6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related notes included elsewhere in this report.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are a fully integrated biopharmaceutical company that discovers, invents, develops, manufactures, and commercializes medicines for the treatment of serious medical conditions. We commercialize medicines for eye diseases, high LDL cholesterol, and a rare inflammatory condition and have product candidates in development in other areas of high unmet medical need, including oncology, RA, asthma, atopic dermatitis, pain, and infectious diseases.</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described in Part I, Item 1. "Business - General," and "Business - Marketed Products," we currently have three marketed products: EYLEA (aflibercept) Injection, Praluent (alirocumab) Injection, and ARCALYST (rilonacept) Injection for Subcutaneous Use. We also have 13 product candidates in clinical development, all of which were discovered in our research laboratories. These consist of a Trap-based clinical program and 12 fully human monoclonal antibody product candidates, as summarized in Part I, Item 1. "Business - General."</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2015 and 2016 to date were, and plans for the remainder of 2016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224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18"/>
                <w:szCs w:val="18"/>
                <w:b w:val="1"/>
                <w:bCs w:val="1"/>
                <w:color w:val="auto"/>
              </w:rPr>
              <w:t>2015 and 2016 Events to Date</w:t>
            </w:r>
          </w:p>
        </w:tc>
        <w:tc>
          <w:tcPr>
            <w:tcW w:w="220" w:type="dxa"/>
            <w:vAlign w:val="bottom"/>
          </w:tcPr>
          <w:p>
            <w:pPr>
              <w:spacing w:after="0"/>
              <w:rPr>
                <w:sz w:val="24"/>
                <w:szCs w:val="24"/>
                <w:color w:val="auto"/>
              </w:rPr>
            </w:pPr>
          </w:p>
        </w:tc>
        <w:tc>
          <w:tcPr>
            <w:tcW w:w="3820" w:type="dxa"/>
            <w:vAlign w:val="bottom"/>
          </w:tcPr>
          <w:p>
            <w:pPr>
              <w:ind w:left="1500"/>
              <w:spacing w:after="0"/>
              <w:rPr>
                <w:sz w:val="20"/>
                <w:szCs w:val="20"/>
                <w:color w:val="auto"/>
              </w:rPr>
            </w:pPr>
            <w:r>
              <w:rPr>
                <w:rFonts w:ascii="Arial" w:cs="Arial" w:eastAsia="Arial" w:hAnsi="Arial"/>
                <w:sz w:val="18"/>
                <w:szCs w:val="18"/>
                <w:b w:val="1"/>
                <w:bCs w:val="1"/>
                <w:color w:val="auto"/>
              </w:rPr>
              <w:t>2016 Plans</w:t>
            </w: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HealthCare received regulatory approval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Bayer HealthCare to file for additional regulatory</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EYLEA in certain countries for the treatment of</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approvals outside the United States for various</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patients with wet AMD, macular edema secondary</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indications</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CRVO, and DME, and continued to pursue</w:t>
            </w: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vMerge w:val="continue"/>
            <w:shd w:val="clear" w:color="auto" w:fill="CCEEFF"/>
          </w:tcPr>
          <w:p>
            <w:pPr>
              <w:spacing w:after="0"/>
              <w:rPr>
                <w:sz w:val="12"/>
                <w:szCs w:val="12"/>
                <w:color w:val="auto"/>
              </w:rPr>
            </w:pPr>
          </w:p>
        </w:tc>
        <w:tc>
          <w:tcPr>
            <w:tcW w:w="3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8"/>
              </w:rPr>
              <w:t>outside the United States for various indications</w:t>
            </w:r>
          </w:p>
        </w:tc>
        <w:tc>
          <w:tcPr>
            <w:tcW w:w="0" w:type="dxa"/>
            <w:vAlign w:val="bottom"/>
          </w:tcPr>
          <w:p>
            <w:pPr>
              <w:spacing w:after="0"/>
              <w:rPr>
                <w:sz w:val="1"/>
                <w:szCs w:val="1"/>
                <w:color w:val="auto"/>
              </w:rPr>
            </w:pPr>
          </w:p>
        </w:tc>
      </w:tr>
      <w:tr>
        <w:trPr>
          <w:trHeight w:val="163"/>
        </w:trPr>
        <w:tc>
          <w:tcPr>
            <w:tcW w:w="2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shd w:val="clear" w:color="auto" w:fill="CCEEFF"/>
          </w:tcPr>
          <w:p>
            <w:pPr>
              <w:spacing w:after="0"/>
              <w:rPr>
                <w:sz w:val="14"/>
                <w:szCs w:val="14"/>
                <w:color w:val="auto"/>
              </w:rPr>
            </w:pPr>
          </w:p>
        </w:tc>
        <w:tc>
          <w:tcPr>
            <w:tcW w:w="3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24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840" w:type="dxa"/>
            <w:vAlign w:val="bottom"/>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38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Commission and Japanese MHLW</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Initiate Phase 3 study for the treatment of diabetic</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approved EYLEA for the treatment of macular</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retinopathy in patients without DME</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edema secondary to BRVO</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FDA approved EYLEA for the treatment of diabetic</w:t>
            </w:r>
          </w:p>
        </w:tc>
        <w:tc>
          <w:tcPr>
            <w:tcW w:w="22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retinopathy in patients with DME</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Phase 3 trial for NVG in Japan</w:t>
            </w:r>
          </w:p>
        </w:tc>
        <w:tc>
          <w:tcPr>
            <w:tcW w:w="22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2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European Commission approved EYLEA for the</w:t>
            </w:r>
          </w:p>
        </w:tc>
        <w:tc>
          <w:tcPr>
            <w:tcW w:w="22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treatment of mCNV</w:t>
            </w: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50"/>
        </w:trPr>
        <w:tc>
          <w:tcPr>
            <w:tcW w:w="2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ind w:left="2460"/>
              <w:spacing w:after="0"/>
              <w:rPr>
                <w:sz w:val="20"/>
                <w:szCs w:val="20"/>
                <w:color w:val="auto"/>
              </w:rPr>
            </w:pPr>
            <w:r>
              <w:rPr>
                <w:rFonts w:ascii="Arial" w:cs="Arial" w:eastAsia="Arial" w:hAnsi="Arial"/>
                <w:sz w:val="18"/>
                <w:szCs w:val="18"/>
                <w:color w:val="auto"/>
              </w:rPr>
              <w:t>60</w:t>
            </w: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19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561"/>
        </w:trPr>
        <w:tc>
          <w:tcPr>
            <w:tcW w:w="60" w:type="dxa"/>
            <w:vAlign w:val="bottom"/>
          </w:tcPr>
          <w:p>
            <w:pPr>
              <w:spacing w:after="0"/>
              <w:rPr>
                <w:sz w:val="24"/>
                <w:szCs w:val="24"/>
                <w:color w:val="auto"/>
              </w:rPr>
            </w:pPr>
          </w:p>
        </w:tc>
        <w:tc>
          <w:tcPr>
            <w:tcW w:w="30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53"/>
        </w:trPr>
        <w:tc>
          <w:tcPr>
            <w:tcW w:w="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ind w:left="760"/>
              <w:spacing w:after="0"/>
              <w:rPr>
                <w:sz w:val="20"/>
                <w:szCs w:val="20"/>
                <w:color w:val="auto"/>
              </w:rPr>
            </w:pPr>
            <w:r>
              <w:rPr>
                <w:rFonts w:ascii="Arial" w:cs="Arial" w:eastAsia="Arial" w:hAnsi="Arial"/>
                <w:sz w:val="18"/>
                <w:szCs w:val="18"/>
                <w:b w:val="1"/>
                <w:bCs w:val="1"/>
                <w:color w:val="auto"/>
              </w:rPr>
              <w:t>2015 and 2016 Events to Date</w:t>
            </w:r>
          </w:p>
        </w:tc>
        <w:tc>
          <w:tcPr>
            <w:tcW w:w="280" w:type="dxa"/>
            <w:vAlign w:val="bottom"/>
          </w:tcPr>
          <w:p>
            <w:pPr>
              <w:spacing w:after="0"/>
              <w:rPr>
                <w:sz w:val="24"/>
                <w:szCs w:val="24"/>
                <w:color w:val="auto"/>
              </w:rPr>
            </w:pPr>
          </w:p>
        </w:tc>
        <w:tc>
          <w:tcPr>
            <w:tcW w:w="3800" w:type="dxa"/>
            <w:vAlign w:val="bottom"/>
          </w:tcPr>
          <w:p>
            <w:pPr>
              <w:ind w:left="1500"/>
              <w:spacing w:after="0"/>
              <w:rPr>
                <w:sz w:val="20"/>
                <w:szCs w:val="20"/>
                <w:color w:val="auto"/>
              </w:rPr>
            </w:pPr>
            <w:r>
              <w:rPr>
                <w:rFonts w:ascii="Arial" w:cs="Arial" w:eastAsia="Arial" w:hAnsi="Arial"/>
                <w:sz w:val="18"/>
                <w:szCs w:val="18"/>
                <w:b w:val="1"/>
                <w:bCs w:val="1"/>
                <w:color w:val="auto"/>
              </w:rPr>
              <w:t>2016 Plans</w:t>
            </w: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4"/>
          </w:tcPr>
          <w:p>
            <w:pPr>
              <w:ind w:left="40"/>
              <w:spacing w:after="0"/>
              <w:rPr>
                <w:sz w:val="20"/>
                <w:szCs w:val="20"/>
                <w:color w:val="auto"/>
              </w:rPr>
            </w:pPr>
            <w:r>
              <w:rPr>
                <w:rFonts w:ascii="Arial" w:cs="Arial" w:eastAsia="Arial" w:hAnsi="Arial"/>
                <w:sz w:val="18"/>
                <w:szCs w:val="18"/>
                <w:b w:val="1"/>
                <w:bCs w:val="1"/>
                <w:i w:val="1"/>
                <w:iCs w:val="1"/>
                <w:color w:val="auto"/>
              </w:rPr>
              <w:t>Praluent (PCSK9 Antibody)</w:t>
            </w: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BLA accepted for priority review in the United</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5"/>
              </w:rPr>
              <w:t>Ÿ Report additional results from Phase 3 ODYSSEY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States</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trials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7"/>
              </w:rPr>
              <w:t>Ÿ Regulatory application accepted for review by the</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5"/>
              </w:rPr>
              <w:t>Ÿ File for additional regulatory approvals outside the</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EMA</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United States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Reported positive results from ODYSSEY</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9"/>
              </w:rPr>
              <w:t>Ÿ Regulatory agency and reimbursement authority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CHOICE I and CHOICE II trials</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w w:val="92"/>
              </w:rPr>
              <w:t>decisions on applications outside the United States</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ODYSSEY LONG TERM 18-month trial results</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Prespecified early-stopping interim analyses by</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2"/>
              </w:rPr>
              <w:t xml:space="preserve">published in </w:t>
            </w:r>
            <w:r>
              <w:rPr>
                <w:rFonts w:ascii="Arial" w:cs="Arial" w:eastAsia="Arial" w:hAnsi="Arial"/>
                <w:sz w:val="18"/>
                <w:szCs w:val="18"/>
                <w:i w:val="1"/>
                <w:iCs w:val="1"/>
                <w:color w:val="auto"/>
                <w:w w:val="92"/>
              </w:rPr>
              <w:t>The New England Journal of Medicine</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IDMC of ODYSSEY OUTCOMES trial</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80" w:type="dxa"/>
            <w:vAlign w:val="bottom"/>
            <w:gridSpan w:val="2"/>
          </w:tcPr>
          <w:p>
            <w:pPr>
              <w:ind w:left="80"/>
              <w:spacing w:after="0"/>
              <w:rPr>
                <w:sz w:val="20"/>
                <w:szCs w:val="20"/>
                <w:color w:val="auto"/>
              </w:rPr>
            </w:pPr>
            <w:r>
              <w:rPr>
                <w:rFonts w:ascii="Arial" w:cs="Arial" w:eastAsia="Arial" w:hAnsi="Arial"/>
                <w:sz w:val="18"/>
                <w:szCs w:val="18"/>
                <w:color w:val="auto"/>
                <w:w w:val="98"/>
              </w:rPr>
              <w:t>Ÿ Reported positive results from ODYSSEY Japan</w:t>
            </w:r>
          </w:p>
        </w:tc>
        <w:tc>
          <w:tcPr>
            <w:tcW w:w="4080" w:type="dxa"/>
            <w:vAlign w:val="bottom"/>
            <w:gridSpan w:val="2"/>
          </w:tcPr>
          <w:p>
            <w:pPr>
              <w:ind w:left="80"/>
              <w:spacing w:after="0"/>
              <w:rPr>
                <w:sz w:val="20"/>
                <w:szCs w:val="20"/>
                <w:color w:val="auto"/>
              </w:rPr>
            </w:pPr>
            <w:r>
              <w:rPr>
                <w:rFonts w:ascii="Arial" w:cs="Arial" w:eastAsia="Arial" w:hAnsi="Arial"/>
                <w:sz w:val="18"/>
                <w:szCs w:val="18"/>
                <w:color w:val="auto"/>
              </w:rPr>
              <w:t>Ÿ Submit supplemental BLA for monthly dosing</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trial</w:t>
            </w: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regimen</w:t>
            </w: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4"/>
              </w:rPr>
              <w:t>FDA approved Praluent for the treatment of adults</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3"/>
              </w:rPr>
              <w:t>with heterozygous familial hypercholesterolemia or</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9"/>
              </w:rPr>
              <w:t>clinical ASCVD, who require additional lowering</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of LDL cholesterol</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European Commission granted marketing</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4"/>
              </w:rPr>
              <w:t>authorization for Praluent for the treatment of LDL</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cholesterol in certain adult patients with</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hypercholesterolemia</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Completed patient enrollment in Phase 3</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ODYSSEY OUTCOMES trial</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
        </w:trPr>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120" w:type="dxa"/>
            <w:vAlign w:val="bottom"/>
            <w:gridSpan w:val="4"/>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Sarilumab (IL-6R Antibody)</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Initiated and completed patient enrollment in Phase</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Continue patient enrollment in Phase 3 SARIL-RA</w:t>
            </w: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SARIL-RA-MONARCH study (head-to-head</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program</w:t>
            </w:r>
          </w:p>
        </w:tc>
      </w:tr>
      <w:tr>
        <w:trPr>
          <w:trHeight w:val="270"/>
        </w:trPr>
        <w:tc>
          <w:tcPr>
            <w:tcW w:w="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monotherapy study against adalimumab)</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Phase 3 SARIL-RA-</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MONARCH trial</w:t>
            </w: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Initiated several studies in Japan</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Regulatory agency decision on application for U.S.</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approval</w:t>
            </w:r>
          </w:p>
        </w:tc>
      </w:tr>
      <w:tr>
        <w:trPr>
          <w:trHeight w:val="256"/>
        </w:trPr>
        <w:tc>
          <w:tcPr>
            <w:tcW w:w="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positive results from SARIL-RA-</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File for regulatory approvals outside the United</w:t>
            </w: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TARGET, SARIL-RA-EASY, and SARIL-RA-</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States</w:t>
            </w: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ASCERTAIN trials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83"/>
        </w:trPr>
        <w:tc>
          <w:tcPr>
            <w:tcW w:w="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Completed patient enrollment in SARIL-NIU-</w:t>
            </w:r>
          </w:p>
        </w:tc>
        <w:tc>
          <w:tcPr>
            <w:tcW w:w="280" w:type="dxa"/>
            <w:vAlign w:val="bottom"/>
            <w:shd w:val="clear" w:color="auto" w:fill="CCEEFF"/>
          </w:tcPr>
          <w:p>
            <w:pPr>
              <w:spacing w:after="0"/>
              <w:rPr>
                <w:sz w:val="24"/>
                <w:szCs w:val="24"/>
                <w:color w:val="auto"/>
              </w:rPr>
            </w:pPr>
          </w:p>
        </w:tc>
        <w:tc>
          <w:tcPr>
            <w:tcW w:w="3800" w:type="dxa"/>
            <w:vAlign w:val="bottom"/>
            <w:shd w:val="clear" w:color="auto" w:fill="CCEEFF"/>
          </w:tcPr>
          <w:p>
            <w:pPr>
              <w:spacing w:after="0"/>
              <w:rPr>
                <w:sz w:val="24"/>
                <w:szCs w:val="24"/>
                <w:color w:val="auto"/>
              </w:rPr>
            </w:pPr>
          </w:p>
        </w:tc>
      </w:tr>
      <w:tr>
        <w:trPr>
          <w:trHeight w:val="216"/>
        </w:trPr>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SATURN Phase 2 study in</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r>
      <w:tr>
        <w:trPr>
          <w:trHeight w:val="230"/>
        </w:trPr>
        <w:tc>
          <w:tcPr>
            <w:tcW w:w="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non-infectious uveitis and reported top-line results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302"/>
        </w:trPr>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 accepted for review in the United States</w:t>
            </w:r>
          </w:p>
        </w:tc>
        <w:tc>
          <w:tcPr>
            <w:tcW w:w="28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r>
      <w:tr>
        <w:trPr>
          <w:trHeight w:val="222"/>
        </w:trPr>
        <w:tc>
          <w:tcPr>
            <w:tcW w:w="312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b w:val="1"/>
                <w:bCs w:val="1"/>
                <w:i w:val="1"/>
                <w:iCs w:val="1"/>
                <w:color w:val="auto"/>
              </w:rPr>
              <w:t>Dupilumab (IL-4R Antibody)</w:t>
            </w:r>
          </w:p>
        </w:tc>
        <w:tc>
          <w:tcPr>
            <w:tcW w:w="2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Initiated Phase 2 study in EoE</w:t>
            </w:r>
          </w:p>
        </w:tc>
        <w:tc>
          <w:tcPr>
            <w:tcW w:w="40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w w:val="93"/>
              </w:rPr>
              <w:t>Ÿ Continue patient enrollment in various Phase 2 and</w:t>
            </w:r>
          </w:p>
        </w:tc>
      </w:tr>
      <w:tr>
        <w:trPr>
          <w:trHeight w:val="230"/>
        </w:trPr>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40"/>
              <w:spacing w:after="0"/>
              <w:rPr>
                <w:sz w:val="20"/>
                <w:szCs w:val="20"/>
                <w:color w:val="auto"/>
              </w:rPr>
            </w:pPr>
            <w:r>
              <w:rPr>
                <w:rFonts w:ascii="Arial" w:cs="Arial" w:eastAsia="Arial" w:hAnsi="Arial"/>
                <w:sz w:val="18"/>
                <w:szCs w:val="18"/>
                <w:color w:val="auto"/>
              </w:rPr>
              <w:t>Phase 3 studies</w:t>
            </w:r>
          </w:p>
        </w:tc>
      </w:tr>
    </w:tbl>
    <w:p>
      <w:pPr>
        <w:spacing w:after="0" w:line="40" w:lineRule="exact"/>
        <w:rPr>
          <w:sz w:val="20"/>
          <w:szCs w:val="20"/>
          <w:color w:val="auto"/>
        </w:rPr>
      </w:pPr>
    </w:p>
    <w:p>
      <w:pPr>
        <w:sectPr>
          <w:pgSz w:w="11900" w:h="16838" w:orient="portrait"/>
          <w:cols w:equalWidth="0" w:num="1">
            <w:col w:w="11280"/>
          </w:cols>
          <w:pgMar w:left="240" w:top="118" w:right="379" w:bottom="1440" w:gutter="0" w:footer="0" w:header="0"/>
        </w:sectPr>
      </w:pPr>
    </w:p>
    <w:p>
      <w:pPr>
        <w:ind w:left="3420" w:right="260" w:hanging="229"/>
        <w:spacing w:after="0" w:line="317" w:lineRule="auto"/>
        <w:tabs>
          <w:tab w:leader="none" w:pos="3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Initiated and completed enrollment for Phase 2 study in atopic dermatitis in pediatric patients</w:t>
      </w:r>
    </w:p>
    <w:p>
      <w:pPr>
        <w:ind w:left="3420" w:hanging="229"/>
        <w:spacing w:after="0"/>
        <w:tabs>
          <w:tab w:leader="none" w:pos="3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Initiated Phase 3 study in asthma</w:t>
      </w:r>
    </w:p>
    <w:p>
      <w:pPr>
        <w:spacing w:after="0" w:line="279" w:lineRule="exact"/>
        <w:rPr>
          <w:rFonts w:ascii="Arial" w:cs="Arial" w:eastAsia="Arial" w:hAnsi="Arial"/>
          <w:sz w:val="18"/>
          <w:szCs w:val="18"/>
          <w:color w:val="auto"/>
        </w:rPr>
      </w:pPr>
    </w:p>
    <w:p>
      <w:pPr>
        <w:ind w:left="3420" w:hanging="229"/>
        <w:spacing w:after="0" w:line="264" w:lineRule="auto"/>
        <w:tabs>
          <w:tab w:leader="none" w:pos="3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Presented positive pivotal Phase 2b data in asthma at the American Thoracic Society 2015 International Conference</w:t>
      </w:r>
    </w:p>
    <w:p>
      <w:pPr>
        <w:spacing w:after="0" w:line="20" w:lineRule="exact"/>
        <w:rPr>
          <w:sz w:val="20"/>
          <w:szCs w:val="20"/>
          <w:color w:val="auto"/>
        </w:rPr>
      </w:pPr>
      <w:r>
        <w:rPr>
          <w:sz w:val="20"/>
          <w:szCs w:val="20"/>
          <w:color w:val="auto"/>
        </w:rPr>
        <w:br w:type="column"/>
      </w:r>
    </w:p>
    <w:p>
      <w:pPr>
        <w:ind w:left="237" w:right="260" w:hanging="237"/>
        <w:spacing w:after="0" w:line="277" w:lineRule="auto"/>
        <w:tabs>
          <w:tab w:leader="none" w:pos="2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patient enrollment in Phase 2 EoE and Phase 3 asthma studies</w:t>
      </w:r>
    </w:p>
    <w:p>
      <w:pPr>
        <w:spacing w:after="0" w:line="8" w:lineRule="exact"/>
        <w:rPr>
          <w:rFonts w:ascii="Arial" w:cs="Arial" w:eastAsia="Arial" w:hAnsi="Arial"/>
          <w:sz w:val="18"/>
          <w:szCs w:val="18"/>
          <w:color w:val="auto"/>
        </w:rPr>
      </w:pPr>
    </w:p>
    <w:p>
      <w:pPr>
        <w:ind w:left="237" w:right="520" w:hanging="237"/>
        <w:spacing w:after="0" w:line="277" w:lineRule="auto"/>
        <w:tabs>
          <w:tab w:leader="none" w:pos="2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Report results from Phase 3 atopic dermatitis pivotal trials</w:t>
      </w:r>
    </w:p>
    <w:p>
      <w:pPr>
        <w:spacing w:after="0" w:line="8" w:lineRule="exact"/>
        <w:rPr>
          <w:rFonts w:ascii="Arial" w:cs="Arial" w:eastAsia="Arial" w:hAnsi="Arial"/>
          <w:sz w:val="18"/>
          <w:szCs w:val="18"/>
          <w:color w:val="auto"/>
        </w:rPr>
      </w:pPr>
    </w:p>
    <w:p>
      <w:pPr>
        <w:ind w:left="237" w:right="540" w:hanging="237"/>
        <w:spacing w:after="0" w:line="277" w:lineRule="auto"/>
        <w:tabs>
          <w:tab w:leader="none" w:pos="237"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rolling BLA submission for atopic dermatitis in the United States</w:t>
      </w:r>
    </w:p>
    <w:p>
      <w:pPr>
        <w:spacing w:after="0" w:line="224" w:lineRule="exact"/>
        <w:rPr>
          <w:sz w:val="20"/>
          <w:szCs w:val="20"/>
          <w:color w:val="auto"/>
        </w:rPr>
      </w:pPr>
    </w:p>
    <w:p>
      <w:pPr>
        <w:sectPr>
          <w:pgSz w:w="11900" w:h="16838" w:orient="portrait"/>
          <w:cols w:equalWidth="0" w:num="2">
            <w:col w:w="7060" w:space="223"/>
            <w:col w:w="3997"/>
          </w:cols>
          <w:pgMar w:left="240" w:top="118" w:right="379" w:bottom="1440" w:gutter="0" w:footer="0" w:header="0"/>
          <w:type w:val="continuous"/>
        </w:sectPr>
      </w:pPr>
    </w:p>
    <w:p>
      <w:pPr>
        <w:ind w:left="3420" w:right="300" w:hanging="229"/>
        <w:spacing w:after="0" w:line="277" w:lineRule="auto"/>
        <w:tabs>
          <w:tab w:leader="none" w:pos="3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Completed patient enrollment in Phase 3 atopic dermatitis pivotal trials</w:t>
      </w:r>
    </w:p>
    <w:p>
      <w:pPr>
        <w:spacing w:after="0" w:line="8" w:lineRule="exact"/>
        <w:rPr>
          <w:rFonts w:ascii="Arial" w:cs="Arial" w:eastAsia="Arial" w:hAnsi="Arial"/>
          <w:sz w:val="18"/>
          <w:szCs w:val="18"/>
          <w:color w:val="auto"/>
        </w:rPr>
      </w:pPr>
    </w:p>
    <w:p>
      <w:pPr>
        <w:ind w:left="3420" w:right="40" w:hanging="229"/>
        <w:spacing w:after="0" w:line="277" w:lineRule="auto"/>
        <w:tabs>
          <w:tab w:leader="none" w:pos="3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FDA granted Breakthrough Therapy designation to dupilumab in atopic dermatitis</w:t>
      </w:r>
    </w:p>
    <w:p>
      <w:pPr>
        <w:spacing w:after="0" w:line="8" w:lineRule="exact"/>
        <w:rPr>
          <w:rFonts w:ascii="Arial" w:cs="Arial" w:eastAsia="Arial" w:hAnsi="Arial"/>
          <w:sz w:val="18"/>
          <w:szCs w:val="18"/>
          <w:color w:val="auto"/>
        </w:rPr>
      </w:pPr>
    </w:p>
    <w:p>
      <w:pPr>
        <w:ind w:left="3420" w:hanging="229"/>
        <w:spacing w:after="0" w:line="277" w:lineRule="auto"/>
        <w:tabs>
          <w:tab w:leader="none" w:pos="3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UK MHRA granted PIM Designation to dupilumab in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608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7" w:right="440" w:hanging="237"/>
        <w:spacing w:after="0" w:line="342" w:lineRule="auto"/>
        <w:tabs>
          <w:tab w:leader="none" w:pos="237"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Initiate efficacy and safety studies in pediatric patients in both atopic dermatitis and asthma</w:t>
      </w:r>
    </w:p>
    <w:p>
      <w:pPr>
        <w:spacing w:after="0" w:line="1125" w:lineRule="exact"/>
        <w:rPr>
          <w:sz w:val="20"/>
          <w:szCs w:val="20"/>
          <w:color w:val="auto"/>
        </w:rPr>
      </w:pPr>
    </w:p>
    <w:p>
      <w:pPr>
        <w:sectPr>
          <w:pgSz w:w="11900" w:h="16838" w:orient="portrait"/>
          <w:cols w:equalWidth="0" w:num="2">
            <w:col w:w="7140" w:space="143"/>
            <w:col w:w="3997"/>
          </w:cols>
          <w:pgMar w:left="240" w:top="118" w:right="379" w:bottom="1440" w:gutter="0" w:footer="0" w:header="0"/>
          <w:type w:val="continuous"/>
        </w:sect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80"/>
          </w:cols>
          <w:pgMar w:left="240" w:top="118" w:right="379" w:bottom="144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20" w:type="dxa"/>
            <w:vAlign w:val="bottom"/>
            <w:gridSpan w:val="5"/>
          </w:tcPr>
          <w:p>
            <w:pPr>
              <w:ind w:left="4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4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520"/>
        </w:trPr>
        <w:tc>
          <w:tcPr>
            <w:tcW w:w="4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60" w:type="dxa"/>
            <w:vAlign w:val="bottom"/>
          </w:tcPr>
          <w:p>
            <w:pPr>
              <w:ind w:left="620"/>
              <w:spacing w:after="0"/>
              <w:rPr>
                <w:sz w:val="20"/>
                <w:szCs w:val="20"/>
                <w:color w:val="auto"/>
              </w:rPr>
            </w:pPr>
            <w:r>
              <w:rPr>
                <w:rFonts w:ascii="Arial" w:cs="Arial" w:eastAsia="Arial" w:hAnsi="Arial"/>
                <w:sz w:val="18"/>
                <w:szCs w:val="18"/>
                <w:b w:val="1"/>
                <w:bCs w:val="1"/>
                <w:color w:val="auto"/>
              </w:rPr>
              <w:t>2015 and 2016 Events to Date</w:t>
            </w:r>
          </w:p>
        </w:tc>
        <w:tc>
          <w:tcPr>
            <w:tcW w:w="240" w:type="dxa"/>
            <w:vAlign w:val="bottom"/>
          </w:tcPr>
          <w:p>
            <w:pPr>
              <w:spacing w:after="0"/>
              <w:rPr>
                <w:sz w:val="24"/>
                <w:szCs w:val="24"/>
                <w:color w:val="auto"/>
              </w:rPr>
            </w:pPr>
          </w:p>
        </w:tc>
        <w:tc>
          <w:tcPr>
            <w:tcW w:w="3820" w:type="dxa"/>
            <w:vAlign w:val="bottom"/>
          </w:tcPr>
          <w:p>
            <w:pPr>
              <w:ind w:left="1520"/>
              <w:spacing w:after="0"/>
              <w:rPr>
                <w:sz w:val="20"/>
                <w:szCs w:val="20"/>
                <w:color w:val="auto"/>
              </w:rPr>
            </w:pPr>
            <w:r>
              <w:rPr>
                <w:rFonts w:ascii="Arial" w:cs="Arial" w:eastAsia="Arial" w:hAnsi="Arial"/>
                <w:sz w:val="18"/>
                <w:szCs w:val="18"/>
                <w:b w:val="1"/>
                <w:bCs w:val="1"/>
                <w:color w:val="auto"/>
              </w:rPr>
              <w:t>2016 Plans</w:t>
            </w:r>
          </w:p>
        </w:tc>
      </w:tr>
      <w:tr>
        <w:trPr>
          <w:trHeight w:val="27"/>
        </w:trPr>
        <w:tc>
          <w:tcPr>
            <w:tcW w:w="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REGN2222 (RSV-F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Completed Phase 1 study</w:t>
            </w:r>
          </w:p>
        </w:tc>
        <w:tc>
          <w:tcPr>
            <w:tcW w:w="4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Ÿ Continue patient enrollment in Phase 3 NURSERY</w:t>
            </w:r>
          </w:p>
        </w:tc>
      </w:tr>
      <w:tr>
        <w:trPr>
          <w:trHeight w:val="230"/>
        </w:trPr>
        <w:tc>
          <w:tcPr>
            <w:tcW w:w="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Pre-Term study</w:t>
            </w:r>
          </w:p>
        </w:tc>
      </w:tr>
      <w:tr>
        <w:trPr>
          <w:trHeight w:val="270"/>
        </w:trPr>
        <w:tc>
          <w:tcPr>
            <w:tcW w:w="40" w:type="dxa"/>
            <w:vAlign w:val="bottom"/>
            <w:shd w:val="clear" w:color="auto" w:fill="CCEEFF"/>
          </w:tcPr>
          <w:p>
            <w:pPr>
              <w:spacing w:after="0"/>
              <w:rPr>
                <w:sz w:val="23"/>
                <w:szCs w:val="23"/>
                <w:color w:val="auto"/>
              </w:rPr>
            </w:pPr>
          </w:p>
        </w:tc>
        <w:tc>
          <w:tcPr>
            <w:tcW w:w="3080" w:type="dxa"/>
            <w:vAlign w:val="bottom"/>
            <w:shd w:val="clear" w:color="auto" w:fill="CCEEFF"/>
          </w:tcPr>
          <w:p>
            <w:pPr>
              <w:spacing w:after="0"/>
              <w:rPr>
                <w:sz w:val="23"/>
                <w:szCs w:val="23"/>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3 NURSERY Pre-Term study</w:t>
            </w:r>
          </w:p>
        </w:tc>
        <w:tc>
          <w:tcPr>
            <w:tcW w:w="240" w:type="dxa"/>
            <w:vAlign w:val="bottom"/>
            <w:shd w:val="clear" w:color="auto" w:fill="CCEEFF"/>
          </w:tcPr>
          <w:p>
            <w:pPr>
              <w:spacing w:after="0"/>
              <w:rPr>
                <w:sz w:val="23"/>
                <w:szCs w:val="23"/>
                <w:color w:val="auto"/>
              </w:rPr>
            </w:pPr>
          </w:p>
        </w:tc>
        <w:tc>
          <w:tcPr>
            <w:tcW w:w="3820" w:type="dxa"/>
            <w:vAlign w:val="bottom"/>
            <w:shd w:val="clear" w:color="auto" w:fill="CCEEFF"/>
          </w:tcPr>
          <w:p>
            <w:pPr>
              <w:spacing w:after="0"/>
              <w:rPr>
                <w:sz w:val="23"/>
                <w:szCs w:val="23"/>
                <w:color w:val="auto"/>
              </w:rPr>
            </w:pPr>
          </w:p>
        </w:tc>
      </w:tr>
      <w:tr>
        <w:trPr>
          <w:trHeight w:val="256"/>
        </w:trPr>
        <w:tc>
          <w:tcPr>
            <w:tcW w:w="40" w:type="dxa"/>
            <w:vAlign w:val="bottom"/>
            <w:shd w:val="clear" w:color="auto" w:fill="CCEEFF"/>
          </w:tcPr>
          <w:p>
            <w:pPr>
              <w:spacing w:after="0"/>
              <w:rPr>
                <w:sz w:val="22"/>
                <w:szCs w:val="22"/>
                <w:color w:val="auto"/>
              </w:rPr>
            </w:pPr>
          </w:p>
        </w:tc>
        <w:tc>
          <w:tcPr>
            <w:tcW w:w="3080" w:type="dxa"/>
            <w:vAlign w:val="bottom"/>
            <w:shd w:val="clear" w:color="auto" w:fill="CCEEFF"/>
          </w:tcPr>
          <w:p>
            <w:pPr>
              <w:spacing w:after="0"/>
              <w:rPr>
                <w:sz w:val="22"/>
                <w:szCs w:val="22"/>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Received Fast Track designation from the FDA for</w:t>
            </w:r>
          </w:p>
        </w:tc>
        <w:tc>
          <w:tcPr>
            <w:tcW w:w="24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r>
      <w:tr>
        <w:trPr>
          <w:trHeight w:val="216"/>
        </w:trPr>
        <w:tc>
          <w:tcPr>
            <w:tcW w:w="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prevention of serious lower respiratory tract</w:t>
            </w:r>
          </w:p>
        </w:tc>
        <w:tc>
          <w:tcPr>
            <w:tcW w:w="24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disease caused by RSV</w:t>
            </w:r>
          </w:p>
        </w:tc>
        <w:tc>
          <w:tcPr>
            <w:tcW w:w="24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Fasinumab (NGF Antibody)</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Initiated sixteen-week Phase 2b/3 study in</w:t>
            </w:r>
          </w:p>
        </w:tc>
        <w:tc>
          <w:tcPr>
            <w:tcW w:w="40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color w:val="auto"/>
              </w:rPr>
              <w:t>Ÿ Report results from Phase 2b/3 study in</w:t>
            </w:r>
          </w:p>
        </w:tc>
      </w:tr>
      <w:tr>
        <w:trPr>
          <w:trHeight w:val="230"/>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osteoarthritis</w:t>
            </w:r>
          </w:p>
        </w:tc>
        <w:tc>
          <w:tcPr>
            <w:tcW w:w="240" w:type="dxa"/>
            <w:vAlign w:val="bottom"/>
          </w:tcPr>
          <w:p>
            <w:pPr>
              <w:spacing w:after="0"/>
              <w:rPr>
                <w:sz w:val="20"/>
                <w:szCs w:val="20"/>
                <w:color w:val="auto"/>
              </w:rPr>
            </w:pPr>
          </w:p>
        </w:tc>
        <w:tc>
          <w:tcPr>
            <w:tcW w:w="3820" w:type="dxa"/>
            <w:vAlign w:val="bottom"/>
          </w:tcPr>
          <w:p>
            <w:pPr>
              <w:ind w:left="60"/>
              <w:spacing w:after="0"/>
              <w:rPr>
                <w:sz w:val="20"/>
                <w:szCs w:val="20"/>
                <w:color w:val="auto"/>
              </w:rPr>
            </w:pPr>
            <w:r>
              <w:rPr>
                <w:rFonts w:ascii="Arial" w:cs="Arial" w:eastAsia="Arial" w:hAnsi="Arial"/>
                <w:sz w:val="18"/>
                <w:szCs w:val="18"/>
                <w:color w:val="auto"/>
              </w:rPr>
              <w:t>osteoarthritis</w:t>
            </w:r>
          </w:p>
        </w:tc>
      </w:tr>
      <w:tr>
        <w:trPr>
          <w:trHeight w:val="256"/>
        </w:trPr>
        <w:tc>
          <w:tcPr>
            <w:tcW w:w="4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90"/>
              </w:rPr>
              <w:t>Completed patient enrollment in a Phase 2b/3 study</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20" w:type="dxa"/>
            <w:vAlign w:val="bottom"/>
          </w:tcPr>
          <w:p>
            <w:pPr>
              <w:ind w:left="60"/>
              <w:spacing w:after="0"/>
              <w:rPr>
                <w:sz w:val="20"/>
                <w:szCs w:val="20"/>
                <w:color w:val="auto"/>
              </w:rPr>
            </w:pPr>
            <w:r>
              <w:rPr>
                <w:rFonts w:ascii="Arial" w:cs="Arial" w:eastAsia="Arial" w:hAnsi="Arial"/>
                <w:sz w:val="18"/>
                <w:szCs w:val="18"/>
                <w:color w:val="auto"/>
              </w:rPr>
              <w:t>Initiate longer duration Phase 3 trial</w:t>
            </w:r>
          </w:p>
        </w:tc>
      </w:tr>
      <w:tr>
        <w:trPr>
          <w:trHeight w:val="230"/>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in osteoarthritis</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2 study</w:t>
            </w:r>
          </w:p>
        </w:tc>
        <w:tc>
          <w:tcPr>
            <w:tcW w:w="4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Ÿ Complete patient enrollment in Phase 1 and Phase</w:t>
            </w:r>
          </w:p>
        </w:tc>
      </w:tr>
      <w:tr>
        <w:trPr>
          <w:trHeight w:val="230"/>
        </w:trPr>
        <w:tc>
          <w:tcPr>
            <w:tcW w:w="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 studies</w:t>
            </w:r>
          </w:p>
        </w:tc>
      </w:tr>
      <w:tr>
        <w:trPr>
          <w:trHeight w:val="302"/>
        </w:trPr>
        <w:tc>
          <w:tcPr>
            <w:tcW w:w="4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Partial clinical hold lifted by the FDA</w:t>
            </w:r>
          </w:p>
        </w:tc>
        <w:tc>
          <w:tcPr>
            <w:tcW w:w="240" w:type="dxa"/>
            <w:vAlign w:val="bottom"/>
            <w:tcBorders>
              <w:bottom w:val="single" w:sz="8" w:color="CCEEFF"/>
            </w:tcBorders>
            <w:shd w:val="clear" w:color="auto" w:fill="CCEEFF"/>
          </w:tcPr>
          <w:p>
            <w:pPr>
              <w:spacing w:after="0"/>
              <w:rPr>
                <w:sz w:val="24"/>
                <w:szCs w:val="24"/>
                <w:color w:val="auto"/>
              </w:rPr>
            </w:pPr>
          </w:p>
        </w:tc>
        <w:tc>
          <w:tcPr>
            <w:tcW w:w="3820" w:type="dxa"/>
            <w:vAlign w:val="bottom"/>
            <w:tcBorders>
              <w:bottom w:val="single" w:sz="8" w:color="CCEEFF"/>
            </w:tcBorders>
            <w:shd w:val="clear" w:color="auto" w:fill="CCEEFF"/>
          </w:tcPr>
          <w:p>
            <w:pPr>
              <w:spacing w:after="0"/>
              <w:rPr>
                <w:sz w:val="24"/>
                <w:szCs w:val="24"/>
                <w:color w:val="auto"/>
              </w:rPr>
            </w:pPr>
          </w:p>
        </w:tc>
      </w:tr>
      <w:tr>
        <w:trPr>
          <w:trHeight w:val="222"/>
        </w:trPr>
        <w:tc>
          <w:tcPr>
            <w:tcW w:w="3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rPr>
              <w:t>REGN1033 (GDF8 Antibody)</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Phase 2 proof-of-concept study in elderly men and</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Develop combination therapy plans</w:t>
            </w:r>
          </w:p>
        </w:tc>
      </w:tr>
      <w:tr>
        <w:trPr>
          <w:trHeight w:val="216"/>
        </w:trPr>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96"/>
              </w:rPr>
              <w:t>women with sarcopenia met its primary endpoint,</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w w:val="93"/>
              </w:rPr>
              <w:t>while secondary, functional endpoints were mixed.</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Sanofi elected not to continue co-development</w:t>
            </w:r>
          </w:p>
        </w:tc>
        <w:tc>
          <w:tcPr>
            <w:tcW w:w="2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Completed patient enrollment in Phase 1/Phase 2</w:t>
            </w:r>
          </w:p>
        </w:tc>
        <w:tc>
          <w:tcPr>
            <w:tcW w:w="240" w:type="dxa"/>
            <w:vAlign w:val="bottom"/>
            <w:shd w:val="clear" w:color="auto" w:fill="CCEEFF"/>
          </w:tcPr>
          <w:p>
            <w:pPr>
              <w:spacing w:after="0"/>
              <w:rPr>
                <w:sz w:val="19"/>
                <w:szCs w:val="19"/>
                <w:color w:val="auto"/>
              </w:rPr>
            </w:pPr>
          </w:p>
        </w:tc>
        <w:tc>
          <w:tcPr>
            <w:tcW w:w="3820" w:type="dxa"/>
            <w:vAlign w:val="bottom"/>
            <w:shd w:val="clear" w:color="auto" w:fill="CCEEFF"/>
          </w:tcPr>
          <w:p>
            <w:pPr>
              <w:spacing w:after="0"/>
              <w:rPr>
                <w:sz w:val="19"/>
                <w:szCs w:val="19"/>
                <w:color w:val="auto"/>
              </w:rPr>
            </w:pPr>
          </w:p>
        </w:tc>
      </w:tr>
      <w:tr>
        <w:trPr>
          <w:trHeight w:val="262"/>
        </w:trPr>
        <w:tc>
          <w:tcPr>
            <w:tcW w:w="4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study</w:t>
            </w:r>
          </w:p>
        </w:tc>
        <w:tc>
          <w:tcPr>
            <w:tcW w:w="24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spacing w:after="0"/>
              <w:rPr>
                <w:sz w:val="22"/>
                <w:szCs w:val="22"/>
                <w:color w:val="auto"/>
              </w:rPr>
            </w:pPr>
          </w:p>
        </w:tc>
      </w:tr>
      <w:tr>
        <w:trPr>
          <w:trHeight w:val="222"/>
        </w:trPr>
        <w:tc>
          <w:tcPr>
            <w:tcW w:w="3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99"/>
              </w:rPr>
              <w:t>REGN2176-3 (PDGFR-beta Antibody</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w w:val="93"/>
              </w:rPr>
              <w:t>Received Fast Track designation from the FDA for</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Continue patient enrollment in Phase 2 study</w:t>
            </w:r>
          </w:p>
        </w:tc>
      </w:tr>
      <w:tr>
        <w:trPr>
          <w:trHeight w:val="230"/>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300" w:type="dxa"/>
            <w:vAlign w:val="bottom"/>
          </w:tcPr>
          <w:p>
            <w:pPr>
              <w:spacing w:after="0"/>
              <w:rPr>
                <w:sz w:val="20"/>
                <w:szCs w:val="20"/>
                <w:color w:val="auto"/>
              </w:rPr>
            </w:pP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the treatment of patients with wet AMD</w:t>
            </w: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tcPr>
          <w:p>
            <w:pPr>
              <w:ind w:left="20"/>
              <w:spacing w:after="0"/>
              <w:rPr>
                <w:sz w:val="20"/>
                <w:szCs w:val="20"/>
                <w:color w:val="auto"/>
              </w:rPr>
            </w:pPr>
            <w:r>
              <w:rPr>
                <w:rFonts w:ascii="Arial" w:cs="Arial" w:eastAsia="Arial" w:hAnsi="Arial"/>
                <w:sz w:val="18"/>
                <w:szCs w:val="18"/>
                <w:color w:val="auto"/>
              </w:rPr>
              <w:t>Initiated Phase 2 study</w:t>
            </w:r>
          </w:p>
        </w:tc>
        <w:tc>
          <w:tcPr>
            <w:tcW w:w="24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269"/>
        </w:trPr>
        <w:tc>
          <w:tcPr>
            <w:tcW w:w="3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6"/>
              </w:rPr>
              <w:t>REGN1979 (CD20 and CD3 Antibody)</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Continued patient enrollment in Phase 1 study</w:t>
            </w:r>
          </w:p>
        </w:tc>
        <w:tc>
          <w:tcPr>
            <w:tcW w:w="40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Ÿ Complete patient enrollment in Phase 1 study</w:t>
            </w:r>
          </w:p>
        </w:tc>
      </w:tr>
      <w:tr>
        <w:trPr>
          <w:trHeight w:val="222"/>
        </w:trPr>
        <w:tc>
          <w:tcPr>
            <w:tcW w:w="31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i w:val="1"/>
                <w:iCs w:val="1"/>
                <w:color w:val="auto"/>
                <w:w w:val="88"/>
              </w:rPr>
              <w:t>Nesvacumab/aflibercept (Ang2 Antibody</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Ÿ</w:t>
            </w:r>
          </w:p>
        </w:tc>
        <w:tc>
          <w:tcPr>
            <w:tcW w:w="380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Completed patient enrollment in Phase 1 study</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Initiate Phase 2 study</w:t>
            </w:r>
          </w:p>
        </w:tc>
      </w:tr>
      <w:tr>
        <w:trPr>
          <w:trHeight w:val="230"/>
        </w:trPr>
        <w:tc>
          <w:tcPr>
            <w:tcW w:w="312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gridSpan w:val="2"/>
          </w:tcPr>
          <w:p>
            <w:pPr>
              <w:spacing w:after="0"/>
              <w:rPr>
                <w:sz w:val="2"/>
                <w:szCs w:val="2"/>
                <w:color w:val="auto"/>
              </w:rPr>
            </w:pPr>
          </w:p>
        </w:tc>
      </w:tr>
      <w:tr>
        <w:trPr>
          <w:trHeight w:val="237"/>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REGN2810 (PD-1 Antibody)</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Ÿ</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1 study</w:t>
            </w:r>
          </w:p>
        </w:tc>
        <w:tc>
          <w:tcPr>
            <w:tcW w:w="4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Ÿ Continue patient enrollment in Phase 1 study</w:t>
            </w:r>
          </w:p>
        </w:tc>
      </w:tr>
      <w:tr>
        <w:trPr>
          <w:trHeight w:val="302"/>
        </w:trPr>
        <w:tc>
          <w:tcPr>
            <w:tcW w:w="4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4"/>
                <w:szCs w:val="24"/>
                <w:color w:val="auto"/>
              </w:rPr>
            </w:pPr>
          </w:p>
        </w:tc>
        <w:tc>
          <w:tcPr>
            <w:tcW w:w="40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Ÿ Initiate later-stage pivotal studies</w:t>
            </w:r>
          </w:p>
        </w:tc>
      </w:tr>
      <w:tr>
        <w:trPr>
          <w:trHeight w:val="453"/>
        </w:trPr>
        <w:tc>
          <w:tcPr>
            <w:tcW w:w="40" w:type="dxa"/>
            <w:vAlign w:val="bottom"/>
            <w:tcBorders>
              <w:top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0" w:type="dxa"/>
            <w:vAlign w:val="bottom"/>
            <w:tcBorders>
              <w:top w:val="single" w:sz="8" w:color="auto"/>
            </w:tcBorders>
            <w:gridSpan w:val="2"/>
          </w:tcPr>
          <w:p>
            <w:pPr>
              <w:ind w:left="2200"/>
              <w:spacing w:after="0"/>
              <w:rPr>
                <w:sz w:val="20"/>
                <w:szCs w:val="20"/>
                <w:color w:val="auto"/>
              </w:rPr>
            </w:pPr>
            <w:r>
              <w:rPr>
                <w:rFonts w:ascii="Arial" w:cs="Arial" w:eastAsia="Arial" w:hAnsi="Arial"/>
                <w:sz w:val="18"/>
                <w:szCs w:val="18"/>
                <w:color w:val="auto"/>
              </w:rPr>
              <w:t>62</w:t>
            </w:r>
          </w:p>
        </w:tc>
        <w:tc>
          <w:tcPr>
            <w:tcW w:w="24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r>
    </w:tbl>
    <w:p>
      <w:pPr>
        <w:sectPr>
          <w:pgSz w:w="11900" w:h="16838" w:orient="portrait"/>
          <w:cols w:equalWidth="0" w:num="1">
            <w:col w:w="11280"/>
          </w:cols>
          <w:pgMar w:left="240" w:top="130" w:right="37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Praluent and preparation for potential commercialization of our late-stage antibody product candidates, approximately half of which we expect to be reimbursed by Sanofi under the companies' collaboration agreement.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HealthCare,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 summary of the significant accounting policies that impact us is provided in Note 1 to our Consolidated Financial Statements.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106" w:lineRule="exact"/>
        <w:rPr>
          <w:sz w:val="20"/>
          <w:szCs w:val="20"/>
          <w:color w:val="auto"/>
        </w:rPr>
      </w:pPr>
    </w:p>
    <w:p>
      <w:pPr>
        <w:ind w:left="680" w:hanging="32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requires an assumption (or assumptions) regarding a future outcome; and</w:t>
      </w:r>
    </w:p>
    <w:p>
      <w:pPr>
        <w:spacing w:after="0" w:line="23" w:lineRule="exact"/>
        <w:rPr>
          <w:rFonts w:ascii="Arial" w:cs="Arial" w:eastAsia="Arial" w:hAnsi="Arial"/>
          <w:sz w:val="18"/>
          <w:szCs w:val="18"/>
          <w:color w:val="auto"/>
        </w:rPr>
      </w:pPr>
    </w:p>
    <w:p>
      <w:pPr>
        <w:ind w:left="680" w:hanging="321"/>
        <w:spacing w:after="0" w:line="261"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estimate or the use of different assumptions to prepare the estimate could have a material effect on our results of operations or financial condition.</w:t>
      </w:r>
    </w:p>
    <w:p>
      <w:pPr>
        <w:spacing w:after="0" w:line="10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Management believes the current assumptions used to estimate amounts reflected in our consolidated financial statements are appropriate. However, if actual experience differs from the assumptions used in estimating amounts reflected in our consolidated financial statements, the resulting changes could have a material adverse effect on our results of operations, and in certain situations, could have a material adverse effect on our liquidity and financial condition. The critical accounting estimates that impact our consolidated financial statements are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we have no further performance obligations, and returns can be reasonably estimated. We record revenue from product sales upon delivery to our distributors and specialty pharmacies (collectively, our customers).</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Revenue from product sales is recorded net of applicable provisions for rebates and chargebacks under governmental programs, such as Medicaid and Veterans' Administration (VA), distribution-related fees, prompt pay discounts, and other sales-related deductions. We estimate reductions to product sales based upon contracts with customers and government agencies, statutorily-defined discounts applicable to government-funded programs, historical experience, estimated payer mix, inventory levels in the distribution channel, shelf life of the product, and other relevant factors. Calculating these provisions involves estimates and judgments. We review our estimates of rebates, chargebacks, and other applicable provisions each period and record any necessary adjustments in the current period's net product sales. The following table summarizes the provisions, and credits/payments, for sales-related deductions.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610"/>
        </w:trPr>
        <w:tc>
          <w:tcPr>
            <w:tcW w:w="1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Distribution-</w:t>
            </w: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4420" w:type="dxa"/>
            <w:vAlign w:val="bottom"/>
            <w:gridSpan w:val="3"/>
          </w:tcPr>
          <w:p>
            <w:pPr>
              <w:ind w:left="106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Fees</w:t>
            </w:r>
          </w:p>
        </w:tc>
        <w:tc>
          <w:tcPr>
            <w:tcW w:w="16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89.9</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r>
      <w:tr>
        <w:trPr>
          <w:trHeight w:val="237"/>
        </w:trPr>
        <w:tc>
          <w:tcPr>
            <w:tcW w:w="1080" w:type="dxa"/>
            <w:vAlign w:val="bottom"/>
          </w:tcPr>
          <w:p>
            <w:pPr>
              <w:spacing w:after="0"/>
              <w:rPr>
                <w:sz w:val="20"/>
                <w:szCs w:val="20"/>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2013</w:t>
            </w: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1080" w:type="dxa"/>
            <w:vAlign w:val="bottom"/>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(111.7)</w:t>
            </w:r>
          </w:p>
        </w:tc>
      </w:tr>
      <w:tr>
        <w:trPr>
          <w:trHeight w:val="27"/>
        </w:trPr>
        <w:tc>
          <w:tcPr>
            <w:tcW w:w="108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1080" w:type="dxa"/>
            <w:vAlign w:val="bottom"/>
          </w:tcPr>
          <w:p>
            <w:pPr>
              <w:spacing w:after="0"/>
              <w:rPr>
                <w:sz w:val="21"/>
                <w:szCs w:val="21"/>
                <w:color w:val="auto"/>
              </w:rPr>
            </w:pP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r>
      <w:tr>
        <w:trPr>
          <w:trHeight w:val="243"/>
        </w:trPr>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w w:val="96"/>
              </w:rPr>
              <w:t>Provision related to current period sales</w:t>
            </w:r>
          </w:p>
        </w:tc>
        <w:tc>
          <w:tcPr>
            <w:tcW w:w="1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193.2</w:t>
            </w:r>
          </w:p>
        </w:tc>
      </w:tr>
      <w:tr>
        <w:trPr>
          <w:trHeight w:val="27"/>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1080" w:type="dxa"/>
            <w:vAlign w:val="bottom"/>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Credits/payments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57"/>
        </w:trPr>
        <w:tc>
          <w:tcPr>
            <w:tcW w:w="1080" w:type="dxa"/>
            <w:vAlign w:val="bottom"/>
          </w:tcPr>
          <w:p>
            <w:pPr>
              <w:spacing w:after="0"/>
              <w:rPr>
                <w:sz w:val="22"/>
                <w:szCs w:val="22"/>
                <w:color w:val="auto"/>
              </w:rPr>
            </w:pP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Balance as of December 31, 2015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55.3</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7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earn collaboration revenue in connection with collaboration agreements to develop and commercialize product candidates and utilize our technology platforms. These arrangements may require us to deliver various rights, services, and/or goods across the entire life cycle of a product or product candidate. The terms of these agreements typically include that consideration be provided to us in the form of non-refundable up-front payments, research progress (milestone) payments, payments for development and commercialization activities, and sharing of profits or losses arising from the commercialization of products. In arrangements involving multiple deliverables, we must determine whether each deliverable qualifies as a separate unit of accounting, whether the deliverables have value to the collaborator on a standalone basis, and how the consideration should be allocated to each separate unit of accounting based on the relative selling price of each deliverable.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In determining whether a payment is deemed to be a substantive performance milestone, we take into consideration (i) the enhancement in value to the related development product candidate, (ii) our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23"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we also recognize, as additional research and development expense in the period when our collaborator incurs development expenses, the portion of the collaborator's development expenses that we are obligated to reimburse.</w:t>
      </w:r>
    </w:p>
    <w:p>
      <w:pPr>
        <w:spacing w:after="0" w:line="20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Under our collaboration agreements, product sales and cost of sales for products which are currently approved are recorded by our collaborators. We share in any profits or losses arising from the commercialization of such products. Our collaborator provides us with our estimated share of the profits or losses from commercialization of such products for the most recent fiscal quarter. Our collaborators' estimates of profits or losses for such quarter are reconciled to actual profits or losses in the subsequent fiscal quarter, and our share of the profit or loss is adjusted accordingly, as necessary.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Expenses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Clinical trial costs are a significant component of research and development expenses and include costs associated with third-party contractors. We outsource a substantial portion of our clinical trial activities, utilizing external entities such as CROs,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42"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20"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we accrue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recognize stock-based compensation expense for grants of stock option awards and restricted stock under our long-term incentive plans to employees and non-employee members of our board of directors based on the grant-date fair value of those awards. The grant-date fair value of an award is generally recognized as compensation expense over the award's requisite service period.</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3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recognize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 We periodically re-assess the need for a valuation allowance against our deferred tax assets based on various factors including our historical earnings experience by taxing jurisdiction, and forecasts of future operating results and utilization of net operating losses and tax credits prior to their expiration. Significant judgment is required in making this assessment.</w:t>
      </w:r>
    </w:p>
    <w:p>
      <w:pPr>
        <w:spacing w:after="0" w:line="23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Significant judgment is required in making this assessment, and therefore, we re-evaluate uncertain tax positions and consider various factors, including, but not limited to, changes in tax law, the measurement of tax positions taken or expected to be taken in tax returns, and changes in facts or circumstances related to a tax position. We adjust the level of the liability to reflect any subsequent changes in the relevant facts and circumstances surrounding the uncertain positions.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periodically analyze our inventory levels to identify inventory that may expire prior to expected sale or has a cost basis in excess of its estimated realizable value, and write-down such inventories as appropriate. In addition, our products are subject to strict quality control and monitoring which we perform throughout the manufacturing process. If certain batches or units of product no longer meet quality specifications or become obsolete due to expiration, we record a charge to cost of goods sold to write down such unmarketable inventory to its estimated realizable value. In 2015, 2014, and 2013, cost of goods sold included inventory write-downs and reserves totaling $10.6 million, $6.0 million, and $9.1 million, respectively.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results of operations discussion below reflects certain revisions to previously-issued financial statements. See Note 1 of the Notes to Consolidated Financial Statements for a description of such revisions.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87"/>
              </w:rPr>
              <w:t>Years Ended December 31, 2015 and 2014</w:t>
            </w:r>
          </w:p>
        </w:tc>
        <w:tc>
          <w:tcPr>
            <w:tcW w:w="3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507"/>
        </w:trPr>
        <w:tc>
          <w:tcPr>
            <w:tcW w:w="6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Net Income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Net income in 2015 and 2014 consists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48"/>
        </w:trPr>
        <w:tc>
          <w:tcPr>
            <w:tcW w:w="222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2,819.6</w:t>
            </w: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(1,995.6)</w:t>
            </w: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37"/>
        </w:trPr>
        <w:tc>
          <w:tcPr>
            <w:tcW w:w="2220" w:type="dxa"/>
            <w:vAlign w:val="bottom"/>
          </w:tcPr>
          <w:p>
            <w:pPr>
              <w:spacing w:after="0"/>
              <w:rPr>
                <w:sz w:val="20"/>
                <w:szCs w:val="20"/>
                <w:color w:val="auto"/>
              </w:rPr>
            </w:pPr>
          </w:p>
        </w:tc>
        <w:tc>
          <w:tcPr>
            <w:tcW w:w="4280" w:type="dxa"/>
            <w:vAlign w:val="bottom"/>
            <w:gridSpan w:val="2"/>
          </w:tcPr>
          <w:p>
            <w:pPr>
              <w:ind w:left="26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761.3</w:t>
            </w: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r>
      <w:tr>
        <w:trPr>
          <w:trHeight w:val="297"/>
        </w:trPr>
        <w:tc>
          <w:tcPr>
            <w:tcW w:w="2220" w:type="dxa"/>
            <w:vAlign w:val="bottom"/>
          </w:tcPr>
          <w:p>
            <w:pPr>
              <w:spacing w:after="0"/>
              <w:rPr>
                <w:sz w:val="24"/>
                <w:szCs w:val="24"/>
                <w:color w:val="auto"/>
              </w:rPr>
            </w:pPr>
          </w:p>
        </w:tc>
        <w:tc>
          <w:tcPr>
            <w:tcW w:w="42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636.1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338.2</w:t>
            </w:r>
          </w:p>
        </w:tc>
      </w:tr>
      <w:tr>
        <w:trPr>
          <w:trHeight w:val="311"/>
        </w:trPr>
        <w:tc>
          <w:tcPr>
            <w:tcW w:w="2220" w:type="dxa"/>
            <w:vAlign w:val="bottom"/>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513"/>
        </w:trPr>
        <w:tc>
          <w:tcPr>
            <w:tcW w:w="65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6500" w:type="dxa"/>
            <w:vAlign w:val="bottom"/>
            <w:gridSpan w:val="3"/>
          </w:tcPr>
          <w:p>
            <w:pPr>
              <w:ind w:left="260"/>
              <w:spacing w:after="0"/>
              <w:rPr>
                <w:sz w:val="20"/>
                <w:szCs w:val="20"/>
                <w:color w:val="auto"/>
              </w:rPr>
            </w:pPr>
            <w:r>
              <w:rPr>
                <w:rFonts w:ascii="Arial" w:cs="Arial" w:eastAsia="Arial" w:hAnsi="Arial"/>
                <w:sz w:val="18"/>
                <w:szCs w:val="18"/>
                <w:color w:val="auto"/>
              </w:rPr>
              <w:t>Revenues in 2015 and 2014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60"/>
              <w:spacing w:after="0"/>
              <w:rPr>
                <w:sz w:val="20"/>
                <w:szCs w:val="20"/>
                <w:color w:val="auto"/>
              </w:rPr>
            </w:pPr>
            <w:r>
              <w:rPr>
                <w:rFonts w:ascii="Arial" w:cs="Arial" w:eastAsia="Arial" w:hAnsi="Arial"/>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w:t>
            </w: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r>
      <w:tr>
        <w:trPr>
          <w:trHeight w:val="243"/>
        </w:trPr>
        <w:tc>
          <w:tcPr>
            <w:tcW w:w="2220" w:type="dxa"/>
            <w:vAlign w:val="bottom"/>
          </w:tcPr>
          <w:p>
            <w:pPr>
              <w:spacing w:after="0"/>
              <w:rPr>
                <w:sz w:val="21"/>
                <w:szCs w:val="21"/>
                <w:color w:val="auto"/>
              </w:rPr>
            </w:pPr>
          </w:p>
        </w:tc>
        <w:tc>
          <w:tcPr>
            <w:tcW w:w="4280" w:type="dxa"/>
            <w:vAlign w:val="bottom"/>
            <w:gridSpan w:val="2"/>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7"/>
        </w:trPr>
        <w:tc>
          <w:tcPr>
            <w:tcW w:w="2220" w:type="dxa"/>
            <w:vAlign w:val="bottom"/>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220" w:type="dxa"/>
            <w:vAlign w:val="bottom"/>
          </w:tcPr>
          <w:p>
            <w:pPr>
              <w:spacing w:after="0"/>
              <w:rPr>
                <w:sz w:val="22"/>
                <w:szCs w:val="22"/>
                <w:color w:val="auto"/>
              </w:rPr>
            </w:pPr>
          </w:p>
        </w:tc>
        <w:tc>
          <w:tcPr>
            <w:tcW w:w="4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Total revenues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r>
      <w:tr>
        <w:trPr>
          <w:trHeight w:val="20"/>
        </w:trPr>
        <w:tc>
          <w:tcPr>
            <w:tcW w:w="2220" w:type="dxa"/>
            <w:vAlign w:val="bottom"/>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product sales consist of U.S. sales of EYLEA and ARCALYST. We received marketing approval from the FDA for EYLEA for the treatment of wet AMD in 2011, macular edema following CRVO in 2012, DME in July 2014, macular edema following BRVO in October 2014, and diabetic retinopathy in patients with DME in March 2015. In 2015, EYLEA net product sales increased to $2,676.0 million from $1,736.4 million in 2014 due to higher sales volume. In 2015 and 2014, we also recognized ARCALYST net product sales of $13.5 million and $14.4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collaboration revenue we earned from Sanofi, as detailed below, primarily consisted of reimbursement for research and development and commercialization expenses that we incurred, partly offset by sharing of losses in connection with commercialization of antibodies, under the companies' Antibody Collaboration.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735.4</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547.8</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Total Antibody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663.0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320"/>
              <w:spacing w:after="0"/>
              <w:rPr>
                <w:sz w:val="20"/>
                <w:szCs w:val="20"/>
                <w:color w:val="auto"/>
              </w:rPr>
            </w:pPr>
            <w:r>
              <w:rPr>
                <w:rFonts w:ascii="Arial" w:cs="Arial" w:eastAsia="Arial" w:hAnsi="Arial"/>
                <w:sz w:val="18"/>
                <w:szCs w:val="18"/>
                <w:color w:val="auto"/>
              </w:rPr>
              <w:t>Total Immuno-oncology</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ZALTRAP</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r>
      <w:tr>
        <w:trPr>
          <w:trHeight w:val="25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541.3</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In 2015, Sanofi's reimbursement of our antibody research and development expenses consisted of $145.0 million under our Antibody Discovery Agreement and $590.4 million under our License and Collaboration Agreement, compared to $160.0 million and $387.8 million, respectively, in 2014. Under the amended Antibody Discovery Agreement, Sanofi agreed to fund our antibody discovery activities up to $145.0 million in 2015 and up to $160.0 million in 2014. The higher reimbursement of development costs in 2015 compared to 2014 was primarily due to increased development activities for dupilumab.</w:t>
      </w:r>
    </w:p>
    <w:p>
      <w:pPr>
        <w:spacing w:after="0" w:line="20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Reimbursement of Regeneron commercialization-related expenses represents reimbursement of internal and external costs in connection with preparing to commercialize or commercializing, as applicable, Praluent and sarilumab. Effective in the second and fourth quarters of 2014, we and Sanofi began sharing pre-launch commercial expenses related to Praluent and sarilumab, respectively, in accordance with the companies' License and Collaboration Agreement. Consequently, we began recording our share of losses in connection with preparing to commercialize these two antibodies within Sanofi collaboration revenue. As described in Item 1. "Business" above, in July 2015, the FDA approved Praluent in the United States and in September 2015, the European Commission granted marketing authorization of Praluent. Therefore, commencing in 2015, we also recorded within Sanofi collaboration revenue our share of the Antibody Collaboration's losses in connection with commercialization of Praluent. We and Sanofi incurred higher commercialization expenses for Praluent in 2015 primarily in connection with launching the product in the United States. Praluent net product sales, which are recorded by Sanofi, were $10.5 million in 2015.</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antibody revenue includes recognition of deferred revenue from an $85.0 million up-front payment and other payments. As of December 31, 2015, $64.2 million of the up-front and other payments was deferred and will be recognized as revenue in future periods.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July 2015, we and Sanofi entered into a global strategic collaboration to discover, develop, and commercialize antibody-based cancer treatments in the field of immuno-oncology (as described above under "Collaboration Agreements - Collaboration with Sanofi - </w:t>
      </w:r>
      <w:r>
        <w:rPr>
          <w:rFonts w:ascii="Arial" w:cs="Arial" w:eastAsia="Arial" w:hAnsi="Arial"/>
          <w:sz w:val="18"/>
          <w:szCs w:val="18"/>
          <w:i w:val="1"/>
          <w:iCs w:val="1"/>
          <w:color w:val="auto"/>
        </w:rPr>
        <w:t>Immuno-Oncology</w:t>
      </w:r>
      <w:r>
        <w:rPr>
          <w:rFonts w:ascii="Arial" w:cs="Arial" w:eastAsia="Arial" w:hAnsi="Arial"/>
          <w:sz w:val="18"/>
          <w:szCs w:val="18"/>
          <w:color w:val="auto"/>
        </w:rPr>
        <w:t>"). In 2015, Sanofi's reimbursement of our immuno-oncology research and development expenses consisted of $29.2 million under our IO Discovery Agreement and $10.8 million under our IO License and Collaboration Agreement.</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the third quarter of 2015 in connection with the execution of the IO Collaboration agreements. As of December 31, 2015, $600.0 million of the up-front payments was deferred and will be recognized ratably as revenue in future periods.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September 2003, we and Sanofi entered into a ZALTRAP Collaboration Agreement to jointly develop and commercialize ZALTRAP. Under the terms of the ZALTRAP Collaboration Agreement, we and Sanofi shared profits and losses on sales of</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ZALTRAP outside of Japan, and we were entitled to receive a percentage of sales of ZALTRAP in Japan. Our share of the loss in connection with the commercialization of ZALTRAP in 2014 represents our share of the costs of commercializing ZALTRAP, partly offset by net product sales. As described above in Part I, Item 1. "Collaboration Agreements - Collaborations with Sanofi - </w:t>
      </w:r>
      <w:r>
        <w:rPr>
          <w:rFonts w:ascii="Arial" w:cs="Arial" w:eastAsia="Arial" w:hAnsi="Arial"/>
          <w:sz w:val="17"/>
          <w:szCs w:val="17"/>
          <w:i w:val="1"/>
          <w:iCs w:val="1"/>
          <w:color w:val="auto"/>
        </w:rPr>
        <w:t>ZALTRAP</w:t>
      </w:r>
      <w:r>
        <w:rPr>
          <w:rFonts w:ascii="Arial" w:cs="Arial" w:eastAsia="Arial" w:hAnsi="Arial"/>
          <w:sz w:val="17"/>
          <w:szCs w:val="17"/>
          <w:color w:val="auto"/>
        </w:rPr>
        <w:t>", in February 2015, we entered into an Amended ZALTRAP Agreement with Sanofi which amended and restated the ZALTRAP Collaboration Agreement. As a result, in the first quarter of 2015 we recognized $14.9 million of previously deferred revenue under the ZALTRAP Collaboration Agreement, related to (i) amounts that were previously reimbursed by Sanofi for manufacturing commercial supplies of ZALTRAP since our risk of inventory loss under the collaboration no longer existed, and (ii) the unamortized portion of up-front payments from Sanofi as we had no further performance obligations.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collaboration revenue we earned from Bayer HealthCare, as detailed below, primarily consisted of recognition of our share of profits in connection with commercialization of EYLEA outside the United States, and recognition of sales milestones achieved.</w:t>
      </w:r>
    </w:p>
    <w:p>
      <w:pPr>
        <w:spacing w:after="0" w:line="247"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w w:val="96"/>
              </w:rPr>
              <w:t>commercialization of EYLEA outside the 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301.3</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milestones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Regeneron EYLEA development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REGN2176-3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PDGFR-beta antibody</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HealthCare commenced sales of EYLEA outside the United States for the treatment of wet AMD in 2012, macular edema secondary to CRVO in 2013, visual impairment due to DME in the third quarter of 2014, mCNV (in Japan) in the fourth quarter of 2014, and macular edema following BRVO in the second quarter of 2015. Regeneron's net profit in connection with commercialization of EYLEA outside the United States is summarized below.</w:t>
      </w:r>
    </w:p>
    <w:p>
      <w:pPr>
        <w:spacing w:after="0" w:line="365"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690"/>
              <w:spacing w:after="0" w:line="19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1,413.3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466.7</w:t>
            </w:r>
          </w:p>
        </w:tc>
        <w:tc>
          <w:tcPr>
            <w:tcW w:w="10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records revenue from sales of EYLEA outside the United States. In 2015 and 2014,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we earned our final $15.0 million sales milestone from Bayer HealthCare, upon total aggregate net sales of specific commercial supplies of EYLEA outside the United States exceeding $200 million over a twelve-month period. In 2014, we earned seven $15.0 million sales milestones from Bayer HealthCare upon total aggregate net sales of EYLEA outside the United States achieving certain specified levels.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Cost-sharing of our global EYLEA development expenses with Bayer HealthCare decreased in 2015 compared to 2014.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In addition, all future agreed-upon global EYLEA development expenses incurred in connection with BRVO are shared equally, and any future profits or losses on sales of EYLEA outside of the United States for the treatment of macular edema following BRVO are also shared (for countries other than Japan; we are entitled to receive a tiered percentage of EYLEA net sales in Japan).</w:t>
      </w:r>
    </w:p>
    <w:p>
      <w:pPr>
        <w:spacing w:after="0" w:line="23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Other EYLEA revenue primarily consists of reimbursement of other Regeneron EYLEA expenses, principally related to Bayer HealthCare's share of royalties payable to Genentech pursuant to a license and settlement agreement in connection with sales of EYLEA outside the United States and reimbursements for producing EYLEA commercial supplies for Bayer HealthCare. In addition, other EYLEA revenue includes recognition of deferred revenue related to EYLEA up-front and 2007 non-substantive milestone payments from Bayer HealthCare. As of December 31, 2015, $11.1 million of the EYLEA up-front and 2007 milestone payments was deferred and will be recognized ratably as revenue in future periods.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Cost-sharing of REGN2176-3 development expenses with Bayer HealthCare commenced in the first quarter of 2014 following the execution of the companies' PDGFR-beta antibody collaboration agreement. Other PDGFR-beta antibody revenue consists of recognition of deferred revenue related to the PDGFR-beta up-front payment and non-substantive milestones received in the first quarter of 2014. As of December 31, 2015, $9.5 million of the PDGFR-beta up-front and 2014 milestone payments was deferred and will be recognized ratably as revenue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 xml:space="preserve">In connection with the amendment and extension of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in August 2010, we received a $165.0 million up-front payment, which was deferred upon receipt and is being recognized as revenue ratably over a seven-year period beginning in June 2011. In both 2015 and 2014, we recognized $23.6 million of revenue related to this agreement. As of December 31, 2015, $57.4 million of the August 2010 technology licensing payment received from Astellas was deferred and will be recognized as revenue in future periods.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connection with the February 2015 Amended ZALTRAP Agreement with Sanofi, we recorded $38.8 million of revenue in 2015 primarily related to manufacturing ZALTRAP commercial supplies for Sanofi and a percentage of net sales of ZALTRAP from July 1, 2014 (the effective date of the Amended ZALTRAP Agreement) through December 31, 2015, which Sanofi is obligated to pay us.</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under a June 2009 agreement with Novartis, we receive royalties on worldwide sales of Novartis' Ilaris (canakinumab). In 2015 and 2014, other revenue included $8.9 million and $7.9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operating expenses increased to $2,851.8 million in 2015 from $1,995.6 million in 2014. Our average headcount in 2015 increased to 3,713 from 2,629 in 2014, principally in connection with expanding our research and development, and commercialization activities.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Operating expenses in 2015 and 2014 included a total of $459.0 million and $321.8 million, respectively, of non-cash compensation expense related to employee stock option and restricted stock awards (Non-cash Compensation Expense). The increase in total Non-cash Compensation Expense in 2015 was primarily attributable to the higher fair market value of our Common Stock on the date of our annual employee option grants made in December 2014 compared to recent prior years. As of December 31, 2015, unrecognized Non-cash Compensation Expense related to outstanding stock options was $962.6 million and unvested restricted stock awards was $33.9 million. We expect to recognize this Non-cash Compensation Expense over weighted-average periods of 2.0 years and 2.1 years,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$1,620.6 million in 2015 from $1,271.4 million in 2014. The following table summarizes the major categories of our research and development expenses:</w:t>
      </w:r>
    </w:p>
    <w:p>
      <w:pPr>
        <w:spacing w:after="0" w:line="234"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60" w:type="dxa"/>
            <w:vAlign w:val="bottom"/>
          </w:tcPr>
          <w:p>
            <w:pPr>
              <w:spacing w:after="0"/>
              <w:rPr>
                <w:sz w:val="17"/>
                <w:szCs w:val="17"/>
                <w:color w:val="auto"/>
              </w:rPr>
            </w:pPr>
          </w:p>
        </w:tc>
        <w:tc>
          <w:tcPr>
            <w:tcW w:w="26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200" w:type="dxa"/>
            <w:vAlign w:val="bottom"/>
          </w:tcPr>
          <w:p>
            <w:pPr>
              <w:jc w:val="right"/>
              <w:ind w:right="29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4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103.1</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147.0</w:t>
            </w:r>
          </w:p>
        </w:tc>
      </w:tr>
      <w:tr>
        <w:trPr>
          <w:trHeight w:val="243"/>
        </w:trPr>
        <w:tc>
          <w:tcPr>
            <w:tcW w:w="20" w:type="dxa"/>
            <w:vAlign w:val="bottom"/>
          </w:tcPr>
          <w:p>
            <w:pPr>
              <w:spacing w:after="0"/>
              <w:rPr>
                <w:sz w:val="21"/>
                <w:szCs w:val="21"/>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r>
      <w:tr>
        <w:trPr>
          <w:trHeight w:val="229"/>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w w:val="98"/>
              </w:rPr>
              <w:t>Cost-sharing of Bayer HealthCare and Sanofi</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6"/>
              </w:rPr>
              <w:t>Total research and development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349.2</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$216.6 million in 2015 and $157.1 million in 2014.</w:t>
      </w:r>
    </w:p>
    <w:p>
      <w:pPr>
        <w:spacing w:after="0" w:line="1" w:lineRule="exact"/>
        <w:rPr>
          <w:rFonts w:ascii="Arial" w:cs="Arial" w:eastAsia="Arial" w:hAnsi="Arial"/>
          <w:sz w:val="22"/>
          <w:szCs w:val="22"/>
          <w:color w:val="auto"/>
          <w:vertAlign w:val="superscript"/>
        </w:rPr>
      </w:pPr>
    </w:p>
    <w:p>
      <w:pPr>
        <w:jc w:val="both"/>
        <w:ind w:left="820" w:hanging="164"/>
        <w:spacing w:after="0"/>
        <w:tabs>
          <w:tab w:leader="none" w:pos="859"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$39.1 million in 2015 and $27.2 million in 2014.</w:t>
      </w:r>
    </w:p>
    <w:p>
      <w:pPr>
        <w:jc w:val="both"/>
        <w:ind w:left="820" w:hanging="164"/>
        <w:spacing w:after="0" w:line="232" w:lineRule="auto"/>
        <w:tabs>
          <w:tab w:leader="none" w:pos="861"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HealthCare's and Sanofi's estimates are reconciled to their actual expenses for such quarter in the subsequent fiscal quarter, and our portion of our collaborators' development expenses that we are obligated to reimburse is adjusted accordingly.</w:t>
      </w:r>
    </w:p>
    <w:p>
      <w:pPr>
        <w:spacing w:after="0" w:line="258"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Payroll and benefits increased principally due to the increase in employee headcount and Non-cash Compensation Expense, as described above. Clinical trial expenses increased primarily due to additional costs for clinical studies of dupilumab and fasinumab, partly offset by lower Praluent, EYLEA, and REGN1033 costs. Clinical manufacturing costs increased primarily due to additional costs related to manufacturing drug supplies of dupilumab and, to a lesser extent, other late-stage antibody product candidates. Research and other development costs decreased primarily due to our 50% share ($33.8 million) of the cost of purchasing an FDA priority review voucher in 2014, partly offset by an increase in lab supplies in connection with early stage research activities.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decreased primarily due to lower development costs incurred by Bayer HealthCare in connection with EYLEA and Sanofi in connection with sarilumab.</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HealthCare's and Sanofi's respective development expenses which they incur and we are obligated to reimburse. Our estimates of research and development costs for clinical development programs are shown below:</w:t>
      </w:r>
    </w:p>
    <w:p>
      <w:pPr>
        <w:spacing w:after="0" w:line="218"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Praluent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Fasinumab</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REGN2222</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1,620.6</w:t>
            </w:r>
          </w:p>
        </w:tc>
        <w:tc>
          <w:tcPr>
            <w:tcW w:w="1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Selling, general, and administrative expenses increased to $838.5 million in 2015 from $519.3 million in 2014 primarily due to higher headcount and headcount-related costs, higher non-cash Compensation Expense principally for the reason described under "Expenses" above, and higher commercialization-related expenses primarily associated with EYLEA and Praluent. Selling, general, and administrative expenses included $193.0 million and $134.7 million of Non-cash Compensation Expense in 2015 and 2014,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Selling, general and administrative expenses in 2014 included a $40.6 million incremental charge related to the Branded Prescription Drug Fee, which is a non-tax deductible annual fee imposed on pharmaceutical manufacturers that sell branded prescription drugs to specified government programs. In July 2014, the Internal Revenue Service (IRS) issued final regulations that provide guidance on the Branded Prescription Drug Fee. As a result of the issuance of these final IRS regulations,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 The impact of the 2014 incremental charge was offset by a higher Branded Prescription Drug Fee expense in 2015 due to higher sales of EYLEA in the United States.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Cost of goods sold was $241.7 million in 2015 and $129.0 million in 2014. Cost of goods sold primarily consists of royalties, as well as costs in connection with producing U.S. EYLEA commercial supplies and various start-up costs in connection with our Limerick, Ireland commercial manufacturing facility. Cost of goods sold increased principally due to the increase in U.S. EYLEA net sales, as well as an increase in Limerick start-up costs. In addition, in 2015 and 2014, cost of goods sold included inventory write-downs and reserves totaling $10.6 million and $6.0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Cost of collaboration and contract manufacturing, which includes costs we incur in connection with producing commercial drug supplies for Sanofi and Bayer HealthCare, increased to $151.0 million in 2015 from $76.0 million in 2014. This increase was primarily due to the recognition of costs associated with commercial supplies of ZALTRAP, as well as royalties payable to Genentech in connection with higher sales of EYLEA outside the United States and the recognition of costs associated with commercial supplies of EYLEA manufactured for Bayer HealthCare. Under our collaboration arrangements, when the product is sold by our collaborators to third-party customers, our risk of inventory loss no longer exists, and we therefore recognize our related manufacturing costs for the sold product as cost of collaboration manufacturing. However, as described above, in February 2015, we entered into an Amended ZALTRAP Agreement with Sanofi. As a result, in the first quarter of 2015 we recognized as expense $20.2 million of inventoried costs for ZALTRAP commercial supplies that were previously shipped to Sanofi because our risk of inventory loss no longer exists under the Amended ZALTRAP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Total other expenses (net of other income) decreased to $26.8 million in 2015 from $62.7 million in 2014. Interest expense in 2015 decreased compared to 2014 primarily due to conversions of a substantial portion of our Notes in 2014 and 2015. In addition, in 2015 and 2014, we recognized a $18.9 million and a $33.5 million non-cash charge, respectively, in connection with Notes which were surrendered for conversion during the respective periods.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we recorded income tax expense of $589.0 million, based on an effective tax rate of 48.1%. The 2015 effective tax rate was negatively impacted, compared to the U.S. federal statutory rate, by losses incurred in foreign jurisdictions with rates lower than the U.S. federal statutory rate, partly offset by the positive impact of the domestic manufacturing deduction.</w:t>
      </w:r>
    </w:p>
    <w:p>
      <w:pPr>
        <w:spacing w:after="0" w:line="2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2014, we recorded income tax expense of $423.1 million, based on an effective tax rate of 55.6%. The 2014 effective tax rate was negatively impacted, compared to the U.S. federal statutory rate, by losses incurred in foreign jurisdictions with rates lower than the U.S. federal statutory rate and the non-tax deductible Branded Prescription Drug Fee. The negative impact of these items was partly offset by the positive impact of the federal tax credit for increased research activities and state income state credits.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our effective tax rate to continue to be negatively impacted by a shift in our geographic mix of profits and losses in 2016.</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Years Ended December 31, 2014 and 2013</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results of operations discussion below reflects certain revisions to previously-issued financial statements. See Note 1 of the Notes to Consolidated Financial Statements for a description of such revisions.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Income</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6500" w:type="dxa"/>
            <w:vAlign w:val="bottom"/>
            <w:gridSpan w:val="2"/>
          </w:tcPr>
          <w:p>
            <w:pPr>
              <w:ind w:left="260"/>
              <w:spacing w:after="0"/>
              <w:rPr>
                <w:sz w:val="20"/>
                <w:szCs w:val="20"/>
                <w:color w:val="auto"/>
              </w:rPr>
            </w:pPr>
            <w:r>
              <w:rPr>
                <w:rFonts w:ascii="Arial" w:cs="Arial" w:eastAsia="Arial" w:hAnsi="Arial"/>
                <w:sz w:val="18"/>
                <w:szCs w:val="18"/>
                <w:color w:val="auto"/>
              </w:rPr>
              <w:t>Net income in 2014 and 2013 consists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48"/>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w:t>
            </w: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(1,361.7)</w:t>
            </w: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37"/>
        </w:trPr>
        <w:tc>
          <w:tcPr>
            <w:tcW w:w="2220" w:type="dxa"/>
            <w:vAlign w:val="bottom"/>
          </w:tcPr>
          <w:p>
            <w:pPr>
              <w:spacing w:after="0"/>
              <w:rPr>
                <w:sz w:val="20"/>
                <w:szCs w:val="20"/>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696.4</w:t>
            </w: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2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(282.6)</w:t>
            </w:r>
          </w:p>
        </w:tc>
      </w:tr>
      <w:tr>
        <w:trPr>
          <w:trHeight w:val="297"/>
        </w:trPr>
        <w:tc>
          <w:tcPr>
            <w:tcW w:w="2220" w:type="dxa"/>
            <w:vAlign w:val="bottom"/>
          </w:tcPr>
          <w:p>
            <w:pPr>
              <w:spacing w:after="0"/>
              <w:rPr>
                <w:sz w:val="24"/>
                <w:szCs w:val="24"/>
                <w:color w:val="auto"/>
              </w:rPr>
            </w:pPr>
          </w:p>
        </w:tc>
        <w:tc>
          <w:tcPr>
            <w:tcW w:w="42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338.2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413.8</w:t>
            </w:r>
          </w:p>
        </w:tc>
      </w:tr>
      <w:tr>
        <w:trPr>
          <w:trHeight w:val="311"/>
        </w:trPr>
        <w:tc>
          <w:tcPr>
            <w:tcW w:w="2220" w:type="dxa"/>
            <w:vAlign w:val="bottom"/>
          </w:tcPr>
          <w:p>
            <w:pPr>
              <w:spacing w:after="0"/>
              <w:rPr>
                <w:sz w:val="24"/>
                <w:szCs w:val="24"/>
                <w:color w:val="auto"/>
              </w:rPr>
            </w:pPr>
          </w:p>
        </w:tc>
        <w:tc>
          <w:tcPr>
            <w:tcW w:w="42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513"/>
        </w:trPr>
        <w:tc>
          <w:tcPr>
            <w:tcW w:w="6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6500" w:type="dxa"/>
            <w:vAlign w:val="bottom"/>
            <w:gridSpan w:val="2"/>
          </w:tcPr>
          <w:p>
            <w:pPr>
              <w:ind w:left="260"/>
              <w:spacing w:after="0"/>
              <w:rPr>
                <w:sz w:val="20"/>
                <w:szCs w:val="20"/>
                <w:color w:val="auto"/>
              </w:rPr>
            </w:pPr>
            <w:r>
              <w:rPr>
                <w:rFonts w:ascii="Arial" w:cs="Arial" w:eastAsia="Arial" w:hAnsi="Arial"/>
                <w:sz w:val="18"/>
                <w:szCs w:val="18"/>
                <w:color w:val="auto"/>
              </w:rPr>
              <w:t>Revenues in 2014 and 2013 consist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4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1,425.8</w:t>
            </w: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Collaboration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22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Sanofi</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r>
      <w:tr>
        <w:trPr>
          <w:trHeight w:val="243"/>
        </w:trPr>
        <w:tc>
          <w:tcPr>
            <w:tcW w:w="2220" w:type="dxa"/>
            <w:vAlign w:val="bottom"/>
          </w:tcPr>
          <w:p>
            <w:pPr>
              <w:spacing w:after="0"/>
              <w:rPr>
                <w:sz w:val="21"/>
                <w:szCs w:val="21"/>
                <w:color w:val="auto"/>
              </w:rPr>
            </w:pPr>
          </w:p>
        </w:tc>
        <w:tc>
          <w:tcPr>
            <w:tcW w:w="4280" w:type="dxa"/>
            <w:vAlign w:val="bottom"/>
          </w:tcPr>
          <w:p>
            <w:pPr>
              <w:ind w:left="260"/>
              <w:spacing w:after="0"/>
              <w:rPr>
                <w:sz w:val="20"/>
                <w:szCs w:val="20"/>
                <w:color w:val="auto"/>
              </w:rPr>
            </w:pPr>
            <w:r>
              <w:rPr>
                <w:rFonts w:ascii="Arial" w:cs="Arial" w:eastAsia="Arial" w:hAnsi="Arial"/>
                <w:sz w:val="18"/>
                <w:szCs w:val="18"/>
                <w:color w:val="auto"/>
              </w:rPr>
              <w:t>Bayer HealthCare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collaboration revenue</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r>
      <w:tr>
        <w:trPr>
          <w:trHeight w:val="243"/>
        </w:trPr>
        <w:tc>
          <w:tcPr>
            <w:tcW w:w="2220" w:type="dxa"/>
            <w:vAlign w:val="bottom"/>
          </w:tcPr>
          <w:p>
            <w:pPr>
              <w:spacing w:after="0"/>
              <w:rPr>
                <w:sz w:val="21"/>
                <w:szCs w:val="21"/>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2220" w:type="dxa"/>
            <w:vAlign w:val="bottom"/>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2220" w:type="dxa"/>
            <w:vAlign w:val="bottom"/>
          </w:tcPr>
          <w:p>
            <w:pPr>
              <w:spacing w:after="0"/>
              <w:rPr>
                <w:sz w:val="22"/>
                <w:szCs w:val="22"/>
                <w:color w:val="auto"/>
              </w:rPr>
            </w:pPr>
          </w:p>
        </w:tc>
        <w:tc>
          <w:tcPr>
            <w:tcW w:w="4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r>
      <w:tr>
        <w:trPr>
          <w:trHeight w:val="20"/>
        </w:trPr>
        <w:tc>
          <w:tcPr>
            <w:tcW w:w="2220" w:type="dxa"/>
            <w:vAlign w:val="bottom"/>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consist of U.S. sales of EYLEA and ARCALYST. We received marketing approval from the FDA for EYLEA for the treatment of wet AMD in November 2011, for the treatment of macular edema following CRVO in September 2012, and for the treatment of DME in July 2014. In 2014, EYLEA net product sales increased to $1,736.4 million from $1,408.7 million in 2013 due to higher sales volume. In 2014, ARCALYST net product sales were $14.4 million compared to $17.1 million in 2013.</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Sanofi Collaboration Revenue</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collaboration revenue, as detailed below, consisted primarily of reimbursement for research and development expenses that we incurred, partly offset by sharing of pre-launch commercialization expenses, in connection with the companies' antibody collaboration. In addition, Sanofi collaboration revenue in 2013 was reduced by two $10.0 million up-front payments to Sanofi in connection with our acquisition from Sanofi of full exclusive rights to two families of novel antibodies, as described below.</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48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6"/>
                <w:szCs w:val="16"/>
                <w:color w:val="auto"/>
              </w:rPr>
            </w:pPr>
          </w:p>
        </w:tc>
        <w:tc>
          <w:tcPr>
            <w:tcW w:w="232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2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547.8</w:t>
            </w:r>
          </w:p>
        </w:tc>
        <w:tc>
          <w:tcPr>
            <w:tcW w:w="1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453.5</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20" w:type="dxa"/>
            <w:vAlign w:val="bottom"/>
          </w:tcPr>
          <w:p>
            <w:pPr>
              <w:spacing w:after="0"/>
              <w:rPr>
                <w:sz w:val="21"/>
                <w:szCs w:val="21"/>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w:t>
            </w:r>
          </w:p>
        </w:tc>
      </w:tr>
      <w:tr>
        <w:trPr>
          <w:trHeight w:val="23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commercialization of ZALTRAP</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20" w:type="dxa"/>
            <w:vAlign w:val="bottom"/>
          </w:tcPr>
          <w:p>
            <w:pPr>
              <w:spacing w:after="0"/>
              <w:rPr>
                <w:sz w:val="19"/>
                <w:szCs w:val="19"/>
                <w:color w:val="auto"/>
              </w:rPr>
            </w:pPr>
          </w:p>
        </w:tc>
        <w:tc>
          <w:tcPr>
            <w:tcW w:w="4460" w:type="dxa"/>
            <w:vAlign w:val="bottom"/>
            <w:gridSpan w:val="2"/>
          </w:tcPr>
          <w:p>
            <w:pPr>
              <w:ind w:left="24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60" w:type="dxa"/>
            <w:vAlign w:val="bottom"/>
            <w:gridSpan w:val="2"/>
          </w:tcPr>
          <w:p>
            <w:pPr>
              <w:ind w:left="4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
        </w:trPr>
        <w:tc>
          <w:tcPr>
            <w:tcW w:w="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37"/>
        </w:trPr>
        <w:tc>
          <w:tcPr>
            <w:tcW w:w="20" w:type="dxa"/>
            <w:vAlign w:val="bottom"/>
          </w:tcPr>
          <w:p>
            <w:pPr>
              <w:spacing w:after="0"/>
              <w:rPr>
                <w:sz w:val="20"/>
                <w:szCs w:val="20"/>
                <w:color w:val="auto"/>
              </w:rPr>
            </w:pPr>
          </w:p>
        </w:tc>
        <w:tc>
          <w:tcPr>
            <w:tcW w:w="4460" w:type="dxa"/>
            <w:vAlign w:val="bottom"/>
            <w:gridSpan w:val="2"/>
          </w:tcPr>
          <w:p>
            <w:pPr>
              <w:ind w:left="46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Sanofi collaboration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430.1</w:t>
            </w: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Sanofi commenced sales of ZALTRAP for treatment, in combination with FOLFIRI, of patients with mCRC that is resistant to or has progressed following an oxaliplatin-containing regimen, in the United States in the third quarter of 2012 and in certain European and other countries in the first quarter of 2013. Regeneron's share of the loss in connection with commercialization of ZALTRAP, as shown in the table below, represents our 50% share of ZALTRAP net product sales less cost of goods sold and shared commercialization and other expenses.</w:t>
      </w:r>
    </w:p>
    <w:p>
      <w:pPr>
        <w:spacing w:after="0" w:line="251" w:lineRule="exact"/>
        <w:rPr>
          <w:sz w:val="20"/>
          <w:szCs w:val="20"/>
          <w:color w:val="auto"/>
        </w:rPr>
      </w:pPr>
    </w:p>
    <w:tbl>
      <w:tblPr>
        <w:tblLayout w:type="fixed"/>
        <w:tblInd w:w="24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6"/>
              </w:rPr>
              <w:t>Regeneron's share of losses in connection with</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440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commercialization of ZALTRAP</w:t>
            </w:r>
          </w:p>
        </w:tc>
        <w:tc>
          <w:tcPr>
            <w:tcW w:w="22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w w:val="94"/>
              </w:rPr>
              <w:t>Year Ended December 31,</w:t>
            </w:r>
          </w:p>
        </w:tc>
      </w:tr>
      <w:tr>
        <w:trPr>
          <w:trHeight w:val="48"/>
        </w:trPr>
        <w:tc>
          <w:tcPr>
            <w:tcW w:w="2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44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recorded by Sanofi</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43"/>
        </w:trPr>
        <w:tc>
          <w:tcPr>
            <w:tcW w:w="20" w:type="dxa"/>
            <w:vAlign w:val="bottom"/>
          </w:tcPr>
          <w:p>
            <w:pPr>
              <w:spacing w:after="0"/>
              <w:rPr>
                <w:sz w:val="21"/>
                <w:szCs w:val="21"/>
                <w:color w:val="auto"/>
              </w:rPr>
            </w:pPr>
          </w:p>
        </w:tc>
        <w:tc>
          <w:tcPr>
            <w:tcW w:w="4400" w:type="dxa"/>
            <w:vAlign w:val="bottom"/>
            <w:gridSpan w:val="3"/>
          </w:tcPr>
          <w:p>
            <w:pPr>
              <w:spacing w:after="0"/>
              <w:rPr>
                <w:sz w:val="20"/>
                <w:szCs w:val="20"/>
                <w:color w:val="auto"/>
              </w:rPr>
            </w:pPr>
            <w:r>
              <w:rPr>
                <w:rFonts w:ascii="Arial" w:cs="Arial" w:eastAsia="Arial" w:hAnsi="Arial"/>
                <w:sz w:val="18"/>
                <w:szCs w:val="18"/>
                <w:color w:val="auto"/>
              </w:rPr>
              <w:t>Regeneron's share of collaboration losses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w:t>
            </w: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share of the ZALTRAP loss in 2014 and 2013 represents our share of the costs of launching and commercializing ZALTRAP, partly offset by net product sales.</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2014, Sanofi's reimbursement of our antibody research and development expenses consisted of $160.0 million under our Antibody Discovery Agreement and $387.8 million under our License and Collaboration Agreement, compared to $160.0 million and $293.5 million, respectively, in 2013. Under the amended Antibody Discovery Agreement, Sanofi agreed to fund up to $160.0 million of our antibody discovery activities in 2014 and 2013. The higher reimbursement of development costs in 2014 compared to 2013 was primarily due to increased development activities for dupilumab, Praluent, and certain other, earlier-stage antibody product candidates.</w:t>
      </w:r>
    </w:p>
    <w:p>
      <w:pPr>
        <w:spacing w:after="0" w:line="242"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preparing to commercialize antibody product candidates. These revenues increased in 2014 compared to 2013 primarily due to higher commercialization activities related to Praluent.</w:t>
      </w:r>
    </w:p>
    <w:p>
      <w:pPr>
        <w:spacing w:after="0" w:line="23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During 2014, we and Sanofi began sharing pre-launch commercialization expenses related to Praluent and sarilumab in accordance with the companies' antibody collaboration agreement. As a result, we began recording our share of losses in connection with commercialization of antibodies.</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2013, we acquired from Sanofi full exclusive rights to two families of novel antibodies invented at Regeneron and previously included in our antibody collaboration with Sanofi. In connection with acquiring from Sanofi full exclusive rights to (i) antibodies targeting the PDGF family of receptors and ligands in ophthalmology and all other indications and (ii) antibodies targeting the Ang2 receptor and ligand in ophthalmology, we made two $10.0 million up-front payments to Sanofi.</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30" w:right="239" w:bottom="1440" w:gutter="0" w:footer="0" w:header="0"/>
          <w:type w:val="continuous"/>
        </w:sectPr>
      </w:pPr>
    </w:p>
    <w:bookmarkStart w:id="76" w:name="page77"/>
    <w:bookmarkEnd w:id="7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antibody revenue relates primarily to recognition of deferred revenue from an $85.0 million up-front payment and other payments.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Bayer HealthCare Collaboration Revenue</w:t>
      </w:r>
    </w:p>
    <w:p>
      <w:pPr>
        <w:spacing w:after="0" w:line="279"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collaboration revenue we earned from Bayer HealthCare, as detailed below, primarily consisted of recognition of our share of profits in connection with commercialization of EYLEA outside the United States, and recognition of sales and substantive development milestones achieved.</w:t>
      </w:r>
    </w:p>
    <w:p>
      <w:pPr>
        <w:spacing w:after="0" w:line="224" w:lineRule="exact"/>
        <w:rPr>
          <w:sz w:val="20"/>
          <w:szCs w:val="20"/>
          <w:color w:val="auto"/>
        </w:rPr>
      </w:pPr>
    </w:p>
    <w:tbl>
      <w:tblPr>
        <w:tblLayout w:type="fixed"/>
        <w:tblInd w:w="21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r>
      <w:tr>
        <w:trPr>
          <w:trHeight w:val="194"/>
        </w:trPr>
        <w:tc>
          <w:tcPr>
            <w:tcW w:w="45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Bayer HealthCare Collaboration Revenue</w:t>
            </w:r>
          </w:p>
        </w:tc>
        <w:tc>
          <w:tcPr>
            <w:tcW w:w="260" w:type="dxa"/>
            <w:vAlign w:val="bottom"/>
          </w:tcPr>
          <w:p>
            <w:pPr>
              <w:spacing w:after="0"/>
              <w:rPr>
                <w:sz w:val="16"/>
                <w:szCs w:val="16"/>
                <w:color w:val="auto"/>
              </w:rPr>
            </w:pPr>
          </w:p>
        </w:tc>
        <w:tc>
          <w:tcPr>
            <w:tcW w:w="2300" w:type="dxa"/>
            <w:vAlign w:val="bottom"/>
            <w:gridSpan w:val="4"/>
          </w:tcPr>
          <w:p>
            <w:pPr>
              <w:jc w:val="right"/>
              <w:ind w:right="670"/>
              <w:spacing w:after="0" w:line="194" w:lineRule="exact"/>
              <w:rPr>
                <w:sz w:val="20"/>
                <w:szCs w:val="20"/>
                <w:color w:val="auto"/>
              </w:rPr>
            </w:pPr>
            <w:r>
              <w:rPr>
                <w:rFonts w:ascii="Arial" w:cs="Arial" w:eastAsia="Arial" w:hAnsi="Arial"/>
                <w:sz w:val="18"/>
                <w:szCs w:val="18"/>
                <w:b w:val="1"/>
                <w:bCs w:val="1"/>
                <w:color w:val="auto"/>
              </w:rPr>
              <w:t>December 31,</w:t>
            </w:r>
          </w:p>
        </w:tc>
      </w:tr>
      <w:tr>
        <w:trPr>
          <w:trHeight w:val="48"/>
        </w:trPr>
        <w:tc>
          <w:tcPr>
            <w:tcW w:w="20" w:type="dxa"/>
            <w:vAlign w:val="bottom"/>
          </w:tcPr>
          <w:p>
            <w:pPr>
              <w:spacing w:after="0"/>
              <w:rPr>
                <w:sz w:val="4"/>
                <w:szCs w:val="4"/>
                <w:color w:val="auto"/>
              </w:rPr>
            </w:pPr>
          </w:p>
        </w:tc>
        <w:tc>
          <w:tcPr>
            <w:tcW w:w="322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37"/>
        </w:trPr>
        <w:tc>
          <w:tcPr>
            <w:tcW w:w="45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w w:val="96"/>
              </w:rPr>
              <w:t>commercialization of EYLEA outside the 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Sales and substantive development milestones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Regeneron EYLEA development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00" w:type="dxa"/>
            <w:vAlign w:val="bottom"/>
            <w:gridSpan w:val="2"/>
          </w:tcPr>
          <w:p>
            <w:pPr>
              <w:ind w:left="140"/>
              <w:spacing w:after="0"/>
              <w:rPr>
                <w:sz w:val="20"/>
                <w:szCs w:val="20"/>
                <w:color w:val="auto"/>
              </w:rPr>
            </w:pPr>
            <w:r>
              <w:rPr>
                <w:rFonts w:ascii="Arial" w:cs="Arial" w:eastAsia="Arial" w:hAnsi="Arial"/>
                <w:sz w:val="18"/>
                <w:szCs w:val="18"/>
                <w:color w:val="auto"/>
              </w:rPr>
              <w:t>Cost-sharing of REGN2176-3 development expenses</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5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4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Bayer HealthCare collaboration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commenced sales of EYLEA outside the United States for the treatment of wet AMD in the fourth quarter of 2012, for the treatment of macular edema secondary to CRVO in the fourth quarter of 2013, and for the treatment of visual impairment due to DME in the third quarter of 2014. Regeneron's net profit in connection with commercialization of EYLEA outside the United States is summarized below.</w:t>
      </w:r>
    </w:p>
    <w:p>
      <w:pPr>
        <w:spacing w:after="0" w:line="380" w:lineRule="exact"/>
        <w:rPr>
          <w:sz w:val="20"/>
          <w:szCs w:val="20"/>
          <w:color w:val="auto"/>
        </w:rPr>
      </w:pPr>
    </w:p>
    <w:tbl>
      <w:tblPr>
        <w:tblLayout w:type="fixed"/>
        <w:tblInd w:w="21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color w:val="auto"/>
                <w:w w:val="96"/>
              </w:rPr>
              <w:t>Regeneron's Net Profit from EYLEA Sales Outside the</w:t>
            </w:r>
          </w:p>
        </w:tc>
        <w:tc>
          <w:tcPr>
            <w:tcW w:w="26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690"/>
              <w:spacing w:after="0" w:line="196"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2013</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gridSpan w:val="3"/>
            <w:vMerge w:val="restart"/>
          </w:tcPr>
          <w:p>
            <w:pPr>
              <w:spacing w:after="0"/>
              <w:rPr>
                <w:sz w:val="20"/>
                <w:szCs w:val="20"/>
                <w:color w:val="auto"/>
              </w:rPr>
            </w:pPr>
            <w:r>
              <w:rPr>
                <w:rFonts w:ascii="Arial" w:cs="Arial" w:eastAsia="Arial" w:hAnsi="Arial"/>
                <w:sz w:val="18"/>
                <w:szCs w:val="18"/>
                <w:color w:val="auto"/>
                <w:w w:val="93"/>
              </w:rPr>
              <w:t>Regeneron's share of collaboration profit from sales outside</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4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rPr>
              <w:t>the United States</w:t>
            </w: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Reimbursement of EYLEA development expenses incurred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by Bayer HealthCare in accordance with Regeneron's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8"/>
                <w:szCs w:val="18"/>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460" w:type="dxa"/>
            <w:vAlign w:val="bottom"/>
            <w:gridSpan w:val="3"/>
          </w:tcPr>
          <w:p>
            <w:pPr>
              <w:ind w:left="160"/>
              <w:spacing w:after="0"/>
              <w:rPr>
                <w:sz w:val="20"/>
                <w:szCs w:val="20"/>
                <w:color w:val="auto"/>
              </w:rPr>
            </w:pPr>
            <w:r>
              <w:rPr>
                <w:rFonts w:ascii="Arial" w:cs="Arial" w:eastAsia="Arial" w:hAnsi="Arial"/>
                <w:sz w:val="18"/>
                <w:szCs w:val="18"/>
                <w:color w:val="auto"/>
                <w:w w:val="98"/>
              </w:rPr>
              <w:t>commercialization of EYLEA outside the United States</w:t>
            </w: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Bayer HealthCare records revenue from sales of EYLEA outside the United States. In 2014 and 2013, our share of the profit we earned from commercialization of EYLEA outside the United States was partly offset by our contractual obligation to reimburse Bayer HealthCare for a portion of the agreed-upon development expenses previously incurred by Bayer HealthCare.</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2014, we earned, and recorded as revenue, six $15.0 million sales milestones from Bayer HealthCare upon total aggregate net sales of EYLEA outside the United States exceeding $500 million, $600 million, $700 million, $800 million, $900 million, and $1 billion, respectively, over a twelve-month period. Additionally, in 2014, we earned a $15.0 million sales milestone from Bayer HealthCare upon total aggregate net sales of specific commercial supplies of EYLEA outside the United States exceeding $100 million over a twelve-month period. In 2013, we earned $15.0 million and $10.0 million substantive development milestones from Bayer HealthCare upon receipt of marketing and pricing approval, respectively, outside the United States for EYLEA for</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treatment of macular edema secondary to CRVO. In addition, we earned, and recorded as revenue in 2013, three $15.0 million sales milestones from Bayer HealthCare upon total aggregate net sales of EYLEA outside the United States exceeding $200 million, $300 million, and $400 million, respectively, over a twelve-month period.</w:t>
      </w:r>
    </w:p>
    <w:p>
      <w:pPr>
        <w:spacing w:after="0" w:line="23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Cost-sharing of our global EYLEA development expenses with Bayer HealthCare increased slightly in 2014 compared to 2013. In January 2014, Bayer HealthCare decided to participate in the global development and commercialization of EYLEA outside the United States for the treatment of macular edema following BRVO. In connection with this decision, Bayer HealthCare reimbursed us $15.7 million for a defined share of the EYLEA global development costs that we had incurred prior to February 2014 for the BRVO indication, which was recognized as Bayer HealthCare collaboration revenue in the first quarter of 2014. This 2014 increase was partly offset by the winding down of various EYLEA development activities.</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EYLEA revenue increased principally due to higher reimbursement of other Regeneron EYLEA expenses, primarily related to Bayer HealthCare's share of royalties payable to Genentech which commenced in May 2013 pursuant to a license and settlement agreement, in connection with sales of EYLEA outside the United States. Other EYLEA revenue also includes recognition of deferred revenue related to EYLEA up-front and 2007 non-substantive milestone payments from Bayer HealthCare.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Cost-sharing of REGN2176-3 development expenses with Bayer HealthCare commenced in the first quarter of 2014 following the execution of the companies' PDGFR-beta antibody collaboration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Other PDGFR-beta antibody revenue consists of recognition of deferred revenue related to the PDGFR-beta up-front payment and non-substantive milestones received in the first quarter of 2014.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In connection with the amendment and extension of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license agreement with Astellas, in August 2010, we received a $165.0 million up-front payment, which was deferred upon receipt and is being recognized as revenue ratably over a seven-year period beginning in June 2011. In both 2014 and 2013, we recognized $23.6 million of other revenue related to this agreement.</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under a June 2009 agreement with Novartis, we receive royalties on worldwide sales of Novartis' Ilaris. In 2014 and 2013, other revenue included $7.9 million and $4.8 million, respectively, of royalties from Novartis.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Total operating expenses increased to $1,995.6 million in 2014 from $1,361.7 million in 2013. Our average headcount in 2014 increased to 2,629 from 2,153 in 2013, principally in connection with expanding our research and development, and commercialization activities.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Operating expenses in 2014 and 2013 included a total of $321.8 million and $215.4 million, respectively, of Non-cash Compensation Expense. The increase in total Non-cash Compensation Expense in 2014 was primarily attributable to the higher fair market value of our Common Stock on the date of our annual employee option grants made in December 2013 compared to recent prior years.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Research and development expenses increased to $1,271.4 million in 2014 from $859.9 million in 2013. The following table summarizes the major categories of our research and development expenses in 2014 and 2013:</w:t>
      </w:r>
    </w:p>
    <w:p>
      <w:pPr>
        <w:spacing w:after="0" w:line="234"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240" w:type="dxa"/>
            <w:vAlign w:val="bottom"/>
          </w:tcPr>
          <w:p>
            <w:pPr>
              <w:spacing w:after="0"/>
              <w:rPr>
                <w:sz w:val="17"/>
                <w:szCs w:val="17"/>
                <w:color w:val="auto"/>
              </w:rPr>
            </w:pPr>
          </w:p>
        </w:tc>
        <w:tc>
          <w:tcPr>
            <w:tcW w:w="2640" w:type="dxa"/>
            <w:vAlign w:val="bottom"/>
            <w:gridSpan w:val="5"/>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b w:val="1"/>
                <w:bCs w:val="1"/>
                <w:color w:val="auto"/>
              </w:rPr>
              <w:t>Increase</w:t>
            </w:r>
          </w:p>
        </w:tc>
      </w:tr>
      <w:tr>
        <w:trPr>
          <w:trHeight w:val="48"/>
        </w:trPr>
        <w:tc>
          <w:tcPr>
            <w:tcW w:w="20" w:type="dxa"/>
            <w:vAlign w:val="bottom"/>
          </w:tcPr>
          <w:p>
            <w:pPr>
              <w:spacing w:after="0"/>
              <w:rPr>
                <w:sz w:val="4"/>
                <w:szCs w:val="4"/>
                <w:color w:val="auto"/>
              </w:rPr>
            </w:pPr>
          </w:p>
        </w:tc>
        <w:tc>
          <w:tcPr>
            <w:tcW w:w="284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3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(Decrease)</w:t>
            </w:r>
          </w:p>
        </w:tc>
      </w:tr>
      <w:tr>
        <w:trPr>
          <w:trHeight w:val="27"/>
        </w:trPr>
        <w:tc>
          <w:tcPr>
            <w:tcW w:w="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20" w:type="dxa"/>
            <w:vAlign w:val="bottom"/>
            <w:shd w:val="clear" w:color="auto" w:fill="CCEEFF"/>
          </w:tcPr>
          <w:p>
            <w:pPr>
              <w:spacing w:after="0"/>
              <w:rPr>
                <w:sz w:val="22"/>
                <w:szCs w:val="22"/>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Payroll and benefits </w:t>
            </w:r>
            <w:r>
              <w:rPr>
                <w:rFonts w:ascii="Arial" w:cs="Arial" w:eastAsia="Arial" w:hAnsi="Arial"/>
                <w:sz w:val="18"/>
                <w:szCs w:val="18"/>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Clinical trial expenses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Clinical manufacturing costs </w:t>
            </w:r>
            <w:r>
              <w:rPr>
                <w:rFonts w:ascii="Arial" w:cs="Arial" w:eastAsia="Arial" w:hAnsi="Arial"/>
                <w:sz w:val="18"/>
                <w:szCs w:val="18"/>
                <w:color w:val="auto"/>
                <w:vertAlign w:val="superscript"/>
              </w:rPr>
              <w:t>(2)</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Research and other development costs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Occupancy and other operating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9"/>
              </w:rPr>
              <w:t>Cost-sharing of Bayer HealthCare and Sanofi</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1"/>
        </w:trPr>
        <w:tc>
          <w:tcPr>
            <w:tcW w:w="20" w:type="dxa"/>
            <w:vAlign w:val="bottom"/>
            <w:tcBorders>
              <w:bottom w:val="single" w:sz="8" w:color="CCEEFF"/>
            </w:tcBorders>
          </w:tcPr>
          <w:p>
            <w:pPr>
              <w:spacing w:after="0"/>
              <w:rPr>
                <w:sz w:val="21"/>
                <w:szCs w:val="21"/>
                <w:color w:val="auto"/>
              </w:rPr>
            </w:pPr>
          </w:p>
        </w:tc>
        <w:tc>
          <w:tcPr>
            <w:tcW w:w="360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 xml:space="preserve">development expenses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6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8"/>
              </w:rPr>
              <w:t>Total research and development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840" w:hanging="184"/>
        <w:spacing w:after="0"/>
        <w:tabs>
          <w:tab w:leader="none" w:pos="84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Includes Non-cash Compensation Expense of $157.1 million in 2014 and $101.9 million in 2013.</w:t>
      </w:r>
    </w:p>
    <w:p>
      <w:pPr>
        <w:spacing w:after="0" w:line="1" w:lineRule="exact"/>
        <w:rPr>
          <w:rFonts w:ascii="Arial" w:cs="Arial" w:eastAsia="Arial" w:hAnsi="Arial"/>
          <w:sz w:val="22"/>
          <w:szCs w:val="22"/>
          <w:color w:val="auto"/>
          <w:vertAlign w:val="superscript"/>
        </w:rPr>
      </w:pPr>
    </w:p>
    <w:p>
      <w:pPr>
        <w:jc w:val="both"/>
        <w:ind w:left="820" w:hanging="164"/>
        <w:spacing w:after="0"/>
        <w:tabs>
          <w:tab w:leader="none" w:pos="859" w:val="left"/>
        </w:tabs>
        <w:numPr>
          <w:ilvl w:val="0"/>
          <w:numId w:val="28"/>
        </w:numPr>
        <w:rPr>
          <w:rFonts w:ascii="Arial" w:cs="Arial" w:eastAsia="Arial" w:hAnsi="Arial"/>
          <w:sz w:val="24"/>
          <w:szCs w:val="24"/>
          <w:color w:val="auto"/>
          <w:vertAlign w:val="superscript"/>
        </w:rPr>
      </w:pPr>
      <w:r>
        <w:rPr>
          <w:rFonts w:ascii="Arial" w:cs="Arial" w:eastAsia="Arial" w:hAnsi="Arial"/>
          <w:sz w:val="17"/>
          <w:szCs w:val="17"/>
          <w:color w:val="auto"/>
        </w:rPr>
        <w:t>Represents the full cost of manufacturing drug for use in research, preclinical development, and clinical trials, as well as pre-launch commercial supplies which were not capitalized as inventory. Includes related payroll and benefits, Non-cash Compensation Expense, manufacturing materials and supplies, drug filling, packaging, and labeling costs, depreciation, and occupancy costs of our Rensselaer, New York manufacturing facility. Also includes Non-cash Compensation Expense of $27.2 million in 2014 and $14.6 million in 2013.</w:t>
      </w:r>
    </w:p>
    <w:p>
      <w:pPr>
        <w:jc w:val="both"/>
        <w:ind w:left="820" w:hanging="164"/>
        <w:spacing w:after="0" w:line="232" w:lineRule="auto"/>
        <w:tabs>
          <w:tab w:leader="none" w:pos="861"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Under our collaborations with Bayer HealthCare and Sanofi, in periods when Bayer HealthCare or Sanofi incurs certain development expenses, we also recognize, as additional research and development expense, the portion of our collaborators' development expenses that we are obligated to reimburse. Our collaborators provide us with estimated development expenses for the most recent fiscal quarter. Bayer HealthCare's and Sanofi's estimates are reconciled to their actual expenses for such quarter in the subsequent fiscal quarter, and our portion of our collaborators' development expenses that we are obligated to reimburse is adjusted accordingly.</w:t>
      </w:r>
    </w:p>
    <w:p>
      <w:pPr>
        <w:spacing w:after="0" w:line="25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Payroll and benefits increased principally due to the increase in employee headcount and Non-cash Compensation Expense, as described above. Clinical trial expenses increased due primarily to additional costs for clinical studies of dupilumab and REGN1033, partly offset by lower EYLEA-related costs. Clinical manufacturing costs increased primarily due to additional costs related to manufacturing drug supplies of Praluent. Research and other development costs increased primarily due to our 50% share ($33.8 million) of the cost of purchasing an FDA priority review voucher in 2014 and two $5.0 million development milestone payments we made to Sanofi in 2014 in connection with our acquisition from Sanofi of full exclusive rights to antibodies targeting the PDGF family of receptors in May 2013. Occupancy and other operating costs increased principally in connection with our higher headcount, expanded research and development activities, and higher information technology and facility-related costs at our Tarrytown and Rensselaer, New York sites. Cost-sharing of Bayer HealthCare and Sanofi development expenses increased primarily due to our obligation to fund 20% of Sanofi's Phase 3 Praluent and sarilumab development costs, which commenced during the fourth quarter of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collaborations with Bayer HealthCare and Sanofi, the portion of Bayer HealthCare and Sanofi's development expenses which they incur and we are obligated to reimburse. Our estimates of research and development costs for clinical development programs are shown below:</w:t>
      </w:r>
    </w:p>
    <w:p>
      <w:pPr>
        <w:spacing w:after="0" w:line="235" w:lineRule="exact"/>
        <w:rPr>
          <w:sz w:val="20"/>
          <w:szCs w:val="20"/>
          <w:color w:val="auto"/>
        </w:rPr>
      </w:pPr>
    </w:p>
    <w:tbl>
      <w:tblPr>
        <w:tblLayout w:type="fixed"/>
        <w:tblInd w:w="2000" w:type="dxa"/>
        <w:tblCellMar>
          <w:top w:w="0" w:type="dxa"/>
          <w:left w:w="0" w:type="dxa"/>
          <w:bottom w:w="0" w:type="dxa"/>
          <w:right w:w="0" w:type="dxa"/>
        </w:tblCellMar>
      </w:tblPr>
      <w:tr>
        <w:trPr>
          <w:trHeight w:val="20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Project Costs</w:t>
            </w:r>
          </w:p>
        </w:tc>
        <w:tc>
          <w:tcPr>
            <w:tcW w:w="24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Pr>
          <w:p>
            <w:pPr>
              <w:spacing w:after="0"/>
              <w:rPr>
                <w:sz w:val="17"/>
                <w:szCs w:val="17"/>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3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36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Praluent</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3"/>
        </w:trPr>
        <w:tc>
          <w:tcPr>
            <w:tcW w:w="3360" w:type="dxa"/>
            <w:vAlign w:val="bottom"/>
            <w:gridSpan w:val="3"/>
          </w:tcPr>
          <w:p>
            <w:pPr>
              <w:ind w:left="40"/>
              <w:spacing w:after="0"/>
              <w:rPr>
                <w:sz w:val="20"/>
                <w:szCs w:val="20"/>
                <w:color w:val="auto"/>
              </w:rPr>
            </w:pPr>
            <w:r>
              <w:rPr>
                <w:rFonts w:ascii="Arial" w:cs="Arial" w:eastAsia="Arial" w:hAnsi="Arial"/>
                <w:sz w:val="18"/>
                <w:szCs w:val="18"/>
                <w:color w:val="auto"/>
              </w:rPr>
              <w:t>Dupilumab</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Other antibody candidates in clinical</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3360" w:type="dxa"/>
            <w:vAlign w:val="bottom"/>
            <w:gridSpan w:val="3"/>
          </w:tcPr>
          <w:p>
            <w:pPr>
              <w:ind w:left="40"/>
              <w:spacing w:after="0"/>
              <w:rPr>
                <w:sz w:val="20"/>
                <w:szCs w:val="20"/>
                <w:color w:val="auto"/>
              </w:rPr>
            </w:pPr>
            <w:r>
              <w:rPr>
                <w:rFonts w:ascii="Arial" w:cs="Arial" w:eastAsia="Arial" w:hAnsi="Arial"/>
                <w:sz w:val="18"/>
                <w:szCs w:val="18"/>
                <w:color w:val="auto"/>
                <w:w w:val="99"/>
              </w:rPr>
              <w:t>Other research programs and unallocated</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costs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research and development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859.9</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411.5</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32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Selling, general, and administrative expenses increased to $519.3 million in 2014 from $346.4 million in 2013 primarily due to higher costs associated with the Branded Prescription Drug Fee, higher non-cash Compensation Expense principally for the reason described under "Expenses" above, higher headcount and headcount-related costs, and higher legal costs primarily in connection with patent enforcement. The increase in the Branded Prescription Drug Fee was primarily related to a $40.6 million incremental charge which was recorded in the third quarter of 2014, as described above under "Results of Operations - </w:t>
      </w:r>
      <w:r>
        <w:rPr>
          <w:rFonts w:ascii="Arial" w:cs="Arial" w:eastAsia="Arial" w:hAnsi="Arial"/>
          <w:sz w:val="17"/>
          <w:szCs w:val="17"/>
          <w:i w:val="1"/>
          <w:iCs w:val="1"/>
          <w:color w:val="auto"/>
        </w:rPr>
        <w:t>Years Ended December 31, 2015 and 2014 - Selling, General, and Administrative Expenses</w:t>
      </w:r>
      <w:r>
        <w:rPr>
          <w:rFonts w:ascii="Arial" w:cs="Arial" w:eastAsia="Arial" w:hAnsi="Arial"/>
          <w:sz w:val="17"/>
          <w:szCs w:val="17"/>
          <w:color w:val="auto"/>
        </w:rPr>
        <w:t>."</w:t>
      </w:r>
    </w:p>
    <w:p>
      <w:pPr>
        <w:spacing w:after="0" w:line="2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Selling, general, and administrative expenses included $134.7 million and $97.0 million of Non-cash Compensation Expense in 2014 and 2013,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Cost of goods sold was $129.0 million in 2014 and $118.0 million in 2013. Cost of goods sold, which primarily consists of royalties, as well as costs in connection with producing EYLEA and ARCALYST commercial supplies, increased principally due to the increase in U.S. EYLEA net sales. In addition, in 2014 and 2013, cost of goods sold included inventory write-downs and reserves totaling $6.0 million and $9.1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Manufacturing</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manufacture commercial supplies of product for our collaborators. Cost of collaboration manufacturing increased to $76.0 million in 2014 from $37.3 million in 2013 primarily due to royalties payable to Genentech, which commenced in May 2013 pursuant to a license and settlement agreement, in connection with sales of EYLEA outside the United States. Cost of collaboration manufacturing also includes costs in connection with producing commercial supplies for our collaborators.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Total other expenses (net of other income) increased to $62.7 million in 2014 from $46.7 million in 2013. In 2014, we had investment and other income of $8.2 million, compared to investment and other expense of $0.2 million in 2013. In 2013, we recorded a $2.9 million other-than-temporary impairment of an equity security based upon the length of time that the security was in an unrealized loss position and our expectation that we will not hold the security until a potential recovery in value occurs. This impairment charge exceeded investment income earned in 2013 on our marketable securities.</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Interest expense in 2014 and 2013 includes interest associated with our Notes, including amortization of the Note discount and debt issuance costs, and interest associated with our facility lease obligations. Interest expense in 2014 decreased compared to 2013 primarily due to $230.6 million principal amount of our Notes which were surrendered for conversion during 2014. In addition, in 2014, we recognized a $33.5 million non-cash charge in connection with these conversions.</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30" w:right="239" w:bottom="1440" w:gutter="0" w:footer="0" w:header="0"/>
          <w:type w:val="continuous"/>
        </w:sectPr>
      </w:pPr>
    </w:p>
    <w:bookmarkStart w:id="80" w:name="page81"/>
    <w:bookmarkEnd w:id="8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2014, we recorded income tax expense of $423.1 million, based on an effective tax rate of 55.6%. The 2014 effective tax rate was negatively impacted, compared to the U.S. federal statutory rate, by losses incurred in foreign jurisdictions with rates lower than the U.S. federal statutory rate and the non-tax deductible Branded Prescription Drug Fee. In addition, New York State tax legislation enacted in the first quarter of 2014 reduced the New York State income tax rate to zero percent for "qualified manufacturers", including Regeneron, effective in 2014; however, it also resulted in the reduction of our related deferred tax assets as a discrete item in the first quarter of 2014. As a result, this tax legislation caused a net increase in our effective tax rate by less than 1.0% for the year ended December 31, 2014. The negative impact of these items was partly offset by the positive impact of the federal tax credit for increased research activities and state income tax credits.</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2013, we recorded income tax expense of $282.6 million, based on an effective tax rate of 40.6%. The 2013 effective tax rate was negatively impacted by increases related to state and local taxes, the non-deductible Branded Prescription Drug Fee, and losses incurred in foreign jurisdictions with rates lower than the federal statutory rate. These increases in the effective tax rate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we recognized the benefit of both the 2012 and 2013 federal research tax credit.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sources and uses of cash discussion below reflects certain revisions to previously-issued financial statements. See Note 1 of the Notes to Condensed Consolidated Financial Statements for a description of such revisions.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Years Ended December 31, 2015, 2014, and 2013</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December 31, 2015, we had $1,677.4 million in cash, cash equivalents, and marketable securities compared with $1,360.6 million as of December 31, 2014 and $1,083.9 million as of December 31, 2013. Additionally, as of December 31, 2015, we had borrowing availability of $750.0 million under a revolving credit facility that was entered into during the first quarter of 2015 (see further description under "</w:t>
      </w:r>
      <w:r>
        <w:rPr>
          <w:rFonts w:ascii="Arial" w:cs="Arial" w:eastAsia="Arial" w:hAnsi="Arial"/>
          <w:sz w:val="17"/>
          <w:szCs w:val="17"/>
          <w:i w:val="1"/>
          <w:iCs w:val="1"/>
          <w:color w:val="auto"/>
        </w:rPr>
        <w:t>Credit Facility</w:t>
      </w:r>
      <w:r>
        <w:rPr>
          <w:rFonts w:ascii="Arial" w:cs="Arial" w:eastAsia="Arial" w:hAnsi="Arial"/>
          <w:sz w:val="17"/>
          <w:szCs w:val="17"/>
          <w:color w:val="auto"/>
        </w:rPr>
        <w:t>" below).</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75"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u w:val="single" w:color="auto"/>
          <w:color w:val="auto"/>
        </w:rPr>
        <w:t>2015</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was $1,330.8 million in 2015. Our net income of $636.1 million in 2015 included Non-cash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$459.0 million and depreciation and amortization of $74.9 million. In addition, deferred tax assets as of December 31, 2015 increased by $121.6 million, compared to December 31, 2014, primarily due to an increase in Non-cash Compensation Expense, partly offset by a reduction in our deferred tax assets related to fixed assets and deferred revenue.</w:t>
      </w:r>
    </w:p>
    <w:p>
      <w:pPr>
        <w:spacing w:after="0" w:line="238"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As of December 31, 2015, Sanofi, Bayer HealthCare, and trade accounts receivable increased by $491.4 million, compared to December 31, 2014, primarily due to higher U.S. EYLEA sales. Inventories as of December 31, 2015 increased by $111.8 million, compared to December 31, 2014, primarily due to increased production of EYLEA commercial supplies as well as capitalization of inventory in connection with Praluent production. Prepaid expenses and other assets increased by $79.5 million as of December 31, 2015, compared to December 31, 2014, primarily due to an increase in prepaid income taxes. Deferred revenue increased by $608.9 million as of December 31, 2015, compared to December 31, 2014, primarily due to $640.0 million of up-front payments received from Sanofi in connection with the companies' IO Collaboration, partly offset by related amortization which commenced in the third quarter of 2015. Accounts payable, accrued expenses, and other liabilities increased by $303.7 million as of December 31, 2015, compared to December 31, 2014, primarily due to (i) higher accruals for sales-related charges and deductions, and royalties related to EYLEA, (ii) higher expenditures in connection with our expanding research and development activities, (iii) higher payroll and payroll-related costs, and (iv) higher tax-related liabilities.</w:t>
      </w:r>
    </w:p>
    <w:p>
      <w:pPr>
        <w:spacing w:after="0" w:line="217"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b w:val="1"/>
          <w:bCs w:val="1"/>
          <w:u w:val="single" w:color="auto"/>
          <w:color w:val="auto"/>
        </w:rPr>
        <w:t>2014</w:t>
      </w:r>
      <w:r>
        <w:rPr>
          <w:rFonts w:ascii="Arial" w:cs="Arial" w:eastAsia="Arial" w:hAnsi="Arial"/>
          <w:sz w:val="16"/>
          <w:szCs w:val="16"/>
          <w:b w:val="1"/>
          <w:bCs w:val="1"/>
          <w:color w:val="auto"/>
        </w:rPr>
        <w:t xml:space="preserve">. </w:t>
      </w:r>
      <w:r>
        <w:rPr>
          <w:rFonts w:ascii="Arial" w:cs="Arial" w:eastAsia="Arial" w:hAnsi="Arial"/>
          <w:sz w:val="16"/>
          <w:szCs w:val="16"/>
          <w:color w:val="auto"/>
        </w:rPr>
        <w:t>Net cash provided by operating activities was $752.4 million in 2014. Our net income of $338.1 million in 2014 included the following non-cash</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 Non-cash Compensation Expense of $321.8 million, (ii) depreciation and amortization of $52.7 million, and (iii) a $33.5 million loss on extinguishment of debt related to the conversion of our Notes during 2014. In addition, deferred tax assets as of December 31, 2014 increased by $53.3 million, compared to end-of-year 2013, primarily due to an increase in Non-cash Compensation Expense partly offset by the reduction of our deferred tax assets related to the recently enacted New York State tax legislation, which reduced our New York State income tax rate to zero percent effective in 2014.</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of December 31, 2014, Sanofi, Bayer HealthCare, and trade accounts receivable increased by $34.9 million, compared to end-of-year 2013, primarily due to higher amounts receivable from Bayer HealthCare in connection with the commercialization of EYLEA outside the United States, partly offset by lower trade accounts receivable resulting from shortened payment terms to certain of our U.S. EYLEA customers effective January 2014. Inventories increased by $56.9 million, compared to end-of-year</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130" w:right="239" w:bottom="1440" w:gutter="0" w:footer="0" w:header="0"/>
          <w:type w:val="continuous"/>
        </w:sectPr>
      </w:pPr>
    </w:p>
    <w:bookmarkStart w:id="81" w:name="page82"/>
    <w:bookmarkEnd w:id="8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2013, primarily in connection with increased production of EYLEA commercial supplies. Accounts payable, accrued expenses, and other liabilities increased by $161.2 million as of December 31, 2014, compared to end-of-year 2013, primarily due to (i) higher accruals for sales-related charges (including the impact of the Branded Prescription Drug Fee incremental charge as described above), deductions, and royalties related to EYLEA, (ii) higher payroll-related liabilities primarily driven by an increase in headcount, and (iii) higher expenditures in connection with our expanding research and development activities.</w:t>
      </w:r>
    </w:p>
    <w:p>
      <w:pPr>
        <w:spacing w:after="0" w:line="20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u w:val="single" w:color="auto"/>
          <w:color w:val="auto"/>
        </w:rPr>
        <w:t>2013</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was $588.6 million in 2013. Our net income of $413.7 million in 2013 included Non-cash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$215.4 million and depreciation and amortization of $41.2 million. In addition, deferred tax assets at December 31, 2013 decreased by $62.2 million, compared to end-of-year 2012, primarily due to utilization of net operating loss and tax credit carryforwards to offset income taxes payable during 2013.</w:t>
      </w:r>
    </w:p>
    <w:p>
      <w:pPr>
        <w:spacing w:after="0" w:line="238"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of December 31, 2013, Sanofi, Bayer HealthCare, and trade accounts receivable increased by $245.5 million, compared to end-of-year 2012, primarily due to higher trade accounts receivable in connection with EYLEA product sales and a higher receivable balance due from Bayer HealthCare in connection with the commercialization of EYLEA outside the United States. Inventories increased by $48.0 million, compared to end-of-year 2012, primarily in connection with increased production of EYLEA commercial supplies. Our deferred revenue as of December 31, 2013 decreased by $41.5 million, compared to end-of-year 2012,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$136.7 million as of December 31, 2013, compared to end-of-year 2012, primarily due to (i) higher sales-related charges, deductions, and royalties related to EYLEA, (ii) higher payroll-related liabilities, due in part to funding payment of our year-end 2012 employee cash bonuses in 2012, whereas year-end 2013 employee cash bonuses were accrued in 2013 and paid in 2014, and (iii) higher expenditures in connection with our expanding commercial and research and development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Net cash used in investing activities was $907.6 million, $420.8 million, and $355.5 million in 2015, 2014, and 2013, respectively. In 2015, 2014, and 2013, purchases of marketable securities exceeded sales or maturities by $229.7 million, $87.8 million, and $199.1 million, respectively. Capital expenditures were $677.9 million, $333.0 million, and $156.3 million in 2015, 2014, and 2013, respectively. Capital expenditures in 2015 included costs in connection with renovations of our Limerick, Ireland manufacturing facility, tenant improvement and associated costs related to two new buildings at our leased Tarrytown, New York facilities, and expansion of our Rensselaer, New York manufacturing facilities. In addition, in April 2015, we acquired an approximate 100-acre parcel of undeveloped land adjacent to our current Tarrytown, New York location for an aggregate purchase price of $73.0 million. We intend to develop this property to accommodate and support our growth, primarily in connection with expanding our existing research and development and office space. Capital expenditures in 2014 and 2013 included costs in connection with expanding our Rensselaer, New York manufacturing facilities and tenant improvement and associated costs related to our leased facilities in Tarrytown, New York; in addition, capital expenditures in 2014 included costs in connection with the acquisition and renovations of our Limerick, Ireland manufacturing facility.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Provided by Financing Activities</w:t>
      </w:r>
    </w:p>
    <w:p>
      <w:pPr>
        <w:spacing w:after="0" w:line="27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Net cash used in financing activities was $262.8 million and $218.5 million in 2015 and 2014, respectively, and net cash provided by financing activities was $72.2 million in 2013. In 2015, proceeds in connection with facility and capital lease obligations primarily relate to reimbursements of $27.4 million from our landlord for tenant improvement costs in connection with our leased facilities in Tarrytown, New York. In 2015 and 2014, $166.5 million and $220.6 million principal amount of our Notes, respectively, that was previously surrendered for conversion was settled. In accordance with the terms of the Notes, we elected to settle these conversion obligations through a combination of cash, in an amount equal to the principal amount of the converted Notes, and shares of our Common Stock in respect of any amounts due in excess thereof. Also during 2015 and 2014, we paid an aggregate amount of $573.5 million and $294.6 million, respectively, to warrant holders to reduce the maximum number of shares of Common Stock issuable upon exercise of the warrants. Proceeds from issuances of Common Stock, in connection with exercises of employee stock options, were $206.4 million in 2015 compared to $126.0 million in 2014 and $57.4 million in 2013. In addition, payments for employee tax obligations in connection with stock option exercises and vesting of restricted stock were $160.5 million in 2015 compared to $267.6 million in 2014 and $195.1 million in 2013. Cash flows from financing activities also increased by $405.3 million, $439.3 million, and $211.9 million in 2015, 2014, and 2013, respectively, due to utilization of excess tax benefits in connection with stock option exercises, which offset cash tax obligations.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December 31, 2015.</w:t>
      </w:r>
    </w:p>
    <w:p>
      <w:pPr>
        <w:spacing w:after="0" w:line="21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December 31,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Sanofi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As described above under Item 1. "Business - Collaboration Agreements - Collaborations with Sanofi," since November 2007, we and Sanofi have been parties to a global, strategic collaboration to discover, develop, and commercialize fully human monoclonal antibodies. Pursuant to the Antibody Collaboration, Sanofi was responsible for funding up to $160.0 million per year of our antibody discovery activities over the period from 2010-2014, and, as amended in connection with the companies' July 2015 IO Collaboration as described below, is responsible for funding up to $145.0 million in 2015, and up to $130.0 million in each of 2016 and 2017 to identify and validate potential drug discovery targets and develop fully human monoclonal antibodies against these targets. For each drug candidate identified through discovery research under the Antibody Discovery Agreement, Sanofi has the option to license rights to the candidate under the License and Collaboration Agreement. Under certain defined circumstances, upon exercising its option to license rights to particular candidates, Sanofi must make a $10.0 million substantive milestone payment to us.</w:t>
      </w:r>
    </w:p>
    <w:p>
      <w:pPr>
        <w:spacing w:after="0" w:line="23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Under the License and Collaboration Agreement, agreed-upon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(called Shared Phase 3 Trial Costs) are shared 80% by Sanofi and 20% by us. Consequently, we recognized as additional research and development expense $92.6 million, $109.7 million, and $17.6 million in 2015, 2014 and 2013, respectively, of antibody development expenses that we were obligated to reimburse to Sanofi related to Praluent and sarilumab. If the collaboration becomes profitable, we will be obligated to reimburse Sanofi for 50% of worldwide development expenses that were fully funded by Sanofi 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 for these development costs. Our contingent reimbursement obligation to Sanofi in connection with the companies' Antibody Collaboration was approximately $1,832 million as of December 31, 2015. If Sanofi does not exercise its option to license rights to a particular drug candidate under the License and Collaboration agreement, or, if Sanofi elects not to continue to co-develop the product candidate, we retain the exclusive right to develop and commercialize such drug candidate, and Sanofi will receive either a mid-single digit or 10% royalty on sales, if any. See Item 1. "Business - General," above for product candidates that are subject to potential future royalties.</w:t>
      </w:r>
    </w:p>
    <w:p>
      <w:pPr>
        <w:spacing w:after="0" w:line="24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As it relates to commercialization activities, we and Sanofi equally share profits and losses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obligated to use commercially reasonable efforts to supply clinical requirements of each drug candidate under the collaboration until commercial supplies of that drug candidate are being manufactured. During 2014, Sanofi agreed to fund up to $17.5 million of agreed-upon costs incurred by us in connection with expanding manufacturing capacity at our Rensselaer, New York facility.</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With respect to each antibody product which enters development under the License and Collaboration agreement, Sanofi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 within thirty days of the date that Sanofi elects to jointly develop such antibody product under the License and Collaboration Agreement. Each of the Antibody Discovery Agreement and the License and Collaboration Agreement contains other termination provisions, including for material breach by the other party. Prior to December 31, 2017, Sanofi has the right to terminate the Discovery Agreement without cause with at least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three months' advance written notice; however, except under defined circumstances, Sanofi would be obligated to immediately pay to us the full amount of unpaid research funding during the remaining term of the research agreement through December 31, 2017. Upon termination of the Antibody Collaboration in its entirety, our obligation to reimburse Sanofi for development costs out of any future profits from collaboration products will terminate. In the event of termination of the amended Antibody Discovery Agreement, we retain exclusive rights to continue the development and/or commercialization of such product(s).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described above under Item 1. "Business - Collaboration Agreements - Collaborations with Sanofi," in July 2015, we and Sanofi entered into a global strategic collaboration to discover, develop, and commercialize antibody-based cancer treatments in the field of immuno-oncology. The IO Collaboration is governed by an IO Discovery Agreement and an IO License and Collaboration Agreement. In connection with the IO Discovery Agreement, Sanofi made a $265.0 million non-refundable up-front payment to us. Pursuant to the IO Discovery Agreement, we will spend up to $1,090.0 million to identify and validate potential immuno-oncology targets and develop therapeutic antibodies against such targets through clinical proof-of-concept. Sanofi will reimburse us for up to $825.0 million of these costs, subject to certain annual limits (including an annual limit of $150.0 million in 2016), to identify and validate potential immuno-oncology targets and develop therapeutic antibodies against such targets through clinical proof-of-concept. We will reimburse Sanofi for half of the development costs they funded that are attributable to clinical development of antibody product candidates under the IO Discovery Agreement from our share of future profits, if any, from commercialized products to the extent they are sufficient for this purpose. However, we are not required to apply more than 10% of our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we will retain the exclusive right to develop and commercialize such product candidate and Sanofi will be entitled to receive a royalty on sales.</w:t>
      </w:r>
    </w:p>
    <w:p>
      <w:pPr>
        <w:spacing w:after="0" w:line="229"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profits to the extent they are sufficient for this purpose, subject to the same 10% reimbursement limitation described above. In addition, we and Sanofi will share equally, on an ongoing basis, the development costs for the drug candidates for which we are the principal controlling party. The parties will share equally in profits and losses in connection with the commercialization of collaboration products. We are obligated to use commercially reasonable efforts to supply clinical requirements of each drug candidate under the IO License and Collaboration Agreement until commercial supplies of that IO drug candidate are being manufactured.</w:t>
      </w:r>
    </w:p>
    <w:p>
      <w:pPr>
        <w:spacing w:after="0" w:line="2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the IO License and Collaboration Agreement, the parties will also co-develop our antibody product candidate targeting PD-1 (REGN2810). The parties will share equally, on an ongoing basis, development expenses for REGN2810 up to a total of $650.0 million. We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$2.0 billion in any consecutive twelve-month period.</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we or Sanofi may, by giving twelve months’ notice, opt-out of further development and/or commercialization of the product, in which event the other party will retain exclusive rights to continue the development and/or commercialization of such product.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Collaborations with Bayer HealthCare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described above under Item 1. "Business - Collaboration Agreements - Collaborations with Bayer HealthCare," since October 2006, we and Bayer HealthCare have been parties to a license and collaboration agreement for the global development and commercialization outside the United States of EYLEA.</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30" w:right="23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Bayer HealthCare markets EYLEA outside the United States, where, for countries other than Japan, the companies share equally in profits and losses from sales of EYLEA. In Japan, we are entitled to receive a tiered percentage of between 33.5% and 40.0% of EYLEA net sales. We are obligated to reimburse Bayer HealthCare out of our share of the collaboration profits (including our percentage of sales of EYLEA in Japan) for 50% of the agreed-upon development expenses that Bayer HealthCare has incurred in accordance with a formula based on the amount of development expenses that Bayer HealthCare has incurred and our share of the collaboration profits, or at a faster rate at our option. As a result, we expect that a portion of our share of EYLEA profits outside the United States will be partly used to reimburse Bayer HealthCare for this repayment obligation. In particular, our contingent reimbursement obligation to Bayer HealthCare for EYLEA was approximately $258 million as of December 31, 2015. We are obligated to use commercially reasonable efforts to supply clinical and commercial bulk product of EYLEA to Bayer HealthCare.</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inception of the agreement, we have earned $110.0 million of development milestones and $165.0 million of sales milestones from Bayer HealthCare. During the first quarter of 2015, we earned the final potential milestone payment under our Bayer HealthCare collaboration agreement in connection with EYLEA outside the United States.</w:t>
      </w:r>
    </w:p>
    <w:p>
      <w:pPr>
        <w:spacing w:after="0" w:line="235"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Under the terms of the agreement, since 2009, all agreed-upon EYLEA development expenses incurred by both companies under a global development plan, and certain commercialization and other expenses, are shared equally, and profits or losses on sales of EYLEA outside the United States are also shared. We recognized as additional research and development expense $13.7 million, $18.6 million, and $15.3 million in 2015, 2014, and 2013, respectively, of EYLEA development expenses that we were obligated to reimburse to Bayer HealthCare related to EYLEA development costs.</w:t>
      </w:r>
    </w:p>
    <w:p>
      <w:pPr>
        <w:spacing w:after="0" w:line="20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EYLEA.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described above under Item 1. "Business - Collaboration Agreements - Collaborations with Bayer HealthCare," in January 2014, we entered into an agreement with Bayer HealthCare governing the joint development and commercialization outside the United States of an antibody product candidate to PDGFR-beta, including in combination with aflibercept, for the treatment of ocular diseases or disorders. REGN2176-3, a combination product candidate comprised of an antibody to PDGFR-beta co-formulated with aflibercept, is being developed under the agreement. Under the agreement, we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agreement, Bayer HealthCare is obligated to pay 25% of global development costs and 50% of development costs exclusively for the territory outside the United States under the initial development plan. In addition, Bayer HealthCare is obligated to reimburse us for 50% of development milestone payments to Sanofi related to our acquisition of rights to antibodies targeting the PDGF family of receptors in May 2013. In that regard, Bayer HealthCare made two $2.5 million development milestone payments to us in 2014 and a $5.0 million development milestone payment to us in 2015. We are eligible to receive up to a $10.0 million additional future development milestone payment from Bayer HealthCare, although this payment could be reduced by half if Bayer HealthCare does not opt-in to the collaboration.</w:t>
      </w:r>
    </w:p>
    <w:p>
      <w:pPr>
        <w:spacing w:after="0" w:line="24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If Bayer HealthCare exercises its right to opt-in to the collaboration, they will obtain exclusive commercialization rights to the product outside the United States, continue to pay for 25% of global development costs and 50% of development costs exclusively for the territory outside the United States, pay a $20.0 million opt-in payment to us, pay a $20.0 million development milestone to us upon receipt of the first marketing approval in the EU or Japan, share profits and losses from sales outside the United States equally with us, and be responsible for the payment of royalties on sales outside the United States to Sanofi.</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also have the right to opt-out of the collaboration upon completion of the first proof-of-concept study for the PDGFR-beta antibody. If we opt-out of the collaboration and Bayer HealthCare exercises its right to opt-in to the collaboration, Bayer HealthCare will obtain exclusive rights to the PDGFR-beta antibody (except as a combination product with aflibercept)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us and Bayer HealthCare in writing.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Fasinumab Collaboration with Mitsubishi Tanabe Pharma</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described above under Item 1. "Business - Collaboration Agreements - Collaborations with Mitsubishi Tanabe Pharma," in September 2015, we and MTPC entered into a collaboration agreement providing MTPC with development and commercial</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30" w:right="239" w:bottom="1440" w:gutter="0" w:footer="0" w:header="0"/>
          <w:type w:val="continuous"/>
        </w:sectPr>
      </w:pPr>
    </w:p>
    <w:bookmarkStart w:id="85" w:name="page86"/>
    <w:bookmarkEnd w:id="8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rights to fasinumab in Japan and certain other countries in Asia. In connection with the agreement, MTPC made a $10.0 million non-refundable up-front payment to us in 2015, and in the first quarter of 2016, MTPC became obligated to make an additional $45.0 million payment to us. We are also entitled to receive up to an aggregate of $65.0 million in development milestones if achieved by us and $105.0 million in other contingent payments, primarily related to development milestones achieved by MTPC.</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Astellas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July 2010, the non-exclusive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8"/>
          <w:szCs w:val="18"/>
          <w:i w:val="1"/>
          <w:iCs w:val="1"/>
          <w:color w:val="auto"/>
        </w:rPr>
        <w:t xml:space="preserve">VelocImmune </w:t>
      </w:r>
      <w:r>
        <w:rPr>
          <w:rFonts w:ascii="Arial" w:cs="Arial" w:eastAsia="Arial" w:hAnsi="Arial"/>
          <w:sz w:val="18"/>
          <w:szCs w:val="18"/>
          <w:color w:val="auto"/>
        </w:rPr>
        <w:t>technology.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Agreement with Novartis Pharma AG</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Under a June 2009 agreement with Novartis (which replaced a previous collaboration and license agreement), we receive royalties on worldwide sales of Novartis' Ilaris, a fully human anti-interleukin-IL1ß antibody. The royalty rates in the agreement start at 4% and reach 15% when annual sales exceed $1.5 billion. Ilaris is marketed for the treatment of CAPS and gouty arthritis, and is in earlier stage development for other inflammatory diseases. We are unable to predict whether these royalties will ever contribute materially to our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Settlement Agreements with Genentech</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2011, we entered into a Non-Exclusive License and Partial Settlement Agreement with Genentech (the Original Genentech Agreement) that covered making, using, and selling EYLEA in the United States for the prevention and treatment of human eye diseases and disorders in the United States, and ended the litigation relating to those matters. The Original Genentech Agreement provided for us to make payments to Genentech based on U.S. sales of EYLEA through May 7, 2016, the date the Davis-Smyth patents expire. Under the Original Genentech Agreement, we made a $60.0 million milestone payment when cumulative U.S. sales reached $400 million and are obligated to pay royalties of 4.75% on cumulative relevant sales of EYLEA between $400 million and $3 billion and 5.5% on cumulative relevant sales of EYLEA over $3 billion.</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May 2013, we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we received a worldwide non-exclusive license to the Davis-Smyth patents, and certain other patents, owned or co-owned by Genentech for the prevention or treatment of human eye diseases and eye disorders through administration of EYLEA to the eye. Under the Amended Genentech Agreement, we are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our license and collaboration agreement. All payments to Genentech under the Original Genentech Agreement and the Amended Genentech Agreement have been or will be made by Regeneron. Bayer HealthCare will share in all such payments based on the proportion of EYLEA sales outside the United States to worldwide EYLEA sales and determined consistent with the license and collaboration agreement.</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Also in May 2013, we entered into a Non-Exclusive License and Settlement Agreement, with Genentech, Sanofi U.S. Services, Inc. and Sanofi-Aventis U.S. LLC (the latter two entities, collectively, Sanofi) under which we and Sanofi received a worldwide non-exclusive license to the Davis-Smyth patents, and certain other patents, in all indications for human use other than the prevention or treatment of eye diseases and eye disorders through administration to the eye. Under the terms of the agreement, payments are required to be made to Genentech based on sales of ZALTRAP in the United States and of ZALTRAP that is manufactured in the United States and sold outside the United States through May 7, 2016. As a result of the Amended ZALTRAP Agreement, which is described in Item 1. "Business" above, we are no longer required to share in the cost of any payments made by Sanofi to Genentech based on sales of ZALTRAP.</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30" w:right="23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lease approximately 1,108,000 square feet of laboratory and office space at facilities in Tarrytown, New York. In 2013, we entered into a lease agreement for approximately 297,000 square feet of laboratory and office space to be constructed in two new buildings, which were completed in 2015. Our Tarrytown leases expire in 2024 - 2029, but contain renewal options to extend the term of the leases, as well as early termination options on approximately 225,000 square feet of space. The Tarrytown leases provide for current monthly base rental charges of approximately $3,525,000 (subject to escalations at 2.5% per annum) and additional charges for utilities, real estate taxes, and operating expenses, as defined.</w:t>
      </w:r>
    </w:p>
    <w:p>
      <w:pPr>
        <w:spacing w:after="0" w:line="227"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Certain leased premises are accounted for as operating leases. However, for certain other buildings that we are leasing (related to approximately 660,000 square feet), we are deemed, in substance, to be the owner of the landlord's buildings in accordance with the application of Financial Accounting Standards Board (FASB) authoritative guidance. Consequently, in addition to capitalizing the tenant improvements, we capitalize the landlord's costs of constructing these new facilities, offset by a corresponding facility lease obligation. In addition, we recognize, as additional facility lease obligation, reimbursements from our landlord for tenant improvement costs that we incurred since, under FASB authoritative guidance, such payments that we receive from our landlord are deemed to be a financing obligation. As of December 31, 2015 and 2014, the facility lease obligation balance related to these buildings was $364.7 million and $312.3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7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cash expenditures for property, plant, and equipment totaled $677.9 million in 2015, $333.0 million in 2014, and $156.3 million in 2013 (as described under "</w:t>
      </w:r>
      <w:r>
        <w:rPr>
          <w:rFonts w:ascii="Arial" w:cs="Arial" w:eastAsia="Arial" w:hAnsi="Arial"/>
          <w:sz w:val="17"/>
          <w:szCs w:val="17"/>
          <w:i w:val="1"/>
          <w:iCs w:val="1"/>
          <w:color w:val="auto"/>
        </w:rPr>
        <w:t>Cash Used in Investing Activities</w:t>
      </w:r>
      <w:r>
        <w:rPr>
          <w:rFonts w:ascii="Arial" w:cs="Arial" w:eastAsia="Arial" w:hAnsi="Arial"/>
          <w:sz w:val="17"/>
          <w:szCs w:val="17"/>
          <w:color w:val="auto"/>
        </w:rPr>
        <w:t>" above). We expect to incur capital expenditures of approximately $580 million to $680 million in 2016 primarily in connection with renovating our new Limerick, Ireland facility, tenant improvements primarily related to buildings at our leased Tarrytown, New York facilities, and expanding and renovating a portion of our manufacturing facilities at our Rensselaer, New York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October 2011, we issued $400.0 million aggregate principal amount of Notes in a private placement. The Notes pay interest semi-annually on April 1 and October 1, and will mature on October 1, 2016, unless earlier converted (which can occur subject to certain conditions) or repurchased. The Notes are convertible, subject to certain conditions, into cash, shares of our Common Stock, or a combination of cash and shares of Common Stock, at our option. The Notes initial conversion price is approximately $84.02 per share. In the event that a fundamental change, as defined in the indenture under which the Notes have been issued, occurs prior to maturity of the Notes, the initial conversion rate may be increased to include additional shares upon conversion, or holders can require us to purchase from them all or a portion of their Notes for 100% of the principal value plus any accrued and unpaid interest.</w:t>
      </w:r>
    </w:p>
    <w:p>
      <w:pPr>
        <w:spacing w:after="0" w:line="21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connection with the initial offering of the Notes, we entered into convertible note hedge (call option) and warrant transactions with multiple counterparties. The convertible note hedge covers, subject to customary anti-dilution adjustments, the number of shares of our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warrants have an initial strike price of approximately $103.41 per share, and may be settled in cash or shares of our Common Stock, at our option. The warrants will become exercisable (and, if not exercised, will expire) at various dates during 2017.</w:t>
      </w:r>
    </w:p>
    <w:p>
      <w:pPr>
        <w:spacing w:after="0" w:line="24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During 2015, we settled conversion obligations for $166.5 million principal amount of Notes previously surrendered for conversion. In accordance with the terms of the Notes, we elected to settle these conversion obligations through a combination of cash, in an amount equal to the principal amount of the converted Notes, and shares of our Common Stock in respect of any amounts due in excess thereof. As a result of the settlement of the Notes, we exercised a proportionate amount of our convertible note hedges, for which we received shares of Common Stock, which was approximately equal to the number of shares we were required to issue to settle the non-cash portion of the related Note conversions.</w:t>
      </w:r>
    </w:p>
    <w:p>
      <w:pPr>
        <w:spacing w:after="0" w:line="22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November 2015, we entered into an amendment agreement with a warrant holder whereby the parties agreed to reduce a portion of the number of warrants held by the warrant holder by up to a maximum of 476,376.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As a result of the warrant holder closing out a portion of its hedge position prior to December 31, 2015, we paid a total of $50.0 million in 2015 to reduce the number of warrants held by such warrant holder by 115,970. Additionally, during January 2016, the warrant holder closed out additional portions of its hedge position, and, as a result, we paid $135.3 million to further reduce the number of warrants held by such warrant holder by 360,406 (which was the remaining maximum number of warrants to be reduced subject to the amendment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to cash paid pursuant to the November 2015 agreement noted above, during 2015 we paid an aggregate amount of $523.5 million to warrant holders to reduce the maximum number of shares of Common Stock issuable upon exercise of the warrants. As of December 31, 2015, an aggregate of 2,109,098 warrants (subject to adjustment from time to time as provided in the applicable warrant agreements) remained outstanding.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expect continued increases in our expenditures, particularly in connection with our research and development activities (including preclinical and clinical testing), costs related to the preparation for potential commercialization of our late-stage antibody product candidates, and commercialization of EYLEA and Praluent.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with Sanofi and Bayer HealthCare, will enable us to meet our projected operating needs for the foreseeable future.</w:t>
      </w:r>
    </w:p>
    <w:p>
      <w:pPr>
        <w:spacing w:after="0" w:line="247"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2015. These obligations and commitments assume non-termination of agreements and represent expected payments based on current operating forecasts, which are subject to change:</w:t>
      </w:r>
    </w:p>
    <w:p>
      <w:pPr>
        <w:spacing w:after="0" w:line="201" w:lineRule="exact"/>
        <w:rPr>
          <w:sz w:val="20"/>
          <w:szCs w:val="20"/>
          <w:color w:val="auto"/>
        </w:rPr>
      </w:pPr>
    </w:p>
    <w:tbl>
      <w:tblPr>
        <w:tblLayout w:type="fixed"/>
        <w:tblInd w:w="120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spacing w:after="0"/>
              <w:rPr>
                <w:sz w:val="20"/>
                <w:szCs w:val="20"/>
                <w:color w:val="auto"/>
              </w:rPr>
            </w:pPr>
            <w:r>
              <w:rPr>
                <w:rFonts w:ascii="Arial" w:cs="Arial" w:eastAsia="Arial" w:hAnsi="Arial"/>
                <w:sz w:val="18"/>
                <w:szCs w:val="18"/>
                <w:b w:val="1"/>
                <w:bCs w:val="1"/>
                <w:color w:val="auto"/>
                <w:w w:val="98"/>
              </w:rPr>
              <w:t>Payments Due by Period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Greater</w:t>
            </w:r>
          </w:p>
        </w:tc>
      </w:tr>
      <w:tr>
        <w:trPr>
          <w:trHeight w:val="234"/>
        </w:trPr>
        <w:tc>
          <w:tcPr>
            <w:tcW w:w="35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one year</w:t>
            </w: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1 to 3 years</w:t>
            </w: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3 to 5 years</w:t>
            </w: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than 5 years</w:t>
            </w:r>
          </w:p>
        </w:tc>
      </w:tr>
      <w:tr>
        <w:trPr>
          <w:trHeight w:val="27"/>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58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70"/>
        </w:trPr>
        <w:tc>
          <w:tcPr>
            <w:tcW w:w="3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Purchase and other obligations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3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Facility lease obligations </w:t>
            </w:r>
            <w:r>
              <w:rPr>
                <w:rFonts w:ascii="Arial" w:cs="Arial" w:eastAsia="Arial" w:hAnsi="Arial"/>
                <w:sz w:val="25"/>
                <w:szCs w:val="25"/>
                <w:color w:val="auto"/>
                <w:vertAlign w:val="superscript"/>
              </w:rPr>
              <w:t>(4)</w:t>
            </w: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308.9</w:t>
            </w:r>
          </w:p>
        </w:tc>
      </w:tr>
      <w:tr>
        <w:trPr>
          <w:trHeight w:val="257"/>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w:t>
            </w: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left="1460" w:hanging="236"/>
        <w:spacing w:after="0" w:line="248" w:lineRule="auto"/>
        <w:tabs>
          <w:tab w:leader="none" w:pos="146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Consists of $11.2 million remaining aggregate principal amount of 1.875% convertible senior notes that mature on October 1, 2016, unless earlier converted or repurchased. The amount in the table above assumes the payment of interest on our Notes through their maturity date and the payment of the principal amount of the Notes at their maturity date. Interest on the Notes is payable semi-annually. The Notes are convertible, subject to certain conditions, into cash, shares of our Common Stock, or a combination of cash and shares of Common Stock, at our option. See Note 11 to our Consolidated Financial Statements.</w:t>
      </w:r>
    </w:p>
    <w:p>
      <w:pPr>
        <w:spacing w:after="0" w:line="1" w:lineRule="exact"/>
        <w:rPr>
          <w:rFonts w:ascii="Arial" w:cs="Arial" w:eastAsia="Arial" w:hAnsi="Arial"/>
          <w:sz w:val="24"/>
          <w:szCs w:val="24"/>
          <w:color w:val="auto"/>
          <w:vertAlign w:val="superscript"/>
        </w:rPr>
      </w:pPr>
    </w:p>
    <w:p>
      <w:pPr>
        <w:ind w:left="1460" w:right="20" w:hanging="236"/>
        <w:spacing w:after="0" w:line="209" w:lineRule="auto"/>
        <w:tabs>
          <w:tab w:leader="none" w:pos="14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Excludes future contingent costs for utilities, real estate taxes, and operating expenses. In 2015, these costs were $15.5 million. See Note 12(a) to our Consolidated Financial Statements.</w:t>
      </w:r>
    </w:p>
    <w:p>
      <w:pPr>
        <w:spacing w:after="0" w:line="1" w:lineRule="exact"/>
        <w:rPr>
          <w:rFonts w:ascii="Arial" w:cs="Arial" w:eastAsia="Arial" w:hAnsi="Arial"/>
          <w:sz w:val="25"/>
          <w:szCs w:val="25"/>
          <w:color w:val="auto"/>
          <w:vertAlign w:val="superscript"/>
        </w:rPr>
      </w:pPr>
    </w:p>
    <w:p>
      <w:pPr>
        <w:jc w:val="both"/>
        <w:ind w:left="1460" w:hanging="236"/>
        <w:spacing w:after="0" w:line="228" w:lineRule="auto"/>
        <w:tabs>
          <w:tab w:leader="none" w:pos="14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Purchase and other obligations primarily relate to research and development commitments, including those related to clinical trials, and capital expenditures for equipment acquisitions. Our obligation to pay certain of these amounts may increase or be reduced based on certain future events. Open purchase orders for the acquisition of goods and services in the ordinary course of business are excluded from the table above.</w:t>
      </w:r>
    </w:p>
    <w:p>
      <w:pPr>
        <w:spacing w:after="0" w:line="1" w:lineRule="exact"/>
        <w:rPr>
          <w:rFonts w:ascii="Arial" w:cs="Arial" w:eastAsia="Arial" w:hAnsi="Arial"/>
          <w:sz w:val="25"/>
          <w:szCs w:val="25"/>
          <w:color w:val="auto"/>
          <w:vertAlign w:val="superscript"/>
        </w:rPr>
      </w:pPr>
    </w:p>
    <w:p>
      <w:pPr>
        <w:jc w:val="both"/>
        <w:ind w:left="1460" w:right="20" w:hanging="236"/>
        <w:spacing w:after="0" w:line="228" w:lineRule="auto"/>
        <w:tabs>
          <w:tab w:leader="none" w:pos="14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rent payments with respect to facility lease obligations in connection with our lease of certain buildings in Tarrytown, New York, as described under "Tarrytown, New York Leases" above. Rent payments on two of these buildings commenced in the second half of 2015, and were based on several factors, including the landlord's costs of construction and tenant allowances. See Note 12(a) to our Consolidated Financial Statements.</w:t>
      </w:r>
    </w:p>
    <w:p>
      <w:pPr>
        <w:spacing w:after="0" w:line="2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Liabilities for unrecognized tax benefits, totaling $116.6 million at December 31, 2015, are not included in the table of contractual obligations above as, due to their nature, there is a high degree of uncertainty regarding the period of potential future cash settlement with taxing authorities. See Note 16 to our Consolidated Financial Statements.</w:t>
      </w:r>
    </w:p>
    <w:p>
      <w:pPr>
        <w:spacing w:after="0" w:line="2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enter into research collaboration and licensing agreements that may require us to pay amounts upon the achievement of various development and commercial milestones, which, in the aggregate, could be significant. Additionally, if required by the agreement, we may be required to make royalty payments calculated based on a percentage of net product sales. For example, in May 2013, we acquired from Sanofi full exclusive rights to antibodies targeting the PDGF family of receptors and ligands in ophthalmology and all other indications; consequently, we are obligated to pay up to $20.0 million in potential additional development milestones as well as royalties on any future sales of PDGF antibodies. The payment of these amounts, however, is contingent upon the occurrence of various future events, which have a high degree of uncertainty of occurring and for which the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30" w:right="23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specific timing cannot be predicted. Because of these factors, such payments are not included in the table of contractual obligations above. See Note 3 and Note 12 to our Consolidated Financial Statements.</w:t>
      </w:r>
    </w:p>
    <w:p>
      <w:pPr>
        <w:spacing w:after="0" w:line="22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Under our Antibody Collaboration with Sanofi and our collaboration with Bayer HealthCare for EYLEA outside the United States, we and our collaborator share profits and losses in connection with commercialization of drug products. Profits or losses under each collaboration are measured by calculating net sales less cost of goods sold and shared commercialization and other expenses. If the applicable collaboration is profitable, we have contingent contractual obligations to reimburse Sanofi and Bayer HealthCare for a defined percentage (generally 50%) of agreed-upon development expenses funded by Sanofi and Bayer HealthCare. These reimbursements would be deducted each quarter, in accordance with a formula, from our share of the collaboration profits (and, for our EYLEA collaboration with Bayer HealthCare, our percentage on product sales in Japan) otherwise payable to us, unless, in some cases, we elect to reimburse these expenses at a faster rate. In particular, as of December 31, 2015, our contingent reimbursement obligation to Bayer HealthCare for EYLEA was approximately $258 million and our contingent reimbursement obligation to Sanofi in connection with the companies' Antibody Collaboration was approximately $1,832 million. Therefore, we expect that, for the foreseeable future, a portion of our share of profits from sales of EYLEA outside the United States and a portion of our share of profits, if any, from sales of Praluent and other antibody product candidates (if approved) developed as part of the Antibody Collaboration will be used to reimburse our collaborator for this obligation. As described above under Item 1. "Business - Collaboration Agreements - Collaborations with Sanofi", pursuant to the Amended ZALTRAP Agreement, Regeneron no longer has a contingent contractual obligation (which was approximately $461 million at December 31, 2014) to reimburse Sanofi for 50% of the development expenses that Sanofi previously funded for the development of ZALTRAP under the ZALTRAP Collaboration Agreement.</w:t>
      </w:r>
    </w:p>
    <w:p>
      <w:pPr>
        <w:spacing w:after="0" w:line="226"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w:t>
      </w:r>
    </w:p>
    <w:p>
      <w:pPr>
        <w:spacing w:after="0" w:line="22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In addition to our anticipated commercialization costs for EYLEA and Praluent, we anticipate incurring substantial commercialization costs in connection with our late-stage antibody product candidates. Commercialization costs over the next few years will depend on, among other things, whether or not our antibody product candidates in later stage clinical development receive regulatory approval, the market potential for product candidates, and the commercialization terms of our collaboration agreements, if applicable (whereby some or all commercialization costs may be shared with our collaborators). Currently, we are required to pay royalties on sales of certain commercial products. In the future, if we are able to successfully develop, market, and sell certain of our product candidates, we may be required to pay additional royalties or share the profits from such sales pursuant to our license or collaboration agreements. In addition, under the provisions of the PPACA and the Health Care and Education Reconciliation Act of 2010, the Branded Prescription Drug Fee is imposed on pharmaceutical manufacturers that sell branded prescription drugs to specified government programs. This fee is allocated to companies, including Regeneron, based on their market share of total branded prescription drug sales into these government programs.</w:t>
      </w:r>
    </w:p>
    <w:p>
      <w:pPr>
        <w:spacing w:after="0" w:line="221" w:lineRule="exact"/>
        <w:rPr>
          <w:sz w:val="20"/>
          <w:szCs w:val="20"/>
          <w:color w:val="auto"/>
        </w:rPr>
      </w:pPr>
    </w:p>
    <w:p>
      <w:pPr>
        <w:jc w:val="both"/>
        <w:ind w:right="20" w:firstLine="243"/>
        <w:spacing w:after="0" w:line="312" w:lineRule="auto"/>
        <w:rPr>
          <w:sz w:val="20"/>
          <w:szCs w:val="20"/>
          <w:color w:val="auto"/>
        </w:rPr>
      </w:pPr>
      <w:r>
        <w:rPr>
          <w:rFonts w:ascii="Arial" w:cs="Arial" w:eastAsia="Arial" w:hAnsi="Arial"/>
          <w:sz w:val="16"/>
          <w:szCs w:val="16"/>
          <w:color w:val="auto"/>
        </w:rPr>
        <w:t>As described above, in 2015, 2014, and 2013, we made cash payments of $160.5 million, $267.6 million, and $195.1 million, respectively, for employee tax obligations in connection with stock option exercises and vesting of restricted stock. Future cash requirements for such payments will depend on various factors, including the level of stock option grants and exercises and the sales prices of our Common Stock, and may continue to be substantial.</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described under "Convertible Senior Notes" above, in November 2015, we entered into an agreement with a warrant holder whereby the parties agreed to reduce the number of warrants held by the warrant holder. Under the terms of the agreement, during 2015 and January 2016, we paid a total of $50.0 million and $135.3 million, respectively, to reduce the number of warrants held by the warrant holder. From time to time, we may seek to further reduce the number of warrants outstanding through additional amendment agreements with warrant holders or otherwise.</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Due primarily to potential excess tax benefits in connection with stock option exercises, we expect our cash income tax payments for 2016 to be significantly less than the income tax expense recorded in our financial statements in 2016, which is based on an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9" w:right="23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However, we expect our cash income tax payments in 2016 to be substantially higher than such payments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do not have any off-balance sheet arrangements that are currently material or reasonably likely to be material to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is intended to simplify the balance sheet presentation of deferred income taxes. Current accounting principles require an entity to separate deferred income tax liabilities and assets into current and noncurrent amounts in its balance sheet. The amendments require that deferred tax liabilities and assets be classified as noncurrent in its balance sheet. The amendments are effective for fiscal years, and interim periods within those fiscal years, beginning after December 15, 2016. Companies may apply the new provisions either retrospectively or on a prospective basis, and early adoption is permitted. We early adopted the amendments effective December 31, 2015 on a retrospective basis. The impact of the adoption of the amendments on our Consolidated Balance Sheet as of December 31, 2014 was a $46.2 million reclassification of current deferred tax assets to noncurrent deferred tax assets.</w:t>
      </w:r>
    </w:p>
    <w:p>
      <w:pPr>
        <w:spacing w:after="0" w:line="22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In May 2014, the FASB issued Accounting Standards Update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We have not yet determined our method of transition and are evaluating the impact that this guidance will have on our financial statements.</w:t>
      </w:r>
    </w:p>
    <w:p>
      <w:pPr>
        <w:spacing w:after="0" w:line="23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In January 2016, the FASB issued Accounting Standards Update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The amendments require equity investments (except those accounted for under the equity method of accounting or those that result in consolidation of the investee) to be measured at fair value with changes in fair value recognized in net income, and separate presentation of financial assets and financial liabilities by measurement category and form of financial asset. Additionally, the amendments eliminate the requirement to disclose the methods and significant assumptions used to estimate the fair value of financial instruments. The amendments are effective for fiscal years, and interim periods within those fiscal years, beginning after December 15, 2017. Other than an amendment relating to presenting in comprehensive income the portion of the total change in the fair value of a liability resulting from a change in instrument-specific credit risk (if the entity has elected to measure the liability at fair value), early adoption is not permitted. We are evaluating the impact that this guidance will have on our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earnings and cash flows are subject to fluctuations due to changes in interest rates, principally in connection with our investments in marketable securities, which consist primarily of corporate bonds, direct obligations of the U.S. government and its agencies and other debt securities guaranteed by the U.S. government, and municipal bonds. We do not believe we are materially exposed to changes in interest rates. We do not currently use interest rate derivative instruments to manage exposure to interest rate changes. We estimate that a 100 basis point, or 1%, unfavorable change in interest rates would have resulted in approximately a $11.7 million and $6.7 million decrease in the fair value of our investment portfolio as of December 31, 2015 and 2014, respectively.</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Risk</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2015 and 2014, we recorded no charges for other-than-temporary impairments of our marketable securities. During 2013, we recorded an other-than-temporary impairment charge of $2.9 million related to our investment in an equity security.</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30" w:right="239" w:bottom="1440" w:gutter="0" w:footer="0" w:header="0"/>
          <w:type w:val="continuous"/>
        </w:sectPr>
      </w:pPr>
    </w:p>
    <w:bookmarkStart w:id="90" w:name="page91"/>
    <w:bookmarkEnd w:id="9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are also subject to credit risk in connection with accounts receivable from our product sales of EYLEA and ARCALYST. These accounts receivable are due from several distributors and specialty pharmacies, who are our customers. We have contractual payment terms with each of our customers, and we monitor our customers' financial performance and credit worthiness so that we can properly assess and respond to any changes in their credit profile. In addition, we may insure a portion of our accounts receivables within our overall risk management practices. During 2015, 2014, and 2013, we did not recognize any charges for write-offs of accounts receivable related to our marketed products. As of December 31, 2015 and 2014, one individual customer accounted for 68% and 70%, respectively, of our net trade accounts receivable balances.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discussed further above, Bayer HealthCare markets EYLEA outside the United States and Sanofi markets Praluent worldwide, and we share in profits and losses with these collaborators from commercialization of products (including the receipt of a percentage of EYLEA sales in Japan). In addition, pursuant to the applicable terms of the agreements with our collaborators, we also share in certain worldwide development expenses incurred by our collaborators. We also incur worldwide development expenses for clinical products we are developing independently. Therefore, significant changes in foreign exchange rates of the countries outside the United States where our product is sold or where development expenses are incurred by us or our collaborators can impact our operating results and financial condition. As sales outside the United States continue to grow, and as we expand our international operations, we will continue to assess potential steps, including foreign currency hedging and other strategies, to mitigate our foreign exchange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financial statements required by this Item are included on pages F-1 through F-48 of this report. The supplementary financial information required by this Item is included at page F-48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(the "Exchange Act")) as of the end of the period covered by this Annual Report on Form 10-K.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Report on Internal Control over Financial Reporting</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as of December 31, 2015 using the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Based on that evaluation, our management has concluded that our internal control over financial reporting was effective as of December 31, 2015. The effectiveness of our internal control over financial reporting as of December 31, 2015 has been audited by PricewaterhouseCoopers LLP, an independent registered public accounting firm, as stated in their report which appears under Item 15.</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30" w:right="2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December 31, 2015 that has materially affected, or is reasonably likely to materially affect, our internal control over financial reporting.</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Our management, including our principal executive officer and principal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83"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2016 Annual Meeting of Shareholders to be filed with the SEC, and is incorporated herein by reference.</w:t>
      </w:r>
    </w:p>
    <w:p>
      <w:pPr>
        <w:spacing w:after="0" w:line="20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have adopted a code of business conduct and ethics that applies to our officers, directors, and employees. The full text of our code of business conduct and ethics can be found on our website (http://www.regeneron.com) under the "Investors &amp; Media" heading on the "Corporate Governance" page. We may satisfy the disclosure requirements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2016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2016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with respect to our 2016 Annual Meeting of Shareholders to be filed with the SEC, and is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information called for by this item will be included in our definitive proxy statement with respect to our 2016 Annual Meeting of Shareholders to be filed with the SEC, and is incorporated herein by reference.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i w:val="1"/>
          <w:iCs w:val="1"/>
          <w:color w:val="auto"/>
        </w:rPr>
        <w:t>(a)</w:t>
      </w:r>
      <w:r>
        <w:rPr>
          <w:sz w:val="20"/>
          <w:szCs w:val="20"/>
          <w:color w:val="auto"/>
        </w:rPr>
        <w:tab/>
      </w:r>
      <w:r>
        <w:rPr>
          <w:rFonts w:ascii="Arial" w:cs="Arial" w:eastAsia="Arial" w:hAnsi="Arial"/>
          <w:sz w:val="16"/>
          <w:szCs w:val="16"/>
          <w:i w:val="1"/>
          <w:iCs w:val="1"/>
          <w:color w:val="auto"/>
        </w:rPr>
        <w:t>1. 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filed as part of this report are listed on the Index to Financial Statements on page F-1.</w:t>
      </w:r>
    </w:p>
    <w:p>
      <w:pPr>
        <w:sectPr>
          <w:pgSz w:w="11900" w:h="16838" w:orient="portrait"/>
          <w:cols w:equalWidth="0" w:num="1">
            <w:col w:w="11420"/>
          </w:cols>
          <w:pgMar w:left="240" w:top="130"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130" w:right="239" w:bottom="1440" w:gutter="0" w:footer="0" w:header="0"/>
          <w:type w:val="continuous"/>
        </w:sectPr>
      </w:pPr>
    </w:p>
    <w:bookmarkStart w:id="92" w:name="page93"/>
    <w:bookmarkEnd w:id="9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 Financial Statement Schedules</w:t>
      </w:r>
    </w:p>
    <w:p>
      <w:pPr>
        <w:spacing w:after="0" w:line="27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220" w:type="dxa"/>
            <w:vAlign w:val="bottom"/>
            <w:gridSpan w:val="4"/>
          </w:tcPr>
          <w:p>
            <w:pPr>
              <w:spacing w:after="0"/>
              <w:rPr>
                <w:sz w:val="20"/>
                <w:szCs w:val="20"/>
                <w:color w:val="auto"/>
              </w:rPr>
            </w:pPr>
            <w:r>
              <w:rPr>
                <w:rFonts w:ascii="Arial" w:cs="Arial" w:eastAsia="Arial" w:hAnsi="Arial"/>
                <w:sz w:val="18"/>
                <w:szCs w:val="18"/>
                <w:i w:val="1"/>
                <w:iCs w:val="1"/>
                <w:color w:val="auto"/>
              </w:rPr>
              <w:t>3. Exhibits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500" w:type="dxa"/>
            <w:vAlign w:val="bottom"/>
          </w:tcPr>
          <w:p>
            <w:pPr>
              <w:spacing w:after="0"/>
              <w:rPr>
                <w:sz w:val="20"/>
                <w:szCs w:val="20"/>
                <w:color w:val="auto"/>
              </w:rPr>
            </w:pPr>
          </w:p>
        </w:tc>
      </w:tr>
      <w:tr>
        <w:trPr>
          <w:trHeight w:val="473"/>
        </w:trPr>
        <w:tc>
          <w:tcPr>
            <w:tcW w:w="3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6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3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7500" w:type="dxa"/>
            <w:vAlign w:val="bottom"/>
          </w:tcPr>
          <w:p>
            <w:pPr>
              <w:spacing w:after="0"/>
              <w:rPr>
                <w:sz w:val="4"/>
                <w:szCs w:val="4"/>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Restated Certificate of Incorporation, as amended. (Incorporated by reference from the Form 10-Q for Regeneron</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Pharmaceuticals, Inc. (the "Registrant"), for the quarter ended June 30, 2015, filed August 4, 2015.)</w:t>
            </w:r>
          </w:p>
        </w:tc>
      </w:tr>
      <w:tr>
        <w:trPr>
          <w:trHeight w:val="243"/>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By-Laws, as amended.</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0"/>
              </w:rPr>
              <w:t>Indenture, dated as of October 21, 2011, relating to 1.875% Convertible Senior Notes due October 1, 2016, between</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the Registrant and Wells Fargo Bank, National Association, as Trustee. (Incorporated by reference from the Form</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8-K for the Registrant filed October 24, 2011.)</w:t>
            </w:r>
          </w:p>
        </w:tc>
      </w:tr>
      <w:tr>
        <w:trPr>
          <w:trHeight w:val="229"/>
        </w:trPr>
        <w:tc>
          <w:tcPr>
            <w:tcW w:w="860" w:type="dxa"/>
            <w:vAlign w:val="bottom"/>
            <w:gridSpan w:val="2"/>
          </w:tcPr>
          <w:p>
            <w:pPr>
              <w:ind w:left="3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3"/>
              </w:rPr>
              <w:t>Form of 1.875% Convertible Senior Note due October 1, 2016. (Incorporated by reference from the Form 8-K for</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the Registrant filed October 24, 2011.)</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10.1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0"/>
              </w:rPr>
              <w:t>Regeneron Pharmaceuticals, Inc. Second Amended and Restated 2000 Long-Term Incentive Plan. (Incorporated by</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reference from the Registration Statement on Form S-8 for the Registrant, filed June 13, 2011.)</w:t>
            </w:r>
          </w:p>
        </w:tc>
      </w:tr>
      <w:tr>
        <w:trPr>
          <w:trHeight w:val="229"/>
        </w:trPr>
        <w:tc>
          <w:tcPr>
            <w:tcW w:w="940" w:type="dxa"/>
            <w:vAlign w:val="bottom"/>
            <w:gridSpan w:val="3"/>
          </w:tcPr>
          <w:p>
            <w:pPr>
              <w:ind w:left="300"/>
              <w:spacing w:after="0"/>
              <w:rPr>
                <w:sz w:val="20"/>
                <w:szCs w:val="20"/>
                <w:color w:val="auto"/>
              </w:rPr>
            </w:pPr>
            <w:r>
              <w:rPr>
                <w:rFonts w:ascii="Arial" w:cs="Arial" w:eastAsia="Arial" w:hAnsi="Arial"/>
                <w:sz w:val="18"/>
                <w:szCs w:val="18"/>
                <w:color w:val="auto"/>
                <w:w w:val="94"/>
              </w:rPr>
              <w:t>10.1.1 +</w:t>
            </w:r>
          </w:p>
        </w:tc>
        <w:tc>
          <w:tcPr>
            <w:tcW w:w="280" w:type="dxa"/>
            <w:vAlign w:val="bottom"/>
          </w:tcPr>
          <w:p>
            <w:pPr>
              <w:spacing w:after="0"/>
              <w:rPr>
                <w:sz w:val="19"/>
                <w:szCs w:val="19"/>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9"/>
              </w:rPr>
              <w:t>Form of option agreement and related notice of grant for use in connection with the grant of options to the</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5"/>
              </w:rPr>
              <w:t>Registrant's non-employee directors and named executive officers under the Regeneron Pharmaceuticals, Inc.</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1"/>
              </w:rPr>
              <w:t>Second Amended and Restated 2000 Long-Term Incentive Plan. (Incorporated by reference from the Form 8-K for</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the Registrant, filed December 16, 2005.)</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10.1.2 +</w:t>
            </w: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9"/>
              </w:rPr>
              <w:t>Form of option agreement and related notice of grant for use in connection with the grant of options to the</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1"/>
              </w:rPr>
              <w:t>Registrant's executive officers other than the named executive officers under the Regeneron Pharmaceuticals, Inc.</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1"/>
              </w:rPr>
              <w:t>Second Amended and Restated 2000 Long-Term Incentive Plan. (Incorporated by reference from the Form 8-K for</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the Registrant, filed December 16, 2005.)</w:t>
            </w:r>
          </w:p>
        </w:tc>
      </w:tr>
      <w:tr>
        <w:trPr>
          <w:trHeight w:val="229"/>
        </w:trPr>
        <w:tc>
          <w:tcPr>
            <w:tcW w:w="940" w:type="dxa"/>
            <w:vAlign w:val="bottom"/>
            <w:gridSpan w:val="3"/>
          </w:tcPr>
          <w:p>
            <w:pPr>
              <w:ind w:left="300"/>
              <w:spacing w:after="0"/>
              <w:rPr>
                <w:sz w:val="20"/>
                <w:szCs w:val="20"/>
                <w:color w:val="auto"/>
              </w:rPr>
            </w:pPr>
            <w:r>
              <w:rPr>
                <w:rFonts w:ascii="Arial" w:cs="Arial" w:eastAsia="Arial" w:hAnsi="Arial"/>
                <w:sz w:val="18"/>
                <w:szCs w:val="18"/>
                <w:color w:val="auto"/>
                <w:w w:val="94"/>
              </w:rPr>
              <w:t>10.1.3 +</w:t>
            </w:r>
          </w:p>
        </w:tc>
        <w:tc>
          <w:tcPr>
            <w:tcW w:w="280" w:type="dxa"/>
            <w:vAlign w:val="bottom"/>
          </w:tcPr>
          <w:p>
            <w:pPr>
              <w:spacing w:after="0"/>
              <w:rPr>
                <w:sz w:val="19"/>
                <w:szCs w:val="19"/>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3"/>
              </w:rPr>
              <w:t>restricted stock awards to the Registrant's executive officers under the Regeneron Pharmaceuticals, Inc. Second</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5"/>
              </w:rPr>
              <w:t>Amended and Restated 2000 Long-Term Incentive Plan. (Incorporated by reference from the Form 8-K for the</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Registrant, filed December 13, 2004.)</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10.1.5 +</w:t>
            </w: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time based vesting</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stock  options  to  the  Registrant's  non-employee  directors  and  executive  officers  under  the  Regeneron</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1"/>
              </w:rPr>
              <w:t>Pharmaceuticals, Inc. Second Amended and Restated 2000 Long-Term Incentive Plan. (Incorporated by reference</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from the Form 10-Q for the Registrant, for the quarter ended March 31, 2009, filed April 30, 2009.)</w:t>
            </w:r>
          </w:p>
        </w:tc>
      </w:tr>
      <w:tr>
        <w:trPr>
          <w:trHeight w:val="229"/>
        </w:trPr>
        <w:tc>
          <w:tcPr>
            <w:tcW w:w="940" w:type="dxa"/>
            <w:vAlign w:val="bottom"/>
            <w:gridSpan w:val="3"/>
          </w:tcPr>
          <w:p>
            <w:pPr>
              <w:ind w:left="300"/>
              <w:spacing w:after="0"/>
              <w:rPr>
                <w:sz w:val="20"/>
                <w:szCs w:val="20"/>
                <w:color w:val="auto"/>
              </w:rPr>
            </w:pPr>
            <w:r>
              <w:rPr>
                <w:rFonts w:ascii="Arial" w:cs="Arial" w:eastAsia="Arial" w:hAnsi="Arial"/>
                <w:sz w:val="18"/>
                <w:szCs w:val="18"/>
                <w:color w:val="auto"/>
                <w:w w:val="94"/>
              </w:rPr>
              <w:t>10.1.6 +</w:t>
            </w:r>
          </w:p>
        </w:tc>
        <w:tc>
          <w:tcPr>
            <w:tcW w:w="280" w:type="dxa"/>
            <w:vAlign w:val="bottom"/>
          </w:tcPr>
          <w:p>
            <w:pPr>
              <w:spacing w:after="0"/>
              <w:rPr>
                <w:sz w:val="19"/>
                <w:szCs w:val="19"/>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5"/>
              </w:rPr>
              <w:t>vesting stock options to the Registrant's executive officers under the Regeneron Pharmaceuticals, Inc. Second</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4"/>
              </w:rPr>
              <w:t>Amended and Restated 2000 Long-Term Incentive Plan. (Incorporated by reference from the Form 10-Q for the</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Registrant, for the quarter ended March 31, 2009, filed April 30, 2009.)</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10.1.7 +</w:t>
            </w: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restricted stock awards to the Registrant's executive officers under the Regeneron Pharmaceuticals, Inc. Second</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Amended and Restated 2000 Long-Term Incentive Plan (revised). (Incorporated by reference from the Form 10-K</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 the Registrant, for the year ended December 31, 2010, filed February 17, 2011.)</w:t>
            </w:r>
          </w:p>
        </w:tc>
      </w:tr>
      <w:tr>
        <w:trPr>
          <w:trHeight w:val="229"/>
        </w:trPr>
        <w:tc>
          <w:tcPr>
            <w:tcW w:w="940" w:type="dxa"/>
            <w:vAlign w:val="bottom"/>
            <w:gridSpan w:val="3"/>
          </w:tcPr>
          <w:p>
            <w:pPr>
              <w:ind w:left="300"/>
              <w:spacing w:after="0"/>
              <w:rPr>
                <w:sz w:val="20"/>
                <w:szCs w:val="20"/>
                <w:color w:val="auto"/>
              </w:rPr>
            </w:pPr>
            <w:r>
              <w:rPr>
                <w:rFonts w:ascii="Arial" w:cs="Arial" w:eastAsia="Arial" w:hAnsi="Arial"/>
                <w:sz w:val="18"/>
                <w:szCs w:val="18"/>
                <w:color w:val="auto"/>
                <w:w w:val="94"/>
              </w:rPr>
              <w:t>10.1.8 +</w:t>
            </w:r>
          </w:p>
        </w:tc>
        <w:tc>
          <w:tcPr>
            <w:tcW w:w="280" w:type="dxa"/>
            <w:vAlign w:val="bottom"/>
          </w:tcPr>
          <w:p>
            <w:pPr>
              <w:spacing w:after="0"/>
              <w:rPr>
                <w:sz w:val="19"/>
                <w:szCs w:val="19"/>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performance based</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5"/>
              </w:rPr>
              <w:t>vesting stock options to the Registrant's executive officers under the Regeneron Pharmaceuticals, Inc. Second</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2"/>
              </w:rPr>
              <w:t>Amended and Restated 2000 Long-Term Incentive Plan (revised). (Incorporated by reference from the Form 10-K</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for the Registrant, for the year ended December 31, 2010, filed February 17, 2011.)</w:t>
            </w:r>
          </w:p>
        </w:tc>
      </w:tr>
      <w:tr>
        <w:trPr>
          <w:trHeight w:val="27"/>
        </w:trPr>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29"/>
        </w:trPr>
        <w:tc>
          <w:tcPr>
            <w:tcW w:w="300" w:type="dxa"/>
            <w:vAlign w:val="bottom"/>
            <w:tcBorders>
              <w:right w:val="single" w:sz="8" w:color="CCEEFF"/>
            </w:tcBorders>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10.1.9 +</w:t>
            </w:r>
          </w:p>
        </w:tc>
        <w:tc>
          <w:tcPr>
            <w:tcW w:w="280" w:type="dxa"/>
            <w:vAlign w:val="bottom"/>
            <w:shd w:val="clear" w:color="auto" w:fill="CCEEFF"/>
          </w:tcPr>
          <w:p>
            <w:pPr>
              <w:spacing w:after="0"/>
              <w:rPr>
                <w:sz w:val="19"/>
                <w:szCs w:val="19"/>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Form of option agreement and related notice of grant for use in connection with the grant of time based vesting</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stock options to the Registrant's non-employee directors under the Regeneron Pharmaceuticals, Inc. Second</w:t>
            </w:r>
          </w:p>
        </w:tc>
      </w:tr>
      <w:tr>
        <w:trPr>
          <w:trHeight w:val="216"/>
        </w:trPr>
        <w:tc>
          <w:tcPr>
            <w:tcW w:w="300" w:type="dxa"/>
            <w:vAlign w:val="bottom"/>
            <w:tcBorders>
              <w:right w:val="single" w:sz="8" w:color="CCEEFF"/>
            </w:tcBorders>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Amended and Restated 2000 Long-Term Incentive Plan (revised). (Incorporated by reference from the Form 10-K</w:t>
            </w:r>
          </w:p>
        </w:tc>
      </w:tr>
      <w:tr>
        <w:trPr>
          <w:trHeight w:val="237"/>
        </w:trPr>
        <w:tc>
          <w:tcPr>
            <w:tcW w:w="300" w:type="dxa"/>
            <w:vAlign w:val="bottom"/>
            <w:tcBorders>
              <w:right w:val="single" w:sz="8" w:color="CCEEFF"/>
            </w:tcBorders>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for the Registrant, for the year ended December 31, 2011, filed February 21, 2012.)</w:t>
            </w:r>
          </w:p>
        </w:tc>
      </w:tr>
      <w:tr>
        <w:trPr>
          <w:trHeight w:val="229"/>
        </w:trPr>
        <w:tc>
          <w:tcPr>
            <w:tcW w:w="1220" w:type="dxa"/>
            <w:vAlign w:val="bottom"/>
            <w:gridSpan w:val="4"/>
          </w:tcPr>
          <w:p>
            <w:pPr>
              <w:ind w:left="300"/>
              <w:spacing w:after="0"/>
              <w:rPr>
                <w:sz w:val="20"/>
                <w:szCs w:val="20"/>
                <w:color w:val="auto"/>
              </w:rPr>
            </w:pPr>
            <w:r>
              <w:rPr>
                <w:rFonts w:ascii="Arial" w:cs="Arial" w:eastAsia="Arial" w:hAnsi="Arial"/>
                <w:sz w:val="18"/>
                <w:szCs w:val="18"/>
                <w:color w:val="auto"/>
              </w:rPr>
              <w:t>10.1.10 +</w:t>
            </w: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6"/>
              </w:rPr>
              <w:t>Amendment No. 1 to the Regeneron Pharmaceuticals, Inc. Second Amended and Restated 2000 Long-Term</w:t>
            </w:r>
          </w:p>
        </w:tc>
      </w:tr>
      <w:tr>
        <w:trPr>
          <w:trHeight w:val="216"/>
        </w:trPr>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w w:val="91"/>
              </w:rPr>
              <w:t>Incentive Plan. (Incorporated by reference from the Form 10-K for the Registrant, for the year ended December 31,</w:t>
            </w:r>
          </w:p>
        </w:tc>
      </w:tr>
      <w:tr>
        <w:trPr>
          <w:trHeight w:val="230"/>
        </w:trPr>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20" w:type="dxa"/>
            <w:vAlign w:val="bottom"/>
            <w:gridSpan w:val="3"/>
          </w:tcPr>
          <w:p>
            <w:pPr>
              <w:ind w:left="240"/>
              <w:spacing w:after="0"/>
              <w:rPr>
                <w:sz w:val="20"/>
                <w:szCs w:val="20"/>
                <w:color w:val="auto"/>
              </w:rPr>
            </w:pPr>
            <w:r>
              <w:rPr>
                <w:rFonts w:ascii="Arial" w:cs="Arial" w:eastAsia="Arial" w:hAnsi="Arial"/>
                <w:sz w:val="18"/>
                <w:szCs w:val="18"/>
                <w:color w:val="auto"/>
              </w:rPr>
              <w:t>2013, filed February 13, 2014.)</w:t>
            </w: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130" w:right="23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1"/>
              </w:rPr>
              <w:t>Regeneron Pharmaceuticals, Inc. 2014 Long-Term Incentive Plan. (Incorporated by reference from the Registration</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Statement on Form S-8 for the Registrant, filed June 16, 2014.)</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10.2.1 +</w:t>
            </w: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non-qualified</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stock options to the Registrant's executive officers under the Regeneron Pharmaceuticals, Inc. 2014 Long-Term</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Incentive Plan. (Incorporated by reference from the Form 8-K for the Registrant, filed June 18, 2014.)</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10.2.2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Form of stock option agreement and related notice of grant for use in connection with the grant of incentive stock</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options to the Registrant's executive officers under the Regeneron Pharmaceuticals, Inc. 2014 Long-Term Incentive</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Plan. (Incorporated by reference from the Form 8-K for the Registrant, filed June 18, 2014.)</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10.2.3 +</w:t>
            </w:r>
          </w:p>
        </w:tc>
        <w:tc>
          <w:tcPr>
            <w:tcW w:w="8620" w:type="dxa"/>
            <w:vAlign w:val="bottom"/>
          </w:tcPr>
          <w:p>
            <w:pPr>
              <w:ind w:left="24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0"/>
              </w:rPr>
              <w:t>restricted stock awards to the Registrant's executive officers under the Regeneron Pharmaceuticals, Inc. 2014 Long-</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8"/>
              </w:rPr>
              <w:t>Term Incentive Plan. (Incorporated by reference from the Form 8-K for the Registrant, filed June 18, 2014.)</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10.2.4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non-qualified</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stock options to the Registrant's non-employee directors under the Regeneron Pharmaceuticals, Inc. 2014 Long-</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8"/>
              </w:rPr>
              <w:t>Term Incentive Plan. (Incorporated by reference from the Form 8-K for the Registrant, filed June 18, 2014.)</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10.2.5 +</w:t>
            </w: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non-qualified</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1"/>
              </w:rPr>
              <w:t>stock options to P. Roy Vagelos, M.D. under the Regeneron Pharmaceuticals, Inc. 2014 Long-Term Incentive Plan.</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10.2.6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Form of stock option agreement and related notice of grant for use in connection with the grant of incentive stock</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6"/>
              </w:rPr>
              <w:t>options to P. Roy Vagelos, M.D. under the Regeneron Pharmaceuticals, Inc. 2014 Long-Term Incentive Plan.</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10.2.7 +</w:t>
            </w: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non-qualified</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stock options to the Registrant's executive officers under the Regeneron Pharmaceuticals, Inc. 2014 Long-Term</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6"/>
              </w:rPr>
              <w:t>Incentive Plan (revised). (Incorporated by reference from the Form 8-K for the Registrant, filed November 19,</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2015.)</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10.2.8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Form of stock option agreement and related notice of grant for use in connection with the grant of incentive stock</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options to the Registrant's executive officers under the Regeneron Pharmaceuticals, Inc. 2014 Long-Term Incentive</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Plan (revised). (Incorporated by reference from the Form 8-K for the Registrant, filed November 19, 2015.)</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10.2.9 +</w:t>
            </w:r>
          </w:p>
        </w:tc>
        <w:tc>
          <w:tcPr>
            <w:tcW w:w="8620" w:type="dxa"/>
            <w:vAlign w:val="bottom"/>
          </w:tcPr>
          <w:p>
            <w:pPr>
              <w:ind w:left="240"/>
              <w:spacing w:after="0"/>
              <w:rPr>
                <w:sz w:val="20"/>
                <w:szCs w:val="20"/>
                <w:color w:val="auto"/>
              </w:rPr>
            </w:pPr>
            <w:r>
              <w:rPr>
                <w:rFonts w:ascii="Arial" w:cs="Arial" w:eastAsia="Arial" w:hAnsi="Arial"/>
                <w:sz w:val="18"/>
                <w:szCs w:val="18"/>
                <w:color w:val="auto"/>
                <w:w w:val="98"/>
              </w:rPr>
              <w:t>Form of restricted stock award agreement and related notice of grant for use in connection with the grant of</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0"/>
              </w:rPr>
              <w:t>restricted stock awards to the Registrant's executive officers under the Regeneron Pharmaceuticals, Inc. 2014 Long-</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Term Incentive Plan (revised). (Incorporated by reference from the Form 8-K for the Registrant, filed November</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19, 2015.)</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10.2.10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Form of stock option agreement and related notice of grant for use in connection with the grant of non-qualified</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stock options to the Registrant's non-employee directors under the Regeneron Pharmaceuticals, Inc. 2014 Long-</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Term Incentive Plan (revised).</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10.3 +</w:t>
            </w:r>
          </w:p>
        </w:tc>
        <w:tc>
          <w:tcPr>
            <w:tcW w:w="8620" w:type="dxa"/>
            <w:vAlign w:val="bottom"/>
          </w:tcPr>
          <w:p>
            <w:pPr>
              <w:ind w:left="240"/>
              <w:spacing w:after="0"/>
              <w:rPr>
                <w:sz w:val="20"/>
                <w:szCs w:val="20"/>
                <w:color w:val="auto"/>
              </w:rPr>
            </w:pPr>
            <w:r>
              <w:rPr>
                <w:rFonts w:ascii="Arial" w:cs="Arial" w:eastAsia="Arial" w:hAnsi="Arial"/>
                <w:sz w:val="18"/>
                <w:szCs w:val="18"/>
                <w:color w:val="auto"/>
                <w:w w:val="95"/>
              </w:rPr>
              <w:t>Amended and Restated Employment Agreement, dated as of November 14, 2008, between the Registrant and</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Leonard S. Schleifer, M.D., Ph.D. (Incorporated by reference from the Form 10-K for the Registrant, for the year</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ended December 31, 2008, filed February 26, 2009.)</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10.4*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Employment Agreement, dated as of December 31, 1998, between the Registrant and P. Roy Vagelos, M.D.</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(Incorporated by reference from the Form 10-K for the Registrant, for the year ended December 31, 2004, filed</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March 11, 2005.)</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10.5 +</w:t>
            </w:r>
          </w:p>
        </w:tc>
        <w:tc>
          <w:tcPr>
            <w:tcW w:w="8620" w:type="dxa"/>
            <w:vAlign w:val="bottom"/>
          </w:tcPr>
          <w:p>
            <w:pPr>
              <w:ind w:left="240"/>
              <w:spacing w:after="0"/>
              <w:rPr>
                <w:sz w:val="20"/>
                <w:szCs w:val="20"/>
                <w:color w:val="auto"/>
              </w:rPr>
            </w:pPr>
            <w:r>
              <w:rPr>
                <w:rFonts w:ascii="Arial" w:cs="Arial" w:eastAsia="Arial" w:hAnsi="Arial"/>
                <w:sz w:val="18"/>
                <w:szCs w:val="18"/>
                <w:color w:val="auto"/>
                <w:w w:val="94"/>
              </w:rPr>
              <w:t>Offer Letter for Robert E. Landry effective September 9, 2013. (Incorporated by reference from the Form 8-K for</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the Registrant, filed September 12, 2013.)</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10.6 +</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Regeneron Pharmaceuticals, Inc. Change in Control Severance Plan, amended and restated effective as of</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November 14, 2008. (Incorporated by reference from the Form 10-K for the Registrant, for the year ended</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December 31, 2008, filed February 26, 2009.)</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10.7 +</w:t>
            </w:r>
          </w:p>
        </w:tc>
        <w:tc>
          <w:tcPr>
            <w:tcW w:w="8620" w:type="dxa"/>
            <w:vAlign w:val="bottom"/>
          </w:tcPr>
          <w:p>
            <w:pPr>
              <w:ind w:left="240"/>
              <w:spacing w:after="0"/>
              <w:rPr>
                <w:sz w:val="20"/>
                <w:szCs w:val="20"/>
                <w:color w:val="auto"/>
              </w:rPr>
            </w:pPr>
            <w:r>
              <w:rPr>
                <w:rFonts w:ascii="Arial" w:cs="Arial" w:eastAsia="Arial" w:hAnsi="Arial"/>
                <w:sz w:val="18"/>
                <w:szCs w:val="18"/>
                <w:color w:val="auto"/>
                <w:w w:val="91"/>
              </w:rPr>
              <w:t>Regeneron Pharmaceuticals, Inc. Cash Incentive Bonus Plan. (Incorporated by reference from the Form 8-K for the</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Registrant, filed June 17, 2015.)</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10.8*</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IL-1  Antibody  Termination  Agreement  by  and  between  Novartis  Pharma  AG,  Novartis  Pharmaceuticals</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Corporation and the Registrant, dated as of June 8, 2009. (Incorporated by reference from the Form 10-Q for the</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8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Registrant, for the quarter ended June 30, 2009, filed August 4, 2009.)</w:t>
            </w:r>
          </w:p>
        </w:tc>
      </w:tr>
      <w:tr>
        <w:trPr>
          <w:trHeight w:val="229"/>
        </w:trPr>
        <w:tc>
          <w:tcPr>
            <w:tcW w:w="960" w:type="dxa"/>
            <w:vAlign w:val="bottom"/>
          </w:tcPr>
          <w:p>
            <w:pPr>
              <w:ind w:left="40"/>
              <w:spacing w:after="0"/>
              <w:rPr>
                <w:sz w:val="20"/>
                <w:szCs w:val="20"/>
                <w:color w:val="auto"/>
              </w:rPr>
            </w:pPr>
            <w:r>
              <w:rPr>
                <w:rFonts w:ascii="Arial" w:cs="Arial" w:eastAsia="Arial" w:hAnsi="Arial"/>
                <w:sz w:val="18"/>
                <w:szCs w:val="18"/>
                <w:color w:val="auto"/>
              </w:rPr>
              <w:t>10.9*</w:t>
            </w:r>
          </w:p>
        </w:tc>
        <w:tc>
          <w:tcPr>
            <w:tcW w:w="8620" w:type="dxa"/>
            <w:vAlign w:val="bottom"/>
          </w:tcPr>
          <w:p>
            <w:pPr>
              <w:ind w:left="240"/>
              <w:spacing w:after="0"/>
              <w:rPr>
                <w:sz w:val="20"/>
                <w:szCs w:val="20"/>
                <w:color w:val="auto"/>
              </w:rPr>
            </w:pPr>
            <w:r>
              <w:rPr>
                <w:rFonts w:ascii="Arial" w:cs="Arial" w:eastAsia="Arial" w:hAnsi="Arial"/>
                <w:sz w:val="18"/>
                <w:szCs w:val="18"/>
                <w:color w:val="auto"/>
                <w:w w:val="93"/>
              </w:rPr>
              <w:t>Trap-2 Termination Agreement by and between Novartis Pharma AG, Novartis Pharmaceuticals Corporation and</w:t>
            </w:r>
          </w:p>
        </w:tc>
      </w:tr>
      <w:tr>
        <w:trPr>
          <w:trHeight w:val="216"/>
        </w:trPr>
        <w:tc>
          <w:tcPr>
            <w:tcW w:w="960" w:type="dxa"/>
            <w:vAlign w:val="bottom"/>
          </w:tcPr>
          <w:p>
            <w:pPr>
              <w:spacing w:after="0"/>
              <w:rPr>
                <w:sz w:val="18"/>
                <w:szCs w:val="18"/>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w w:val="91"/>
              </w:rPr>
              <w:t>the Registrant, dated as of June 8, 2009. (Incorporated by reference from the Form 10-Q for the Registrant, for the</w:t>
            </w:r>
          </w:p>
        </w:tc>
      </w:tr>
      <w:tr>
        <w:trPr>
          <w:trHeight w:val="230"/>
        </w:trPr>
        <w:tc>
          <w:tcPr>
            <w:tcW w:w="960" w:type="dxa"/>
            <w:vAlign w:val="bottom"/>
          </w:tcPr>
          <w:p>
            <w:pPr>
              <w:spacing w:after="0"/>
              <w:rPr>
                <w:sz w:val="20"/>
                <w:szCs w:val="20"/>
                <w:color w:val="auto"/>
              </w:rPr>
            </w:pPr>
          </w:p>
        </w:tc>
        <w:tc>
          <w:tcPr>
            <w:tcW w:w="8620" w:type="dxa"/>
            <w:vAlign w:val="bottom"/>
          </w:tcPr>
          <w:p>
            <w:pPr>
              <w:ind w:left="240"/>
              <w:spacing w:after="0"/>
              <w:rPr>
                <w:sz w:val="20"/>
                <w:szCs w:val="20"/>
                <w:color w:val="auto"/>
              </w:rPr>
            </w:pPr>
            <w:r>
              <w:rPr>
                <w:rFonts w:ascii="Arial" w:cs="Arial" w:eastAsia="Arial" w:hAnsi="Arial"/>
                <w:sz w:val="18"/>
                <w:szCs w:val="18"/>
                <w:color w:val="auto"/>
              </w:rPr>
              <w:t>quarter ended June 30, 2009, filed August 4, 2009.)</w:t>
            </w:r>
          </w:p>
        </w:tc>
      </w:tr>
      <w:tr>
        <w:trPr>
          <w:trHeight w:val="27"/>
        </w:trPr>
        <w:tc>
          <w:tcPr>
            <w:tcW w:w="960" w:type="dxa"/>
            <w:vAlign w:val="bottom"/>
          </w:tcPr>
          <w:p>
            <w:pPr>
              <w:spacing w:after="0"/>
              <w:rPr>
                <w:sz w:val="2"/>
                <w:szCs w:val="2"/>
                <w:color w:val="auto"/>
              </w:rPr>
            </w:pPr>
          </w:p>
        </w:tc>
        <w:tc>
          <w:tcPr>
            <w:tcW w:w="8620" w:type="dxa"/>
            <w:vAlign w:val="bottom"/>
          </w:tcPr>
          <w:p>
            <w:pPr>
              <w:spacing w:after="0"/>
              <w:rPr>
                <w:sz w:val="2"/>
                <w:szCs w:val="2"/>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10.10*</w:t>
            </w: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2"/>
              </w:rPr>
              <w:t>Amended and Restated Collaboration Agreement, dated as of February 23, 2015, by and between Sanofi-Aventis</w:t>
            </w:r>
          </w:p>
        </w:tc>
      </w:tr>
      <w:tr>
        <w:trPr>
          <w:trHeight w:val="216"/>
        </w:trPr>
        <w:tc>
          <w:tcPr>
            <w:tcW w:w="960" w:type="dxa"/>
            <w:vAlign w:val="bottom"/>
            <w:shd w:val="clear" w:color="auto" w:fill="CCEEFF"/>
          </w:tcPr>
          <w:p>
            <w:pPr>
              <w:spacing w:after="0"/>
              <w:rPr>
                <w:sz w:val="18"/>
                <w:szCs w:val="18"/>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US LLC and the Registrant. (Incorporated by reference from the Form 10-Q for the Registrant, for the quarter</w:t>
            </w:r>
          </w:p>
        </w:tc>
      </w:tr>
      <w:tr>
        <w:trPr>
          <w:trHeight w:val="230"/>
        </w:trPr>
        <w:tc>
          <w:tcPr>
            <w:tcW w:w="960" w:type="dxa"/>
            <w:vAlign w:val="bottom"/>
            <w:shd w:val="clear" w:color="auto" w:fill="CCEEFF"/>
          </w:tcPr>
          <w:p>
            <w:pPr>
              <w:spacing w:after="0"/>
              <w:rPr>
                <w:sz w:val="20"/>
                <w:szCs w:val="20"/>
                <w:color w:val="auto"/>
              </w:rPr>
            </w:pPr>
          </w:p>
        </w:tc>
        <w:tc>
          <w:tcPr>
            <w:tcW w:w="8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ended March 31, 2015, filed May 7, 2015.)</w:t>
            </w:r>
          </w:p>
        </w:tc>
      </w:tr>
      <w:tr>
        <w:trPr>
          <w:trHeight w:val="27"/>
        </w:trPr>
        <w:tc>
          <w:tcPr>
            <w:tcW w:w="96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00"/>
          </w:cols>
          <w:pgMar w:left="240" w:top="130" w:right="115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500"/>
          </w:cols>
          <w:pgMar w:left="240" w:top="130" w:right="115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760" w:type="dxa"/>
            <w:vAlign w:val="bottom"/>
          </w:tcPr>
          <w:p>
            <w:pPr>
              <w:spacing w:after="0"/>
              <w:rPr>
                <w:sz w:val="16"/>
                <w:szCs w:val="16"/>
                <w:color w:val="auto"/>
              </w:rPr>
            </w:pPr>
          </w:p>
        </w:tc>
        <w:tc>
          <w:tcPr>
            <w:tcW w:w="8580" w:type="dxa"/>
            <w:vAlign w:val="bottom"/>
          </w:tcPr>
          <w:p>
            <w:pPr>
              <w:spacing w:after="0"/>
              <w:rPr>
                <w:sz w:val="16"/>
                <w:szCs w:val="16"/>
                <w:color w:val="auto"/>
              </w:rPr>
            </w:pPr>
          </w:p>
        </w:tc>
      </w:tr>
      <w:tr>
        <w:trPr>
          <w:trHeight w:val="614"/>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10.11*</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License and Collaboration Agreement, dated as of October 18, 2006, by and between Bayer HealthCare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the Registrant.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September 30, 2006, filed November 6, 2006.)</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10.11.1*</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Restated Amendment Agreement, dated December 30, 2014 and entered into effective as of May 7, 2012, by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between Bayer HealthCare LLC and the Registrant. (Incorporated by reference from the Form 10-K for the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Registrant, for the year ended December 31, 2014, filed February 12, 2015.)</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10.12</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License and Collaboration Agreement, dated as of January 10, 2014, by and between Bayer HealthCare LLC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0"/>
              </w:rPr>
              <w:t>the Registrant. (Incorporated by reference from the Form 10-Q for the Registrant, for the quarter ended March 31,</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2014, filed May 8, 2014.)</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Lease, dated as of December 21, 2006, by and between BMR-Landmark at Eastview LLC and the Registrant.</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(Incorporated by reference from the Form 8-K for the Registrant, filed December 22, 2006.)</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10.13.1*</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First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2"/>
              </w:rPr>
              <w:t>of September 14, 2007.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September 30, 2007, filed November 7, 2007.)</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10.13.2</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Second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as of September 30, 2008. (Incorporated by reference from the Form 10-Q for the Registrant, for the quarter</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ended September 30, 2008, filed November 5, 2008.)</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10.13.3</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Third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2"/>
              </w:rPr>
              <w:t>of April 29, 2009. (Incorporated by reference from the Form 10-Q for the Registrant, for the quarter ended March</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31, 2009, filed April 30, 2009.)</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10.13.4</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Fourth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as of December 3, 2009. (Incorporated by reference from the Form 8-K for the Registrant, filed December 8,</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2009.)</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10.13.5</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Fifth Amendment to Lease, by and between BMR-Landmark at Eastview LLC and the Registrant, entered into as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2"/>
              </w:rPr>
              <w:t>of February 11, 2010. (Incorporated by reference from the Form 8-K for the Registrant, filed February 16, 2010.)</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10.13.6</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Sixth Amendment to Lease, by and between BMR-Landmark at Eastview LLC and the Registrant, entered into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of June 4, 2010. (Incorporated by reference from the Form 10-Q for the Registrant, for the quarter ended June 30,</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2010, filed July 28, 2010.)</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10.13.7</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Seventh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2"/>
              </w:rPr>
              <w:t>as of December 22, 2010. (Incorporated by reference from the Form 10-K for the Registrant, for the year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December 31, 2010, filed February 17, 2011.)</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10.13.8</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Eighth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as of August 1, 2011. (Incorporated by reference from the Form 10-Q for the Registrant for the quarter ended</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September 30, 2011, filed October 27, 2011.)</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10.13.9</w:t>
            </w:r>
          </w:p>
        </w:tc>
        <w:tc>
          <w:tcPr>
            <w:tcW w:w="8580" w:type="dxa"/>
            <w:vAlign w:val="bottom"/>
          </w:tcPr>
          <w:p>
            <w:pPr>
              <w:ind w:left="340"/>
              <w:spacing w:after="0"/>
              <w:rPr>
                <w:sz w:val="20"/>
                <w:szCs w:val="20"/>
                <w:color w:val="auto"/>
              </w:rPr>
            </w:pPr>
            <w:r>
              <w:rPr>
                <w:rFonts w:ascii="Arial" w:cs="Arial" w:eastAsia="Arial" w:hAnsi="Arial"/>
                <w:sz w:val="18"/>
                <w:szCs w:val="18"/>
                <w:color w:val="auto"/>
                <w:w w:val="93"/>
              </w:rPr>
              <w:t>Ninth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0"/>
              </w:rPr>
              <w:t>as of September 30, 2011.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September 30, 2011, filed October 27, 2011.)</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10.13.10</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as of October 25, 2012. (Incorporated by reference from the Form 10-Q for the Registrant, for the quarter ended</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June 30, 2015, filed August 4, 2015.)</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10.13.11</w:t>
            </w: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Eleventh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as of April 3, 2013. (Incorporated by reference from the Form 10-Q for the Registrant, for the quarter ended June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30, 2013, filed August 6, 2013.)</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10.13.12</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Twelfth Amendment to Lease by and between BMR-Landmark at Eastview LLC and the Registrant, entered into</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as of May 31, 2013. (Incorporated by reference from the Form 10-Q for the Registrant, for the quarter ended June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30, 2013, filed August 6, 2013.)</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10.13.13</w:t>
            </w:r>
          </w:p>
        </w:tc>
        <w:tc>
          <w:tcPr>
            <w:tcW w:w="8580" w:type="dxa"/>
            <w:vAlign w:val="bottom"/>
          </w:tcPr>
          <w:p>
            <w:pPr>
              <w:ind w:left="340"/>
              <w:spacing w:after="0"/>
              <w:rPr>
                <w:sz w:val="20"/>
                <w:szCs w:val="20"/>
                <w:color w:val="auto"/>
              </w:rPr>
            </w:pPr>
            <w:r>
              <w:rPr>
                <w:rFonts w:ascii="Arial" w:cs="Arial" w:eastAsia="Arial" w:hAnsi="Arial"/>
                <w:sz w:val="18"/>
                <w:szCs w:val="18"/>
                <w:color w:val="auto"/>
                <w:w w:val="93"/>
              </w:rPr>
              <w:t>Thirteenth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into as of May 31, 2013.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June 30, 2013, filed August 6, 2013.)</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10.13.14</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Fourteenth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into as of October 25, 2013. (Incorporated by reference from the Form 10-Q for the Registrant, for the quarter</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ended June 30, 2015, filed August 4, 2015.)</w:t>
            </w:r>
          </w:p>
        </w:tc>
      </w:tr>
      <w:tr>
        <w:trPr>
          <w:trHeight w:val="229"/>
        </w:trPr>
        <w:tc>
          <w:tcPr>
            <w:tcW w:w="1920" w:type="dxa"/>
            <w:vAlign w:val="bottom"/>
            <w:gridSpan w:val="3"/>
          </w:tcPr>
          <w:p>
            <w:pPr>
              <w:ind w:left="960"/>
              <w:spacing w:after="0"/>
              <w:rPr>
                <w:sz w:val="20"/>
                <w:szCs w:val="20"/>
                <w:color w:val="auto"/>
              </w:rPr>
            </w:pPr>
            <w:r>
              <w:rPr>
                <w:rFonts w:ascii="Arial" w:cs="Arial" w:eastAsia="Arial" w:hAnsi="Arial"/>
                <w:sz w:val="18"/>
                <w:szCs w:val="18"/>
                <w:color w:val="auto"/>
              </w:rPr>
              <w:t>10.13.15</w:t>
            </w:r>
          </w:p>
        </w:tc>
        <w:tc>
          <w:tcPr>
            <w:tcW w:w="8580" w:type="dxa"/>
            <w:vAlign w:val="bottom"/>
          </w:tcPr>
          <w:p>
            <w:pPr>
              <w:ind w:left="340"/>
              <w:spacing w:after="0"/>
              <w:rPr>
                <w:sz w:val="20"/>
                <w:szCs w:val="20"/>
                <w:color w:val="auto"/>
              </w:rPr>
            </w:pPr>
            <w:r>
              <w:rPr>
                <w:rFonts w:ascii="Arial" w:cs="Arial" w:eastAsia="Arial" w:hAnsi="Arial"/>
                <w:sz w:val="18"/>
                <w:szCs w:val="18"/>
                <w:color w:val="auto"/>
                <w:w w:val="94"/>
              </w:rPr>
              <w:t>Fifteenth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w w:val="91"/>
              </w:rPr>
              <w:t>into as of June 12, 2014.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June 30, 2015, filed August 4, 2015.)</w:t>
            </w:r>
          </w:p>
        </w:tc>
      </w:tr>
      <w:tr>
        <w:trPr>
          <w:trHeight w:val="27"/>
        </w:trPr>
        <w:tc>
          <w:tcPr>
            <w:tcW w:w="11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10.13.16</w:t>
            </w: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Sixteenth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into as of June 30, 2015.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2015, filed August 4, 2015.)</w:t>
            </w:r>
          </w:p>
        </w:tc>
      </w:tr>
      <w:tr>
        <w:trPr>
          <w:trHeight w:val="27"/>
        </w:trPr>
        <w:tc>
          <w:tcPr>
            <w:tcW w:w="9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5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500"/>
          </w:cols>
          <w:pgMar w:left="240" w:top="118" w:right="1159" w:bottom="1440" w:gutter="0" w:footer="0" w:header="0"/>
        </w:sectPr>
      </w:pPr>
    </w:p>
    <w:p>
      <w:pPr>
        <w:spacing w:after="0" w:line="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0500"/>
          </w:cols>
          <w:pgMar w:left="240" w:top="118" w:right="115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680" w:type="dxa"/>
            <w:vAlign w:val="bottom"/>
          </w:tcPr>
          <w:p>
            <w:pPr>
              <w:spacing w:after="0"/>
              <w:rPr>
                <w:sz w:val="16"/>
                <w:szCs w:val="16"/>
                <w:color w:val="auto"/>
              </w:rPr>
            </w:pPr>
          </w:p>
        </w:tc>
        <w:tc>
          <w:tcPr>
            <w:tcW w:w="8660" w:type="dxa"/>
            <w:vAlign w:val="bottom"/>
          </w:tcPr>
          <w:p>
            <w:pPr>
              <w:spacing w:after="0"/>
              <w:rPr>
                <w:sz w:val="16"/>
                <w:szCs w:val="16"/>
                <w:color w:val="auto"/>
              </w:rPr>
            </w:pPr>
          </w:p>
        </w:tc>
      </w:tr>
      <w:tr>
        <w:trPr>
          <w:trHeight w:val="614"/>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10.13.17</w:t>
            </w:r>
          </w:p>
        </w:tc>
        <w:tc>
          <w:tcPr>
            <w:tcW w:w="8660" w:type="dxa"/>
            <w:vAlign w:val="bottom"/>
          </w:tcPr>
          <w:p>
            <w:pPr>
              <w:ind w:left="280"/>
              <w:spacing w:after="0"/>
              <w:rPr>
                <w:sz w:val="20"/>
                <w:szCs w:val="20"/>
                <w:color w:val="auto"/>
              </w:rPr>
            </w:pPr>
            <w:r>
              <w:rPr>
                <w:rFonts w:ascii="Arial" w:cs="Arial" w:eastAsia="Arial" w:hAnsi="Arial"/>
                <w:sz w:val="18"/>
                <w:szCs w:val="18"/>
                <w:color w:val="auto"/>
                <w:w w:val="92"/>
              </w:rPr>
              <w:t>Seventeenth Amendment to Lease, by and between BMR-Landmark at Eastview LLC and the Registrant, entered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1"/>
              </w:rPr>
              <w:t>into as of August 10, 2015. (Incorporated by reference from the Form 10-Q for the Registrant, for the quarter ended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September 30, 2015, filed November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10.14</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Mt. Pleasant Lease by and between BMR-Landmark at Eastview LLC and the Registrant, dated April 3, 2013.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(Incorporated by reference from the Form 10-Q for the Registrant, for the quarter ended June 30, 2013, filed</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August 6, 2013.)</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10.14.1</w:t>
            </w:r>
          </w:p>
        </w:tc>
        <w:tc>
          <w:tcPr>
            <w:tcW w:w="8660" w:type="dxa"/>
            <w:vAlign w:val="bottom"/>
          </w:tcPr>
          <w:p>
            <w:pPr>
              <w:ind w:left="280"/>
              <w:spacing w:after="0"/>
              <w:rPr>
                <w:sz w:val="20"/>
                <w:szCs w:val="20"/>
                <w:color w:val="auto"/>
              </w:rPr>
            </w:pPr>
            <w:r>
              <w:rPr>
                <w:rFonts w:ascii="Arial" w:cs="Arial" w:eastAsia="Arial" w:hAnsi="Arial"/>
                <w:sz w:val="18"/>
                <w:szCs w:val="18"/>
                <w:color w:val="auto"/>
                <w:w w:val="95"/>
              </w:rPr>
              <w:t>First Amendment to Mt. Pleasant Lease, by and between BMR-Landmark at Eastview LLC and the Registrant,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1"/>
              </w:rPr>
              <w:t>entered into as of June 30, 2015. (Incorporated by reference from the Form 10-Q for the Registrant, for the quarter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ended June 30, 2015, filed August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10.15*</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Non Exclusive License and Material Transfer Agreement, dated as of March 30, 2007, by and between Astellas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Pharma Inc. and the Registrant. (Incorporated by reference from the Form 10-Q for the Registrant, for the quarter</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ended March 31, 2007, filed May 4, 2007.)</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10.15.1*</w:t>
            </w:r>
          </w:p>
        </w:tc>
        <w:tc>
          <w:tcPr>
            <w:tcW w:w="8660" w:type="dxa"/>
            <w:vAlign w:val="bottom"/>
          </w:tcPr>
          <w:p>
            <w:pPr>
              <w:ind w:left="280"/>
              <w:spacing w:after="0"/>
              <w:rPr>
                <w:sz w:val="20"/>
                <w:szCs w:val="20"/>
                <w:color w:val="auto"/>
              </w:rPr>
            </w:pPr>
            <w:r>
              <w:rPr>
                <w:rFonts w:ascii="Arial" w:cs="Arial" w:eastAsia="Arial" w:hAnsi="Arial"/>
                <w:sz w:val="18"/>
                <w:szCs w:val="18"/>
                <w:color w:val="auto"/>
                <w:w w:val="93"/>
              </w:rPr>
              <w:t>Amendment to the Non Exclusive License and Material Transfer Agreement, dated as of March 30, 2007 by and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3"/>
              </w:rPr>
              <w:t>between Astellas Pharma Inc. and the Registrant, dated as of July 28, 2010. (Incorporated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Form 10-Q for the Registrant, for the quarter ended September 30, 2010, filed October 28, 2010.)</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10.16*</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Amended and Restated Discovery and Preclinical Development Agreement, dated as of November 10, 2009, by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between Aventis Pharmaceuticals Inc. and the Registrant. (Incorporated by reference from the Form 10-K/A for the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Registrant, for the year ended December 31, 2009, filed June 2, 2010.)</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10.16.1*</w:t>
            </w:r>
          </w:p>
        </w:tc>
        <w:tc>
          <w:tcPr>
            <w:tcW w:w="8660" w:type="dxa"/>
            <w:vAlign w:val="bottom"/>
          </w:tcPr>
          <w:p>
            <w:pPr>
              <w:ind w:left="280"/>
              <w:spacing w:after="0"/>
              <w:rPr>
                <w:sz w:val="20"/>
                <w:szCs w:val="20"/>
                <w:color w:val="auto"/>
              </w:rPr>
            </w:pPr>
            <w:r>
              <w:rPr>
                <w:rFonts w:ascii="Arial" w:cs="Arial" w:eastAsia="Arial" w:hAnsi="Arial"/>
                <w:sz w:val="18"/>
                <w:szCs w:val="18"/>
                <w:color w:val="auto"/>
                <w:w w:val="93"/>
              </w:rPr>
              <w:t>Amendment No. 1 to Amended and Restated Discovery and Preclinical Development Agreement, dated July 27,</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2"/>
              </w:rPr>
              <w:t>2015 and entered into effective as of July 1, 2015, by and between the Registrant and Sanofi Biotechnology SAS,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4"/>
              </w:rPr>
              <w:t>as successor-in-interest to Aventis Pharmaceuticals, Inc. (Incorporated by reference from the Form 10-Q for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Registrant, for the quarter ended September 30, 2015, filed November 4, 2015.)</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10.17*</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Amended and Restated License and Collaboration Agreement, dated as of November 10, 2009, by and among</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Aventis Pharmaceuticals Inc., sanofi-aventis Amerique du Nord, and the Registrant. (Incorporated by reference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from the Form 10-K/A for the Registrant, for the year ended December 31, 2009, filed June 2, 2010.)</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10.17.1*</w:t>
            </w:r>
          </w:p>
        </w:tc>
        <w:tc>
          <w:tcPr>
            <w:tcW w:w="8660" w:type="dxa"/>
            <w:vAlign w:val="bottom"/>
          </w:tcPr>
          <w:p>
            <w:pPr>
              <w:ind w:left="280"/>
              <w:spacing w:after="0"/>
              <w:rPr>
                <w:sz w:val="20"/>
                <w:szCs w:val="20"/>
                <w:color w:val="auto"/>
              </w:rPr>
            </w:pPr>
            <w:r>
              <w:rPr>
                <w:rFonts w:ascii="Arial" w:cs="Arial" w:eastAsia="Arial" w:hAnsi="Arial"/>
                <w:sz w:val="18"/>
                <w:szCs w:val="18"/>
                <w:color w:val="auto"/>
                <w:w w:val="92"/>
              </w:rPr>
              <w:t>First Amendment to Amended and Restated License and Collaboration Agreement by and between the Registrant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6"/>
              </w:rPr>
              <w:t>and Aventis Pharmaceuticals Inc., dated May 1, 2013. (Incorporated by reference from the Form 10-Q for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Registrant, for the quarter ended June 30, 2013, filed August 6, 2013.)</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10.17.2*</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Amendment No. 2 to Amended and Restated License and Collaboration Agreement, dated July 27, 2015 and</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entered into effective as of July 1, 2015, by and between the Registrant and Sanofi Biotechnology SAS,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successor-in-interest to Aventis Pharmaceuticals, Inc. (Incorporated by reference from the Form 10-Q for the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Registrant, for the quarter ended September 30, 2015, filed November 4, 2015.)</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10.18</w:t>
            </w:r>
          </w:p>
        </w:tc>
        <w:tc>
          <w:tcPr>
            <w:tcW w:w="8660" w:type="dxa"/>
            <w:vAlign w:val="bottom"/>
          </w:tcPr>
          <w:p>
            <w:pPr>
              <w:ind w:left="280"/>
              <w:spacing w:after="0"/>
              <w:rPr>
                <w:sz w:val="20"/>
                <w:szCs w:val="20"/>
                <w:color w:val="auto"/>
              </w:rPr>
            </w:pPr>
            <w:r>
              <w:rPr>
                <w:rFonts w:ascii="Arial" w:cs="Arial" w:eastAsia="Arial" w:hAnsi="Arial"/>
                <w:sz w:val="18"/>
                <w:szCs w:val="18"/>
                <w:color w:val="auto"/>
                <w:w w:val="90"/>
              </w:rPr>
              <w:t>Amended and Restated Investor Agreement, dated as of January 11, 2014, by and among Sanofi, sanofi-aventis US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9"/>
              </w:rPr>
              <w:t>LLC, Aventis Pharmaceuticals Inc., sanofi-aventis Amerique du Nord, and the Registrant. (Incorporated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reference from the Form 8-K for the Registrant, filed January 13, 2014.)</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10.19*</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Amended and Restated Non-Exclusive License Agreement, dated as of July 1, 2008 by and between Cellectis, S.A.</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and the Registrant. (Incorporated by reference from the Form 10-Q for the Registrant, for the quarter ended June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30, 2008, filed August 1, 2008.)</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10.20</w:t>
            </w:r>
          </w:p>
        </w:tc>
        <w:tc>
          <w:tcPr>
            <w:tcW w:w="8660" w:type="dxa"/>
            <w:vAlign w:val="bottom"/>
          </w:tcPr>
          <w:p>
            <w:pPr>
              <w:ind w:left="280"/>
              <w:spacing w:after="0"/>
              <w:rPr>
                <w:sz w:val="20"/>
                <w:szCs w:val="20"/>
                <w:color w:val="auto"/>
              </w:rPr>
            </w:pPr>
            <w:r>
              <w:rPr>
                <w:rFonts w:ascii="Arial" w:cs="Arial" w:eastAsia="Arial" w:hAnsi="Arial"/>
                <w:sz w:val="18"/>
                <w:szCs w:val="18"/>
                <w:color w:val="auto"/>
              </w:rPr>
              <w:t>Purchase Agreement, dated as of October 18, 2011, between the Registrant and Goldman, Sachs &amp; Co.</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(Incorporated by reference from the Form 8-K for the Registrant filed October 24, 2011.)</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10.21</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Master Terms and Conditions for Convertible Note Hedging Transactions, dated as of October 18, 2011, as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supplemented by a confirmation dated October 18, 2011, between Goldman, Sachs &amp; Co. and the Registrant.</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(Incorporated by reference from the Form 8-K for the Registrant filed October 24, 2011.)</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10.22</w:t>
            </w:r>
          </w:p>
        </w:tc>
        <w:tc>
          <w:tcPr>
            <w:tcW w:w="8660" w:type="dxa"/>
            <w:vAlign w:val="bottom"/>
          </w:tcPr>
          <w:p>
            <w:pPr>
              <w:ind w:left="280"/>
              <w:spacing w:after="0"/>
              <w:rPr>
                <w:sz w:val="20"/>
                <w:szCs w:val="20"/>
                <w:color w:val="auto"/>
              </w:rPr>
            </w:pPr>
            <w:r>
              <w:rPr>
                <w:rFonts w:ascii="Arial" w:cs="Arial" w:eastAsia="Arial" w:hAnsi="Arial"/>
                <w:sz w:val="18"/>
                <w:szCs w:val="18"/>
                <w:color w:val="auto"/>
                <w:w w:val="91"/>
              </w:rPr>
              <w:t>Master Terms and Conditions for Base Warrants, dated as of October 18, 2011, as supplemented by a confirmation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2"/>
              </w:rPr>
              <w:t>dated October 18, 2011, between Goldman, Sachs &amp; Co. and the Registrant. (Incorporated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Form 8-K for the Registrant filed October 24, 2011.)</w:t>
            </w:r>
          </w:p>
        </w:tc>
      </w:tr>
      <w:tr>
        <w:trPr>
          <w:trHeight w:val="27"/>
        </w:trPr>
        <w:tc>
          <w:tcPr>
            <w:tcW w:w="11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10.22.1</w:t>
            </w: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Amendment, dated as of May 15, 2014, to the Master Terms and Conditions for Warrants, between Goldman, Sachs</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&amp; Co. and the Registrant. (Incorporated by reference from the Form 10-Q for the Registrant, for the quarter ended</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30, 2014, filed August 5, 2014.)</w:t>
            </w:r>
          </w:p>
        </w:tc>
      </w:tr>
      <w:tr>
        <w:trPr>
          <w:trHeight w:val="229"/>
        </w:trPr>
        <w:tc>
          <w:tcPr>
            <w:tcW w:w="1840" w:type="dxa"/>
            <w:vAlign w:val="bottom"/>
            <w:gridSpan w:val="3"/>
          </w:tcPr>
          <w:p>
            <w:pPr>
              <w:ind w:left="960"/>
              <w:spacing w:after="0"/>
              <w:rPr>
                <w:sz w:val="20"/>
                <w:szCs w:val="20"/>
                <w:color w:val="auto"/>
              </w:rPr>
            </w:pPr>
            <w:r>
              <w:rPr>
                <w:rFonts w:ascii="Arial" w:cs="Arial" w:eastAsia="Arial" w:hAnsi="Arial"/>
                <w:sz w:val="18"/>
                <w:szCs w:val="18"/>
                <w:color w:val="auto"/>
              </w:rPr>
              <w:t>10.22.2</w:t>
            </w:r>
          </w:p>
        </w:tc>
        <w:tc>
          <w:tcPr>
            <w:tcW w:w="8660" w:type="dxa"/>
            <w:vAlign w:val="bottom"/>
          </w:tcPr>
          <w:p>
            <w:pPr>
              <w:ind w:left="280"/>
              <w:spacing w:after="0"/>
              <w:rPr>
                <w:sz w:val="20"/>
                <w:szCs w:val="20"/>
                <w:color w:val="auto"/>
              </w:rPr>
            </w:pPr>
            <w:r>
              <w:rPr>
                <w:rFonts w:ascii="Arial" w:cs="Arial" w:eastAsia="Arial" w:hAnsi="Arial"/>
                <w:sz w:val="18"/>
                <w:szCs w:val="18"/>
                <w:color w:val="auto"/>
                <w:w w:val="92"/>
              </w:rPr>
              <w:t>Second Amendment, dated as of November 25, 2014, to the Master Terms and Conditions for Warrants, between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w w:val="93"/>
              </w:rPr>
              <w:t>Goldman, Sachs &amp; Co. and the Registrant. (Incorporated by reference from the Form 10-K for the Registrant, for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60" w:type="dxa"/>
            <w:vAlign w:val="bottom"/>
          </w:tcPr>
          <w:p>
            <w:pPr>
              <w:ind w:left="280"/>
              <w:spacing w:after="0"/>
              <w:rPr>
                <w:sz w:val="20"/>
                <w:szCs w:val="20"/>
                <w:color w:val="auto"/>
              </w:rPr>
            </w:pPr>
            <w:r>
              <w:rPr>
                <w:rFonts w:ascii="Arial" w:cs="Arial" w:eastAsia="Arial" w:hAnsi="Arial"/>
                <w:sz w:val="18"/>
                <w:szCs w:val="18"/>
                <w:color w:val="auto"/>
              </w:rPr>
              <w:t>the year ended December 31, 2014, filed February 12, 2015.)</w:t>
            </w:r>
          </w:p>
        </w:tc>
      </w:tr>
      <w:tr>
        <w:trPr>
          <w:trHeight w:val="486"/>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60" w:type="dxa"/>
            <w:vAlign w:val="bottom"/>
          </w:tcPr>
          <w:p>
            <w:pPr>
              <w:ind w:left="378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0500"/>
          </w:cols>
          <w:pgMar w:left="240" w:top="117" w:right="11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93" w:lineRule="exact"/>
        <w:rPr>
          <w:sz w:val="20"/>
          <w:szCs w:val="20"/>
          <w:color w:val="auto"/>
        </w:rPr>
      </w:pPr>
    </w:p>
    <w:tbl>
      <w:tblPr>
        <w:tblLayout w:type="fixed"/>
        <w:tblInd w:w="920" w:type="dxa"/>
        <w:tblCellMar>
          <w:top w:w="0" w:type="dxa"/>
          <w:left w:w="0" w:type="dxa"/>
          <w:bottom w:w="0" w:type="dxa"/>
          <w:right w:w="0" w:type="dxa"/>
        </w:tblCellMar>
      </w:tblP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10.22.3</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Third Amendment, dated as of February 27, 2015, to the Master Terms and Conditions for Warrants, between</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Goldman, Sachs &amp; Co. and the Registrant. (Incorporated by reference from the Form 10-Q for the Registrant, for</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the quarter ended March 31, 2015, filed May 7, 2015.)</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10.23</w:t>
            </w:r>
          </w:p>
        </w:tc>
        <w:tc>
          <w:tcPr>
            <w:tcW w:w="8560" w:type="dxa"/>
            <w:vAlign w:val="bottom"/>
          </w:tcPr>
          <w:p>
            <w:pPr>
              <w:ind w:left="340"/>
              <w:spacing w:after="0"/>
              <w:rPr>
                <w:sz w:val="20"/>
                <w:szCs w:val="20"/>
                <w:color w:val="auto"/>
              </w:rPr>
            </w:pPr>
            <w:r>
              <w:rPr>
                <w:rFonts w:ascii="Arial" w:cs="Arial" w:eastAsia="Arial" w:hAnsi="Arial"/>
                <w:sz w:val="18"/>
                <w:szCs w:val="18"/>
                <w:color w:val="auto"/>
                <w:w w:val="96"/>
              </w:rPr>
              <w:t>Master Terms and Conditions for Convertible Note Hedging Transactions, dated as of October 18, 2011, as</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4"/>
              </w:rPr>
              <w:t>supplemented  by  a  confirmation  dated  October  18,  2011,  between  Citibank,  N.A.  and  the  Registrant.</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(Incorporated by reference from the Form 8-K for the Registrant filed October 24, 2011.)</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10.24</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Master Terms and Conditions for Base Warrants, dated as of October 18, 2011, as supplemented by a</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confirmation dated October 18, 2011, between Citibank, N.A. and the Registrant. (Incorporated by reference</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from the Form 8-K for the Registrant filed October 24, 2011.)</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10.24.1</w:t>
            </w:r>
          </w:p>
        </w:tc>
        <w:tc>
          <w:tcPr>
            <w:tcW w:w="8560" w:type="dxa"/>
            <w:vAlign w:val="bottom"/>
          </w:tcPr>
          <w:p>
            <w:pPr>
              <w:ind w:left="340"/>
              <w:spacing w:after="0"/>
              <w:rPr>
                <w:sz w:val="20"/>
                <w:szCs w:val="20"/>
                <w:color w:val="auto"/>
              </w:rPr>
            </w:pPr>
            <w:r>
              <w:rPr>
                <w:rFonts w:ascii="Arial" w:cs="Arial" w:eastAsia="Arial" w:hAnsi="Arial"/>
                <w:sz w:val="18"/>
                <w:szCs w:val="18"/>
                <w:color w:val="auto"/>
                <w:w w:val="94"/>
              </w:rPr>
              <w:t>Amendment, dated as of May 13, 2014, to the Master Terms and Conditions for Warrants, between Citibank,</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1"/>
              </w:rPr>
              <w:t>N.A. and the Registrant. (Incorporated by reference from the Form 10-Q for the Registrant, for the quarter ended</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June 30, 2014, filed August 5, 2014.)</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10.25</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Master Terms and Conditions for Convertible Note Hedging Transactions, dated as of October 18, 2011, as</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supplemented by a confirmation dated October 18, 2011, between Credit Suisse International and the Registrant.</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(Incorporated by reference from the Form 8-K for the Registrant filed October 24, 2011.)</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10.26</w:t>
            </w:r>
          </w:p>
        </w:tc>
        <w:tc>
          <w:tcPr>
            <w:tcW w:w="8560" w:type="dxa"/>
            <w:vAlign w:val="bottom"/>
          </w:tcPr>
          <w:p>
            <w:pPr>
              <w:ind w:left="340"/>
              <w:spacing w:after="0"/>
              <w:rPr>
                <w:sz w:val="20"/>
                <w:szCs w:val="20"/>
                <w:color w:val="auto"/>
              </w:rPr>
            </w:pPr>
            <w:r>
              <w:rPr>
                <w:rFonts w:ascii="Arial" w:cs="Arial" w:eastAsia="Arial" w:hAnsi="Arial"/>
                <w:sz w:val="18"/>
                <w:szCs w:val="18"/>
                <w:color w:val="auto"/>
              </w:rPr>
              <w:t>Master Terms and Conditions for Base Warrants, dated as of October 18, 2011, as supplemented by a</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3"/>
              </w:rPr>
              <w:t>confirmation dated October 18, 2011, between Credit Suisse International and the Registrant. (Incorporated by</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reference from the Form 8-K for the Registrant filed October 24, 2011.)</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10.26.1</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Amendment, dated as of May 14, 2014, to the Master Terms and Conditions for Warrants, between Credit Suisse</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Capital LLC (as assignee of Credit Suisse International) and the Registrant. (Incorporated by reference from the</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Form 10-Q for the Registrant, for the quarter ended June 30, 2014, filed August 5, 2014.)</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10.26.2</w:t>
            </w:r>
          </w:p>
        </w:tc>
        <w:tc>
          <w:tcPr>
            <w:tcW w:w="8560" w:type="dxa"/>
            <w:vAlign w:val="bottom"/>
          </w:tcPr>
          <w:p>
            <w:pPr>
              <w:ind w:left="340"/>
              <w:spacing w:after="0"/>
              <w:rPr>
                <w:sz w:val="20"/>
                <w:szCs w:val="20"/>
                <w:color w:val="auto"/>
              </w:rPr>
            </w:pPr>
            <w:r>
              <w:rPr>
                <w:rFonts w:ascii="Arial" w:cs="Arial" w:eastAsia="Arial" w:hAnsi="Arial"/>
                <w:sz w:val="18"/>
                <w:szCs w:val="18"/>
                <w:color w:val="auto"/>
                <w:w w:val="90"/>
              </w:rPr>
              <w:t>Second Amendment, dated as of November 18, 2014, to the Master Terms and Conditions for Warrants, between</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6"/>
              </w:rPr>
              <w:t>Credit Suisse Capital LLC (as assignee of Credit Suisse International) and the Registrant. (Incorporated by</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6"/>
              </w:rPr>
              <w:t>reference from the Form 10-K for the Registrant, for the year ended December 31, 2014, filed February 12,</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2015.)</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10.26.3</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Third Amendment, dated as of November 24, 2014, to the Master Terms and Conditions for Warrants, between</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Credit Suisse Capital LLC (as assignee of Credit Suisse International) and the Registrant. (Incorporated by</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reference from the Form 10-K for the Registrant, for the year ended December 31, 2014, filed February 12,</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2015.)</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10.26.4</w:t>
            </w:r>
          </w:p>
        </w:tc>
        <w:tc>
          <w:tcPr>
            <w:tcW w:w="8560" w:type="dxa"/>
            <w:vAlign w:val="bottom"/>
          </w:tcPr>
          <w:p>
            <w:pPr>
              <w:ind w:left="340"/>
              <w:spacing w:after="0"/>
              <w:rPr>
                <w:sz w:val="20"/>
                <w:szCs w:val="20"/>
                <w:color w:val="auto"/>
              </w:rPr>
            </w:pPr>
            <w:r>
              <w:rPr>
                <w:rFonts w:ascii="Arial" w:cs="Arial" w:eastAsia="Arial" w:hAnsi="Arial"/>
                <w:sz w:val="18"/>
                <w:szCs w:val="18"/>
                <w:color w:val="auto"/>
                <w:w w:val="91"/>
              </w:rPr>
              <w:t>Fourth Amendment, dated as of November 15, 2015, to the Master Terms and Conditions for Warrants, between</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Credit Suisse Capital LLC (as assignee of Credit Suisse International) and the Registrant.</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10.27</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Master Terms and Conditions for Convertible Note Hedging Transactions, dated as of October 18, 2011, as</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supplemented by a confirmation dated October 18, 2011, between Morgan Stanley &amp; Co. International plc and</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the Registrant. (Incorporated by reference from the Form 8-K for the Registrant filed October 24, 2011.)</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10.28</w:t>
            </w:r>
          </w:p>
        </w:tc>
        <w:tc>
          <w:tcPr>
            <w:tcW w:w="8560" w:type="dxa"/>
            <w:vAlign w:val="bottom"/>
          </w:tcPr>
          <w:p>
            <w:pPr>
              <w:ind w:left="340"/>
              <w:spacing w:after="0"/>
              <w:rPr>
                <w:sz w:val="20"/>
                <w:szCs w:val="20"/>
                <w:color w:val="auto"/>
              </w:rPr>
            </w:pPr>
            <w:r>
              <w:rPr>
                <w:rFonts w:ascii="Arial" w:cs="Arial" w:eastAsia="Arial" w:hAnsi="Arial"/>
                <w:sz w:val="18"/>
                <w:szCs w:val="18"/>
                <w:color w:val="auto"/>
              </w:rPr>
              <w:t>Master Terms and Conditions for Base Warrants, dated as of October 18, 2011, as supplemented by a</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7"/>
              </w:rPr>
              <w:t>confirmation dated October 18, 2011, between Morgan Stanley &amp; Co. International plc and the Registrant.</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(Incorporated by reference from the Form 8-K for the Registrant filed October 24, 2011.)</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10.28.1</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Amendment, dated as of May 16, 2014, to the Master Terms and Conditions for Warrants, between Morgan</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Stanley &amp; Co. International plc and the Registrant. (Incorporated by reference from the Form 10-Q for the</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Registrant, for the quarter ended June 30, 2014, filed August 5, 2014.)</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10.28.2</w:t>
            </w:r>
          </w:p>
        </w:tc>
        <w:tc>
          <w:tcPr>
            <w:tcW w:w="8560" w:type="dxa"/>
            <w:vAlign w:val="bottom"/>
          </w:tcPr>
          <w:p>
            <w:pPr>
              <w:ind w:left="340"/>
              <w:spacing w:after="0"/>
              <w:rPr>
                <w:sz w:val="20"/>
                <w:szCs w:val="20"/>
                <w:color w:val="auto"/>
              </w:rPr>
            </w:pPr>
            <w:r>
              <w:rPr>
                <w:rFonts w:ascii="Arial" w:cs="Arial" w:eastAsia="Arial" w:hAnsi="Arial"/>
                <w:sz w:val="18"/>
                <w:szCs w:val="18"/>
                <w:color w:val="auto"/>
                <w:w w:val="94"/>
              </w:rPr>
              <w:t>Second Amendment, dated as of August 5, 2015, to the Master Terms and Conditions for Warrants, between</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4"/>
              </w:rPr>
              <w:t>Morgan Stanley &amp; Co. International plc and the Registrant. (Incorporated by reference from the Form 10-Q for</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the Registrant, for the quarter ended September 30, 2015, filed November 4, 2015.)</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10.29*</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Non-exclusive License and Partial Settlement Agreement with Genentech, Inc. (Incorporated by reference from</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the Form 10-K for the Registrant, for the year ended December 31, 2011, filed February 21, 2012.)</w:t>
            </w:r>
          </w:p>
        </w:tc>
      </w:tr>
      <w:tr>
        <w:trPr>
          <w:trHeight w:val="229"/>
        </w:trPr>
        <w:tc>
          <w:tcPr>
            <w:tcW w:w="1020" w:type="dxa"/>
            <w:vAlign w:val="bottom"/>
          </w:tcPr>
          <w:p>
            <w:pPr>
              <w:ind w:left="40"/>
              <w:spacing w:after="0"/>
              <w:rPr>
                <w:sz w:val="20"/>
                <w:szCs w:val="20"/>
                <w:color w:val="auto"/>
              </w:rPr>
            </w:pPr>
            <w:r>
              <w:rPr>
                <w:rFonts w:ascii="Arial" w:cs="Arial" w:eastAsia="Arial" w:hAnsi="Arial"/>
                <w:sz w:val="18"/>
                <w:szCs w:val="18"/>
                <w:color w:val="auto"/>
              </w:rPr>
              <w:t>10.29.1*</w:t>
            </w:r>
          </w:p>
        </w:tc>
        <w:tc>
          <w:tcPr>
            <w:tcW w:w="8560" w:type="dxa"/>
            <w:vAlign w:val="bottom"/>
          </w:tcPr>
          <w:p>
            <w:pPr>
              <w:ind w:left="340"/>
              <w:spacing w:after="0"/>
              <w:rPr>
                <w:sz w:val="20"/>
                <w:szCs w:val="20"/>
                <w:color w:val="auto"/>
              </w:rPr>
            </w:pPr>
            <w:r>
              <w:rPr>
                <w:rFonts w:ascii="Arial" w:cs="Arial" w:eastAsia="Arial" w:hAnsi="Arial"/>
                <w:sz w:val="18"/>
                <w:szCs w:val="18"/>
                <w:color w:val="auto"/>
                <w:w w:val="91"/>
              </w:rPr>
              <w:t>Amended and Restated Non-Exclusive License and Settlement Agreement by and between Genentech, Inc. and</w:t>
            </w:r>
          </w:p>
        </w:tc>
      </w:tr>
      <w:tr>
        <w:trPr>
          <w:trHeight w:val="216"/>
        </w:trPr>
        <w:tc>
          <w:tcPr>
            <w:tcW w:w="10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w w:val="91"/>
              </w:rPr>
              <w:t>the Registrant, effective May 17, 2013. (Incorporated by reference from the Form 10-Q for the Registrant, for the</w:t>
            </w:r>
          </w:p>
        </w:tc>
      </w:tr>
      <w:tr>
        <w:trPr>
          <w:trHeight w:val="230"/>
        </w:trPr>
        <w:tc>
          <w:tcPr>
            <w:tcW w:w="1020" w:type="dxa"/>
            <w:vAlign w:val="bottom"/>
          </w:tcPr>
          <w:p>
            <w:pPr>
              <w:spacing w:after="0"/>
              <w:rPr>
                <w:sz w:val="20"/>
                <w:szCs w:val="20"/>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quarter ended June 30, 2013, filed August 6, 2013.)</w:t>
            </w:r>
          </w:p>
        </w:tc>
      </w:tr>
      <w:tr>
        <w:trPr>
          <w:trHeight w:val="27"/>
        </w:trPr>
        <w:tc>
          <w:tcPr>
            <w:tcW w:w="102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1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10.29.2*</w:t>
            </w: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Non-Exclusive License and Settlement Agreement by and between Genentech, Inc., the Registrant, Sanofi U.S.</w:t>
            </w:r>
          </w:p>
        </w:tc>
      </w:tr>
      <w:tr>
        <w:trPr>
          <w:trHeight w:val="216"/>
        </w:trPr>
        <w:tc>
          <w:tcPr>
            <w:tcW w:w="1020" w:type="dxa"/>
            <w:vAlign w:val="bottom"/>
            <w:shd w:val="clear" w:color="auto" w:fill="CCEEFF"/>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Services, Inc., and Sanofi-Aventis U.S. LLC, effective May 17, 2013. (Incorporated by reference from the Form</w:t>
            </w:r>
          </w:p>
        </w:tc>
      </w:tr>
      <w:tr>
        <w:trPr>
          <w:trHeight w:val="237"/>
        </w:trPr>
        <w:tc>
          <w:tcPr>
            <w:tcW w:w="102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10-Q for the Registrant, for the quarter ended June 30, 2013, filed August 6, 2013.)</w:t>
            </w:r>
          </w:p>
        </w:tc>
      </w:tr>
      <w:tr>
        <w:trPr>
          <w:trHeight w:val="459"/>
        </w:trPr>
        <w:tc>
          <w:tcPr>
            <w:tcW w:w="1020" w:type="dxa"/>
            <w:vAlign w:val="bottom"/>
          </w:tcPr>
          <w:p>
            <w:pPr>
              <w:spacing w:after="0"/>
              <w:rPr>
                <w:sz w:val="24"/>
                <w:szCs w:val="24"/>
                <w:color w:val="auto"/>
              </w:rPr>
            </w:pPr>
          </w:p>
        </w:tc>
        <w:tc>
          <w:tcPr>
            <w:tcW w:w="8560" w:type="dxa"/>
            <w:vAlign w:val="bottom"/>
          </w:tcPr>
          <w:p>
            <w:pPr>
              <w:ind w:left="368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0500"/>
          </w:cols>
          <w:pgMar w:left="240" w:top="130" w:right="115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2"/>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Table of Contents</w:t>
              </w:r>
            </w:hyperlink>
          </w:p>
        </w:tc>
        <w:tc>
          <w:tcPr>
            <w:tcW w:w="780" w:type="dxa"/>
            <w:vAlign w:val="bottom"/>
          </w:tcPr>
          <w:p>
            <w:pPr>
              <w:spacing w:after="0"/>
              <w:rPr>
                <w:sz w:val="16"/>
                <w:szCs w:val="16"/>
                <w:color w:val="auto"/>
              </w:rPr>
            </w:pPr>
          </w:p>
        </w:tc>
        <w:tc>
          <w:tcPr>
            <w:tcW w:w="8560" w:type="dxa"/>
            <w:vAlign w:val="bottom"/>
          </w:tcPr>
          <w:p>
            <w:pPr>
              <w:spacing w:after="0"/>
              <w:rPr>
                <w:sz w:val="16"/>
                <w:szCs w:val="16"/>
                <w:color w:val="auto"/>
              </w:rPr>
            </w:pPr>
          </w:p>
        </w:tc>
      </w:tr>
      <w:tr>
        <w:trPr>
          <w:trHeight w:val="614"/>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10.29.3</w:t>
            </w:r>
          </w:p>
        </w:tc>
        <w:tc>
          <w:tcPr>
            <w:tcW w:w="8560" w:type="dxa"/>
            <w:vAlign w:val="bottom"/>
          </w:tcPr>
          <w:p>
            <w:pPr>
              <w:ind w:left="180"/>
              <w:spacing w:after="0"/>
              <w:rPr>
                <w:sz w:val="20"/>
                <w:szCs w:val="20"/>
                <w:color w:val="auto"/>
              </w:rPr>
            </w:pPr>
            <w:r>
              <w:rPr>
                <w:rFonts w:ascii="Arial" w:cs="Arial" w:eastAsia="Arial" w:hAnsi="Arial"/>
                <w:sz w:val="18"/>
                <w:szCs w:val="18"/>
                <w:color w:val="auto"/>
                <w:w w:val="93"/>
              </w:rPr>
              <w:t>Agreement dated May 17, 2013 between Bayer Pharma AG, Bayer Australia Limited, the Registrant, Regeneron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6"/>
              </w:rPr>
              <w:t>UK Ltd and Genentech Inc. (Incorporated by reference from the Form 10-Q for the Registrant, for the quarter</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ended June 30, 2013, filed August 6, 2013.)</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10.30*</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Letter Agreement by and between the Registrant and Aventis Pharmaceuticals Inc., dated May 2, 2013.</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(Incorporated by reference from the Form 10-Q for the Registrant, for the quarter ended June 30, 2013, filed</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August 6, 2013.)</w:t>
            </w:r>
          </w:p>
        </w:tc>
      </w:tr>
      <w:tr>
        <w:trPr>
          <w:trHeight w:val="229"/>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10.31</w:t>
            </w:r>
          </w:p>
        </w:tc>
        <w:tc>
          <w:tcPr>
            <w:tcW w:w="8560" w:type="dxa"/>
            <w:vAlign w:val="bottom"/>
          </w:tcPr>
          <w:p>
            <w:pPr>
              <w:ind w:left="180"/>
              <w:spacing w:after="0"/>
              <w:rPr>
                <w:sz w:val="20"/>
                <w:szCs w:val="20"/>
                <w:color w:val="auto"/>
              </w:rPr>
            </w:pPr>
            <w:r>
              <w:rPr>
                <w:rFonts w:ascii="Arial" w:cs="Arial" w:eastAsia="Arial" w:hAnsi="Arial"/>
                <w:sz w:val="18"/>
                <w:szCs w:val="18"/>
                <w:color w:val="auto"/>
                <w:w w:val="91"/>
              </w:rPr>
              <w:t>Credit Agreement, dated as of March 19, 2015, by and among the Registrant, as a borrower and guarantor; certain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direct and indirect subsidiaries of the Registrant, as the initial subsidiary borrowers; JPMorgan Chase Bank, N.A.,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5"/>
              </w:rPr>
              <w:t>as administrative agent; Bank of America, N.A. and U.S. Bank National Association, as co-syndication agents;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6"/>
              </w:rPr>
              <w:t>Barclays Bank PLC, Citibank, N.A., Credit Suisse AG, Cayman Islands Branch, Fifth Third Bank and Morgan</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Stanley MUFG Loan Partners, LLC, as co-documentation agents; JPMorgan Chase Bank, N.A., Bank of America,</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5"/>
              </w:rPr>
              <w:t>N.A. and U.S. Bank National Association, as the issuing banks; JPMorgan Chase Bank, N.A., as the swingline</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lender; and the other lenders party thereto from time to time. (Incorporated by reference from the Form 8-K for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Registrant, filed March 23, 2015.)</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10.32*</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Immuno-oncology Discovery and Development Agreement, dated July 27, 2015 and entered into effective as of</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July 1, 2015, by and between the Registrant and Sanofi Biotechnology SAS. (Incorporated by reference from the</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Form 10-Q for the Registrant, for the quarter ended September 30, 2015, filed November 4, 2015.)</w:t>
            </w:r>
          </w:p>
        </w:tc>
      </w:tr>
      <w:tr>
        <w:trPr>
          <w:trHeight w:val="229"/>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10.33*</w:t>
            </w: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Immuno-oncology License and Collaboration Agreement, dated July 27, 2015 and entered into effective as of July</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w w:val="92"/>
              </w:rPr>
              <w:t>1, 2015, by and between the Registrant and Sanofi Biotechnology SAS. (Incorporated by reference from the Form</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60" w:type="dxa"/>
            <w:vAlign w:val="bottom"/>
          </w:tcPr>
          <w:p>
            <w:pPr>
              <w:ind w:left="180"/>
              <w:spacing w:after="0"/>
              <w:rPr>
                <w:sz w:val="20"/>
                <w:szCs w:val="20"/>
                <w:color w:val="auto"/>
              </w:rPr>
            </w:pPr>
            <w:r>
              <w:rPr>
                <w:rFonts w:ascii="Arial" w:cs="Arial" w:eastAsia="Arial" w:hAnsi="Arial"/>
                <w:sz w:val="18"/>
                <w:szCs w:val="18"/>
                <w:color w:val="auto"/>
              </w:rPr>
              <w:t>10-Q for the Registrant, for the quarter ended September 30, 2015, filed November 4, 2015.)</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29"/>
        </w:trPr>
        <w:tc>
          <w:tcPr>
            <w:tcW w:w="920" w:type="dxa"/>
            <w:vAlign w:val="bottom"/>
          </w:tcPr>
          <w:p>
            <w:pPr>
              <w:spacing w:after="0"/>
              <w:rPr>
                <w:sz w:val="19"/>
                <w:szCs w:val="19"/>
                <w:color w:val="auto"/>
              </w:rPr>
            </w:pP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10.34*</w:t>
            </w: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Collaboration Agreement, dated as of September 29, 2015, by and between Regeneron Ireland and Mitsubishi</w:t>
            </w: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Tanabe Pharma Corporation. (Incorporated by reference from the Form 10-Q for the Registrant, for the quarter</w:t>
            </w:r>
          </w:p>
        </w:tc>
      </w:tr>
      <w:tr>
        <w:trPr>
          <w:trHeight w:val="237"/>
        </w:trPr>
        <w:tc>
          <w:tcPr>
            <w:tcW w:w="920" w:type="dxa"/>
            <w:vAlign w:val="bottom"/>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ended September 30, 2015, filed November 4, 2015.)</w:t>
            </w:r>
          </w:p>
        </w:tc>
      </w:tr>
      <w:tr>
        <w:trPr>
          <w:trHeight w:val="243"/>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21.1</w:t>
            </w:r>
          </w:p>
        </w:tc>
        <w:tc>
          <w:tcPr>
            <w:tcW w:w="8560" w:type="dxa"/>
            <w:vAlign w:val="bottom"/>
          </w:tcPr>
          <w:p>
            <w:pPr>
              <w:ind w:left="180"/>
              <w:spacing w:after="0"/>
              <w:rPr>
                <w:sz w:val="20"/>
                <w:szCs w:val="20"/>
                <w:color w:val="auto"/>
              </w:rPr>
            </w:pPr>
            <w:r>
              <w:rPr>
                <w:rFonts w:ascii="Arial" w:cs="Arial" w:eastAsia="Arial" w:hAnsi="Arial"/>
                <w:sz w:val="18"/>
                <w:szCs w:val="18"/>
                <w:color w:val="auto"/>
              </w:rPr>
              <w:t>Subsidiaries of the Registrant.</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23.1</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243"/>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24.1</w:t>
            </w:r>
          </w:p>
        </w:tc>
        <w:tc>
          <w:tcPr>
            <w:tcW w:w="8560" w:type="dxa"/>
            <w:vAlign w:val="bottom"/>
          </w:tcPr>
          <w:p>
            <w:pPr>
              <w:ind w:left="180"/>
              <w:spacing w:after="0"/>
              <w:rPr>
                <w:sz w:val="20"/>
                <w:szCs w:val="20"/>
                <w:color w:val="auto"/>
              </w:rPr>
            </w:pPr>
            <w:r>
              <w:rPr>
                <w:rFonts w:ascii="Arial" w:cs="Arial" w:eastAsia="Arial" w:hAnsi="Arial"/>
                <w:sz w:val="18"/>
                <w:szCs w:val="18"/>
                <w:color w:val="auto"/>
              </w:rPr>
              <w:t>Power of Attorney (included on the signature page of this Annual Report on Form 10-K).</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31.1</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Certification of Principal Executive Officer pursuant to Rule 13a-14(a) under the Securities Exchange Act of 1934.</w:t>
            </w:r>
          </w:p>
        </w:tc>
      </w:tr>
      <w:tr>
        <w:trPr>
          <w:trHeight w:val="243"/>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31.2</w:t>
            </w:r>
          </w:p>
        </w:tc>
        <w:tc>
          <w:tcPr>
            <w:tcW w:w="8560" w:type="dxa"/>
            <w:vAlign w:val="bottom"/>
          </w:tcPr>
          <w:p>
            <w:pPr>
              <w:ind w:left="180"/>
              <w:spacing w:after="0"/>
              <w:rPr>
                <w:sz w:val="20"/>
                <w:szCs w:val="20"/>
                <w:color w:val="auto"/>
              </w:rPr>
            </w:pPr>
            <w:r>
              <w:rPr>
                <w:rFonts w:ascii="Arial" w:cs="Arial" w:eastAsia="Arial" w:hAnsi="Arial"/>
                <w:sz w:val="18"/>
                <w:szCs w:val="18"/>
                <w:color w:val="auto"/>
                <w:w w:val="93"/>
              </w:rPr>
              <w:t>Certification of Principal Financial Officer pursuant to Rule 13a-14(a) under the Securities Exchange Act of 1934.</w:t>
            </w:r>
          </w:p>
        </w:tc>
      </w:tr>
      <w:tr>
        <w:trPr>
          <w:trHeight w:val="27"/>
        </w:trPr>
        <w:tc>
          <w:tcPr>
            <w:tcW w:w="1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32</w:t>
            </w:r>
          </w:p>
        </w:tc>
        <w:tc>
          <w:tcPr>
            <w:tcW w:w="780" w:type="dxa"/>
            <w:vAlign w:val="bottom"/>
            <w:tcBorders>
              <w:bottom w:val="single" w:sz="8" w:color="CCEEFF"/>
            </w:tcBorders>
            <w:shd w:val="clear" w:color="auto" w:fill="CCEEFF"/>
          </w:tcPr>
          <w:p>
            <w:pPr>
              <w:spacing w:after="0"/>
              <w:rPr>
                <w:sz w:val="21"/>
                <w:szCs w:val="21"/>
                <w:color w:val="auto"/>
              </w:rPr>
            </w:pP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Certification of Principal Executive Officer and Principal Financial Officer pursuant to 18 U.S.C. Section 1350.</w:t>
            </w:r>
          </w:p>
        </w:tc>
      </w:tr>
      <w:tr>
        <w:trPr>
          <w:trHeight w:val="243"/>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101</w:t>
            </w:r>
          </w:p>
        </w:tc>
        <w:tc>
          <w:tcPr>
            <w:tcW w:w="8560" w:type="dxa"/>
            <w:vAlign w:val="bottom"/>
          </w:tcPr>
          <w:p>
            <w:pPr>
              <w:ind w:left="180"/>
              <w:spacing w:after="0"/>
              <w:rPr>
                <w:sz w:val="20"/>
                <w:szCs w:val="20"/>
                <w:color w:val="auto"/>
              </w:rPr>
            </w:pPr>
            <w:r>
              <w:rPr>
                <w:rFonts w:ascii="Arial" w:cs="Arial" w:eastAsia="Arial" w:hAnsi="Arial"/>
                <w:sz w:val="18"/>
                <w:szCs w:val="18"/>
                <w:color w:val="auto"/>
              </w:rPr>
              <w:t>Interactive Data File</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101.INS</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43"/>
        </w:trPr>
        <w:tc>
          <w:tcPr>
            <w:tcW w:w="92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101.SCH</w:t>
            </w:r>
          </w:p>
        </w:tc>
        <w:tc>
          <w:tcPr>
            <w:tcW w:w="8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101.CAL</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92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101.DEF</w:t>
            </w:r>
          </w:p>
        </w:tc>
        <w:tc>
          <w:tcPr>
            <w:tcW w:w="8560" w:type="dxa"/>
            <w:vAlign w:val="bottom"/>
          </w:tcPr>
          <w:p>
            <w:pPr>
              <w:ind w:left="180"/>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560" w:type="dxa"/>
            <w:vAlign w:val="bottom"/>
          </w:tcPr>
          <w:p>
            <w:pPr>
              <w:spacing w:after="0"/>
              <w:rPr>
                <w:sz w:val="2"/>
                <w:szCs w:val="2"/>
                <w:color w:val="auto"/>
              </w:rPr>
            </w:pPr>
          </w:p>
        </w:tc>
      </w:tr>
      <w:tr>
        <w:trPr>
          <w:trHeight w:val="250"/>
        </w:trPr>
        <w:tc>
          <w:tcPr>
            <w:tcW w:w="920" w:type="dxa"/>
            <w:vAlign w:val="bottom"/>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101.LAB</w:t>
            </w:r>
          </w:p>
        </w:tc>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92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101.PRE</w:t>
            </w:r>
          </w:p>
        </w:tc>
        <w:tc>
          <w:tcPr>
            <w:tcW w:w="8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1940" w:type="dxa"/>
            <w:vAlign w:val="bottom"/>
            <w:gridSpan w:val="3"/>
          </w:tcPr>
          <w:p>
            <w:pPr>
              <w:ind w:left="960"/>
              <w:spacing w:after="0"/>
              <w:rPr>
                <w:sz w:val="20"/>
                <w:szCs w:val="20"/>
                <w:color w:val="auto"/>
              </w:rPr>
            </w:pPr>
            <w:r>
              <w:rPr>
                <w:rFonts w:ascii="Arial" w:cs="Arial" w:eastAsia="Arial" w:hAnsi="Arial"/>
                <w:sz w:val="18"/>
                <w:szCs w:val="18"/>
                <w:color w:val="auto"/>
              </w:rPr>
              <w:t>_______</w:t>
            </w:r>
          </w:p>
        </w:tc>
        <w:tc>
          <w:tcPr>
            <w:tcW w:w="8560" w:type="dxa"/>
            <w:vAlign w:val="bottom"/>
          </w:tcPr>
          <w:p>
            <w:pPr>
              <w:spacing w:after="0"/>
              <w:rPr>
                <w:sz w:val="23"/>
                <w:szCs w:val="23"/>
                <w:color w:val="auto"/>
              </w:rPr>
            </w:pPr>
          </w:p>
        </w:tc>
      </w:tr>
    </w:tbl>
    <w:p>
      <w:pPr>
        <w:spacing w:after="0" w:line="200" w:lineRule="exact"/>
        <w:rPr>
          <w:sz w:val="20"/>
          <w:szCs w:val="20"/>
          <w:color w:val="auto"/>
        </w:rPr>
      </w:pPr>
    </w:p>
    <w:p>
      <w:pPr>
        <w:spacing w:after="0" w:line="204" w:lineRule="exact"/>
        <w:rPr>
          <w:sz w:val="20"/>
          <w:szCs w:val="20"/>
          <w:color w:val="auto"/>
        </w:rPr>
      </w:pPr>
    </w:p>
    <w:p>
      <w:pPr>
        <w:ind w:left="1420" w:hanging="583"/>
        <w:spacing w:after="0" w:line="277" w:lineRule="auto"/>
        <w:tabs>
          <w:tab w:leader="none" w:pos="14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Portions of this document have been omitted and filed separately with the Commission pursuant to requests for confidential treatment pursuant to Rule 24b-2.</w:t>
      </w:r>
    </w:p>
    <w:p>
      <w:pPr>
        <w:spacing w:after="0" w:line="8" w:lineRule="exact"/>
        <w:rPr>
          <w:rFonts w:ascii="Arial" w:cs="Arial" w:eastAsia="Arial" w:hAnsi="Arial"/>
          <w:sz w:val="18"/>
          <w:szCs w:val="18"/>
          <w:color w:val="auto"/>
        </w:rPr>
      </w:pPr>
    </w:p>
    <w:p>
      <w:pPr>
        <w:ind w:left="1420" w:hanging="595"/>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00"/>
          </w:cols>
          <w:pgMar w:left="240" w:top="118" w:right="55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u w:val="single" w:color="auto"/>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11,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u w:val="single" w:color="auto"/>
          <w:color w:val="auto"/>
        </w:rPr>
        <w:t>/s/ LEONARD S. SCHLEIFER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130" w:right="25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Leonard S. Schleifer, President and Chief Executive Officer, and Robert E. Landry, Senior Vice President, Finance and Chief Financial Officer, and each of them, his or her true and lawful attorney-in-fact and agent, with the full power of substitution and resubstitution, for him or her and in his or her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208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1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76"/>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LEONARD S. SCHLEIFER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Executive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Leonard S. Schleifer,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6"/>
              </w:rPr>
              <w:t>Senior Vice President, Finance and Chief Financial</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ROBERT E. LANDRY</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Officer (Principal Financial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Robert E. Landry</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w w:val="97"/>
              </w:rPr>
              <w:t>Vice President, Controller, and Assistant Treasurer</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DOUGLAS S. McCORKLE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(Principal Accounting Officer)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Douglas S. McCorkle</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6"/>
        </w:trPr>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Chief Scientific Officer, President, Regeneron</w:t>
            </w:r>
          </w:p>
        </w:tc>
        <w:tc>
          <w:tcPr>
            <w:tcW w:w="9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r>
      <w:tr>
        <w:trPr>
          <w:trHeight w:val="23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D. YANCOPOULOS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Laboratories, and 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D. Yancopoulos, M.D.,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P. ROY VAGELOS</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Chairman of the Board</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P. Roy Vagelos,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CHARLES A. BAKER</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Charles A. Baker</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MICHAEL S. BROWN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Michael S. Brown,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JOSEPH L. GOLDSTEIN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Joseph L. Goldstein, M.D.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CHRISTINE A. POON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Christine A. Poon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ARTHUR F. RYAN</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Arthur F. Ryan</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GEORGE L. SING</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George L. Sing</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70"/>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/s/ MARC TESSIER-LAVIGNE</w:t>
            </w:r>
          </w:p>
        </w:tc>
        <w:tc>
          <w:tcPr>
            <w:tcW w:w="4300" w:type="dxa"/>
            <w:vAlign w:val="bottom"/>
            <w:gridSpan w:val="3"/>
          </w:tcPr>
          <w:p>
            <w:pPr>
              <w:ind w:left="340"/>
              <w:spacing w:after="0"/>
              <w:rPr>
                <w:sz w:val="20"/>
                <w:szCs w:val="20"/>
                <w:color w:val="auto"/>
              </w:rPr>
            </w:pPr>
            <w:r>
              <w:rPr>
                <w:rFonts w:ascii="Arial" w:cs="Arial" w:eastAsia="Arial" w:hAnsi="Arial"/>
                <w:sz w:val="18"/>
                <w:szCs w:val="18"/>
                <w:i w:val="1"/>
                <w:iCs w:val="1"/>
                <w:color w:val="auto"/>
              </w:rPr>
              <w:t>Director</w:t>
            </w:r>
          </w:p>
        </w:tc>
        <w:tc>
          <w:tcPr>
            <w:tcW w:w="1540" w:type="dxa"/>
            <w:vAlign w:val="bottom"/>
            <w:gridSpan w:val="3"/>
          </w:tcPr>
          <w:p>
            <w:pPr>
              <w:ind w:left="220"/>
              <w:spacing w:after="0"/>
              <w:rPr>
                <w:sz w:val="20"/>
                <w:szCs w:val="20"/>
                <w:color w:val="auto"/>
              </w:rPr>
            </w:pPr>
            <w:r>
              <w:rPr>
                <w:rFonts w:ascii="Arial" w:cs="Arial" w:eastAsia="Arial" w:hAnsi="Arial"/>
                <w:sz w:val="18"/>
                <w:szCs w:val="18"/>
                <w:color w:val="auto"/>
                <w:w w:val="88"/>
              </w:rPr>
              <w:t>February 11, 2016</w:t>
            </w:r>
          </w:p>
        </w:tc>
      </w:tr>
      <w:tr>
        <w:trPr>
          <w:trHeight w:val="27"/>
        </w:trPr>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3700" w:type="dxa"/>
            <w:vAlign w:val="bottom"/>
            <w:gridSpan w:val="3"/>
          </w:tcPr>
          <w:p>
            <w:pPr>
              <w:ind w:left="260"/>
              <w:spacing w:after="0"/>
              <w:rPr>
                <w:sz w:val="20"/>
                <w:szCs w:val="20"/>
                <w:color w:val="auto"/>
              </w:rPr>
            </w:pPr>
            <w:r>
              <w:rPr>
                <w:rFonts w:ascii="Arial" w:cs="Arial" w:eastAsia="Arial" w:hAnsi="Arial"/>
                <w:sz w:val="18"/>
                <w:szCs w:val="18"/>
                <w:color w:val="auto"/>
              </w:rPr>
              <w:t>Marc Tessier-Lavigne, Ph.D.</w:t>
            </w:r>
          </w:p>
        </w:tc>
        <w:tc>
          <w:tcPr>
            <w:tcW w:w="2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702"/>
        </w:trPr>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80" w:type="dxa"/>
            <w:vAlign w:val="bottom"/>
          </w:tcPr>
          <w:p>
            <w:pPr>
              <w:ind w:left="120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INDEX TO FINANCIAL STATEMENTS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gridSpan w:val="8"/>
          </w:tcPr>
          <w:p>
            <w:pPr>
              <w:jc w:val="center"/>
              <w:ind w:right="160"/>
              <w:spacing w:after="0"/>
              <w:rPr>
                <w:sz w:val="20"/>
                <w:szCs w:val="20"/>
                <w:color w:val="auto"/>
              </w:rPr>
            </w:pPr>
            <w:r>
              <w:rPr>
                <w:rFonts w:ascii="Arial" w:cs="Arial" w:eastAsia="Arial" w:hAnsi="Arial"/>
                <w:sz w:val="18"/>
                <w:szCs w:val="18"/>
                <w:b w:val="1"/>
                <w:bCs w:val="1"/>
                <w:color w:val="auto"/>
                <w:w w:val="88"/>
              </w:rPr>
              <w:t>Page Numbers</w:t>
            </w:r>
          </w:p>
        </w:tc>
      </w:tr>
      <w:tr>
        <w:trPr>
          <w:trHeight w:val="48"/>
        </w:trPr>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3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4220" w:type="dxa"/>
            <w:vAlign w:val="bottom"/>
            <w:gridSpan w:val="4"/>
            <w:shd w:val="clear" w:color="auto" w:fill="CCEEFF"/>
          </w:tcPr>
          <w:p>
            <w:pPr>
              <w:spacing w:after="0" w:line="202" w:lineRule="exact"/>
              <w:rPr>
                <w:rFonts w:ascii="Arial" w:cs="Arial" w:eastAsia="Arial" w:hAnsi="Arial"/>
                <w:sz w:val="18"/>
                <w:szCs w:val="18"/>
                <w:color w:val="0000EE"/>
                <w:w w:val="91"/>
              </w:rPr>
            </w:pPr>
            <w:hyperlink w:anchor="page101">
              <w:r>
                <w:rPr>
                  <w:rFonts w:ascii="Arial" w:cs="Arial" w:eastAsia="Arial" w:hAnsi="Arial"/>
                  <w:sz w:val="18"/>
                  <w:szCs w:val="18"/>
                  <w:color w:val="0000EE"/>
                  <w:w w:val="91"/>
                </w:rPr>
                <w:t>Report of Independent Registered Public Accounting Firm</w:t>
              </w:r>
            </w:hyperlink>
          </w:p>
        </w:tc>
        <w:tc>
          <w:tcPr>
            <w:tcW w:w="4520" w:type="dxa"/>
            <w:vAlign w:val="bottom"/>
            <w:gridSpan w:val="5"/>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center"/>
              <w:ind w:right="540"/>
              <w:spacing w:after="0" w:line="202"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F- 2</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Balance Sheets at December 31, 2015 and 2014</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6"/>
          </w:tcPr>
          <w:p>
            <w:pPr>
              <w:jc w:val="center"/>
              <w:ind w:right="540"/>
              <w:spacing w:after="0" w:line="202" w:lineRule="exact"/>
              <w:rPr>
                <w:rFonts w:ascii="Arial" w:cs="Arial" w:eastAsia="Arial" w:hAnsi="Arial"/>
                <w:sz w:val="18"/>
                <w:szCs w:val="18"/>
                <w:color w:val="0000EE"/>
                <w:w w:val="93"/>
              </w:rPr>
            </w:pPr>
            <w:hyperlink w:anchor="page102">
              <w:r>
                <w:rPr>
                  <w:rFonts w:ascii="Arial" w:cs="Arial" w:eastAsia="Arial" w:hAnsi="Arial"/>
                  <w:sz w:val="18"/>
                  <w:szCs w:val="18"/>
                  <w:color w:val="0000EE"/>
                  <w:w w:val="93"/>
                </w:rPr>
                <w:t>F- 3</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9"/>
            <w:shd w:val="clear" w:color="auto" w:fill="CCEEFF"/>
          </w:tcPr>
          <w:p>
            <w:pPr>
              <w:spacing w:after="0" w:line="202" w:lineRule="exact"/>
              <w:rPr>
                <w:rFonts w:ascii="Arial" w:cs="Arial" w:eastAsia="Arial" w:hAnsi="Arial"/>
                <w:sz w:val="18"/>
                <w:szCs w:val="18"/>
                <w:color w:val="0000EE"/>
                <w:w w:val="94"/>
              </w:rPr>
            </w:pPr>
            <w:hyperlink w:anchor="page103">
              <w:r>
                <w:rPr>
                  <w:rFonts w:ascii="Arial" w:cs="Arial" w:eastAsia="Arial" w:hAnsi="Arial"/>
                  <w:sz w:val="18"/>
                  <w:szCs w:val="18"/>
                  <w:color w:val="0000EE"/>
                  <w:w w:val="94"/>
                </w:rPr>
                <w:t>Consolidated Statements of Operations and Comprehensive Income for the Years Ended December 31, 2015, 2014,</w:t>
              </w:r>
            </w:hyperlink>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8140" w:type="dxa"/>
            <w:vAlign w:val="bottom"/>
            <w:tcBorders>
              <w:top w:val="single" w:sz="8" w:color="0000EE"/>
            </w:tcBorders>
            <w:gridSpan w:val="7"/>
            <w:shd w:val="clear" w:color="auto" w:fill="CCEEFF"/>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and 2013</w:t>
              </w:r>
            </w:hyperlink>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6"/>
            <w:shd w:val="clear" w:color="auto" w:fill="CCEEFF"/>
          </w:tcPr>
          <w:p>
            <w:pPr>
              <w:jc w:val="center"/>
              <w:ind w:right="540"/>
              <w:spacing w:after="0" w:line="196"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F- 4</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8740" w:type="dxa"/>
            <w:vAlign w:val="bottom"/>
            <w:gridSpan w:val="9"/>
          </w:tcPr>
          <w:p>
            <w:pPr>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Consolidated Statements of Stockholders' Equity for the Years Ended December 31, 2015, 2014, and 2013</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6"/>
          </w:tcPr>
          <w:p>
            <w:pPr>
              <w:jc w:val="center"/>
              <w:ind w:right="540"/>
              <w:spacing w:after="0" w:line="202"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F- 5</w:t>
              </w:r>
            </w:hyperlink>
          </w:p>
        </w:tc>
      </w:tr>
      <w:tr>
        <w:trPr>
          <w:trHeight w:val="48"/>
        </w:trPr>
        <w:tc>
          <w:tcPr>
            <w:tcW w:w="26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2320" w:type="dxa"/>
            <w:vAlign w:val="bottom"/>
            <w:tcBorders>
              <w:top w:val="single" w:sz="8" w:color="0000EE"/>
            </w:tcBorders>
          </w:tcPr>
          <w:p>
            <w:pPr>
              <w:spacing w:after="0"/>
              <w:rPr>
                <w:sz w:val="4"/>
                <w:szCs w:val="4"/>
                <w:color w:val="auto"/>
              </w:rPr>
            </w:pPr>
          </w:p>
        </w:tc>
        <w:tc>
          <w:tcPr>
            <w:tcW w:w="1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03"/>
        </w:trPr>
        <w:tc>
          <w:tcPr>
            <w:tcW w:w="260" w:type="dxa"/>
            <w:vAlign w:val="bottom"/>
            <w:shd w:val="clear" w:color="auto" w:fill="CCEEFF"/>
          </w:tcPr>
          <w:p>
            <w:pPr>
              <w:spacing w:after="0"/>
              <w:rPr>
                <w:sz w:val="17"/>
                <w:szCs w:val="17"/>
                <w:color w:val="auto"/>
              </w:rPr>
            </w:pPr>
          </w:p>
        </w:tc>
        <w:tc>
          <w:tcPr>
            <w:tcW w:w="8740" w:type="dxa"/>
            <w:vAlign w:val="bottom"/>
            <w:gridSpan w:val="9"/>
            <w:shd w:val="clear" w:color="auto" w:fill="CCEEFF"/>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Statements of Cash Flows for the Years Ended December 31, 2015, 2014, and 2013</w:t>
              </w:r>
            </w:hyperlink>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6"/>
            <w:shd w:val="clear" w:color="auto" w:fill="CCEEFF"/>
          </w:tcPr>
          <w:p>
            <w:pPr>
              <w:jc w:val="center"/>
              <w:ind w:right="540"/>
              <w:spacing w:after="0" w:line="202"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F- 8</w:t>
              </w:r>
            </w:hyperlink>
          </w:p>
        </w:tc>
      </w:tr>
      <w:tr>
        <w:trPr>
          <w:trHeight w:val="48"/>
        </w:trPr>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320" w:type="dxa"/>
            <w:vAlign w:val="bottom"/>
            <w:tcBorders>
              <w:top w:val="single" w:sz="8" w:color="0000EE"/>
            </w:tcBorders>
            <w:shd w:val="clear" w:color="auto" w:fill="CCEEFF"/>
          </w:tcPr>
          <w:p>
            <w:pPr>
              <w:spacing w:after="0"/>
              <w:rPr>
                <w:sz w:val="4"/>
                <w:szCs w:val="4"/>
                <w:color w:val="auto"/>
              </w:rPr>
            </w:pPr>
          </w:p>
        </w:tc>
        <w:tc>
          <w:tcPr>
            <w:tcW w:w="1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56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r>
      <w:tr>
        <w:trPr>
          <w:trHeight w:val="203"/>
        </w:trPr>
        <w:tc>
          <w:tcPr>
            <w:tcW w:w="260" w:type="dxa"/>
            <w:vAlign w:val="bottom"/>
          </w:tcPr>
          <w:p>
            <w:pPr>
              <w:spacing w:after="0"/>
              <w:rPr>
                <w:sz w:val="17"/>
                <w:szCs w:val="17"/>
                <w:color w:val="auto"/>
              </w:rPr>
            </w:pPr>
          </w:p>
        </w:tc>
        <w:tc>
          <w:tcPr>
            <w:tcW w:w="7000" w:type="dxa"/>
            <w:vAlign w:val="bottom"/>
            <w:gridSpan w:val="6"/>
          </w:tcPr>
          <w:p>
            <w:pPr>
              <w:spacing w:after="0" w:line="202" w:lineRule="exact"/>
              <w:rPr>
                <w:rFonts w:ascii="Arial" w:cs="Arial" w:eastAsia="Arial" w:hAnsi="Arial"/>
                <w:sz w:val="18"/>
                <w:szCs w:val="18"/>
                <w:color w:val="0000EE"/>
              </w:rPr>
            </w:pPr>
            <w:hyperlink w:anchor="page110">
              <w:r>
                <w:rPr>
                  <w:rFonts w:ascii="Arial" w:cs="Arial" w:eastAsia="Arial" w:hAnsi="Arial"/>
                  <w:sz w:val="18"/>
                  <w:szCs w:val="18"/>
                  <w:color w:val="0000EE"/>
                </w:rPr>
                <w:t>Notes to Consolidated Financial Statements</w:t>
              </w:r>
            </w:hyperlink>
          </w:p>
        </w:tc>
        <w:tc>
          <w:tcPr>
            <w:tcW w:w="17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7"/>
          </w:tcPr>
          <w:p>
            <w:pPr>
              <w:jc w:val="center"/>
              <w:ind w:right="260"/>
              <w:spacing w:after="0" w:line="202"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 xml:space="preserve">F- 9 </w:t>
              </w:r>
            </w:hyperlink>
            <w:r>
              <w:rPr>
                <w:rFonts w:ascii="Arial" w:cs="Arial" w:eastAsia="Arial" w:hAnsi="Arial"/>
                <w:sz w:val="18"/>
                <w:szCs w:val="18"/>
                <w:color w:val="000000"/>
                <w:w w:val="92"/>
              </w:rPr>
              <w:t>to</w:t>
            </w:r>
            <w:r>
              <w:rPr>
                <w:rFonts w:ascii="Arial" w:cs="Arial" w:eastAsia="Arial" w:hAnsi="Arial"/>
                <w:sz w:val="18"/>
                <w:szCs w:val="18"/>
                <w:color w:val="0000EE"/>
                <w:w w:val="92"/>
              </w:rPr>
              <w:t xml:space="preserve"> </w:t>
            </w:r>
            <w:hyperlink w:anchor="page150">
              <w:r>
                <w:rPr>
                  <w:rFonts w:ascii="Arial" w:cs="Arial" w:eastAsia="Arial" w:hAnsi="Arial"/>
                  <w:sz w:val="18"/>
                  <w:szCs w:val="18"/>
                  <w:color w:val="0000EE"/>
                  <w:w w:val="92"/>
                </w:rPr>
                <w:t>F- 48</w:t>
              </w:r>
            </w:hyperlink>
          </w:p>
        </w:tc>
      </w:tr>
      <w:tr>
        <w:trPr>
          <w:trHeight w:val="20"/>
        </w:trPr>
        <w:tc>
          <w:tcPr>
            <w:tcW w:w="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F- 1</w:t>
      </w:r>
    </w:p>
    <w:p>
      <w:pPr>
        <w:sectPr>
          <w:pgSz w:w="11900" w:h="16838" w:orient="portrait"/>
          <w:cols w:equalWidth="0" w:num="1">
            <w:col w:w="10860"/>
          </w:cols>
          <w:pgMar w:left="240" w:top="130" w:right="79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income, stockholders' equity and cash flows present fairly, in all material respects, the financial position of Regeneron Pharmaceuticals,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(COSO). The Company's management is responsible for these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consolidated financial statements, effective December 31, 2015, the Company retrospectively changed the presentation of deferred income tax assets and liabilities.</w:t>
      </w:r>
    </w:p>
    <w:p>
      <w:pPr>
        <w:spacing w:after="0" w:line="2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20"/>
          </w:cols>
          <w:pgMar w:left="240" w:top="130" w:right="2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40" w:type="dxa"/>
            <w:vAlign w:val="bottom"/>
          </w:tcPr>
          <w:p>
            <w:pPr>
              <w:jc w:val="center"/>
              <w:ind w:left="207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color w:val="auto"/>
                <w:w w:val="99"/>
              </w:rPr>
              <w:t>CONSOLIDATED BALANCE SHEETS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tcPr>
          <w:p>
            <w:pPr>
              <w:jc w:val="center"/>
              <w:ind w:left="2090"/>
              <w:spacing w:after="0"/>
              <w:rPr>
                <w:sz w:val="20"/>
                <w:szCs w:val="20"/>
                <w:color w:val="auto"/>
              </w:rPr>
            </w:pPr>
            <w:r>
              <w:rPr>
                <w:rFonts w:ascii="Arial" w:cs="Arial" w:eastAsia="Arial" w:hAnsi="Arial"/>
                <w:sz w:val="18"/>
                <w:szCs w:val="18"/>
                <w:b w:val="1"/>
                <w:bCs w:val="1"/>
                <w:i w:val="1"/>
                <w:iCs w:val="1"/>
                <w:color w:val="auto"/>
                <w:w w:val="86"/>
              </w:rPr>
              <w:t>(In thousands, except share data)</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vMerge w:val="restart"/>
          </w:tcPr>
          <w:p>
            <w:pPr>
              <w:jc w:val="center"/>
              <w:ind w:left="2050"/>
              <w:spacing w:after="0"/>
              <w:rPr>
                <w:sz w:val="20"/>
                <w:szCs w:val="20"/>
                <w:color w:val="auto"/>
              </w:rPr>
            </w:pPr>
            <w:r>
              <w:rPr>
                <w:rFonts w:ascii="Arial" w:cs="Arial" w:eastAsia="Arial" w:hAnsi="Arial"/>
                <w:sz w:val="18"/>
                <w:szCs w:val="18"/>
                <w:b w:val="1"/>
                <w:bCs w:val="1"/>
                <w:color w:val="auto"/>
                <w:w w:val="94"/>
              </w:rPr>
              <w:t>ASSETS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809,102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648,719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251,761</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 trade, net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1,152,489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739,379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153,152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111,510</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Accounts receivable from Bayer HealthCare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162,152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125,483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238,578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128,861</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163,501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79,046</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2,915,095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2,084,759</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632,162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460,154</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 at cost, net of accumulated depreciation and amortization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1,594,120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974,309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461,945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315,416</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5,810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5,609,132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1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shd w:val="clear" w:color="auto" w:fill="CCEEFF"/>
          </w:tcPr>
          <w:p>
            <w:pPr>
              <w:jc w:val="center"/>
              <w:ind w:left="205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644,112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483,489</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Deferred revenue from Sanofi, current portion</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101,573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15,927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other,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51,914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58,098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97,146</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811,162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654,660</w:t>
            </w:r>
          </w:p>
        </w:tc>
        <w:tc>
          <w:tcPr>
            <w:tcW w:w="0" w:type="dxa"/>
            <w:vAlign w:val="bottom"/>
          </w:tcPr>
          <w:p>
            <w:pPr>
              <w:spacing w:after="0"/>
              <w:rPr>
                <w:sz w:val="1"/>
                <w:szCs w:val="1"/>
                <w:color w:val="auto"/>
              </w:rPr>
            </w:pPr>
          </w:p>
        </w:tc>
      </w:tr>
      <w:tr>
        <w:trPr>
          <w:trHeight w:val="122"/>
        </w:trPr>
        <w:tc>
          <w:tcPr>
            <w:tcW w:w="116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 from Sanofi</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582,664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62,819</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Deferred revenue - other</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82,015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72,430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Facility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362,919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310,938</w:t>
            </w: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146,773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39,801</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1,954,295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1,287,421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12)</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1160" w:type="dxa"/>
            <w:vAlign w:val="bottom"/>
            <w:shd w:val="clear" w:color="auto" w:fill="CCEEFF"/>
          </w:tcPr>
          <w:p>
            <w:pPr>
              <w:spacing w:after="0"/>
              <w:rPr>
                <w:sz w:val="24"/>
                <w:szCs w:val="24"/>
                <w:color w:val="auto"/>
              </w:rPr>
            </w:pPr>
          </w:p>
        </w:tc>
        <w:tc>
          <w:tcPr>
            <w:tcW w:w="6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440"/>
              <w:spacing w:after="0"/>
              <w:rPr>
                <w:sz w:val="20"/>
                <w:szCs w:val="20"/>
                <w:color w:val="auto"/>
              </w:rPr>
            </w:pPr>
            <w:r>
              <w:rPr>
                <w:rFonts w:ascii="Arial" w:cs="Arial" w:eastAsia="Arial" w:hAnsi="Arial"/>
                <w:sz w:val="18"/>
                <w:szCs w:val="18"/>
                <w:color w:val="auto"/>
              </w:rPr>
              <w:t>1,913,776 in 2015 and 1,973,368 in 2014</w:t>
            </w:r>
          </w:p>
        </w:tc>
        <w:tc>
          <w:tcPr>
            <w:tcW w:w="3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- 106,378,001 in 2015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102,475,154 in 2014</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3,099,526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2,450,782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852,700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43"/>
        </w:trPr>
        <w:tc>
          <w:tcPr>
            <w:tcW w:w="810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52,251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Treasury stock, at cost; 3,642,820 shares in 2015 and 2,017,732 in 2014</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(306,069)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(169,530)</w:t>
            </w:r>
          </w:p>
        </w:tc>
        <w:tc>
          <w:tcPr>
            <w:tcW w:w="0" w:type="dxa"/>
            <w:vAlign w:val="bottom"/>
          </w:tcPr>
          <w:p>
            <w:pPr>
              <w:spacing w:after="0"/>
              <w:rPr>
                <w:sz w:val="1"/>
                <w:szCs w:val="1"/>
                <w:color w:val="auto"/>
              </w:rPr>
            </w:pPr>
          </w:p>
        </w:tc>
      </w:tr>
      <w:tr>
        <w:trPr>
          <w:trHeight w:val="237"/>
        </w:trPr>
        <w:tc>
          <w:tcPr>
            <w:tcW w:w="8100" w:type="dxa"/>
            <w:vAlign w:val="bottom"/>
            <w:gridSpan w:val="2"/>
          </w:tcPr>
          <w:p>
            <w:pPr>
              <w:ind w:left="5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3,654,837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2,550,251</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6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5,609,132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3,837,672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294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29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17" w:right="259" w:bottom="1109"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F- 3</w:t>
      </w:r>
    </w:p>
    <w:p>
      <w:pPr>
        <w:sectPr>
          <w:pgSz w:w="11900" w:h="16838" w:orient="portrait"/>
          <w:cols w:equalWidth="0" w:num="1">
            <w:col w:w="11400"/>
          </w:cols>
          <w:pgMar w:left="240" w:top="117" w:right="259" w:bottom="1109"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6960" w:type="dxa"/>
            <w:vAlign w:val="bottom"/>
            <w:gridSpan w:val="4"/>
          </w:tcPr>
          <w:p>
            <w:pPr>
              <w:jc w:val="center"/>
              <w:ind w:left="205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66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rPr>
              <w:t>CONSOLIDATED STATEMENTS OF OPERATIONS AND COMPREHENSIVE INCOME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6960" w:type="dxa"/>
            <w:vAlign w:val="bottom"/>
            <w:gridSpan w:val="4"/>
          </w:tcPr>
          <w:p>
            <w:pPr>
              <w:jc w:val="center"/>
              <w:ind w:left="20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2,689,478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1,750,762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1,425,839</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758,873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541,299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430,111</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HealthCare collaboration revenue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580,488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495,555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220,289</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74,889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28,506</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4,103,728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2,819,557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2,104,745</w:t>
            </w:r>
          </w:p>
        </w:tc>
      </w:tr>
      <w:tr>
        <w:trPr>
          <w:trHeight w:val="277"/>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1,620,577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1,271,353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859,947</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838,526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346,393</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241,702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118,048</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Cost of collaboration and contract manufacturing</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151,007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37,307</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2,851,812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1,995,638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1,361,695</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1,251,916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823,919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743,050</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Investment and other income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(14,241)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(46,437)</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11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(62,684)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(46,668)</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1,225,097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761,235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696,382</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(589,041)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(423,109)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(282,644)</w:t>
            </w:r>
          </w:p>
        </w:tc>
      </w:tr>
      <w:tr>
        <w:trPr>
          <w:trHeight w:val="27"/>
        </w:trPr>
        <w:tc>
          <w:tcPr>
            <w:tcW w:w="11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304"/>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636,056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338,126</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413,738</w:t>
            </w:r>
          </w:p>
        </w:tc>
      </w:tr>
      <w:tr>
        <w:trPr>
          <w:trHeight w:val="271"/>
        </w:trPr>
        <w:tc>
          <w:tcPr>
            <w:tcW w:w="1160" w:type="dxa"/>
            <w:vAlign w:val="bottom"/>
            <w:shd w:val="clear" w:color="auto" w:fill="CCEEFF"/>
          </w:tcPr>
          <w:p>
            <w:pPr>
              <w:spacing w:after="0"/>
              <w:rPr>
                <w:sz w:val="23"/>
                <w:szCs w:val="23"/>
                <w:color w:val="auto"/>
              </w:rPr>
            </w:pPr>
          </w:p>
        </w:tc>
        <w:tc>
          <w:tcPr>
            <w:tcW w:w="5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Net income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4.23</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r>
      <w:tr>
        <w:trPr>
          <w:trHeight w:val="284"/>
        </w:trPr>
        <w:tc>
          <w:tcPr>
            <w:tcW w:w="11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103,061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97,917</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115,230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111,290</w:t>
            </w: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52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636,056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413,738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(loss) gain on marketable securities,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53,439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592,377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391,565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413,716</w:t>
            </w:r>
          </w:p>
        </w:tc>
      </w:tr>
      <w:tr>
        <w:trPr>
          <w:trHeight w:val="20"/>
        </w:trPr>
        <w:tc>
          <w:tcPr>
            <w:tcW w:w="11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w:t>
      </w:r>
    </w:p>
    <w:p>
      <w:pPr>
        <w:sectPr>
          <w:pgSz w:w="11900" w:h="16838" w:orient="portrait"/>
          <w:cols w:equalWidth="0" w:num="1">
            <w:col w:w="11420"/>
          </w:cols>
          <w:pgMar w:left="240" w:top="117"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20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rPr>
              <w:t>REGENERON PHARMACEUTICALS, INC.</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gridSpan w:val="14"/>
          </w:tcPr>
          <w:p>
            <w:pPr>
              <w:jc w:val="center"/>
              <w:ind w:right="52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0"/>
          </w:tcPr>
          <w:p>
            <w:pPr>
              <w:jc w:val="center"/>
              <w:ind w:right="200"/>
              <w:spacing w:after="0"/>
              <w:rPr>
                <w:sz w:val="20"/>
                <w:szCs w:val="20"/>
                <w:color w:val="auto"/>
              </w:rPr>
            </w:pPr>
            <w:r>
              <w:rPr>
                <w:rFonts w:ascii="Arial" w:cs="Arial" w:eastAsia="Arial" w:hAnsi="Arial"/>
                <w:sz w:val="18"/>
                <w:szCs w:val="18"/>
                <w:b w:val="1"/>
                <w:bCs w:val="1"/>
                <w:color w:val="auto"/>
                <w:w w:val="90"/>
              </w:rPr>
              <w:t>For the Years Ended December 31, 2015, 2014, and 2013</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jc w:val="center"/>
              <w:ind w:right="1120"/>
              <w:spacing w:after="0"/>
              <w:rPr>
                <w:sz w:val="20"/>
                <w:szCs w:val="20"/>
                <w:color w:val="auto"/>
              </w:rPr>
            </w:pPr>
            <w:r>
              <w:rPr>
                <w:rFonts w:ascii="Arial" w:cs="Arial" w:eastAsia="Arial" w:hAnsi="Arial"/>
                <w:sz w:val="18"/>
                <w:szCs w:val="18"/>
                <w:b w:val="1"/>
                <w:bCs w:val="1"/>
                <w:i w:val="1"/>
                <w:iCs w:val="1"/>
                <w:color w:val="auto"/>
                <w:w w:val="88"/>
              </w:rPr>
              <w:t>(In thousands)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Retained</w:t>
            </w:r>
          </w:p>
        </w:tc>
        <w:tc>
          <w:tcPr>
            <w:tcW w:w="15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Earnings</w:t>
            </w:r>
          </w:p>
        </w:tc>
        <w:tc>
          <w:tcPr>
            <w:tcW w:w="156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22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5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Deficit)</w:t>
            </w:r>
          </w:p>
        </w:tc>
        <w:tc>
          <w:tcPr>
            <w:tcW w:w="68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95,223</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95</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$1,792,907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(535,220)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  1,256,618</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54,759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54,762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 tendered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and vesting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restricted stock 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connection with</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(195,086)</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(195,087)</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Company 401(k)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5,718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under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Conversion of Class A</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to Common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charges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217,080</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217,080</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Excess tax benefit from</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211,909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211,909</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413,738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413,738</w:t>
            </w:r>
          </w:p>
        </w:tc>
        <w:tc>
          <w:tcPr>
            <w:tcW w:w="0" w:type="dxa"/>
            <w:vAlign w:val="bottom"/>
          </w:tcPr>
          <w:p>
            <w:pPr>
              <w:spacing w:after="0"/>
              <w:rPr>
                <w:sz w:val="1"/>
                <w:szCs w:val="1"/>
                <w:color w:val="auto"/>
              </w:rPr>
            </w:pP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w w:val="96"/>
              </w:rPr>
              <w:t>Other comprehensive loss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Balance, December 31,</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97,667</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2,087,287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(121,482)</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1,964,716</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options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125,893</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125,897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 Stock tendered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upon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options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employee tax</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obligations</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(267,583)</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(267,584)</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with conversion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w w:val="97"/>
              </w:rPr>
              <w:t>convertible senior notes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691,354</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691,356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Company 401(k)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contribution</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13,125</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Common Stock under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Long-Term Incentive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00"/>
              <w:spacing w:after="0"/>
              <w:rPr>
                <w:sz w:val="20"/>
                <w:szCs w:val="20"/>
                <w:color w:val="auto"/>
              </w:rPr>
            </w:pPr>
            <w:r>
              <w:rPr>
                <w:rFonts w:ascii="Arial" w:cs="Arial" w:eastAsia="Arial" w:hAnsi="Arial"/>
                <w:sz w:val="18"/>
                <w:szCs w:val="18"/>
                <w:color w:val="auto"/>
              </w:rPr>
              <w:t>Plan</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Conversion of Class A</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to Common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compensation charges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326,815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326,815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color w:val="auto"/>
        </w:rPr>
        <w:t>F- 5</w:t>
      </w:r>
    </w:p>
    <w:p>
      <w:pPr>
        <w:sectPr>
          <w:pgSz w:w="11900" w:h="16838" w:orient="portrait"/>
          <w:cols w:equalWidth="0" w:num="1">
            <w:col w:w="9019"/>
          </w:cols>
          <w:pgMar w:left="1440" w:top="368"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84"/>
        </w:trPr>
        <w:tc>
          <w:tcPr>
            <w:tcW w:w="20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20" w:type="dxa"/>
            <w:vAlign w:val="bottom"/>
            <w:gridSpan w:val="15"/>
          </w:tcPr>
          <w:p>
            <w:pPr>
              <w:ind w:left="20"/>
              <w:spacing w:after="0"/>
              <w:rPr>
                <w:sz w:val="20"/>
                <w:szCs w:val="20"/>
                <w:color w:val="auto"/>
              </w:rPr>
            </w:pPr>
            <w:r>
              <w:rPr>
                <w:rFonts w:ascii="Arial" w:cs="Arial" w:eastAsia="Arial" w:hAnsi="Arial"/>
                <w:sz w:val="18"/>
                <w:szCs w:val="18"/>
                <w:b w:val="1"/>
                <w:bCs w:val="1"/>
                <w:color w:val="auto"/>
              </w:rPr>
              <w:t>CONSOLIDATED STATEMENTS OF STOCKHOLDERS' EQUITY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62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Retained</w:t>
            </w:r>
          </w:p>
        </w:tc>
        <w:tc>
          <w:tcPr>
            <w:tcW w:w="170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1620" w:type="dxa"/>
            <w:vAlign w:val="bottom"/>
            <w:gridSpan w:val="4"/>
            <w:vMerge w:val="continue"/>
          </w:tcPr>
          <w:p>
            <w:pPr>
              <w:spacing w:after="0"/>
              <w:rPr>
                <w:sz w:val="19"/>
                <w:szCs w:val="19"/>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Earnings</w:t>
            </w:r>
          </w:p>
        </w:tc>
        <w:tc>
          <w:tcPr>
            <w:tcW w:w="1700" w:type="dxa"/>
            <w:vAlign w:val="bottom"/>
            <w:gridSpan w:val="4"/>
            <w:vMerge w:val="continue"/>
          </w:tcPr>
          <w:p>
            <w:pPr>
              <w:spacing w:after="0"/>
              <w:rPr>
                <w:sz w:val="19"/>
                <w:szCs w:val="19"/>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20"/>
                <w:szCs w:val="20"/>
                <w:color w:val="auto"/>
              </w:rPr>
            </w:pP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82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Deficit)</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439,278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439,278</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Acquisition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with exercise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convertible note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hedges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169,530</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$(169,530)</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 of warrants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(294,552)</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Reclassification of</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warrant liability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(148,496)</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(148,496)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Reduction of equity</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component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senior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(691,869)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(691,869)</w:t>
            </w:r>
          </w:p>
        </w:tc>
        <w:tc>
          <w:tcPr>
            <w:tcW w:w="0" w:type="dxa"/>
            <w:vAlign w:val="bottom"/>
          </w:tcPr>
          <w:p>
            <w:pPr>
              <w:spacing w:after="0"/>
              <w:rPr>
                <w:sz w:val="1"/>
                <w:szCs w:val="1"/>
                <w:color w:val="auto"/>
              </w:rPr>
            </w:pP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338,126</w:t>
            </w:r>
          </w:p>
        </w:tc>
        <w:tc>
          <w:tcPr>
            <w:tcW w:w="12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338,126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net of tax</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53,439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53,439</w:t>
            </w:r>
          </w:p>
        </w:tc>
        <w:tc>
          <w:tcPr>
            <w:tcW w:w="0" w:type="dxa"/>
            <w:vAlign w:val="bottom"/>
          </w:tcPr>
          <w:p>
            <w:pPr>
              <w:spacing w:after="0"/>
              <w:rPr>
                <w:sz w:val="1"/>
                <w:szCs w:val="1"/>
                <w:color w:val="auto"/>
              </w:rPr>
            </w:pPr>
          </w:p>
        </w:tc>
      </w:tr>
      <w:tr>
        <w:trPr>
          <w:trHeight w:val="205"/>
        </w:trPr>
        <w:tc>
          <w:tcPr>
            <w:tcW w:w="200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w w:val="98"/>
              </w:rPr>
              <w:t>Balance, December 31,</w:t>
            </w:r>
          </w:p>
        </w:tc>
        <w:tc>
          <w:tcPr>
            <w:tcW w:w="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2014</w:t>
            </w:r>
          </w:p>
        </w:tc>
        <w:tc>
          <w:tcPr>
            <w:tcW w:w="840" w:type="dxa"/>
            <w:vAlign w:val="bottom"/>
          </w:tcPr>
          <w:p>
            <w:pPr>
              <w:spacing w:after="0"/>
              <w:rPr>
                <w:sz w:val="20"/>
                <w:szCs w:val="20"/>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1,973</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102,475</w:t>
            </w: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2,450,782</w:t>
            </w: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216,644</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(169,530)</w:t>
            </w:r>
          </w:p>
        </w:tc>
        <w:tc>
          <w:tcPr>
            <w:tcW w:w="12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52,251</w:t>
            </w:r>
          </w:p>
        </w:tc>
        <w:tc>
          <w:tcPr>
            <w:tcW w:w="1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2,550,251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 stock</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options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215,460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215,462</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w w:val="97"/>
              </w:rPr>
              <w:t>Common Stock tendered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w w:val="99"/>
              </w:rPr>
              <w:t>upon exercise of stock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options and vesting of</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restricted stock in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connection with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employee tax</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obligations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(160,538)</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(160,538)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conversion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senior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notes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818,358</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818,360</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Issuance of Common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with Company 401(k)</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Savings Plan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contribution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15,382</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15,382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Common Stock under</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Incentive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Plan</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Conversion of Class A</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Stock to Common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Stock</w:t>
            </w: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charges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464,022</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464,022</w:t>
            </w:r>
          </w:p>
        </w:tc>
        <w:tc>
          <w:tcPr>
            <w:tcW w:w="0" w:type="dxa"/>
            <w:vAlign w:val="bottom"/>
          </w:tcPr>
          <w:p>
            <w:pPr>
              <w:spacing w:after="0"/>
              <w:rPr>
                <w:sz w:val="1"/>
                <w:szCs w:val="1"/>
                <w:color w:val="auto"/>
              </w:rPr>
            </w:pPr>
          </w:p>
        </w:tc>
      </w:tr>
      <w:tr>
        <w:trPr>
          <w:trHeight w:val="229"/>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Excess tax benefit from</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stock-based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gridSpan w:val="2"/>
          </w:tcPr>
          <w:p>
            <w:pPr>
              <w:ind w:left="200"/>
              <w:spacing w:after="0"/>
              <w:rPr>
                <w:sz w:val="20"/>
                <w:szCs w:val="20"/>
                <w:color w:val="auto"/>
              </w:rPr>
            </w:pPr>
            <w:r>
              <w:rPr>
                <w:rFonts w:ascii="Arial" w:cs="Arial" w:eastAsia="Arial" w:hAnsi="Arial"/>
                <w:sz w:val="18"/>
                <w:szCs w:val="18"/>
                <w:color w:val="auto"/>
              </w:rPr>
              <w:t>compensation</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405,317</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405,317</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Common</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 in connection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with exercise of</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convertible note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hedges</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136,539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(1,625)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(136,539)</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Reduction of warrants</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(449,456)</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(449,456)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Reclassification of</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warrant liability</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23,317</w:t>
            </w:r>
          </w:p>
        </w:tc>
        <w:tc>
          <w:tcPr>
            <w:tcW w:w="0" w:type="dxa"/>
            <w:vAlign w:val="bottom"/>
          </w:tcPr>
          <w:p>
            <w:pPr>
              <w:spacing w:after="0"/>
              <w:rPr>
                <w:sz w:val="1"/>
                <w:szCs w:val="1"/>
                <w:color w:val="auto"/>
              </w:rPr>
            </w:pPr>
          </w:p>
        </w:tc>
      </w:tr>
      <w:tr>
        <w:trPr>
          <w:trHeight w:val="243"/>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Reduction of equity</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(819,657)</w:t>
            </w:r>
          </w:p>
        </w:tc>
        <w:tc>
          <w:tcPr>
            <w:tcW w:w="10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(819,657)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component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convertible senior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65"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F- 6</w:t>
      </w:r>
    </w:p>
    <w:p>
      <w:pPr>
        <w:sectPr>
          <w:pgSz w:w="11900" w:h="16838" w:orient="portrait"/>
          <w:cols w:equalWidth="0" w:num="1">
            <w:col w:w="10019"/>
          </w:cols>
          <w:pgMar w:left="440" w:top="125"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4"/>
        </w:trPr>
        <w:tc>
          <w:tcPr>
            <w:tcW w:w="19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1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0" w:type="dxa"/>
            <w:vAlign w:val="bottom"/>
            <w:gridSpan w:val="15"/>
          </w:tcPr>
          <w:p>
            <w:pPr>
              <w:spacing w:after="0"/>
              <w:rPr>
                <w:sz w:val="20"/>
                <w:szCs w:val="20"/>
                <w:color w:val="auto"/>
              </w:rPr>
            </w:pPr>
            <w:r>
              <w:rPr>
                <w:rFonts w:ascii="Arial" w:cs="Arial" w:eastAsia="Arial" w:hAnsi="Arial"/>
                <w:sz w:val="18"/>
                <w:szCs w:val="18"/>
                <w:b w:val="1"/>
                <w:bCs w:val="1"/>
                <w:color w:val="auto"/>
              </w:rPr>
              <w:t>CONSOLIDATED STATEMENTS OF STOCKHOLDERS' EQUITY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Class A Stock</w:t>
            </w:r>
          </w:p>
        </w:tc>
        <w:tc>
          <w:tcPr>
            <w:tcW w:w="1580" w:type="dxa"/>
            <w:vAlign w:val="bottom"/>
            <w:gridSpan w:val="4"/>
            <w:vMerge w:val="restart"/>
          </w:tcPr>
          <w:p>
            <w:pPr>
              <w:ind w:left="160"/>
              <w:spacing w:after="0"/>
              <w:rPr>
                <w:sz w:val="20"/>
                <w:szCs w:val="20"/>
                <w:color w:val="auto"/>
              </w:rPr>
            </w:pPr>
            <w:r>
              <w:rPr>
                <w:rFonts w:ascii="Arial" w:cs="Arial" w:eastAsia="Arial" w:hAnsi="Arial"/>
                <w:sz w:val="18"/>
                <w:szCs w:val="18"/>
                <w:b w:val="1"/>
                <w:bCs w:val="1"/>
                <w:color w:val="auto"/>
              </w:rPr>
              <w:t>Common Stock</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Retained</w:t>
            </w:r>
          </w:p>
        </w:tc>
        <w:tc>
          <w:tcPr>
            <w:tcW w:w="1700" w:type="dxa"/>
            <w:vAlign w:val="bottom"/>
            <w:gridSpan w:val="4"/>
            <w:vMerge w:val="restart"/>
          </w:tcPr>
          <w:p>
            <w:pPr>
              <w:ind w:left="220"/>
              <w:spacing w:after="0"/>
              <w:rPr>
                <w:sz w:val="20"/>
                <w:szCs w:val="20"/>
                <w:color w:val="auto"/>
              </w:rPr>
            </w:pPr>
            <w:r>
              <w:rPr>
                <w:rFonts w:ascii="Arial" w:cs="Arial" w:eastAsia="Arial" w:hAnsi="Arial"/>
                <w:sz w:val="18"/>
                <w:szCs w:val="18"/>
                <w:b w:val="1"/>
                <w:bCs w:val="1"/>
                <w:color w:val="auto"/>
              </w:rPr>
              <w:t>Treasury Stock</w:t>
            </w: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60" w:type="dxa"/>
            <w:vAlign w:val="bottom"/>
            <w:gridSpan w:val="5"/>
            <w:vMerge w:val="continue"/>
          </w:tcPr>
          <w:p>
            <w:pPr>
              <w:spacing w:after="0"/>
              <w:rPr>
                <w:sz w:val="19"/>
                <w:szCs w:val="19"/>
                <w:color w:val="auto"/>
              </w:rPr>
            </w:pPr>
          </w:p>
        </w:tc>
        <w:tc>
          <w:tcPr>
            <w:tcW w:w="1580" w:type="dxa"/>
            <w:vAlign w:val="bottom"/>
            <w:gridSpan w:val="4"/>
            <w:vMerge w:val="continue"/>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Earnings</w:t>
            </w:r>
          </w:p>
        </w:tc>
        <w:tc>
          <w:tcPr>
            <w:tcW w:w="1700" w:type="dxa"/>
            <w:vAlign w:val="bottom"/>
            <w:gridSpan w:val="4"/>
            <w:vMerge w:val="continue"/>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2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6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780" w:type="dxa"/>
            <w:vAlign w:val="bottom"/>
            <w:gridSpan w:val="2"/>
          </w:tcPr>
          <w:p>
            <w:pPr>
              <w:ind w:left="80"/>
              <w:spacing w:after="0"/>
              <w:rPr>
                <w:sz w:val="20"/>
                <w:szCs w:val="20"/>
                <w:color w:val="auto"/>
              </w:rPr>
            </w:pPr>
            <w:r>
              <w:rPr>
                <w:rFonts w:ascii="Arial" w:cs="Arial" w:eastAsia="Arial" w:hAnsi="Arial"/>
                <w:sz w:val="18"/>
                <w:szCs w:val="18"/>
                <w:b w:val="1"/>
                <w:bCs w:val="1"/>
                <w:color w:val="auto"/>
              </w:rPr>
              <w:t>Shares</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Deficit)</w:t>
            </w:r>
          </w:p>
        </w:tc>
        <w:tc>
          <w:tcPr>
            <w:tcW w:w="70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2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636,056</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636,056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9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 of tax</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(43,679)</w:t>
            </w:r>
          </w:p>
        </w:tc>
        <w:tc>
          <w:tcPr>
            <w:tcW w:w="0" w:type="dxa"/>
            <w:vAlign w:val="bottom"/>
          </w:tcPr>
          <w:p>
            <w:pPr>
              <w:spacing w:after="0"/>
              <w:rPr>
                <w:sz w:val="1"/>
                <w:szCs w:val="1"/>
                <w:color w:val="auto"/>
              </w:rPr>
            </w:pPr>
          </w:p>
        </w:tc>
      </w:tr>
      <w:tr>
        <w:trPr>
          <w:trHeight w:val="205"/>
        </w:trPr>
        <w:tc>
          <w:tcPr>
            <w:tcW w:w="1920" w:type="dxa"/>
            <w:vAlign w:val="bottom"/>
            <w:gridSpan w:val="2"/>
          </w:tcPr>
          <w:p>
            <w:pPr>
              <w:ind w:left="40"/>
              <w:spacing w:after="0" w:line="205" w:lineRule="exact"/>
              <w:rPr>
                <w:sz w:val="20"/>
                <w:szCs w:val="20"/>
                <w:color w:val="auto"/>
              </w:rPr>
            </w:pPr>
            <w:r>
              <w:rPr>
                <w:rFonts w:ascii="Arial" w:cs="Arial" w:eastAsia="Arial" w:hAnsi="Arial"/>
                <w:sz w:val="18"/>
                <w:szCs w:val="18"/>
                <w:b w:val="1"/>
                <w:bCs w:val="1"/>
                <w:color w:val="auto"/>
              </w:rPr>
              <w:t>Balance, December</w:t>
            </w:r>
          </w:p>
        </w:tc>
        <w:tc>
          <w:tcPr>
            <w:tcW w:w="5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7"/>
              </w:rPr>
              <w:t>1,913</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106,378</w:t>
            </w:r>
          </w:p>
        </w:tc>
        <w:tc>
          <w:tcPr>
            <w:tcW w:w="100" w:type="dxa"/>
            <w:vAlign w:val="bottom"/>
          </w:tcPr>
          <w:p>
            <w:pPr>
              <w:spacing w:after="0"/>
              <w:rPr>
                <w:sz w:val="17"/>
                <w:szCs w:val="17"/>
                <w:color w:val="auto"/>
              </w:rPr>
            </w:pPr>
          </w:p>
        </w:tc>
        <w:tc>
          <w:tcPr>
            <w:tcW w:w="7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  106</w:t>
            </w:r>
          </w:p>
        </w:tc>
        <w:tc>
          <w:tcPr>
            <w:tcW w:w="100" w:type="dxa"/>
            <w:vAlign w:val="bottom"/>
          </w:tcPr>
          <w:p>
            <w:pPr>
              <w:spacing w:after="0"/>
              <w:rPr>
                <w:sz w:val="17"/>
                <w:szCs w:val="17"/>
                <w:color w:val="auto"/>
              </w:rPr>
            </w:pP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3"/>
              </w:rPr>
              <w:t>$3,099,526</w:t>
            </w:r>
          </w:p>
        </w:tc>
        <w:tc>
          <w:tcPr>
            <w:tcW w:w="100" w:type="dxa"/>
            <w:vAlign w:val="bottom"/>
          </w:tcPr>
          <w:p>
            <w:pPr>
              <w:spacing w:after="0"/>
              <w:rPr>
                <w:sz w:val="17"/>
                <w:szCs w:val="17"/>
                <w:color w:val="auto"/>
              </w:rPr>
            </w:pPr>
          </w:p>
        </w:tc>
        <w:tc>
          <w:tcPr>
            <w:tcW w:w="11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   852,700</w:t>
            </w:r>
          </w:p>
        </w:tc>
        <w:tc>
          <w:tcPr>
            <w:tcW w:w="120" w:type="dxa"/>
            <w:vAlign w:val="bottom"/>
          </w:tcPr>
          <w:p>
            <w:pPr>
              <w:spacing w:after="0"/>
              <w:rPr>
                <w:sz w:val="17"/>
                <w:szCs w:val="17"/>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(3,643)</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4"/>
              </w:rPr>
              <w:t>$(306,069)</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8,572</w:t>
            </w:r>
          </w:p>
        </w:tc>
        <w:tc>
          <w:tcPr>
            <w:tcW w:w="100" w:type="dxa"/>
            <w:vAlign w:val="bottom"/>
          </w:tcPr>
          <w:p>
            <w:pPr>
              <w:spacing w:after="0"/>
              <w:rPr>
                <w:sz w:val="17"/>
                <w:szCs w:val="17"/>
                <w:color w:val="auto"/>
              </w:rPr>
            </w:pPr>
          </w:p>
        </w:tc>
        <w:tc>
          <w:tcPr>
            <w:tcW w:w="11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5"/>
              </w:rPr>
              <w:t>$  3,654,837</w:t>
            </w:r>
          </w:p>
        </w:tc>
        <w:tc>
          <w:tcPr>
            <w:tcW w:w="0" w:type="dxa"/>
            <w:vAlign w:val="bottom"/>
          </w:tcPr>
          <w:p>
            <w:pPr>
              <w:spacing w:after="0"/>
              <w:rPr>
                <w:sz w:val="1"/>
                <w:szCs w:val="1"/>
                <w:color w:val="auto"/>
              </w:rPr>
            </w:pPr>
          </w:p>
        </w:tc>
      </w:tr>
      <w:tr>
        <w:trPr>
          <w:trHeight w:val="246"/>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31, 2015</w:t>
            </w:r>
          </w:p>
        </w:tc>
        <w:tc>
          <w:tcPr>
            <w:tcW w:w="760" w:type="dxa"/>
            <w:vAlign w:val="bottom"/>
          </w:tcPr>
          <w:p>
            <w:pPr>
              <w:spacing w:after="0"/>
              <w:rPr>
                <w:sz w:val="20"/>
                <w:szCs w:val="20"/>
                <w:color w:val="auto"/>
              </w:rPr>
            </w:pPr>
          </w:p>
        </w:tc>
        <w:tc>
          <w:tcPr>
            <w:tcW w:w="5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118"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84"/>
        </w:trPr>
        <w:tc>
          <w:tcPr>
            <w:tcW w:w="676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48"/>
        </w:trPr>
        <w:tc>
          <w:tcPr>
            <w:tcW w:w="1160" w:type="dxa"/>
            <w:vAlign w:val="bottom"/>
            <w:tcBorders>
              <w:top w:val="single" w:sz="8" w:color="0000EE"/>
            </w:tcBorders>
          </w:tcPr>
          <w:p>
            <w:pPr>
              <w:spacing w:after="0"/>
              <w:rPr>
                <w:sz w:val="24"/>
                <w:szCs w:val="24"/>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7200" w:type="dxa"/>
            <w:vAlign w:val="bottom"/>
            <w:gridSpan w:val="4"/>
          </w:tcPr>
          <w:p>
            <w:pPr>
              <w:jc w:val="center"/>
              <w:ind w:left="18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5600" w:type="dxa"/>
            <w:vAlign w:val="bottom"/>
          </w:tcPr>
          <w:p>
            <w:pPr>
              <w:jc w:val="center"/>
              <w:ind w:left="341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4"/>
                <w:szCs w:val="24"/>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636,056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338,126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413,738</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74,909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52,686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41,204</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215,377</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18,861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46,751</w:t>
            </w:r>
          </w:p>
        </w:tc>
      </w:tr>
      <w:tr>
        <w:trPr>
          <w:trHeight w:val="243"/>
        </w:trPr>
        <w:tc>
          <w:tcPr>
            <w:tcW w:w="6760" w:type="dxa"/>
            <w:vAlign w:val="bottom"/>
            <w:gridSpan w:val="2"/>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62,195</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Sanofi, Bayer HealthCare, and trade accounts receivable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(491,421)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(245,472)</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(111,825)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(47,956)</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(79,476)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7,571</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(41,496)</w:t>
            </w:r>
          </w:p>
        </w:tc>
      </w:tr>
      <w:tr>
        <w:trPr>
          <w:trHeight w:val="243"/>
        </w:trPr>
        <w:tc>
          <w:tcPr>
            <w:tcW w:w="6760" w:type="dxa"/>
            <w:vAlign w:val="bottom"/>
            <w:gridSpan w:val="2"/>
          </w:tcPr>
          <w:p>
            <w:pPr>
              <w:ind w:left="500"/>
              <w:spacing w:after="0"/>
              <w:rPr>
                <w:sz w:val="20"/>
                <w:szCs w:val="20"/>
                <w:color w:val="auto"/>
              </w:rPr>
            </w:pPr>
            <w:r>
              <w:rPr>
                <w:rFonts w:ascii="Arial" w:cs="Arial" w:eastAsia="Arial" w:hAnsi="Arial"/>
                <w:sz w:val="18"/>
                <w:szCs w:val="18"/>
                <w:color w:val="auto"/>
              </w:rPr>
              <w:t>Increase in accounts payable, accrued expenses, and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303,657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161,182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136,684</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414,309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174,858</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1,330,780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752,435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588,596</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(564,188)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(577,278)</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327,437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476,417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378,146</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(333,006)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(156,323)</w:t>
            </w:r>
          </w:p>
        </w:tc>
      </w:tr>
      <w:tr>
        <w:trPr>
          <w:trHeight w:val="237"/>
        </w:trPr>
        <w:tc>
          <w:tcPr>
            <w:tcW w:w="6760" w:type="dxa"/>
            <w:vAlign w:val="bottom"/>
            <w:gridSpan w:val="2"/>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(907,601)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(355,455)</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Proceeds (payments) in connection with facility and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(166,467)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(220,639)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206,358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57,393</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7"/>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(195,087)</w:t>
            </w: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Excess tax benefit from stock-based compensation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405,317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439,278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211,909</w:t>
            </w:r>
          </w:p>
        </w:tc>
      </w:tr>
      <w:tr>
        <w:trPr>
          <w:trHeight w:val="27"/>
        </w:trPr>
        <w:tc>
          <w:tcPr>
            <w:tcW w:w="1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72,191</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305,332</w:t>
            </w:r>
          </w:p>
        </w:tc>
      </w:tr>
      <w:tr>
        <w:trPr>
          <w:trHeight w:val="284"/>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648,719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535,608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r>
      <w:tr>
        <w:trPr>
          <w:trHeight w:val="277"/>
        </w:trPr>
        <w:tc>
          <w:tcPr>
            <w:tcW w:w="1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809,102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535,608</w:t>
            </w:r>
          </w:p>
        </w:tc>
      </w:tr>
      <w:tr>
        <w:trPr>
          <w:trHeight w:val="20"/>
        </w:trPr>
        <w:tc>
          <w:tcPr>
            <w:tcW w:w="1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5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gridSpan w:val="2"/>
          </w:tcPr>
          <w:p>
            <w:pPr>
              <w:ind w:left="280"/>
              <w:spacing w:after="0"/>
              <w:rPr>
                <w:sz w:val="20"/>
                <w:szCs w:val="20"/>
                <w:color w:val="auto"/>
              </w:rPr>
            </w:pPr>
            <w:r>
              <w:rPr>
                <w:rFonts w:ascii="Arial" w:cs="Arial" w:eastAsia="Arial" w:hAnsi="Arial"/>
                <w:sz w:val="18"/>
                <w:szCs w:val="18"/>
                <w:color w:val="auto"/>
              </w:rPr>
              <w:t>Cash paid for interest (net of amounts capitalized)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10,582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23,197</w:t>
            </w:r>
          </w:p>
        </w:tc>
      </w:tr>
      <w:tr>
        <w:trPr>
          <w:trHeight w:val="27"/>
        </w:trPr>
        <w:tc>
          <w:tcPr>
            <w:tcW w:w="1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Cash paid for income taxes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276,092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1,057</w:t>
            </w:r>
          </w:p>
        </w:tc>
      </w:tr>
      <w:tr>
        <w:trPr>
          <w:trHeight w:val="27"/>
        </w:trPr>
        <w:tc>
          <w:tcPr>
            <w:tcW w:w="1160" w:type="dxa"/>
            <w:vAlign w:val="bottom"/>
            <w:shd w:val="clear" w:color="auto" w:fill="CCEEFF"/>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F- 8</w:t>
      </w:r>
    </w:p>
    <w:p>
      <w:pPr>
        <w:sectPr>
          <w:pgSz w:w="11900" w:h="16838" w:orient="portrait"/>
          <w:cols w:equalWidth="0" w:num="1">
            <w:col w:w="11420"/>
          </w:cols>
          <w:pgMar w:left="240" w:top="117" w:right="239" w:bottom="1440" w:gutter="0" w:footer="0" w:header="0"/>
          <w:type w:val="continuous"/>
        </w:sectPr>
      </w:pPr>
    </w:p>
    <w:bookmarkStart w:id="110" w:name="page111"/>
    <w:bookmarkEnd w:id="1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Regeneron Pharmaceuticals, Inc. and its subsidiaries (collectively, the "Company" or "Regeneron") is a fully integrated biopharmaceutical company that discovers, invents, develops, manufactures, and commercializes medicines for the treatment of serious medical conditions. The Company has product candidates in development in areas of high unmet medical need, including oncology, rheumatoid arthritis, asthma, atopic dermatitis, pain, and infectious diseases. The Company is a party to collaboration agreements to develop certain of these product candidates (see Note 3). The Company currently has three marketed products:</w:t>
      </w:r>
    </w:p>
    <w:p>
      <w:pPr>
        <w:spacing w:after="0" w:line="242" w:lineRule="exact"/>
        <w:rPr>
          <w:sz w:val="20"/>
          <w:szCs w:val="20"/>
          <w:color w:val="auto"/>
        </w:rPr>
      </w:pPr>
    </w:p>
    <w:p>
      <w:pPr>
        <w:jc w:val="both"/>
        <w:ind w:left="660" w:hanging="328"/>
        <w:spacing w:after="0" w:line="237"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EYLEA</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(aflibercept) Injection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known in the scientific literature as VEGF Trap-Eye, which is available in the United States, European Union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("EU"), 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Japan and the EU for the treatment of myopic choroidal neovascularization ("mCNV") and in the United States for the treatment of diabetic retinopathy in patients with DME.</w:t>
      </w:r>
    </w:p>
    <w:p>
      <w:pPr>
        <w:spacing w:after="0" w:line="44" w:lineRule="exact"/>
        <w:rPr>
          <w:rFonts w:ascii="Arial" w:cs="Arial" w:eastAsia="Arial" w:hAnsi="Arial"/>
          <w:sz w:val="18"/>
          <w:szCs w:val="18"/>
          <w:b w:val="1"/>
          <w:bCs w:val="1"/>
          <w:i w:val="1"/>
          <w:iCs w:val="1"/>
          <w:color w:val="auto"/>
        </w:rPr>
      </w:pPr>
    </w:p>
    <w:p>
      <w:pPr>
        <w:jc w:val="both"/>
        <w:ind w:left="660" w:hanging="328"/>
        <w:spacing w:after="0" w:line="256" w:lineRule="auto"/>
        <w:tabs>
          <w:tab w:leader="none" w:pos="660" w:val="left"/>
        </w:tabs>
        <w:numPr>
          <w:ilvl w:val="0"/>
          <w:numId w:val="3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Praluent</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(alirocumab) Injection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was approved by the U.S. Food and Drug Administration ("FDA") in July 2015 as an adjunct to diet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maximally tolerated statin therapy for the treatment of adults with heterozygous familial hypercholesterolemia or clinical atherosclerotic cardiovascular disease ("ASCVD"), who require additional lowering of low-density lipoprotein ("LDL") cholesterol. In September 2015, the European Commission granted marketing authorization of Praluent for the treatment of adult patients with primary hypercholesterolemia (heterozygous familial hypercholesterolemia ("HeFH") and non-familial) or mixed dyslipidemia as an adjunct to diet: (a) in combination with a statin, or statin with other lipid-lowering therapies in patients unable to reach their LDL-cholesterol goals with the maximally-tolerated dose of a statin, or (b) alone or in combination with other lipid-lowering therapies for patients who are statin intolerant, or for whom a statin is contraindicated. The effect of Praluent on cardiovascular morbidity and mortality has not been determined.</w:t>
      </w:r>
    </w:p>
    <w:p>
      <w:pPr>
        <w:spacing w:after="0" w:line="82" w:lineRule="exact"/>
        <w:rPr>
          <w:rFonts w:ascii="Arial" w:cs="Arial" w:eastAsia="Arial" w:hAnsi="Arial"/>
          <w:sz w:val="17"/>
          <w:szCs w:val="17"/>
          <w:b w:val="1"/>
          <w:bCs w:val="1"/>
          <w:i w:val="1"/>
          <w:iCs w:val="1"/>
          <w:color w:val="auto"/>
        </w:rPr>
      </w:pPr>
    </w:p>
    <w:p>
      <w:pPr>
        <w:jc w:val="both"/>
        <w:ind w:left="660" w:hanging="328"/>
        <w:spacing w:after="0" w:line="226" w:lineRule="auto"/>
        <w:tabs>
          <w:tab w:leader="none" w:pos="6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(rilonacept) Injection for Subcutaneous Use</w:t>
      </w:r>
      <w:r>
        <w:rPr>
          <w:rFonts w:ascii="Arial" w:cs="Arial" w:eastAsia="Arial" w:hAnsi="Arial"/>
          <w:sz w:val="18"/>
          <w:szCs w:val="18"/>
          <w:color w:val="auto"/>
        </w:rPr>
        <w:t>, which is available in the United States for the treatment of Cryopyrin-Associated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Periodic Syndromes ("CAPS"), including Familial Cold Auto-inflammatory Syndrome ("FCAS") and Muckle-Wells Syndrome ("MWS"), in adults and children 12 and older.</w:t>
      </w:r>
    </w:p>
    <w:p>
      <w:pPr>
        <w:spacing w:after="0" w:line="25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operates in one business segment, which includes all activities related to the discovery, development, and commercialization of pharmaceutical products for the treatment of serious medical conditions. The Company's business is subject to certain risks including, but not limited to, uncertainties relating to conducting pharmaceutical research, product development, obtaining regulatory approvals, market acceptance, competition, and obtaining and enforcing patents.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financial statements include the accounts of Regeneron and its wholly-owned subsidiaries. Intercompany balances and transactions are eliminated in consolidation.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previously issued (i) Consolidated Balance Sheet as of December 31, 2014 contained in the Company's Annual Report on Form 10-K for the year ended December 31, 2014, and (ii) Consolidated Statements of Operations and Comprehensive Income for the years ended December 31, 2014 and 2013, Consolidated Statements of Stockholders' Equity for the years ended December 31, 2014 and 2013, and Consolidated Statements of Cash Flows for the years ended December 31, 2014 and 2013 contained in the Company's Annual Report on Form 10-K for the year ended December 31, 2014, have each been revised in this Annual Report on Form 10-K to reflect a correction in the Company's accounting for certain stock option awards. See Note 14.</w:t>
      </w:r>
    </w:p>
    <w:p>
      <w:pPr>
        <w:spacing w:after="0" w:line="2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addition, the previously issued Consolidated Balance Sheet as of December 31, 2014 in this Annual Report on Form 10-K was revised to reflect a correction related to the accounting for costs incurred in connection with commercial bulk drug product manufactured by the Company, but not billed, under the Company's collaboration agreements with Sanofi and Bayer HealthCare LLC, and the related tax impacts. The correcting adjustments resulted in a reduction to both accounts receivable and deferred revenue by $41.0 million, and reduced both income tax assets, net and additional paid-in capital by $14.2 million. The previously issued Consolidated Statements of Cash Flows for the years ended December 31, 2014 and 2013 were also revised in this Annual Report on Form 10-K to reflect a $9.3 million and $4.9 million increase, respectively, in cash flows from operating activities and</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F- 9</w:t>
      </w:r>
    </w:p>
    <w:p>
      <w:pPr>
        <w:sectPr>
          <w:pgSz w:w="11900" w:h="16838" w:orient="portrait"/>
          <w:cols w:equalWidth="0" w:num="1">
            <w:col w:w="11420"/>
          </w:cols>
          <w:pgMar w:left="240" w:top="130" w:right="239" w:bottom="1440" w:gutter="0" w:footer="0" w:header="0"/>
          <w:type w:val="continuous"/>
        </w:sectPr>
      </w:pPr>
    </w:p>
    <w:bookmarkStart w:id="111" w:name="page112"/>
    <w:bookmarkEnd w:id="1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corresponding reduction in cash flows from financing activities related to the tax impact of these adjustments. These adjustments had no impact on the Company's previously issued Consolidated Statements of Operations and Comprehensive Income in any reporting period. The Company determined that the error is not material to any previously-issued financial statements.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 provisions related to product sales, such as rebates, chargebacks, and distribution-related fees; periods over which payments, including non-refundable up-front, license, and milestone payments, are recognized as revenue in connection with collaboration and other agreements; periods over which certain clinical trial costs are recognized; fair value of stock options; inventory that may expire prior to expected sale or has a cost basis in excess of its estimated realizable value; capitalization of inventory costs associated with the Company's products prior to regulatory approval; deferred tax asset valuation allowances; and the assessment of uncertain tax positions.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 respect to the Company's collaborations with Sanofi and Bayer HealthCare:</w:t>
      </w:r>
    </w:p>
    <w:p>
      <w:pPr>
        <w:spacing w:after="0" w:line="144" w:lineRule="exact"/>
        <w:rPr>
          <w:sz w:val="20"/>
          <w:szCs w:val="20"/>
          <w:color w:val="auto"/>
        </w:rPr>
      </w:pPr>
    </w:p>
    <w:p>
      <w:pPr>
        <w:ind w:left="500" w:hanging="330"/>
        <w:spacing w:after="0" w:line="258"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Included in Sanofi collaboration revenue is the Company's share of profits or losses from commercialization of antibodies, which is provided by Sanofi, and include an estimate of the Company's share of profits or losses for the most recent fiscal quarter.</w:t>
      </w:r>
    </w:p>
    <w:p>
      <w:pPr>
        <w:spacing w:after="0" w:line="1" w:lineRule="exact"/>
        <w:rPr>
          <w:rFonts w:ascii="Arial" w:cs="Arial" w:eastAsia="Arial" w:hAnsi="Arial"/>
          <w:sz w:val="18"/>
          <w:szCs w:val="18"/>
          <w:color w:val="auto"/>
        </w:rPr>
      </w:pPr>
    </w:p>
    <w:p>
      <w:pPr>
        <w:ind w:left="500" w:right="20" w:hanging="330"/>
        <w:spacing w:after="0" w:line="281"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Included in Bayer HealthCare collaboration revenue is the Company's share of profits or losses from commercialization of EYLEA outside the United States, which is provided by Bayer HealthCare, and includes an estimate of the Company's share of profits or losses for the most recent fiscal quarter.</w:t>
      </w:r>
    </w:p>
    <w:p>
      <w:pPr>
        <w:spacing w:after="0" w:line="1" w:lineRule="exact"/>
        <w:rPr>
          <w:rFonts w:ascii="Arial" w:cs="Arial" w:eastAsia="Arial" w:hAnsi="Arial"/>
          <w:sz w:val="16"/>
          <w:szCs w:val="16"/>
          <w:color w:val="auto"/>
        </w:rPr>
      </w:pPr>
    </w:p>
    <w:p>
      <w:pPr>
        <w:ind w:left="500" w:hanging="330"/>
        <w:spacing w:after="0" w:line="290"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Included in research and development expenses is the Company's share of development expenses incurred by Bayer HealthCare and Sanofi, including the Company's share of Bayer HealthCare and Sanofi estimated development expenses for the most recent fiscal quarter.</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These estimates for the most recent period are adjusted, if necessary, in the subsequent period to reflect actual amounts.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invests its excess cash primarily in marketable securities issued by investment grade institutions. The Company considers its marketable securities to be "available-for-sale," as defined by authoritative guidance issued by the Financial Accounting Standards Board ("FASB"). These assets are carried at fair value and the unrealized gains and losses are included in accumulated other comprehensive income (loss). If a decline in the value of a marketable security in the Company's investment portfolio is deemed to be other-than-temporary, the Company writes down the security to its current fair value and recognizes a loss as a charge against income. The Company reviews its portfolio of marketable securities, using both quantitative and qualitative factors, to determine if declines in fair value below cost are other-than-temporary.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 Trade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trade accounts receivable arise from product sales and represent amounts due from its distributors and specialty pharmacies (collectively, the Company's "customers"), which are all located in the United States. The Company monitors the financial performance and credit worthiness of its large customers so that it can properly assess and respond to changes in their credit profile. The Company provides reserves against trade receivables for estimated losses, if any, that may result from a customer's inability to pay. Amounts determined to be uncollectible are written-off against the reserve.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30" w:right="2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Inventories are stated at the lower of cost or estimated realizable value. The Company determines the cost of inventory using the first-in, first-out, or FIFO, method.</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capitalizes inventory costs associated with the Company's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periodically analyzes its inventory levels to identify inventory that may expire prior to expected sale or has a cost basis in excess of its estimated realizable value, and writes-down such inventories as appropriate. In addition, the Company's products are subject to strict quality control and monitoring which the Company performs throughout the manufacturing process. If certain batches or units of product no longer meet quality specifications or become obsolete due to expiration, the Company records a charge to cost of goods sold to write down such unmarketable inventory to its estimated realizable value.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Property, plant, and equipment are stated at cost, net of accumulated depreciation. Depreciation is provided on a straight-line basis over the estimated useful lives of the assets. Leasehold improvements are amortized over the shorter of the estimated useful lives of the assets or the lease term. Costs of construction of certain long-lived assets include capitalized interest, which is amortized over the estimated useful life of the related asset.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396" w:lineRule="exact"/>
        <w:rPr>
          <w:sz w:val="20"/>
          <w:szCs w:val="20"/>
          <w:color w:val="auto"/>
        </w:rPr>
      </w:pPr>
    </w:p>
    <w:tbl>
      <w:tblPr>
        <w:tblLayout w:type="fixed"/>
        <w:tblInd w:w="3540" w:type="dxa"/>
        <w:tblCellMar>
          <w:top w:w="0" w:type="dxa"/>
          <w:left w:w="0" w:type="dxa"/>
          <w:bottom w:w="0" w:type="dxa"/>
          <w:right w:w="0" w:type="dxa"/>
        </w:tblCellMar>
      </w:tblPr>
      <w:tr>
        <w:trPr>
          <w:trHeight w:val="27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10-30 years</w:t>
            </w:r>
          </w:p>
        </w:tc>
      </w:tr>
      <w:tr>
        <w:trPr>
          <w:trHeight w:val="243"/>
        </w:trPr>
        <w:tc>
          <w:tcPr>
            <w:tcW w:w="2740" w:type="dxa"/>
            <w:vAlign w:val="bottom"/>
          </w:tcPr>
          <w:p>
            <w:pPr>
              <w:ind w:left="20"/>
              <w:spacing w:after="0"/>
              <w:rPr>
                <w:sz w:val="20"/>
                <w:szCs w:val="20"/>
                <w:color w:val="auto"/>
              </w:rPr>
            </w:pPr>
            <w:r>
              <w:rPr>
                <w:rFonts w:ascii="Arial" w:cs="Arial" w:eastAsia="Arial" w:hAnsi="Arial"/>
                <w:sz w:val="18"/>
                <w:szCs w:val="18"/>
                <w:color w:val="auto"/>
              </w:rPr>
              <w:t>Laboratory and other equipment</w:t>
            </w:r>
          </w:p>
        </w:tc>
        <w:tc>
          <w:tcPr>
            <w:tcW w:w="1620" w:type="dxa"/>
            <w:vAlign w:val="bottom"/>
          </w:tcPr>
          <w:p>
            <w:pPr>
              <w:ind w:left="400"/>
              <w:spacing w:after="0"/>
              <w:rPr>
                <w:sz w:val="20"/>
                <w:szCs w:val="20"/>
                <w:color w:val="auto"/>
              </w:rPr>
            </w:pPr>
            <w:r>
              <w:rPr>
                <w:rFonts w:ascii="Arial" w:cs="Arial" w:eastAsia="Arial" w:hAnsi="Arial"/>
                <w:sz w:val="18"/>
                <w:szCs w:val="18"/>
                <w:color w:val="auto"/>
              </w:rPr>
              <w:t>3-10 years</w:t>
            </w:r>
          </w:p>
        </w:tc>
      </w:tr>
      <w:tr>
        <w:trPr>
          <w:trHeight w:val="27"/>
        </w:trPr>
        <w:tc>
          <w:tcPr>
            <w:tcW w:w="2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 years</w:t>
            </w:r>
          </w:p>
        </w:tc>
      </w:tr>
      <w:tr>
        <w:trPr>
          <w:trHeight w:val="27"/>
        </w:trPr>
        <w:tc>
          <w:tcPr>
            <w:tcW w:w="2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 Product Revenue</w:t>
      </w:r>
    </w:p>
    <w:p>
      <w:pPr>
        <w:spacing w:after="0" w:line="27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Product sales consist of U.S. sales of EYLEA and ARCALYST. Revenue from product sales is recognized when persuasive evidence of an arrangement exists, title to product and associated risk of loss have passed to the customer, the price is fixed or determinable, collection from the customer is reasonably assured, the Company has no further performance obligations, and returns can be reasonably estimated. The Company's written contracts with its customers stipulate product is shipped freight on board destination (FOB destination). The Company records revenue from product sales upon delivery to its customers.</w:t>
      </w:r>
    </w:p>
    <w:p>
      <w:pPr>
        <w:spacing w:after="0" w:line="20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sells EYLEA in the United States to several distributors and specialty pharmacies. The Company sells ARCALYST in the United States to two specialty pharmacies. Under these distribution models, the distributors and specialty pharmacies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Revenue from product sales is recorded net of applicable provisions for rebates and chargebacks under governmental programs, distribution-related fees, and other sales-related deductions. Calculating these provisions involves estimates and judgments. The Company reviews its estimates of rebates, chargebacks, and other applicable provisions each period and records any necessary adjustments in the current period's net product sales.</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Government Rebates and Chargebacks: </w:t>
      </w:r>
      <w:r>
        <w:rPr>
          <w:rFonts w:ascii="Arial" w:cs="Arial" w:eastAsia="Arial" w:hAnsi="Arial"/>
          <w:sz w:val="18"/>
          <w:szCs w:val="18"/>
          <w:color w:val="auto"/>
        </w:rPr>
        <w:t>The Company estimates reductions to product sales for Medicaid and Veterans' Administration ("VA")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certain other qualifying federal and state government programs. Based upon the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F- 11</w:t>
      </w:r>
    </w:p>
    <w:p>
      <w:pPr>
        <w:sectPr>
          <w:pgSz w:w="11900" w:h="16838" w:orient="portrait"/>
          <w:cols w:equalWidth="0" w:num="1">
            <w:col w:w="11420"/>
          </w:cols>
          <w:pgMar w:left="240" w:top="130" w:right="239" w:bottom="1440" w:gutter="0" w:footer="0" w:header="0"/>
          <w:type w:val="continuous"/>
        </w:sectPr>
      </w:pPr>
    </w:p>
    <w:bookmarkStart w:id="113" w:name="page114"/>
    <w:bookmarkEnd w:id="1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Company's contracts with government agencies, statutorily-defined discounts applicable to government-funded programs, historical experience, and estimated payer mix, the Company estimates and records an allowance for rebates and chargebacks. The Company's liability for Medicaid rebates consists of estimates for claims that a state will make for a current quarter, claims for prior quarters that have been estimated for which an invoice has not been received, and invoices received for claims from prior quarters that have not been paid. The Company's reserves related to discounted pricing to VA, Public Health Services ("PHS"), and other institutions (collectively "qualified healthcare providers") represent the Company's estimated obligations resulting from contractual commitments to sell products to qualified healthcare providers at prices lower than the list prices the Company charges to its customers (i.e., distributors and specialty pharmacies). The Company's customers charge the Company for the difference between what they pay for the products and the ultimate selling price to the qualified healthcare providers. The Company's reserve for this discounted pricing is based on expected sales to qualified healthcare providers and the chargebacks that customers have already claimed.</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Distribution-Related Fees: </w:t>
      </w:r>
      <w:r>
        <w:rPr>
          <w:rFonts w:ascii="Arial" w:cs="Arial" w:eastAsia="Arial" w:hAnsi="Arial"/>
          <w:sz w:val="18"/>
          <w:szCs w:val="18"/>
          <w:color w:val="auto"/>
        </w:rPr>
        <w:t>The Company has written contracts with its customers that include terms for distribution-related fees. The Company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records distribution and related fees due to its customers based on gross sales.</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Prompt Pay Discounts: </w:t>
      </w:r>
      <w:r>
        <w:rPr>
          <w:rFonts w:ascii="Arial" w:cs="Arial" w:eastAsia="Arial" w:hAnsi="Arial"/>
          <w:sz w:val="18"/>
          <w:szCs w:val="18"/>
          <w:color w:val="auto"/>
        </w:rPr>
        <w:t>No prompt pay discounts are currently offered to the Company's customers on sales of EYLEA. In connection with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ARCALYST, the Company offers discounts to its customers for prompt payments. The Company estimates these discounts based on customer terms and historical experience, and expects that its customers will always take advantage of this discount. Therefore, the Company accrues 100% of the prompt pay discount that is based on the gross amount of each ARCALYST invoice, at the time of sale.</w:t>
      </w:r>
    </w:p>
    <w:p>
      <w:pPr>
        <w:spacing w:after="0" w:line="24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Consistent with industry practice, the Company offers its customers a limited right to return product purchased directly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which is principally based upon the product's expiration date. The Company will accept returns for three months prior to and up to six months after the product expiration date. Product returned is generally not resalable given the nature of the Company's products and method of administration. The Company develops estimates for product returns based upon historical experience, inventory levels in the distribution channel, shelf life of the product, and other relevant factors. The Company monitors product supply levels in the distribution channel, as well as sales by its customers of EYLEA to healthcare providers and ARCALYST to patients using product-specific data provided by its customers. If necessary, the Company's estimates of product returns may be adjusted in the future based on actual returns experience, known or expected changes in the marketplace, or other factors.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 Collaboration Revenue</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earns collaboration revenue in connection with collaboration agreements to develop and commercialize product candidates and utilize the Company's technology platforms. These arrangements may require the Company to deliver various rights, services, and/or goods across the entire life cycle of a product or product candidate. The terms of these agreements typically include that consideration be provided to the Company in the form of non-refundable up-front payments, milestone payments, payments for development and commercialization activities, and sharing of profits or losses arising from the commercialization of products.</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connection with non-refundable up-front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regulatory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arrangements involving multiple deliverables, each required deliverable is evaluated to determine whether it qualifies as a separate unit of accounting. This determination is generally based on whether the deliverables in the arrangement meet certain criteria, including whether the delivered item or items has value to the collaborator on a standalone basis. The arrangement's consideration that is fixed and determinable is allocated to each separate unit of accounting based on the relative selling price of each deliverable. If multiple collaboration activities or rights do not require separation, they are combined into a single unit of accounting and recognized over the performance period, which is the period over which the Company is obligated to deliver goods or services. The Company estimates its performance period based on the specific terms of each agreement, and adjusts the performance periods, if appropriate, based on the applicable facts and circumstances.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enhancement in value to the related development product candidate, (ii) the Company's performance and the relative level of effort required to achieve the milestone, (iii) whether the milestone relates solely to past performance, and (iv) whether the milestone payment is considered reasonable relative to all of the deliverables and payment terms. Payments for achieving milestones which are not considered substantive are deferred and recognized over the related performance period.</w:t>
      </w:r>
    </w:p>
    <w:p>
      <w:pPr>
        <w:spacing w:after="0" w:line="220"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or the Company may be reimbursed for all or a significant portion of the costs of the Company's research and development activities.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the Company also recognizes, as additional research and development expense in the period when its collaborator incurs development expenses, the portion of the collaborator's development expenses that the Company is obligated to reimburse. The Company may also be obligated to use commercially reasonable efforts to supply commercial bulk product to its collaborators. In such cases, the Company is reimbursed for its manufacturing costs as commercial product is shipped to its collaborators; however, recognition of such cost reimbursements as collaboration revenue is deferred until the product is sold by the Company's collaborators to third-party customers, at which time the Company's risk of inventory loss no longer exists. In addition, at that time, the related manufacturing costs for the sold product, which had been capitalized into inventory, are recognized by the Company.</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Company's collaboration agreements, product sales and cost of sales for products which are currently approved are recorded by the Company's collaborators. The Company shares in any profits or losses arising from the commercialization of such products. The Company records its share of the profits or losses from commercialization of such products, representing net product sales less cost of goods sold and shared commercialization and other expenses, as collaboration revenue.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Costs associated with research and development are expensed.</w:t>
      </w:r>
    </w:p>
    <w:p>
      <w:pPr>
        <w:spacing w:after="0" w:line="21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("CROs"),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and/or the period over which clinical investigators or CROs are expected to provide services.</w:t>
      </w:r>
    </w:p>
    <w:p>
      <w:pPr>
        <w:spacing w:after="0" w:line="21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Clinical activities which relate principally to clinical sites and other administrative functions to manage the Company's clinical trials are performed primarily by CROs. CROs typically perform most of the start-up activities for the Company's trials, including document preparation, site identification, screening and preparation, pre-study visits, training, and program management.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For clinical study sites, where payments are made periodically on a per-patient basis to the institutions performing the clinical study, the Company accrues expenses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recognizes stock-based compensation expense for grants of stock option awards and restricted stock under the Company's Long-Term Incentive Plans to employees and non-employee members of the Company's board of directors based on the grant-date fair value of those awards. The grant-date fair value of an award is generally recognized as compensation expense over the award's requisite service period.</w:t>
      </w:r>
    </w:p>
    <w:p>
      <w:pPr>
        <w:spacing w:after="0" w:line="22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the Company's Common Stock price, (ii) the periods of time over which employees and members of the board of directors are expected to hold their options prior to exercise (expected lives), (iii) expected dividend yield on the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financial statements or tax returns. Under this method, deferred tax assets and liabilities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it is more likely than not that some portion or all of the deferred tax assets will not be realized.</w:t>
      </w:r>
    </w:p>
    <w:p>
      <w:pPr>
        <w:spacing w:after="0" w:line="24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Uncertain tax positions, for which management's assessment is that there is more than a 50% probability of sustaining the position upon challenge by a taxing authority based upon its technical merits, are subjected to certain recognition and measurement criteria. The Company re-evaluates uncertain tax positions and consider various factors, including, but not limited to, changes in tax law, the measurement of tax positions taken or expected to be taken in tax returns, and changes in facts or circumstances related to a tax position. The Company adjusts the level of the liability to reflect any subsequent changes in the relevant facts and circumstances surrounding the uncertain positions. The Company recognizes interest and penalties related to income tax matters in income tax expense.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Data</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Basic net income per share excludes restricted stock awards until vested. Diluted net income per share includes the potential dilutive effect of common stock equivalents as if such securities were converted or exercised during the period, when the effect is dilutive. Common stock equivalents include: (i) outstanding stock options and restricted stock awards under the Company's Long-Term Incentive Plans, which are included under the "treasury stock method" when dilutive, (ii) Common Stock to be issued upon the assumed conversion of the Company's convertible senior notes, which are included under the "if-converted method" when dilutive, and (iii) Common Stock to be issued upon the exercise of outstanding warrants, which are included under the "treasury stock method" when dilutive.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Financial instruments which potentially expose the Company to concentrations of credit risk consist of cash, cash equivalents, certain financial instruments, and accounts receivable. A large portion of the Company's cash is held by a few major financial institutions. In accordance with the Company's policies, the Company mandates asset diversification and monitors exposure with its counterparties.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Concentrations of credit risk with respect to accounts receivable are significant. Accounts receivable from product sales of EYLEA and ARCALYST are due from several distributors and specialty pharmacies, who are the Company's customers. As of December 31, 2015 and 2014, one individual customer accounted for 68% and 70%, respectively, of the Company's net trade accounts receivable balances. The Company has contractual payment terms with each of its customers, and the Company monitors its customers' financial performance and credit worthiness so that it can properly assess and respond to any changes in their credit profile. In addition, the Company may insure a portion of its accounts receivables within its overall risk management practices. As of December 31, 2015 and 2014, there were no reserves against trade accounts receivable. In addition, during the years ended December 31, 2015, 2014, and 2013, the Company did not recognize any charges for write-offs of trade accounts receivable.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is intended to simplify the balance sheet presentation of deferred income taxes. Current accounting principles require an entity to separate deferred income tax liabilities and assets into current and noncurrent amounts in its balance sheet. The amendments require that deferred tax liabilities and assets be classified as noncurrent in its balance sheet. The amendments are effective for fiscal years, and interim periods within those fiscal years, beginning after December 15, 2016. Companies may apply the new provisions either retrospectively or on a prospective basis, and early adoption is permitted. The Company early adopted the amendments effective December 31, 2015 on a retrospective basis. The impact of the adoption of the amendments on the Company's Consolidated Balance Sheet as of December 31, 2014 was a $46.2 million reclassification of current deferred tax assets to noncurrent deferred tax assets.</w:t>
      </w:r>
    </w:p>
    <w:p>
      <w:pPr>
        <w:spacing w:after="0" w:line="221"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 xml:space="preserve">In May 2014, the FASB issued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In July 2015, the FASB decided to delay the effective date of the new standard by one year; as a result, the new standard will be effective for annual and interim reporting periods beginning after December 15, 2017. Early adoption will be permitted, but no earlier than 2017 for calendar year-end entities. The standard allows for two transition methods - retrospectively to each prior reporting period presented or retrospectively with the cumulative effect of initially applying the standard recognized at the date of initial adoption. The Company has not yet determined its method of transition and is evaluating the impact that this guidance will have on the Company's financial statements.</w:t>
      </w:r>
    </w:p>
    <w:p>
      <w:pPr>
        <w:spacing w:after="0" w:line="22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In January 2016, the FASB issued Accounting Standards Update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The amendments require equity investments (except those accounted for under the equity method of accounting or those that result in consolidation of the investee) to be measured at fair value with changes in fair value recognized in net income, and separate presentation of financial assets and financial liabilities by measurement category and form of financial asset. Additionally, the amendments eliminate the requirement to disclose the methods and significant assumptions used to estimate the fair value of financial instruments. The amendments are effective for fiscal years, and interim periods within those fiscal years, beginning after December 15, 2017. Other than an amendment relating to presenting in comprehensive income the portion of the total change in the fair value of a liability resulting from a change in instrument-specific credit risk (if the entity has elected to measure the liability at fair value), early adoption is not permitted. The Company is evaluating the impact that this guidance will have on the Company's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130" w:right="23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product sales consist of U.S. sales of EYLEA and ARCALYST. The Company received marketing approval from the FDA for EYLEA for the treatment of wet AMD in 2011, macular edema following CRVO in 2012, DME in July 2014, macular edema following BRVO in October 2014, and diabetic retinopathy in patients with DME in March 2015. EYLEA net product sales in the United States totaled $2,676.0 million, $1,736.4 million, and $1,408.7 million for the years ended December 31, 2015, 2014, and 2013, respectively.</w:t>
      </w:r>
    </w:p>
    <w:p>
      <w:pPr>
        <w:spacing w:after="0" w:line="24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ARCALYST net product sales totaled $13.5 million, $14.4 million, and $17.1 million for the years ended December 31, 2015, 2014, and 2013, respectively.</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For the years ended December 31, 2015, 2014, and 2013, the Company recorded 67%, 73%, and 76%, respectively, of its total gross product revenue from sales to Besse Medical, a subsidiary of AmerisourceBergen Corporation.</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under governmental programs, distribution-related fees, and other sales-related deductions. The following table summarizes the provisions, and credits/payments, for these sales-related deductions for the years ended December 31, 2015, 2014, and 2013.</w:t>
      </w:r>
    </w:p>
    <w:p>
      <w:pPr>
        <w:spacing w:after="0" w:line="25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Other Sales-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Related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Chargebacks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0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18,826</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62,984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89,875</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(84,100)</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19,663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24,601</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111,855</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(75,657)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(111,675)</w:t>
            </w:r>
          </w:p>
        </w:tc>
      </w:tr>
      <w:tr>
        <w:trPr>
          <w:trHeight w:val="27"/>
        </w:trPr>
        <w:tc>
          <w:tcPr>
            <w:tcW w:w="4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24,781</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Provision related to current period sales</w:t>
            </w:r>
          </w:p>
        </w:tc>
        <w:tc>
          <w:tcPr>
            <w:tcW w:w="1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61,124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122,466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193,190</w:t>
            </w:r>
          </w:p>
        </w:tc>
      </w:tr>
      <w:tr>
        <w:trPr>
          <w:trHeight w:val="27"/>
        </w:trPr>
        <w:tc>
          <w:tcPr>
            <w:tcW w:w="4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(162,722)</w:t>
            </w:r>
          </w:p>
        </w:tc>
      </w:tr>
      <w:tr>
        <w:trPr>
          <w:trHeight w:val="25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55,249</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provisions of the Patient Protection and Affordable Care Act ("PPACA") and the Health Care and Education Reconciliation Act of 2010, a non-tax deductible annual fee (the "Branded Prescription Drug Fee") is imposed on pharmaceutical manufacturers that sell branded prescription drugs to specified government programs. Orphan drugs sales, including ARCALYST, are not subject to the fee. In July 2014, the Internal Revenue Service ("IRS") issued final regulations that provide guidance on the Branded Prescription Drug Fee. As a result of the issuance of these final IRS regulations, an incremental charge was recorded to (i) recognize a liability for the estimated fee payable based on 2014 sales through the first nine months of 2014, and (ii) expense the remaining prepaid asset recorded under the previous accounting for the estimated fee payable based on 2013 sales. The impact of the incremental charge in the third quarter of 2014 was $40.6 million, which was included in selling, general, and administrative expenses.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has entered into various agreements related to its activities to research, develop, manufacture, and commercialize product candidates and utilize its technology platforms. Significant agreements of this kind are described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jc w:val="both"/>
        <w:ind w:firstLine="243"/>
        <w:spacing w:after="0" w:line="226" w:lineRule="auto"/>
        <w:rPr>
          <w:sz w:val="20"/>
          <w:szCs w:val="20"/>
          <w:color w:val="auto"/>
        </w:rPr>
      </w:pPr>
      <w:r>
        <w:rPr>
          <w:rFonts w:ascii="Arial" w:cs="Arial" w:eastAsia="Arial" w:hAnsi="Arial"/>
          <w:sz w:val="18"/>
          <w:szCs w:val="18"/>
          <w:color w:val="auto"/>
        </w:rPr>
        <w:t>Sanofi owned a total of 23,108,570 shares of the Company's Common Stock as of December 31, 2015, a portion of which was purchased in connection with the companies' ZALTRAP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antibody collaborations described below. See Note 13 for a description of the investor agreement between Sanofi and the Company.</w:t>
      </w:r>
    </w:p>
    <w:p>
      <w:pPr>
        <w:sectPr>
          <w:pgSz w:w="11900" w:h="16838" w:orient="portrait"/>
          <w:cols w:equalWidth="0" w:num="1">
            <w:col w:w="11420"/>
          </w:cols>
          <w:pgMar w:left="240" w:top="130"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F- 16</w:t>
      </w:r>
    </w:p>
    <w:p>
      <w:pPr>
        <w:sectPr>
          <w:pgSz w:w="11900" w:h="16838" w:orient="portrait"/>
          <w:cols w:equalWidth="0" w:num="1">
            <w:col w:w="11420"/>
          </w:cols>
          <w:pgMar w:left="240" w:top="130" w:right="239" w:bottom="1440" w:gutter="0" w:footer="0" w:header="0"/>
          <w:type w:val="continuous"/>
        </w:sectPr>
      </w:pPr>
    </w:p>
    <w:bookmarkStart w:id="118" w:name="page119"/>
    <w:bookmarkEnd w:id="1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Sanofi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9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735,439</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547,761</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453,489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commercialization-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157,350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1,868</w:t>
            </w: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(240,042)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Up-front payments to Sanofi for acquisition of rights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to two antibodies</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2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10,243</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Antibody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445,600</w:t>
            </w: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39,961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4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Immuno-oncology</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ZALTRAP:</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Regeneron's share of losses in connection with</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2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commercialization of ZALTRAP</w:t>
            </w: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(30,810)</w:t>
            </w:r>
          </w:p>
        </w:tc>
      </w:tr>
      <w:tr>
        <w:trPr>
          <w:trHeight w:val="229"/>
        </w:trPr>
        <w:tc>
          <w:tcPr>
            <w:tcW w:w="2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Reimbursement of Regeneron research and</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8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5,639</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9,682</w:t>
            </w:r>
          </w:p>
        </w:tc>
      </w:tr>
      <w:tr>
        <w:trPr>
          <w:trHeight w:val="237"/>
        </w:trPr>
        <w:tc>
          <w:tcPr>
            <w:tcW w:w="20" w:type="dxa"/>
            <w:vAlign w:val="bottom"/>
          </w:tcPr>
          <w:p>
            <w:pPr>
              <w:spacing w:after="0"/>
              <w:rPr>
                <w:sz w:val="20"/>
                <w:szCs w:val="20"/>
                <w:color w:val="auto"/>
              </w:rPr>
            </w:pPr>
          </w:p>
        </w:tc>
        <w:tc>
          <w:tcPr>
            <w:tcW w:w="4280" w:type="dxa"/>
            <w:vAlign w:val="bottom"/>
            <w:gridSpan w:val="2"/>
          </w:tcPr>
          <w:p>
            <w:pPr>
              <w:ind w:left="240"/>
              <w:spacing w:after="0"/>
              <w:rPr>
                <w:sz w:val="20"/>
                <w:szCs w:val="20"/>
                <w:color w:val="auto"/>
              </w:rPr>
            </w:pPr>
            <w:r>
              <w:rPr>
                <w:rFonts w:ascii="Arial" w:cs="Arial" w:eastAsia="Arial" w:hAnsi="Arial"/>
                <w:sz w:val="18"/>
                <w:szCs w:val="18"/>
                <w:color w:val="auto"/>
              </w:rPr>
              <w:t>Total ZALTRAP</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15,922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(15,489)</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541,299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430,111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selected financial information in connection with the Company's collaboration agreements with Sanofi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27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Antibody:</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126,687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110,559</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64,408</w:t>
            </w:r>
          </w:p>
        </w:tc>
      </w:tr>
      <w:tr>
        <w:trPr>
          <w:trHeight w:val="297"/>
        </w:trPr>
        <w:tc>
          <w:tcPr>
            <w:tcW w:w="2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Immuno-oncology:</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2780" w:type="dxa"/>
            <w:vAlign w:val="bottom"/>
          </w:tcPr>
          <w:p>
            <w:pPr>
              <w:spacing w:after="0"/>
              <w:rPr>
                <w:sz w:val="24"/>
                <w:szCs w:val="24"/>
                <w:color w:val="auto"/>
              </w:rPr>
            </w:pPr>
          </w:p>
        </w:tc>
        <w:tc>
          <w:tcPr>
            <w:tcW w:w="2520" w:type="dxa"/>
            <w:vAlign w:val="bottom"/>
            <w:gridSpan w:val="2"/>
          </w:tcPr>
          <w:p>
            <w:pPr>
              <w:jc w:val="right"/>
              <w:ind w:right="1300"/>
              <w:spacing w:after="0"/>
              <w:rPr>
                <w:sz w:val="20"/>
                <w:szCs w:val="20"/>
                <w:color w:val="auto"/>
              </w:rPr>
            </w:pPr>
            <w:r>
              <w:rPr>
                <w:rFonts w:ascii="Arial" w:cs="Arial" w:eastAsia="Arial" w:hAnsi="Arial"/>
                <w:sz w:val="18"/>
                <w:szCs w:val="18"/>
                <w:color w:val="auto"/>
              </w:rPr>
              <w:t>F- 17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130" w:right="1440"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6"/>
          <w:szCs w:val="16"/>
          <w:i w:val="1"/>
          <w:iCs w:val="1"/>
          <w:color w:val="auto"/>
        </w:rPr>
        <w:t>.</w:t>
      </w:r>
      <w:r>
        <w:rPr>
          <w:rFonts w:ascii="Arial" w:cs="Arial" w:eastAsia="Arial" w:hAnsi="Arial"/>
          <w:sz w:val="16"/>
          <w:szCs w:val="16"/>
          <w:color w:val="auto"/>
        </w:rPr>
        <w:t xml:space="preserve"> The Antibody Collaboration is governed by the companies' Discovery and Preclinical Development Agreement ("Antibody Discovery Agreement") and a License and Collaboration Agreement (each as amended). In connection with the execution of the Antibody Discovery Agreement in 2007, the Company received a non-refundable up-front payment of $85.0 million from Sanofi. In addition, under the Antibody Discovery Agreement, Sanofi is funding the Company's research to identify and validate potential drug discovery targets and develop fully human monoclonal antibodies against these targets. In November 2009, the Company and Sanofi amended these collaboration agreements to expand and extend the Antibody Collaboration. Pursuant to the Antibody Discovery Agreement, as amended, Sanofi agreed to fund up to $160.0 million per year of the Company's research activities in 2010 through 2017. However, in July 2015, in connection with the Company’s new immuno-oncology collaboration with Sanofi, as described below, the Company’s Antibody Discovery Agreement and License and Collaboration Agreement with Sanofi were each amended. In connection with these amendments, Sanofi's funding of the Company’s antibody discovery activities under the existing Antibody Collaboration was reduced to up to $145.0 million in 2015, and up to $130.0 million in both 2016 and 2017, or an aggregate reduction of $75.0 million over this three-year period. In addition, the Company's discovery activities to identify and validate potential drug discovery targets in the field of immuno-oncology and develop fully human monoclonal antibodies against these targets will be funded by Sanofi under the terms of the companies’ new immuno-oncology collaboration. Sanofi has an option to extend certain antibody development and preclinical activities relating to selected program targets for up to an additional three years after 2017.</w:t>
      </w:r>
    </w:p>
    <w:p>
      <w:pPr>
        <w:spacing w:after="0" w:line="22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For each drug candidate identified under the Antibody Discovery Agreement, Sanofi has the option to license rights to the candidate under the License and Collaboration Agreement. If it elects to do so, Sanofi will co-develop the drug candidate with the Company through product approval. Under certain defined circumstances, upon exercising its option to license rights to particular candidates, Sanofi must make a $10 million substantive milestone payment to the Company. If Sanofi does not exercise its option to license rights to a particular drug candidate under the License and Collaboration Agreement, or if Sanofi elects not to continue to co-develop a product candidate, the Company retains the exclusive right to develop and commercialize such drug candidate and Sanofi will receive a royalty on sales, if any. The Company and Sanofi are currently co-developing various therapeutic antibodies under the License and Collaboration Agreement.</w:t>
      </w:r>
    </w:p>
    <w:p>
      <w:pPr>
        <w:spacing w:after="0" w:line="24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Under the License and Collaboration Agreement, agreed-upon worldwide development expenses incurred by both companies during the term of the agreement are funded by Sanofi, except that following receipt of the first positive Phase 3 trial results for a co-developed drug candidate, subsequent Phase 3 trial-related costs for that drug candidate ("Shared Phase 3 Trial Costs") are shared 80% by Sanofi and 20% by Regeneron. Consequently, commencing in 2013, the Company recognized as additional research and development expense $92.6 million, $109.7 million, and $17.6 million in 2015, 2014, and 2013, respectively, of antibody development expenses that the Company was obligated to reimburse to Sanofi related to Praluent and sarilumab. If the Antibody Collaboration becomes profitable, Regeneron will be obligated to reimburse Sanofi for 50% of worldwide development expenses that were fully funded by Sanofi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 for these development costs. The Company's contingent reimbursement obligation to Sanofi under the Antibody Collaboration was approximately $1,832 million as of December 31, 2015.</w:t>
      </w:r>
    </w:p>
    <w:p>
      <w:pPr>
        <w:spacing w:after="0" w:line="2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Sanofi will lead commercialization activities for products developed under the License and Collaboration Agreement, subject to the Company's right to co-promote such products. The parties will equally share profits and losses from sales within the United States. The parties will share profits outside the United States on a sliding scale based on sales starting at 65%(Sanofi)/35% (Regeneron) and ending at 55% (Sanofi)/45% (Regeneron), and losses outside the United States at 55%(Sanofi)/45% (Regeneron). In addition to profit sharing, the Company is entitled to receive up to $250 million in sales milestone payments, with milestone payments commencing only if and after aggregate annual sales outside the United States exceed $1.0 billion on a rolling twelve-month basis.</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Antibody Discovery Agreement, Sanofi funded $30.0 million of agreed-upon costs the Company incurred to expand its manufacturing capacity at its Rensselaer, New York facilities. Additionally, during 2014, Sanofi agreed to fund up to $17.5 million of agreed-upon costs incurred by the Company in connection with expanding the Company's manufacturing capacity at its Rensselaer, New York facility, of which $13.2 million has been received or is receivable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30" w:right="23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2015. Payments received from Sanofi to fund agreed-upon expansions of the Company's manufacturing capacity are initially recorded as deferred revenue by the Company and are being recognized as collaboration revenue over the related performance period.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With respect to each antibody product which enters development under the License and Collaboration Agreement, Sanofi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 within thirty days of the date that Sanofi enters joint development of such antibody product under the License and Collaboration Agreement. Each of the Antibody Discovery Agreement and the License and Collaboration Agreement contains other termination provisions, including for material breach by the other party. Prior to December 31, 2017, Sanofi has the right to terminate the amended Antibody Discovery Agreement without cause with at least three months advance written notice; however, except under defined circumstances, Sanofi would be obligated to immediately pay to the Company the full amount of unpaid research funding during the remaining term of the research agreement through December 31, 2017. Upon termination of the collaboration in its entirety, the Company's obligation to reimburse Sanofi for development costs out of any future profits from collaboration products will terminate. In the event of termination of the amended Antibody Discovery Agreement, the Company retains exclusive rights to continue the development and/or commercialization of such product(s). Upon expiration of the amended Antibody Discovery Agreement, Sanofi has an option to license the Company's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for an annual license fee plus royalties on any future sales of products developed using</w:t>
      </w:r>
      <w:r>
        <w:rPr>
          <w:rFonts w:ascii="Arial" w:cs="Arial" w:eastAsia="Arial" w:hAnsi="Arial"/>
          <w:sz w:val="16"/>
          <w:szCs w:val="16"/>
          <w:i w:val="1"/>
          <w:iCs w:val="1"/>
          <w:color w:val="auto"/>
        </w:rPr>
        <w:t xml:space="preserve"> VelocImmune </w:t>
      </w:r>
      <w:r>
        <w:rPr>
          <w:rFonts w:ascii="Arial" w:cs="Arial" w:eastAsia="Arial" w:hAnsi="Arial"/>
          <w:sz w:val="16"/>
          <w:szCs w:val="16"/>
          <w:color w:val="auto"/>
        </w:rPr>
        <w:t>technology.</w:t>
      </w:r>
    </w:p>
    <w:p>
      <w:pPr>
        <w:spacing w:after="0" w:line="112" w:lineRule="exact"/>
        <w:rPr>
          <w:sz w:val="20"/>
          <w:szCs w:val="20"/>
          <w:color w:val="auto"/>
        </w:rPr>
      </w:pPr>
    </w:p>
    <w:p>
      <w:pPr>
        <w:jc w:val="both"/>
        <w:ind w:firstLine="230"/>
        <w:spacing w:after="0" w:line="235" w:lineRule="auto"/>
        <w:rPr>
          <w:sz w:val="20"/>
          <w:szCs w:val="20"/>
          <w:color w:val="auto"/>
        </w:rPr>
      </w:pPr>
      <w:r>
        <w:rPr>
          <w:rFonts w:ascii="Arial" w:cs="Arial" w:eastAsia="Arial" w:hAnsi="Arial"/>
          <w:sz w:val="18"/>
          <w:szCs w:val="18"/>
          <w:color w:val="auto"/>
        </w:rPr>
        <w:t xml:space="preserve">In connection with the Antibody Collaboration, in August 2008, the Company entered into a separate agreement with Sanofi, which extended through December 2012, to use Regeneron's proprietary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technology platform to supply Sanofi with genetically modified mammalian models of gene function and disease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i w:val="1"/>
          <w:iCs w:val="1"/>
          <w:color w:val="auto"/>
        </w:rPr>
        <w:t>VelociGene</w:t>
      </w:r>
      <w:r>
        <w:rPr>
          <w:rFonts w:ascii="Arial" w:cs="Arial" w:eastAsia="Arial" w:hAnsi="Arial"/>
          <w:sz w:val="18"/>
          <w:szCs w:val="18"/>
          <w:color w:val="auto"/>
        </w:rPr>
        <w:t xml:space="preserve"> Agreement provided for minimum annual order quantities for the term of the agreement, for which the Company received payments totaling $21.5 million. Payments received were initially recorded as deferred revenue by the Company and are being recognized as collaboration revenue over the related performance period.</w:t>
      </w:r>
    </w:p>
    <w:p>
      <w:pPr>
        <w:spacing w:after="0" w:line="25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May 2013, the Company acquired from Sanofi full exclusive rights to two families of novel antibodies invented at Regeneron and previously included in the Company's Antibody Collaboration with Sanofi. The Company acquired full rights to antibodies targeting the platelet derived growth factor (PDGF) family of receptors and ligands in ophthalmology and all other indications and to antibodies targeting the angiopoietin-2 (Ang2) receptor and ligand in ophthalmology. As noted in the "Sanofi collaboration revenue" table above, in 2013, with respect to PDGF antibodies, the Company made a $10.0 million up-front payment to Sanofi, and, with respect to Ang2 antibodies in ophthalmology, the Company made a $10.0 million up-front payment to Sanofi. In addition, with respect to PDGF antibodies, the Company made two $5.0 million development milestone payments to Sanofi in 2014 and a $10.0 million development milestone payment to Sanofi in 2015, each of which was recorded as research and development expense. The Company is obligated to pay up to $20 million in additional potential development milestones as well as royalties on any future sales of PDGF antibodies.</w:t>
      </w:r>
    </w:p>
    <w:p>
      <w:pPr>
        <w:spacing w:after="0" w:line="23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July 2014, in connection with the Company's Antibody Collaboration with Sanofi, the Company purchased an FDA priority review voucher from a third party for $67.5 million. The Company and Sanofi equally shared the priority review voucher's purchase price, and the Company's share of the cost, or $33.8 million, was recorded as a research and development expense during 2014. The Company subsequently transferred the voucher to Sanofi, which used the priority review voucher in connection with the Biologics License Application submission to the FDA for Praluent.</w:t>
      </w:r>
    </w:p>
    <w:p>
      <w:pPr>
        <w:spacing w:after="0" w:line="22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Reimbursement of Regeneron commercialization-related expenses represents reimbursement of internal and external costs in connection with preparing to commercialize or commercializing, as applicable, Praluent and sarilumab. Effective in the second and fourth quarters of 2014, the Company and Sanofi began sharing pre-launch commercialization expenses related to Praluent and sarilumab, respectively, in accordance with the companies’ License and Collaboration Agreement. Consequently, the Company began recording its share of losses in connection with preparing to commercialize these two antibody candidates within Sanofi collaboration revenue. As described in Note 1 above, in July 2015, the FDA approved Praluent in the United States and in September 2015, the European Commission granted marketing authorization of Praluent. Therefore, commencing in 2015, the Company also recorded within Sanofi collaboration revenue its share of the Antibody Collaboration's losses in connection with commercialization of Praluent.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30" w:right="23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the Company. Pursuant to the IO Discovery Agreement, the Company will spend up to $1,090.0 million ("IO Discovery Budget") to identify and validate potential immuno-oncology targets and develop therapeutic antibodies against such targets through clinical proof-of-concept. Sanofi will reimburse the Company for up to $825.0 million ("IO Discovery Funding") of these costs, subject to certain annual limits, which consists of (i) $750.0 million in new funding and (ii) $75.0 million of funding that would have otherwise been available to Regeneron under the existing Antibody Discovery Agreement, as described above.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the Company will be primarily responsible for the design and conduct of all research activities, including target identification and validation, antibody development, preclinical activities, toxicology studies, manufacture of preclinical and clinical supplies, filing of Investigational New Drug ("IND") Applications, and clinical development through proof-of-concept. The Company will reimburse Sanofi for half of the development costs they funded that are attributable to clinical development of antibody product candidates under the IO Discovery Agreement from Regeneron's share of future profits, if any, from commercialized products to the extent they are sufficient for this purpose. However, the Company is not required to apply more than 10% of its share of the profits from IO Collaboration products in any calendar quarter towards reimbursing Sanofi for these development costs. With regard to product candidates for which proof-of-concept is established, Sanofi will have the option to license rights to the product candidate pursuant to the IO License and Collaboration Agreement (as further described below). If Sanofi does not exercise its option to license rights to a product candidate, the Company will retain the exclusive right to develop and commercialize such product candidate and Sanofi will be entitled to receive a royalty on sales.</w:t>
      </w:r>
    </w:p>
    <w:p>
      <w:pPr>
        <w:spacing w:after="0" w:line="22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connection with the IO License and Collaboration Agreement, Sanofi made a $375.0 million non-refundable up-front payment to the Company. If Sanofi exercises its option to license rights to a product candidate thereunder, it will co-develop the drug candidate with the Company through product approval. Principal control of development of each product candidate that enters development under the IO License and Collaboration Agreement will alternate between the Company and Sanofi on a candidate-by-candidate basis. Sanofi will fund drug candidate development costs up front for the candidates for which it is the principal controlling party and the Company will reimburse half of the total development costs for all such candidates from its share of future profits to the extent they are sufficient for this purpose, subject to the same 10% reimbursement limitation described above. In addition, Sanofi and the Company will share equally, on an ongoing basis, the development costs for the drug candidates for which the Company is the principal controlling party. The party having principal control over the development of a product candidate will also lead the commercialization activities for such product candidate in the United States. For all products commercialized under the IO License and Collaboration Agreement, Sanofi will lead commercialization activities outside of the United States. Each party will have the right to co-promote licensed products in countries where it is not the lead commercialization party. The parties will share equally in profits and losses in connection with the commercialization of collaboration products. The Company is obligated to use commercially reasonable efforts to supply clinical requirements of each drug candidate under the IO License and Collaboration Agreement until commercial supplies of that IO drug candidate are being manufactured.</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the terms of the IO License and Collaboration Agreement, the parties will also co-develop the Company’s antibody product candidate targeting the receptor known as Programmed Cell Death protein 1, or PD-1 ("REGN2810"). The parties will share equally, on an ongoing basis, development expenses for REGN2810 up to a total of $650.0 million. The Company will have principal control over the development of REGN2810 and will lead commercialization activities in the United States, subject to Sanofi’s right to co-promote, while Sanofi will lead commercialization activities outside of the United States and the parties will equally share profits from worldwide sales. The Company will be entitled to a milestone payment of $375.0 million in the event that sales of all licensed products targeting PD-1 (including REGN2810), together with sales of any other products licensed under the IO License and Collaboration Agreement and sold for use in combination with a licensed product targeting PD-1, equal or exceed $2 billion in any consecutive twelve-month period.</w:t>
      </w:r>
    </w:p>
    <w:p>
      <w:pPr>
        <w:spacing w:after="0" w:line="2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 respect to each product candidate that enters development under the IO License and Collaboration Agreement, Sanofi or the Company may, by giving twelve months’ notice, opt-out of further development and/or commercialization of the product, in which event the other party will retain exclusive rights to continue the development and/or commercialization of such product.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30" w:right="23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the inception of the IO Collaboration, the Company's significant deliverables consisted of (i) license to certain rights and intellectual property, (ii) providing research and development services, and (iii) manufacturing clinical supplies. The Company concluded that the license did not have standalone value, primarily due to the fact that such rights were not sold separately by the Company, nor could Sanofi receive any benefit from the license without the fulfillment of other ongoing obligations by the Company, including the clinical supply arrangement. Therefore, the deliverables were considered a single unit of accounting. Consequently, the $640.0 million in aggregate up-front payments was initially recorded as deferred revenue, and will be recognized ratably as revenue over the related performance period.</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ZALTRAP</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September 2003, the Company entered into a collaboration agreement ("ZALTRAP Collaboration Agreement") with Aventis Pharmaceuticals Inc. (predecessor to Sanofi U.S.) to jointly develop and commercialize ZALTRAP. Under the terms of the ZALTRAP Collaboration Agreement, as amended, Regeneron and Sanofi shared co-promotion rights and profits and losses on sales of ZALTRAP outside of Japan, and the Company was entitled to receive a percentage of sales of ZALTRAP in Japan. Sanofi commenced sales of ZALTRAP (ziv-aflibercept) Injection for Intravenous Infusion, in combination with 5-fluorouracil, leucovorin, irinotecan ("FOLFIRI"), for patients with metastatic colorectal cancer ("mCRC") that is resistant to or has progressed following an oxaliplatin-containing regimen, in the United States in 2012 and in certain European and other countries in 2013.</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February 2015, the Company and Sanofi entered into an amended and restated ZALTRAP agreement ("Amended ZALTRAP Agreement"), with an effective date of July 1, 2014. Under the terms of the Amended ZALTRAP Agreement, Sanofi is solely responsible for the development and commercialization of ZALTRAP for cancer indications worldwide. Sanofi bears the cost of all development and commercialization activities and reimburses Regeneron for its costs for any such activities. Sanofi pays the Company a percentage of aggregate net sales of ZALTRAP during each calendar year, which percentage shall be from 15% to 30%, depending on the aggregate net sales of ZALTRAP in such calendar year. The Company will also be paid for all quantities of ZALTRAP manufactured by it, pursuant to a supply agreement, through the earlier of 2021 or the date Sanofi receives regulatory approval to manufacture ZALTRAP at one of its facilities, or a facility of a third party. In addition, Regeneron no longer has a contingent contractual obligation to reimburse Sanofi for 50% of the development expenses that Sanofi previously funded for the development of ZALTRAP under the ZALTRAP Collaboration Agreement. Unless terminated earlier in accordance with its provisions, the Amended ZALTRAP Agreement will continue to be in effect until such time as neither Sanofi nor its affiliates or sublicensees is developing or commercializing ZALTRAP.</w:t>
      </w:r>
    </w:p>
    <w:p>
      <w:pPr>
        <w:spacing w:after="0" w:line="23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As a result of entering into the Amended ZALTRAP Agreement, in the first quarter of 2015, the Company recognized $14.9 million of collaboration revenue, which was previously recorded as deferred revenue under the ZALTRAP Collaboration Agreement, related to (i) amounts that were previously reimbursed by Sanofi for manufacturing commercial supplies of ZALTRAP since the risk of inventory loss no longer existed, and (ii) the unamortized portion of up-front payments from Sanofi as the Company had no further performance obligations. In addition, during the year ended December 31, 2015, the Company recorded $38.8 million, in other revenue, primarily related to (i) revenues earned from Sanofi based on a percentage of net sales of ZALTRAP and (ii) revenues earned from Sanofi for manufacturing ZALTRAP commercial supplies.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 HealthCare LLC</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 and Bayer HealthCare globally collaborate on the development and commercialization of EYLEA outside of the United States. The Company and Bayer HealthCare share the costs of the development of EYLEA. Bayer HealthCare commenced sales of EYLEA outside the United States for the treatment of wet AMD in 2012, macular edema secondary to CRVO in 2013, visual impairment due to DME in the third quarter of 2014, mCNV (in Japan) in the fourth quarter of 2014, and macular edema following BRVO in the second quarter of 2015. Bayer HealthCare markets EYLEA outside the United States, where, for countries other than Japan, the Company and Bayer HealthCare will share equally in profits and losses from sales of EYLEA. The Company is entitled to receive a percentage of between 33.5% and 40.0% of EYLEA annual sales in Japan. Within the United States, the Company is responsible for commercialization of EYLEA and retains exclusive rights to all profits from such commercialization in the United States.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2014, the Company entered into a license and collaboration agreement with Bayer HealthCare governing the joint development and commercialization outside the United States of an antibody product candidate to Platelet Derived Growth Factor Receptor Beta (PDGFR-beta).</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HealthCare is detailed below:</w:t>
      </w:r>
    </w:p>
    <w:p>
      <w:pPr>
        <w:spacing w:after="0" w:line="302"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HealthCare Collaboration Revenue</w:t>
            </w:r>
          </w:p>
        </w:tc>
        <w:tc>
          <w:tcPr>
            <w:tcW w:w="280" w:type="dxa"/>
            <w:vAlign w:val="bottom"/>
          </w:tcPr>
          <w:p>
            <w:pPr>
              <w:spacing w:after="0"/>
              <w:rPr>
                <w:sz w:val="17"/>
                <w:szCs w:val="17"/>
                <w:color w:val="auto"/>
              </w:rPr>
            </w:pPr>
          </w:p>
        </w:tc>
        <w:tc>
          <w:tcPr>
            <w:tcW w:w="10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2013</w:t>
            </w:r>
          </w:p>
        </w:tc>
      </w:tr>
      <w:tr>
        <w:trPr>
          <w:trHeight w:val="48"/>
        </w:trPr>
        <w:tc>
          <w:tcPr>
            <w:tcW w:w="20" w:type="dxa"/>
            <w:vAlign w:val="bottom"/>
            <w:tcBorders>
              <w:bottom w:val="single" w:sz="8" w:color="CCEEFF"/>
            </w:tcBorders>
          </w:tcPr>
          <w:p>
            <w:pPr>
              <w:spacing w:after="0"/>
              <w:rPr>
                <w:sz w:val="4"/>
                <w:szCs w:val="4"/>
                <w:color w:val="auto"/>
              </w:rPr>
            </w:pPr>
          </w:p>
        </w:tc>
        <w:tc>
          <w:tcPr>
            <w:tcW w:w="3220" w:type="dxa"/>
            <w:vAlign w:val="bottom"/>
            <w:tcBorders>
              <w:top w:val="single" w:sz="8" w:color="auto"/>
              <w:bottom w:val="single" w:sz="8" w:color="CCEEFF"/>
            </w:tcBorders>
          </w:tcPr>
          <w:p>
            <w:pPr>
              <w:spacing w:after="0"/>
              <w:rPr>
                <w:sz w:val="4"/>
                <w:szCs w:val="4"/>
                <w:color w:val="auto"/>
              </w:rPr>
            </w:pPr>
          </w:p>
        </w:tc>
        <w:tc>
          <w:tcPr>
            <w:tcW w:w="1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Regeneron's net profit in connection with</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commercialization of EYLEA outside the United</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466,667</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301,302</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101,494</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Sales and substantive development milestones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r>
      <w:tr>
        <w:trPr>
          <w:trHeight w:val="229"/>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rPr>
              <w:t>Cost-sharing of Regeneron EYLEA development</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320" w:type="dxa"/>
            <w:vAlign w:val="bottom"/>
            <w:gridSpan w:val="2"/>
          </w:tcPr>
          <w:p>
            <w:pPr>
              <w:ind w:left="30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23,383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20,905</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52,390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27,890</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EYLEA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560,020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482,075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220,289</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320" w:type="dxa"/>
            <w:vAlign w:val="bottom"/>
            <w:gridSpan w:val="2"/>
          </w:tcPr>
          <w:p>
            <w:pPr>
              <w:ind w:left="120"/>
              <w:spacing w:after="0"/>
              <w:rPr>
                <w:sz w:val="20"/>
                <w:szCs w:val="20"/>
                <w:color w:val="auto"/>
              </w:rPr>
            </w:pPr>
            <w:r>
              <w:rPr>
                <w:rFonts w:ascii="Arial" w:cs="Arial" w:eastAsia="Arial" w:hAnsi="Arial"/>
                <w:sz w:val="18"/>
                <w:szCs w:val="18"/>
                <w:color w:val="auto"/>
                <w:w w:val="98"/>
              </w:rPr>
              <w:t>Cost-sharing of REGN2176-3 development expenses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320" w:type="dxa"/>
            <w:vAlign w:val="bottom"/>
            <w:gridSpan w:val="2"/>
          </w:tcPr>
          <w:p>
            <w:pPr>
              <w:ind w:left="240"/>
              <w:spacing w:after="0"/>
              <w:rPr>
                <w:sz w:val="20"/>
                <w:szCs w:val="20"/>
                <w:color w:val="auto"/>
              </w:rPr>
            </w:pPr>
            <w:r>
              <w:rPr>
                <w:rFonts w:ascii="Arial" w:cs="Arial" w:eastAsia="Arial" w:hAnsi="Arial"/>
                <w:sz w:val="18"/>
                <w:szCs w:val="18"/>
                <w:color w:val="auto"/>
              </w:rPr>
              <w:t>Total PDGFR-beta</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580,488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495,555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selected financial information in connection with the Company's collaboration agreements with Bayer HealthCare is as follows:</w:t>
      </w:r>
    </w:p>
    <w:p>
      <w:pPr>
        <w:spacing w:after="0" w:line="302" w:lineRule="exact"/>
        <w:rPr>
          <w:sz w:val="20"/>
          <w:szCs w:val="20"/>
          <w:color w:val="auto"/>
        </w:rPr>
      </w:pPr>
    </w:p>
    <w:tbl>
      <w:tblPr>
        <w:tblLayout w:type="fixed"/>
        <w:tblInd w:w="190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r>
      <w:tr>
        <w:trPr>
          <w:trHeight w:val="27"/>
        </w:trPr>
        <w:tc>
          <w:tcPr>
            <w:tcW w:w="5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EYLEA: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160,755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124,293</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28,752</w:t>
            </w:r>
          </w:p>
        </w:tc>
      </w:tr>
      <w:tr>
        <w:trPr>
          <w:trHeight w:val="324"/>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PDGFR-beta antibody: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1,191</w:t>
            </w:r>
          </w:p>
        </w:tc>
      </w:tr>
      <w:tr>
        <w:trPr>
          <w:trHeight w:val="27"/>
        </w:trPr>
        <w:tc>
          <w:tcPr>
            <w:tcW w:w="5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19,909</w:t>
            </w:r>
          </w:p>
        </w:tc>
      </w:tr>
      <w:tr>
        <w:trPr>
          <w:trHeight w:val="27"/>
        </w:trPr>
        <w:tc>
          <w:tcPr>
            <w:tcW w:w="5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October 2006, the Company entered into a license and collaboration agreement with Bayer HealthCare for the global development and commercialization outside the United States of EYLEA. Under the terms of the agreement, Bayer HealthCare made a non-refundable up-front payment to the Company of $75.0 million. The Company also received from Bayer HealthCare a $20.0 million development milestone payment in 2007 (which, for the purpose of revenue recognition, was not considered substantive). The $75.0 million up-front payment and the $20.0 million milestone payment are being recognized as collaboration revenue over the related estimated performance period in accordance with the Company's revenue recognition policy as described in Note 1.</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Since 2009, all agreed-upon EYLEA development expenses incurred by the Company and Bayer HealthCare, under a global development plan, are being shared equally. The Company is also obligated to use commercially reasonable efforts to supply clinical and commercial bulk product of EYLEA. Bayer HealthCare has the right to terminate the license and collaboration</w:t>
      </w:r>
    </w:p>
    <w:p>
      <w:pPr>
        <w:sectPr>
          <w:pgSz w:w="11900" w:h="16838" w:orient="portrait"/>
          <w:cols w:equalWidth="0" w:num="1">
            <w:col w:w="11420"/>
          </w:cols>
          <w:pgMar w:left="240" w:top="130"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F- 22</w:t>
      </w:r>
    </w:p>
    <w:p>
      <w:pPr>
        <w:sectPr>
          <w:pgSz w:w="11900" w:h="16838" w:orient="portrait"/>
          <w:cols w:equalWidth="0" w:num="1">
            <w:col w:w="11420"/>
          </w:cols>
          <w:pgMar w:left="240" w:top="130" w:right="239" w:bottom="1440" w:gutter="0" w:footer="0" w:header="0"/>
          <w:type w:val="continuous"/>
        </w:sectPr>
      </w:pPr>
    </w:p>
    <w:bookmarkStart w:id="124" w:name="page125"/>
    <w:bookmarkEnd w:id="1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agreement without cause with at least six months' or twelve months' advance notice depending on defined circumstances at the time of termination. In the event of termination of the agreement for any reason, the Company retains all rights to EYLEA.</w:t>
      </w:r>
    </w:p>
    <w:p>
      <w:pPr>
        <w:spacing w:after="0" w:line="22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 is obligated to reimburse Bayer HealthCare out of its share of the collaboration profits (including the Company's percentage of sales of EYLEA in Japan) for 50% of the agreed-upon development expenses that Bayer HealthCare has incurred in accordance with a formula based on the amount of development expenses that Bayer HealthCare has incurred and the Company's share of the collaboration profits, or at a faster rate at the Company's option. The Company's contingent reimbursement obligation to Bayer HealthCare was approximately $258 million as of December 31, 2015.</w:t>
      </w:r>
    </w:p>
    <w:p>
      <w:pPr>
        <w:spacing w:after="0" w:line="208"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2013, the Company earned a $15.0 million and a $10.0 million substantive milestone payment related to marketing and pricing approval, respectively, of EYLEA for the treatment of macular edema secondary to CRVO. In addition, in 2013, the Company earned, and recorded as revenue, $45.0 million of sales milestone payments from Bayer HealthCare upon total aggregate net sales of EYLEA outside the United States achieving certain specified levels starting at $200 million over a twelve-month period. In 2014, the Company earned, and recorded as revenue, $90.0 million of sales milestone payments from Bayer HealthCare upon total aggregate net sales of EYLEA outside the United States achieving certain specified levels starting at $500 million over a twelve-month period. In addition, in connection with a November 2013 agreement under which Bayer HealthCare obtained rights to use certain of the Company's EYLEA clinical data for a regulatory filing, the Company earned, and recorded as revenue, a $15.0 million sales milestone payment in 2014 from Bayer HealthCare upon total aggregate net sales of specific commercial supplies of EYLEA outside the United States exceeding $100 million over a twelve-month period. In 2015, the Company earned, and recorded as revenue, the final sales milestone payment from Bayer HealthCare, in the amount of $15.0 million, upon total aggregate net sales of specific commercial supplies of EYLEA outside the United States exceeding $200 million over a twelve-month period.</w:t>
      </w:r>
    </w:p>
    <w:p>
      <w:pPr>
        <w:spacing w:after="0" w:line="22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January 2014, Bayer HealthCare decided to participate in the global development and commercialization of EYLEA outside the United States for the treatment of macular edema following BRVO. In connection with this decision, Bayer HealthCare reimbursed Regeneron $15.7 million for a defined share of the EYLEA global development costs that the Company had incurred prior to February 2014 for the BRVO indication, which was recognized as Bayer HealthCare collaboration revenue in the first quarter of 2014 and is included with "Cost-sharing of Regeneron EYLEA development expenses" in the table above. In addition, all future agreed upon global EYLEA development expenses incurred in connection with BRVO are being shared equally, and any profits or losses on sales of EYLEA outside of the United States for the treatment of macular edema following BRVO are also shared (for countries other than Japan). The Company is entitled to receive a tiered percentage of EYLEA net sales in Japan.</w:t>
      </w:r>
    </w:p>
    <w:p>
      <w:pPr>
        <w:spacing w:after="0" w:line="232"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periods when Bayer HealthCare incurs agreed-upon EYLEA development expenses that benefit the collaboration and Regeneron, the Company recognizes, as additional research and development expense, the portion of Bayer HealthCare's EYLEA development expenses that the Company is obligated to reimburse. In 2015, 2014, and 2013, the Company recognized as research and development expense $13.7 million, $18.6 million, and $15.3 million, respectively, of EYLEA development expenses that the Company was obligated to reimburse to Bayer HealthCare.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January 2014, the Company entered into an agreement with Bayer HealthCare governing the joint development and commercialization outside the United States of an antibody product candidate to PDGFR-beta, including in combination with aflibercept, for the treatment of ocular diseases or disorders. REGN2176-3, a combination product candidate comprised of an antibody to PDGFR-beta co-formulated with aflibercept, is being developed under the agreement. Under the agreement, the Company will conduct the initial development of the PDGFR-beta antibody through completion of the first proof-of-concept study, upon which Bayer HealthCare will have a right to opt-in to license and collaborate on further development and commercialization outside the United States.</w:t>
      </w:r>
    </w:p>
    <w:p>
      <w:pPr>
        <w:spacing w:after="0" w:line="24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connection with the agreement, Bayer HealthCare made a $25.5 million non-refundable up-front payment to the Company in January 2014, and is obligated to pay 25% of global development costs and 50% of development costs exclusively for the territory outside the United States under the initial development plan. In addition, Bayer HealthCare is obligated to reimburse the Company for 50% of development milestone payments to Sanofi related to the Company's acquisition of rights to antibodies targeting the PDGF family of receptors in May 2013. In that regard, Bayer HealthCare made two $2.5 million development milestone payments to the Company in 2014 (both of which, for the purpose of revenue recognition, were not considered substantive) and a $5.0 million development milestone payment to the Company in 2015 (which was recognized as a substantive milestone). The Company is eligible to receive a $10.0 million additional future development milestone payment from Bayer HealthCare, although this payment could be reduced by half if Bayer HealthCare does not opt-in to the collaboration.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30" w:right="23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From inception of the agreement until Bayer HealthCare has the right to opt-in to the collaboration, the Company's sole significant deliverable is research and development services provided in accordance with the agreement. Therefore, the $25.5 million up-front payment was allocated to this deliverable, initially recorded as deferred revenue, and will be recognized as revenue over the related performance period. In addition, the two $2.5 million non-substantive development milestone payments from Bayer HealthCare were also initially recorded as deferred revenue and will be recognized over the same performance period as the up-front payment.</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Bayer HealthCare exercises its right to opt-in to the collaboration, it will obtain exclusive commercialization rights to the product outside the United States, continue to pay for 25% of global development costs and 50% of development costs exclusively for the territory outside the United States, pay a $20.0 million opt-in payment to the Company, pay a $20.0 million development milestone to the Company upon receipt of the first marketing approval in the EU or Japan, share profits and losses from sales outside the United States equally with the Company, and be responsible for the payment of royalties on sales outside the United States to Sanofi.</w:t>
      </w:r>
    </w:p>
    <w:p>
      <w:pPr>
        <w:spacing w:after="0" w:line="24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Within the United States, the Company has exclusive commercialization rights and will retain all of the profits from sales. If Bayer HealthCare does not opt-in to the collaboration, the Company will have exclusive rights to develop and commercialize PDGFR-beta antibodies (except as a combination product with aflibercept) for use outside the United States.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also has the right to opt-out of the collaboration upon completion of the first proof-of-concept study for the PDGFR-beta antibody. If the Company opts-out of the collaboration and Bayer HealthCare exercises its right to opt-in to the collaboration, Bayer HealthCare will obtain exclusive rights to the PDGFR-beta antibody (except as a combination product with EYLEA) outside of the United States, be responsible for all development costs outside of the United States, be responsible for all royalty and milestone payments to a third party, and will retain all of the profits from sales of the PDGFR-beta antibody outside of the United States.</w:t>
      </w:r>
    </w:p>
    <w:p>
      <w:pPr>
        <w:spacing w:after="0" w:line="24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Bayer HealthCare has also agreed to a "standstill" provision, which prohibits Bayer HealthCare and its affiliates from seeking to influence the control of the Company or acquiring more than 20% of the Company's then outstanding shares of Class A Stock and Common Stock (taken together). This prohibition will remain in place until the earliest of (i) the fifth anniversary of the expiration or earlier termination of the agreement or (ii) other specified events.</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Unless terminated earlier in accordance with its provisions, the agreement will continue to be in effect until such time as neither party or its respective affiliates or sublicensees is developing or commercializing a PDGFR-beta antibody in the specified field outside of the United States and such discontinuation is acknowledged as permanent by both the Company and Bayer HealthCare in writing.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September 2015, the Company and Mitsubishi Tanabe Pharma Corporation ("MTPC") entered into a collaboration agreement (the "MTPC Collaboration Agreement") providing MTPC with development and commercial rights to fasinumab, the Company's nerve growth factor antibody in late-stage clinical development, in Japan, South Korea, Taiwan, Indonesia, Thailand, the Philippines, Malaysia, Singapore, Vietnam, Myanmar, and Sri Lanka (the "MTPC Territories"). In connection with the MTPC Collaboration Agreement, MTPC made a $10.0 million non-refundable up-front payment, and in the first quarter of 2016, MTPC became obligated to make an additional $45.0 million payment to the Company. The Company is entitled to receive up to an aggregate of $65.0 million in development milestones if achieved by the Company and $105.0 million in other contingent payments, primarily related to development milestones achieved by MTPC.</w:t>
      </w:r>
    </w:p>
    <w:p>
      <w:pPr>
        <w:spacing w:after="0" w:line="24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MTPC Collaboration Agreement, the Company is obligated to manufacture and supply MTPC with clinical and commercial supplies of fasinumab. If fasinumab is commercialized in the MTPC Territories, the Company will supply the product to MTPC at a tiered purchase price, which ranges from 30% to 50% of net sales of the product (subject to adjustment in certain circumstances), and is eligible for additional payments up to an aggregate of $100.0 million upon the achievement of specified annual net sales amounts starting at $200 million. Unless terminated earlier in accordance with its provisions, the MTPC Collaboration Agreement will continue to be in effect until such time as MTPC has ceased developing or commercializing fasinumab in the MTPC Territories.</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At the inception of the MTPC Collaboration Agreement, the Company's significant deliverables consisted of (i) exclusive rights to develop and commercialize fasinumab in the MTPC Territories, and (ii) manufacturing clinical and commercial supplies. The Company concluded that the license did not have standalone value, as such right was not sold separately by the Company, nor could MTPC receive any benefit from the license without the manufacturing services to be rendered by the Company. Therefore,</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F- 24</w:t>
      </w:r>
    </w:p>
    <w:p>
      <w:pPr>
        <w:sectPr>
          <w:pgSz w:w="11900" w:h="16838" w:orient="portrait"/>
          <w:cols w:equalWidth="0" w:num="1">
            <w:col w:w="11420"/>
          </w:cols>
          <w:pgMar w:left="240" w:top="130" w:right="239" w:bottom="1440" w:gutter="0" w:footer="0" w:header="0"/>
          <w:type w:val="continuous"/>
        </w:sectPr>
      </w:pPr>
    </w:p>
    <w:bookmarkStart w:id="126" w:name="page127"/>
    <w:bookmarkEnd w:id="1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deliverables were considered a single unit of accounting. Consequently, the $10.0 million up-front payment was initially recorded as deferred revenue, and will be recognized ratably as revenue over the related performance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Other</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addition to the collaboration agreements discussed above, the Company has various other collaboration agreements that are not individually, or in the aggregate, significant to its operating results or financial condition at this time. Pursuant to the terms of those agreements, the Company may be required to pay, or it may receive, additional amounts upon the achievement of various development and commercial milestones which in the aggregate could be significant. The Company may also incur, or get reimbursed for, significant research and development costs if the related product candidate(s) were to advance to late stage clinical trials. In addition, if any products related to these collaborations are approved for sale, the Company may be required to pay, or it may receive, royalties on future sales. The payment or receipt of these amounts, however, is contingent upon the occurrence of various future events.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Technology Licensing Agreement</w:t>
      </w:r>
    </w:p>
    <w:p>
      <w:pPr>
        <w:spacing w:after="0" w:line="283"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 xml:space="preserve">In March 2007, the Company entered into a six-year, non-exclusive license agreement with Astellas Pharma Inc. to allow Astellas to utilize the Company's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its internal research programs to discover human monoclonal antibodies. In July 2010, the license agreement with Astellas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amended and extended through June 2023. Under the terms of the amended agreement, Astellas made a $165.0 million up-front payment to the Company in August 2010, which was deferred upon receipt and is being recognized as revenue ratably over the seven-year period beginning in mid-2011. In addition, Astellas will make a $130.0 million second payment to the Company in June 2018 unless the license agreement has been terminated prior to that date. Astellas has the right to terminate the agreement at any time by providing 90 days' advance written notice. Under certain limited circumstances, such as a material breach of the agreement by the Company, Astellas may terminate the agreement and receive a refund of a portion of its up-front payment or, if such termination occurs after June 2018, a portion of its second payment, to the Company under the July 2010 amendment to the agreement. The Company is entitled to receive a mid-single digit royalty on any future sales of antibody products discovered by Astellas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connection with the Astellas license agreement, for each of the years ended December 31, 2015, 2014, and 2013, the Company recognized $23.6 million of other revenue. In addition, deferred revenue at December 31, 2015 and 2014 was $57.4 million and $81.0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as of December 31, 2015 and 2014 consist of both debt securities of investment grade issuers as well as equity securities. The Company also held restricted marketable securities as of December 31, 2014, consisting of the Company's investment in Avalanche Biotechnologies, Inc. common shares, which were subject to customary transfer restrictions until January 2015 under a lock-up agreement with the underwriters of Avalanche's initial public offering.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F- 25</w:t>
      </w:r>
    </w:p>
    <w:p>
      <w:pPr>
        <w:sectPr>
          <w:pgSz w:w="11900" w:h="16838" w:orient="portrait"/>
          <w:cols w:equalWidth="0" w:num="1">
            <w:col w:w="11420"/>
          </w:cols>
          <w:pgMar w:left="240" w:top="130" w:right="23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2440" w:type="dxa"/>
            <w:vAlign w:val="bottom"/>
            <w:gridSpan w:val="5"/>
          </w:tcPr>
          <w:p>
            <w:pPr>
              <w:ind w:left="640"/>
              <w:spacing w:after="0"/>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As of December 31, 2015</w:t>
            </w:r>
          </w:p>
        </w:tc>
        <w:tc>
          <w:tcPr>
            <w:tcW w:w="160" w:type="dxa"/>
            <w:vAlign w:val="bottom"/>
          </w:tcPr>
          <w:p>
            <w:pPr>
              <w:spacing w:after="0"/>
              <w:rPr>
                <w:sz w:val="17"/>
                <w:szCs w:val="17"/>
                <w:color w:val="auto"/>
              </w:rPr>
            </w:pPr>
          </w:p>
        </w:tc>
        <w:tc>
          <w:tcPr>
            <w:tcW w:w="122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0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Gains</w:t>
            </w:r>
          </w:p>
        </w:tc>
        <w:tc>
          <w:tcPr>
            <w:tcW w:w="240" w:type="dxa"/>
            <w:vAlign w:val="bottom"/>
          </w:tcPr>
          <w:p>
            <w:pPr>
              <w:spacing w:after="0"/>
              <w:rPr>
                <w:sz w:val="17"/>
                <w:szCs w:val="17"/>
                <w:color w:val="auto"/>
              </w:rPr>
            </w:pPr>
          </w:p>
        </w:tc>
        <w:tc>
          <w:tcPr>
            <w:tcW w:w="11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17"/>
                <w:szCs w:val="17"/>
                <w:color w:val="auto"/>
              </w:rPr>
            </w:pPr>
          </w:p>
        </w:tc>
        <w:tc>
          <w:tcPr>
            <w:tcW w:w="9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770,092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767,683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17,930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17,924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856,429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868,282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2014</w:t>
            </w: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60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548,832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547,506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37,044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616,477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40" w:type="dxa"/>
            <w:vAlign w:val="bottom"/>
            <w:gridSpan w:val="2"/>
          </w:tcPr>
          <w:p>
            <w:pPr>
              <w:ind w:left="2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76,439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91,439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631,477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81,989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711,915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December 31, 2015 mature at various dates through August 2020. The fair values of debt security investments by contractual maturity consist of the following:</w:t>
      </w:r>
    </w:p>
    <w:p>
      <w:pPr>
        <w:spacing w:after="0" w:line="359" w:lineRule="exact"/>
        <w:rPr>
          <w:sz w:val="20"/>
          <w:szCs w:val="20"/>
          <w:color w:val="auto"/>
        </w:rPr>
      </w:pPr>
    </w:p>
    <w:tbl>
      <w:tblPr>
        <w:tblLayout w:type="fixed"/>
        <w:tblInd w:w="18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3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within one year</w:t>
            </w:r>
          </w:p>
        </w:tc>
        <w:tc>
          <w:tcPr>
            <w:tcW w:w="19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236,121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251,761</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w w:val="98"/>
              </w:rPr>
              <w:t>Maturities after one year through five years</w:t>
            </w:r>
          </w:p>
        </w:tc>
        <w:tc>
          <w:tcPr>
            <w:tcW w:w="1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600,695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360,208</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Maturities after five years through ten years</w:t>
            </w:r>
          </w:p>
        </w:tc>
        <w:tc>
          <w:tcPr>
            <w:tcW w:w="16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r>
      <w:tr>
        <w:trPr>
          <w:trHeight w:val="237"/>
        </w:trPr>
        <w:tc>
          <w:tcPr>
            <w:tcW w:w="3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836,816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613,097</w:t>
            </w:r>
          </w:p>
        </w:tc>
      </w:tr>
      <w:tr>
        <w:trPr>
          <w:trHeight w:val="27"/>
        </w:trPr>
        <w:tc>
          <w:tcPr>
            <w:tcW w:w="3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1960" w:type="dxa"/>
            <w:vAlign w:val="bottom"/>
            <w:gridSpan w:val="2"/>
          </w:tcPr>
          <w:p>
            <w:pPr>
              <w:jc w:val="right"/>
              <w:ind w:right="1250"/>
              <w:spacing w:after="0"/>
              <w:rPr>
                <w:sz w:val="20"/>
                <w:szCs w:val="20"/>
                <w:color w:val="auto"/>
              </w:rPr>
            </w:pPr>
            <w:r>
              <w:rPr>
                <w:rFonts w:ascii="Arial" w:cs="Arial" w:eastAsia="Arial" w:hAnsi="Arial"/>
                <w:sz w:val="18"/>
                <w:szCs w:val="18"/>
                <w:color w:val="auto"/>
              </w:rPr>
              <w:t>F- 26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28" w:name="page129"/>
    <w:bookmarkEnd w:id="1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668,199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(2,565)</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51,215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51,215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731,331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23,749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755,080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(2,769)</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2014</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r>
      <w:tr>
        <w:trPr>
          <w:trHeight w:val="229"/>
        </w:trPr>
        <w:tc>
          <w:tcPr>
            <w:tcW w:w="20" w:type="dxa"/>
            <w:vAlign w:val="bottom"/>
          </w:tcPr>
          <w:p>
            <w:pPr>
              <w:spacing w:after="0"/>
              <w:rPr>
                <w:sz w:val="19"/>
                <w:szCs w:val="19"/>
                <w:color w:val="auto"/>
              </w:rPr>
            </w:pPr>
          </w:p>
        </w:tc>
        <w:tc>
          <w:tcPr>
            <w:tcW w:w="3300" w:type="dxa"/>
            <w:vAlign w:val="bottom"/>
            <w:gridSpan w:val="2"/>
          </w:tcPr>
          <w:p>
            <w:pPr>
              <w:ind w:left="360"/>
              <w:spacing w:after="0"/>
              <w:rPr>
                <w:sz w:val="20"/>
                <w:szCs w:val="20"/>
                <w:color w:val="auto"/>
              </w:rPr>
            </w:pPr>
            <w:r>
              <w:rPr>
                <w:rFonts w:ascii="Arial" w:cs="Arial" w:eastAsia="Arial" w:hAnsi="Arial"/>
                <w:sz w:val="18"/>
                <w:szCs w:val="18"/>
                <w:color w:val="auto"/>
              </w:rPr>
              <w:t>U.S. government and government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agency 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25,549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25,549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426,941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426,941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During the year ended December 31, 2013, the Company recorded an other-than-temporary impairment charge of $2.9 million related to its investment in an equity security. There were no other-than-temporary impairment charges recorded on the Company's investments during 2015 or 2014.</w:t>
      </w:r>
    </w:p>
    <w:p>
      <w:pPr>
        <w:spacing w:after="0" w:line="17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Realized gains and losses are included as a component of investment income. For the year ended December 31, 2015, total realized gains and losses were not material. For the year ended December 31, 2014, total realized gains on sales of marketable securities were $1.2 million, and there were no realized losses. For the year ended December 31, 2013, total realized gains on sales of marketable securities were $1.0 million, and there were no realized losses.</w:t>
      </w:r>
    </w:p>
    <w:p>
      <w:pPr>
        <w:spacing w:after="0" w:line="20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Changes in the Company's accumulated other comprehensive income (loss) for the years ended December 31, 2015, 2014, and 2013 related to unrealized gains and losses on available-for-sale marketable securities. For the years ended December 31, 2015, 2014, and 2013, amounts reclassified from accumulated other comprehensive income (loss) into investment income in the Company's Statements of Operations were related to the 2013 impairment charge on the equity security, and realized gains and losses on sales of marketable securities described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130" w:right="239" w:bottom="1440" w:gutter="0" w:footer="0" w:header="0"/>
        </w:sectPr>
      </w:pPr>
    </w:p>
    <w:bookmarkStart w:id="129" w:name="page130"/>
    <w:bookmarkEnd w:id="1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As of December 31, 2015</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3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767,683</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51,209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17,924</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31,466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868,282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836,816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2014</w:t>
            </w:r>
          </w:p>
        </w:tc>
        <w:tc>
          <w:tcPr>
            <w:tcW w:w="4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Unrestricted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547,506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28,553</w:t>
            </w: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37,038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620,476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613,097</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Restricted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2"/>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91,439</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711,915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704,536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in 2015, 2014, and 2013.</w:t>
      </w:r>
    </w:p>
    <w:p>
      <w:pPr>
        <w:spacing w:after="0" w:line="24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There were no purchases, sales, or maturities of Level 3 marketable securities and no unrealized gains or losses related to Level 3 marketable securities for the years ended December 31, 2015 and 2014. During 2015, transfers of marketable securities from Level 2 to Level 1 were $91.4 million in connection with the lapse of the transfer restrictions on the Company's investment in Avalanche common shares in January 2015. The Company's policy for recognition of transfers between levels of the fair value hierarchy is to recognize any transfer at the beginning of the fiscal quarter in which the determination to transfer was made. There were no other transfers of marketable securities between Levels 1, 2, or 3 classifications during the year ended December 31, 2015, and there were no transfers of marketable securities between Levels 1, 2, or 3 classifications during the year ended December 31, 2014.</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30" w:right="239"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December 31, 2015 and 2014, the Company had $11.2 million and $169.4 million, respectively, in aggregate principal amount of 1.875% convertible senior notes outstanding. See Note 11. The fair value of the outstanding convertible senior notes was estimated to be $72.8 million and $819.8 million as of December 31, 2015 and 2014, respectively, and was determined based on Level 2 inputs, such as market and observable sources.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86"/>
        </w:trPr>
        <w:tc>
          <w:tcPr>
            <w:tcW w:w="562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21"/>
        </w:trPr>
        <w:tc>
          <w:tcPr>
            <w:tcW w:w="2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00" w:type="dxa"/>
            <w:vAlign w:val="bottom"/>
          </w:tcPr>
          <w:p>
            <w:pPr>
              <w:spacing w:after="0"/>
              <w:rPr>
                <w:sz w:val="24"/>
                <w:szCs w:val="24"/>
                <w:color w:val="auto"/>
              </w:rPr>
            </w:pP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55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59,151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132,068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73,519</w:t>
            </w:r>
          </w:p>
        </w:tc>
      </w:tr>
      <w:tr>
        <w:trPr>
          <w:trHeight w:val="27"/>
        </w:trPr>
        <w:tc>
          <w:tcPr>
            <w:tcW w:w="23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34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11,197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10,768</w:t>
            </w:r>
          </w:p>
        </w:tc>
      </w:tr>
      <w:tr>
        <w:trPr>
          <w:trHeight w:val="243"/>
        </w:trPr>
        <w:tc>
          <w:tcPr>
            <w:tcW w:w="234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36,162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33,651</w:t>
            </w:r>
          </w:p>
        </w:tc>
      </w:tr>
      <w:tr>
        <w:trPr>
          <w:trHeight w:val="27"/>
        </w:trPr>
        <w:tc>
          <w:tcPr>
            <w:tcW w:w="234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34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238,578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128,861</w:t>
            </w:r>
          </w:p>
        </w:tc>
      </w:tr>
      <w:tr>
        <w:trPr>
          <w:trHeight w:val="20"/>
        </w:trPr>
        <w:tc>
          <w:tcPr>
            <w:tcW w:w="234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 (see Note 1). In 2015, 2014, and 2013, cost of goods sold included inventory write-downs and reserves totaling $10.6 million, $6.0 million, and $9.1 million, respectively.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8. Property, Plant, and Equipment</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554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consist of the following:</w:t>
            </w: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13"/>
        </w:trPr>
        <w:tc>
          <w:tcPr>
            <w:tcW w:w="22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060" w:type="dxa"/>
            <w:vAlign w:val="bottom"/>
          </w:tcPr>
          <w:p>
            <w:pPr>
              <w:spacing w:after="0"/>
              <w:rPr>
                <w:sz w:val="24"/>
                <w:szCs w:val="24"/>
                <w:color w:val="auto"/>
              </w:rPr>
            </w:pP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22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w w:val="84"/>
              </w:rPr>
              <w:t>2014</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760,517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398,981</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42,600</w:t>
            </w:r>
          </w:p>
        </w:tc>
      </w:tr>
      <w:tr>
        <w:trPr>
          <w:trHeight w:val="243"/>
        </w:trPr>
        <w:tc>
          <w:tcPr>
            <w:tcW w:w="2220" w:type="dxa"/>
            <w:vAlign w:val="bottom"/>
          </w:tcPr>
          <w:p>
            <w:pPr>
              <w:spacing w:after="0"/>
              <w:rPr>
                <w:sz w:val="21"/>
                <w:szCs w:val="21"/>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Construction-in-progress</w:t>
            </w:r>
          </w:p>
        </w:tc>
        <w:tc>
          <w:tcPr>
            <w:tcW w:w="4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579,834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472,231</w:t>
            </w:r>
          </w:p>
        </w:tc>
      </w:tr>
      <w:tr>
        <w:trPr>
          <w:trHeight w:val="27"/>
        </w:trPr>
        <w:tc>
          <w:tcPr>
            <w:tcW w:w="22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Laboratory and other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330,432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253,058</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w w:val="97"/>
              </w:rPr>
              <w:t>Furniture, computer and office equipment,</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and other</w:t>
            </w:r>
          </w:p>
        </w:tc>
        <w:tc>
          <w:tcPr>
            <w:tcW w:w="4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81,381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58,655</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22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1,925,216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1,228,293</w:t>
            </w:r>
          </w:p>
        </w:tc>
      </w:tr>
      <w:tr>
        <w:trPr>
          <w:trHeight w:val="229"/>
        </w:trPr>
        <w:tc>
          <w:tcPr>
            <w:tcW w:w="222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8"/>
                <w:szCs w:val="18"/>
                <w:color w:val="auto"/>
              </w:rPr>
              <w:t>Less, accumulated depreciation and</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(331,096)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(253,984)</w:t>
            </w:r>
          </w:p>
        </w:tc>
      </w:tr>
      <w:tr>
        <w:trPr>
          <w:trHeight w:val="27"/>
        </w:trPr>
        <w:tc>
          <w:tcPr>
            <w:tcW w:w="22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220" w:type="dxa"/>
            <w:vAlign w:val="bottom"/>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1,594,120</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974,309</w:t>
            </w:r>
          </w:p>
        </w:tc>
      </w:tr>
      <w:tr>
        <w:trPr>
          <w:trHeight w:val="20"/>
        </w:trPr>
        <w:tc>
          <w:tcPr>
            <w:tcW w:w="22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As of December 31, 2015 and 2014, $1,118.4 million and $754.7 million, respectively, of the Company's property, plant, and equipment was located in the United States and $475.7 million and $219.6 million, respectively, was located in Ireland. In 2015, the Company acquired an approximate 100-acre parcel of undeveloped land adjacent to the Company's current Tarrytown, New York location for an aggregate purchase price of $73.0 million.</w:t>
      </w:r>
    </w:p>
    <w:p>
      <w:pPr>
        <w:spacing w:after="0" w:line="22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Depreciation and amortization expense on property, plant, and equipment amounted to $74.9 million, $52.7 million, and $41.2 million for the years ended December 31, 2015, 2014, and 2013, respectively.</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Property, plant, and equipment, at cost, as of December 31, 2015 and 2014 included $254.6 million and $236.7 million, respectively, of costs incurred by the Company's landlord to construct laboratory and office facilities in Tarrytown, New York. See Note 12a.</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F- 29</w:t>
      </w:r>
    </w:p>
    <w:p>
      <w:pPr>
        <w:sectPr>
          <w:pgSz w:w="11900" w:h="16838" w:orient="portrait"/>
          <w:cols w:equalWidth="0" w:num="1">
            <w:col w:w="11420"/>
          </w:cols>
          <w:pgMar w:left="240" w:top="130" w:right="239" w:bottom="1440" w:gutter="0" w:footer="0" w:header="0"/>
          <w:type w:val="continuous"/>
        </w:sectPr>
      </w:pPr>
    </w:p>
    <w:bookmarkStart w:id="131" w:name="page132"/>
    <w:bookmarkEnd w:id="1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9. Accounts Payable and Accrued Expenses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48"/>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99,508</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92,778</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41,555</w:t>
            </w:r>
          </w:p>
        </w:tc>
      </w:tr>
      <w:tr>
        <w:trPr>
          <w:trHeight w:val="229"/>
        </w:trPr>
        <w:tc>
          <w:tcPr>
            <w:tcW w:w="2420" w:type="dxa"/>
            <w:vAlign w:val="bottom"/>
          </w:tcPr>
          <w:p>
            <w:pPr>
              <w:spacing w:after="0"/>
              <w:rPr>
                <w:sz w:val="19"/>
                <w:szCs w:val="19"/>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w w:val="93"/>
              </w:rPr>
              <w:t>Accrued sales-related charges, deductions,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2420" w:type="dxa"/>
            <w:vAlign w:val="bottom"/>
          </w:tcPr>
          <w:p>
            <w:pPr>
              <w:spacing w:after="0"/>
              <w:rPr>
                <w:sz w:val="20"/>
                <w:szCs w:val="20"/>
                <w:color w:val="auto"/>
              </w:rPr>
            </w:pPr>
          </w:p>
        </w:tc>
        <w:tc>
          <w:tcPr>
            <w:tcW w:w="328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195,986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133,085</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2420" w:type="dxa"/>
            <w:vAlign w:val="bottom"/>
          </w:tcPr>
          <w:p>
            <w:pPr>
              <w:spacing w:after="0"/>
              <w:rPr>
                <w:sz w:val="23"/>
                <w:szCs w:val="23"/>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116,563</w:t>
            </w:r>
          </w:p>
        </w:tc>
      </w:tr>
      <w:tr>
        <w:trPr>
          <w:trHeight w:val="237"/>
        </w:trPr>
        <w:tc>
          <w:tcPr>
            <w:tcW w:w="24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644,112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483,489</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24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10. Deferred Revenue</w:t>
            </w: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86"/>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Deferred revenue consists of the following:</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48"/>
        </w:trPr>
        <w:tc>
          <w:tcPr>
            <w:tcW w:w="11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1180" w:type="dxa"/>
            <w:vAlign w:val="bottom"/>
          </w:tcPr>
          <w:p>
            <w:pPr>
              <w:spacing w:after="0"/>
              <w:rPr>
                <w:sz w:val="2"/>
                <w:szCs w:val="2"/>
                <w:color w:val="auto"/>
              </w:rPr>
            </w:pPr>
          </w:p>
        </w:tc>
        <w:tc>
          <w:tcPr>
            <w:tcW w:w="5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101,573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15,927</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33,652</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4)</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23,572</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153,487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74,025</w:t>
            </w:r>
          </w:p>
        </w:tc>
      </w:tr>
      <w:tr>
        <w:trPr>
          <w:trHeight w:val="67"/>
        </w:trPr>
        <w:tc>
          <w:tcPr>
            <w:tcW w:w="1180" w:type="dxa"/>
            <w:vAlign w:val="bottom"/>
          </w:tcPr>
          <w:p>
            <w:pPr>
              <w:spacing w:after="0"/>
              <w:rPr>
                <w:sz w:val="5"/>
                <w:szCs w:val="5"/>
                <w:color w:val="auto"/>
              </w:rPr>
            </w:pPr>
          </w:p>
        </w:tc>
        <w:tc>
          <w:tcPr>
            <w:tcW w:w="56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31"/>
        </w:trPr>
        <w:tc>
          <w:tcPr>
            <w:tcW w:w="118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or receivable from Sanofi (see Note 3a)</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582,664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62,819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118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Received or receivable from Bayer HealthCare (see Note 3b)</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15,007</w:t>
            </w:r>
          </w:p>
        </w:tc>
      </w:tr>
      <w:tr>
        <w:trPr>
          <w:trHeight w:val="243"/>
        </w:trPr>
        <w:tc>
          <w:tcPr>
            <w:tcW w:w="118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Received for technology license agreement (see Note 4)</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57,423</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118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11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664,679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135,249</w:t>
            </w:r>
          </w:p>
        </w:tc>
      </w:tr>
      <w:tr>
        <w:trPr>
          <w:trHeight w:val="27"/>
        </w:trPr>
        <w:tc>
          <w:tcPr>
            <w:tcW w:w="11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October 2011, the Company issued $400.0 million aggregate principal amount of 1.875% convertible senior notes (the "Notes") in a private placement.</w:t>
      </w:r>
    </w:p>
    <w:p>
      <w:pPr>
        <w:spacing w:after="0" w:line="316"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8"/>
          <w:szCs w:val="18"/>
          <w:color w:val="auto"/>
        </w:rPr>
        <w:t>The Notes pay interest semi-annually on April 1 and October 1, and will mature on October 1, 2016 unless earlier converted (which can occur subject to certain conditions) or repurchased. The Notes are convertible, subject to certain conditions, into cash, shares of the Company's Common Stock, or a combination of cash and shares of Common Stock, at the Company's option. The Notes initial conversion price is approximately $84.02 per share. In the event that a fundamental change, as defined in the indenture under which the Notes have been issued, occurs prior to maturity of the Notes, the initial conversion rate may be increased to include additional shares upon conversion, or holders can require the Company to purchase from them all or a portion of their Notes for 100% of the principal value plus any accrued and unpaid interest.</w:t>
      </w:r>
    </w:p>
    <w:p>
      <w:pPr>
        <w:sectPr>
          <w:pgSz w:w="11900" w:h="16838" w:orient="portrait"/>
          <w:cols w:equalWidth="0" w:num="1">
            <w:col w:w="11420"/>
          </w:cols>
          <w:pgMar w:left="240" w:top="13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F- 30</w:t>
      </w:r>
    </w:p>
    <w:p>
      <w:pPr>
        <w:sectPr>
          <w:pgSz w:w="11900" w:h="16838" w:orient="portrait"/>
          <w:cols w:equalWidth="0" w:num="1">
            <w:col w:w="11420"/>
          </w:cols>
          <w:pgMar w:left="240" w:top="130" w:right="239" w:bottom="1440" w:gutter="0" w:footer="0" w:header="0"/>
          <w:type w:val="continuous"/>
        </w:sectPr>
      </w:pPr>
    </w:p>
    <w:bookmarkStart w:id="132" w:name="page133"/>
    <w:bookmarkEnd w:id="1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Company has reserved sufficient shares of its Common Stock to satisfy the conversion requirements related to the Notes. The Company may not redeem the Notes prior to their maturity date.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December 31, 2015, the "if converted value" exceeded the principal amount of the Notes by $70.4 million.</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accordance with accounting guidance for debt with conversion and other options, the Company accounted for the liability and equity components of the Notes separately. The estimated fair value of the liability component at the date of issuance was $271.1 million, and was computed based on the fair value of similar debt instruments that do not include a conversion feature. The equity component of $120.9 million was recognized as a debt discount and represents the difference between the $392.0 million of gross proceeds from the issuance of the Notes and the $271.1 million estimated fair value of the liability component at the date of issuance. The debt discount is amortized over the expected life of a similar liability without the equity component. The Company determined this expected life to be equal to the term of the Notes, resulting in an amortization period ending October 1, 2016. The effective interest rate used to amortize the debt discount is approximately 10.2%, which was based on the Company's estimated non-convertible borrowing rate as of the date the Notes were issued.</w:t>
      </w:r>
    </w:p>
    <w:p>
      <w:pPr>
        <w:spacing w:after="0" w:line="24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In connection with the offering of the Notes in October 2011, the Company entered into convertible note hedge ("call option") and warrant transactions with multiple counterparties, including an affiliate of the initial purchaser of the Notes. The convertible note hedge covers, subject to customary anti-dilution adjustments, the number of shares of the Company's Common Stock that initially underlie the Notes, and are intended to reduce the potential dilutive impact of the conversion feature of the Notes. The convertible note hedge will terminate upon the earlier of the maturity date of the Notes or the first day the Notes are no longer outstanding. The Company paid $117.5 million for the convertible note hedge, which was recorded as a reduction to additional paid-in capital. The warrants have an initial strike price of approximately $103.41 per share, and may be settled in cash or shares of the Company's Common Stock, at the Company's option. The warrants have a dilutive effect to the extent that the market price per share of the Company's Common Stock exceeds the applicable strike price of the warrants. Proceeds received from the warrant transactions totaled $93.8 million and were recorded as additional paid-in capital. The warrants will become exercisable (and, if not exercised, will expire) at various dates during 2017. The original convertible note hedge and warrants were both considered indexed to the Company's Common Stock and classified as equity; therefore, the convertible note hedge and warrants were not accounted for as derivative instruments. The Company has reserved sufficient shares of its Common Stock to satisfy the potential settlement of the warrants.</w:t>
      </w:r>
    </w:p>
    <w:p>
      <w:pPr>
        <w:spacing w:after="0" w:line="22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During 2014, $230.6 million principal amount of the Company's $400.0 million aggregate principal amount of Notes was surrendered for conversion, of which $220.6 million was settled prior to December 31, 2014. The Company elected to settle these conversion obligations through a combination of cash, in an amount equal to the principal amount of the converted Notes, and shares of the Company's Common Stock in respect of any amounts due in excess thereof. Consequently, in 2014, the Company paid $220.6 million in cash and issued 2,017,732 shares of Common Stock. In addition, in 2014, the Company allocated $691.9 million of the settlement consideration provided to the Note holders to the reacquisition of the equity component of the Notes, and recognized such amount as a reduction of stockholder's equity, and recognized a $33.5 million loss on the debt extinguishment.</w:t>
      </w:r>
    </w:p>
    <w:p>
      <w:pPr>
        <w:spacing w:after="0" w:line="23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During 2015, the Company settled conversion obligations for $166.5 million principal amount of the Company's Notes that was previously surrendered for conversion. In accordance with the terms of the Notes, the Company elected to settle these conversion obligations through a combination of cash, in an amount equal to the principal amount of the converted Notes, and shares of the Company's Common Stock in respect of any amounts due in excess thereof. Consequently, in 2015, the Company paid $166.5 million in cash and issued 1,625,113 shares of Common Stock. In addition, in 2015, the Company allocated $819.7 million of the settlement consideration provided to the Note holders to the reacquisition of the equity component of the Notes and recognized such amount as a reduction of stockholders' equity, and recognized a $18.9 million loss on the debt extinguishment. As of December 31, 2015, an aggregate principal amount of $11.2 million of the original $400.0 million aggregate principal amount of Notes remained outstanding.</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net carrying amount of the liability component of the Notes consists of the following:</w:t>
      </w:r>
    </w:p>
    <w:p>
      <w:pPr>
        <w:spacing w:after="0" w:line="302"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2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r>
      <w:tr>
        <w:trPr>
          <w:trHeight w:val="27"/>
        </w:trPr>
        <w:tc>
          <w:tcPr>
            <w:tcW w:w="29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convertible senior notes - par</w:t>
            </w: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169,400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Unamortized discount</w:t>
            </w: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(22,627)</w:t>
            </w:r>
          </w:p>
        </w:tc>
      </w:tr>
      <w:tr>
        <w:trPr>
          <w:trHeight w:val="27"/>
        </w:trPr>
        <w:tc>
          <w:tcPr>
            <w:tcW w:w="29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98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146,773</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980" w:type="dxa"/>
            <w:vAlign w:val="bottom"/>
          </w:tcPr>
          <w:p>
            <w:pPr>
              <w:spacing w:after="0"/>
              <w:rPr>
                <w:sz w:val="24"/>
                <w:szCs w:val="24"/>
                <w:color w:val="auto"/>
              </w:rPr>
            </w:pPr>
          </w:p>
        </w:tc>
        <w:tc>
          <w:tcPr>
            <w:tcW w:w="2060" w:type="dxa"/>
            <w:vAlign w:val="bottom"/>
            <w:gridSpan w:val="2"/>
          </w:tcPr>
          <w:p>
            <w:pPr>
              <w:jc w:val="right"/>
              <w:ind w:right="1260"/>
              <w:spacing w:after="0"/>
              <w:rPr>
                <w:sz w:val="20"/>
                <w:szCs w:val="20"/>
                <w:color w:val="auto"/>
              </w:rPr>
            </w:pPr>
            <w:r>
              <w:rPr>
                <w:rFonts w:ascii="Arial" w:cs="Arial" w:eastAsia="Arial" w:hAnsi="Arial"/>
                <w:sz w:val="18"/>
                <w:szCs w:val="18"/>
                <w:color w:val="auto"/>
              </w:rPr>
              <w:t>F- 31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133" w:name="page134"/>
    <w:bookmarkEnd w:id="1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December 31, 2015 net carrying amount of the liability component of the Notes was recorded within other current liabilities within the Company's Balance Sheet since the Notes are due to mature on October 1,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interest expense associated with the Notes, net of capitalized interest as applicable (see Note 19), consists of the following:</w:t>
      </w:r>
    </w:p>
    <w:p>
      <w:pPr>
        <w:spacing w:after="0" w:line="302"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4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Contractual coupon interest 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7,230</w:t>
            </w: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Amortization of discount and note issuance costs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22,980</w:t>
            </w:r>
          </w:p>
        </w:tc>
      </w:tr>
      <w:tr>
        <w:trPr>
          <w:trHeight w:val="27"/>
        </w:trPr>
        <w:tc>
          <w:tcPr>
            <w:tcW w:w="4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22,857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30,210</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As a result of the Note conversions described above, the Company also exercised a proportionate amount of its convertible note hedges during 2015 and 2014, for which the Company received 1,625,088 and 2,017,732 shares, respectively, of Common Stock, which was approximately equal to the number of shares the Company was required to issue to settle the non-cash portion of the related Note conversions. The Company recorded the cost of the shares received, or $136.5 million and $169.5 million, respectively, as Treasury Stock during 2015 and 2014.</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November 2014, the Company entered into an amendment agreement with a warrant holder whereby the parties agreed to reduce a portion of the number of warrants held by the warrant holder by up to a maximum of 493,229, for an aggregate amount payable by the Company not to exceed $148.5 million. The reduction in the number of warrants was determined based on the number of warrants with respect to which the warrant holder had closed out its hedge position, provided that the warrant holder did not effect any purchases at a price per share exceeding $397.75 per share, during the period starting on November 26, 2014 and ending no later than February 12, 2015. The Company was obligated to settle any payments due under the amendment agreement in February 2015. Given that the amendment agreement contained a conditional obligation that required settlement in cash, and the Company's obligation was indexed to the Company's share price, the Company reclassified the estimated fair value of the 493,229 warrants from additional paid-in capital to a liability in November 2014, with such liability subsequently measured at fair value with changes in fair value recognized in earnings. The change in fair value for the year ended December 31, 2014 resulted in the Company recording a gain of $1.2 million. As a result of the warrant holder closing out a portion of its hedge position prior to December 31, 2014, the Company recorded a $59.8 million accrued liability as of December 31, 2014. The estimated fair value of the remaining liability as of December 31, 2014 was $87.5 million, and was recorded within other current liabilities within the Company's Balance Sheet. During the first quarter of 2015, the warrant holder closed out additional portions of its hedge position, and, as a result, in February 2015 the Company paid a total of $124.0 million to reduce the number of warrants held by such warrant holder by 416,480. Upon expiration of the November 2014 amended agreement, in the first quarter of 2015, the remaining warrants were re-measured at fair value, and $23.3 million was reclassified back to additional paid-in capital, consistent with the original classification of the warrants under the 2011 issuance. Total losses related to changes in fair value of the warrants during the first quarter of 2015 were not material.</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2014, in addition to the November 2014 warrant agreement described above, the Company entered into agreements to reduce the number of warrants held by the warrant holders. Pursuant to the agreements, the Company paid an aggregate amount of $294.6 million to the warrant holders to reduce the maximum number of shares of Common Stock issuable upon exercise of the warrants by 1,220,745 in the aggregate.</w:t>
      </w:r>
    </w:p>
    <w:p>
      <w:pPr>
        <w:spacing w:after="0" w:line="220"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November 2015, the Company entered into an amendment agreement with a warrant holder whereby the parties agreed to reduce a portion of the number of warrants held by the warrant holder by up to a maximum of 476,376.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 2015 and ending no later than February 9, 2016. As a result of the warrant holder closing out a portion of its hedge position prior to December 31, 2015, the Company paid a total of $50.0 million in 2015 to reduce the number of warrants it held by 115,970. Additionally, during January 2016, the warrant holder closed out additional portions of its hedge position, and, as a result, the Company paid a total of $135.3 million to further reduce the number of warrants held by such warrant holder by 360,406 (which was the remaining maximum number of warrants to be reduced subject to the amendment agreement).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addition to the warrant transactions described above, during 2015, the Company entered into other agreements to reduce the number of warrants held by warrant holders. Pursuant to the agreements, the Company paid an aggregate amount of $399.5 million to the warrant holders during 2015 to reduce the number of shares of Common Stock issuable upon exercise of the warrant by 898,547 in the aggregate.</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December 31, 2015, an aggregate of 2,109,098 warrants (subject to adjustment from time to time as provided in the applicable warrant agreements) remained outstanding.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March 2015, the Company entered into an agreement with a syndicate of lenders (the "Credit Agreement") which provides for a $750.0 million senior unsecured five-year revolving credit facility (the "Credit Facility"). The Credit Agreement includes an option for the Company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the Company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w:t>
      </w:r>
    </w:p>
    <w:p>
      <w:pPr>
        <w:spacing w:after="0" w:line="25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Any loans under the Credit Facility have a variable interest rate based on either the London Interbank Offered Rate ("LIBOR") or an alternate base rate, plus an applicable margin that varies with the Company's debt rating and total leverage ratio. The Company had no borrowings outstanding under the Credit Facility as of December 31, 2015.</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The Company was in compliance with all covenants of the Credit Facility as of December 31, 2015.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83" w:lineRule="exact"/>
        <w:rPr>
          <w:sz w:val="20"/>
          <w:szCs w:val="20"/>
          <w:color w:val="auto"/>
        </w:rPr>
      </w:pPr>
    </w:p>
    <w:p>
      <w:pPr>
        <w:ind w:left="260" w:hanging="184"/>
        <w:spacing w:after="0"/>
        <w:tabs>
          <w:tab w:leader="none" w:pos="2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p>
    <w:p>
      <w:pPr>
        <w:spacing w:after="0" w:line="279" w:lineRule="exact"/>
        <w:rPr>
          <w:rFonts w:ascii="Arial" w:cs="Arial" w:eastAsia="Arial" w:hAnsi="Arial"/>
          <w:sz w:val="18"/>
          <w:szCs w:val="18"/>
          <w:b w:val="1"/>
          <w:bCs w:val="1"/>
          <w:i w:val="1"/>
          <w:iCs w:val="1"/>
          <w:color w:val="auto"/>
        </w:rPr>
      </w:pPr>
    </w:p>
    <w:p>
      <w:pPr>
        <w:ind w:left="26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Descriptions of Lease Agreements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Company leases laboratory and office facilities in Tarrytown, New York. The facilities leased by the Company in Tarrytown include (i) space in previously existing buildings, (ii) newly constructed space in two buildings ("Buildings A and B") that was completed in 2009, (iii) newly constructed space in a third building ("Building C") that was completed in 2011 and, (iv) under an April 2013 lease agreement, newly constructed laboratory and office space in two buildings ("Buildings D and E") that was completed in the third quarter of 2015. The lease agreements related to Buildings A, B, C, D, and E (collectively, the "Buildings") will expire in 2029; the remaining facilities under lease will expire in June 2024. The Tarrytown leases contain renewal options to extend the term of the lease, escalations at 2.5% per annum, and early termination options for various portions of the space. The leases provide for monthly payments over their respective terms (which, for Buildings A, B, C, D, and E were largely based on the landlord's cost of construction and tenant allowances) and additional charges for utilities, taxes, and operating expenses.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Certain premises under the Tarrytown lease are accounted for as operating leases. However, as described further below under "</w:t>
      </w:r>
      <w:r>
        <w:rPr>
          <w:rFonts w:ascii="Arial" w:cs="Arial" w:eastAsia="Arial" w:hAnsi="Arial"/>
          <w:sz w:val="18"/>
          <w:szCs w:val="18"/>
          <w:i w:val="1"/>
          <w:iCs w:val="1"/>
          <w:color w:val="auto"/>
        </w:rPr>
        <w:t>Facility Lease Obligations</w:t>
      </w:r>
      <w:r>
        <w:rPr>
          <w:rFonts w:ascii="Arial" w:cs="Arial" w:eastAsia="Arial" w:hAnsi="Arial"/>
          <w:sz w:val="18"/>
          <w:szCs w:val="18"/>
          <w:color w:val="auto"/>
        </w:rPr>
        <w:t>," for the Buildings that the Company is leasing, the Company is deemed, in substance, to be the owner of the landlord's Buildings in accordance with the application of FASB authoritative guidance.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Company also leases certain other laboratory, office, and storage space and equipment under operating leases which expire at various times through 2022.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ectPr>
          <w:pgSz w:w="11900" w:h="16838" w:orient="portrait"/>
          <w:cols w:equalWidth="0" w:num="1">
            <w:col w:w="11420"/>
          </w:cols>
          <w:pgMar w:left="240" w:top="130" w:right="239"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Commitments under Operating Leases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lease commitments under operating leases, as of December 31, 2015, are as follows:</w:t>
      </w:r>
    </w:p>
    <w:p>
      <w:pPr>
        <w:spacing w:after="0" w:line="302"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Equipment</w:t>
            </w:r>
          </w:p>
        </w:tc>
        <w:tc>
          <w:tcPr>
            <w:tcW w:w="28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43"/>
        </w:trPr>
        <w:tc>
          <w:tcPr>
            <w:tcW w:w="5100" w:type="dxa"/>
            <w:vAlign w:val="bottom"/>
            <w:gridSpan w:val="2"/>
          </w:tcPr>
          <w:p>
            <w:pPr>
              <w:ind w:left="180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11,757</w:t>
            </w:r>
          </w:p>
        </w:tc>
        <w:tc>
          <w:tcPr>
            <w:tcW w:w="0" w:type="dxa"/>
            <w:vAlign w:val="bottom"/>
          </w:tcPr>
          <w:p>
            <w:pPr>
              <w:spacing w:after="0"/>
              <w:rPr>
                <w:sz w:val="1"/>
                <w:szCs w:val="1"/>
                <w:color w:val="auto"/>
              </w:rPr>
            </w:pPr>
          </w:p>
        </w:tc>
      </w:tr>
      <w:tr>
        <w:trPr>
          <w:trHeight w:val="27"/>
        </w:trPr>
        <w:tc>
          <w:tcPr>
            <w:tcW w:w="5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11,747</w:t>
            </w:r>
          </w:p>
        </w:tc>
        <w:tc>
          <w:tcPr>
            <w:tcW w:w="0" w:type="dxa"/>
            <w:vAlign w:val="bottom"/>
          </w:tcPr>
          <w:p>
            <w:pPr>
              <w:spacing w:after="0"/>
              <w:rPr>
                <w:sz w:val="1"/>
                <w:szCs w:val="1"/>
                <w:color w:val="auto"/>
              </w:rPr>
            </w:pPr>
          </w:p>
        </w:tc>
      </w:tr>
      <w:tr>
        <w:trPr>
          <w:trHeight w:val="243"/>
        </w:trPr>
        <w:tc>
          <w:tcPr>
            <w:tcW w:w="5100" w:type="dxa"/>
            <w:vAlign w:val="bottom"/>
            <w:gridSpan w:val="2"/>
          </w:tcPr>
          <w:p>
            <w:pPr>
              <w:ind w:left="180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7"/>
        </w:trPr>
        <w:tc>
          <w:tcPr>
            <w:tcW w:w="5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8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50,746</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8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112,853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Rent expense under operating leases was:</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5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2040" w:type="dxa"/>
        <w:tblCellMar>
          <w:top w:w="0" w:type="dxa"/>
          <w:left w:w="0" w:type="dxa"/>
          <w:bottom w:w="0" w:type="dxa"/>
          <w:right w:w="0" w:type="dxa"/>
        </w:tblCellMar>
      </w:tblPr>
      <w:tr>
        <w:trPr>
          <w:trHeight w:val="234"/>
        </w:trPr>
        <w:tc>
          <w:tcPr>
            <w:tcW w:w="34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Year Ended December 31,</w:t>
            </w:r>
          </w:p>
        </w:tc>
        <w:tc>
          <w:tcPr>
            <w:tcW w:w="20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Facilities</w:t>
            </w:r>
          </w:p>
        </w:tc>
        <w:tc>
          <w:tcPr>
            <w:tcW w:w="16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Equipment</w:t>
            </w: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15,202</w:t>
            </w:r>
          </w:p>
        </w:tc>
      </w:tr>
      <w:tr>
        <w:trPr>
          <w:trHeight w:val="243"/>
        </w:trPr>
        <w:tc>
          <w:tcPr>
            <w:tcW w:w="3400" w:type="dxa"/>
            <w:vAlign w:val="bottom"/>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14,312</w:t>
            </w:r>
          </w:p>
        </w:tc>
      </w:tr>
      <w:tr>
        <w:trPr>
          <w:trHeight w:val="27"/>
        </w:trPr>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r>
      <w:tr>
        <w:trPr>
          <w:trHeight w:val="27"/>
        </w:trPr>
        <w:tc>
          <w:tcPr>
            <w:tcW w:w="3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In addition to its rent expense under operating leases for various facilities, the Company paid rental charges for utilities, real estate taxes, and operating expenses of $15.5 million, $13.6 million, and $11.5 million for the years ended December 31, 2015, 2014, and 2013, respectively.</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Facility Lease Obligations</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Based upon various factors, including the Company's involvement in the construction of the Buildings and its responsibility for directly paying for a substantial portion of tenant improvements, the Company is deemed, in substance, to be the owner of the landlord's Buildings in accordance with the application of FASB authoritative guidance. Consequently, in addition to capitalizing the tenant improvements, the Company capitalizes the landlord's costs of constructing these new facilities, offset by a corresponding lease obligation on the Company's Balance Sheet. The Company also recognizes, as additional facility lease obligation, reimbursements from the Company's landlord for tenant improvement costs that the Company incurred since such payments that the Company receives from its landlord are deemed to be a financing obligation. The Company allocates a portion of its lease payments on these facilities between the Buildings and the land on which the Buildings are constructed, based on the initial estimated relative fair values of the land and Buildings. The land element of the lease is treated for accounting purposes as an operating lease.</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With respect to Buildings A and B, in 2009, monthly lease payments commenced and the buildings were placed in service by the Company. The imputed interest rate applicable to the Company's Buildings A and B facility lease obligation is approximately 11%. With respect to Building C, in 2011, monthly lease payments commenced and the building was placed in service by the Company. The imputed interest rate applicable to the Company's Building C facility lease obligation is approximately 10%. With respect to Buildings D and E, in 2015, monthly lease payments commenced and the buildings were placed in service by the Company. The imputed interest rate applicable to the Company's Buildings D and E facility lease obligation is approximately 7%. In 2015, 2014, and 2013, the Company recognized $9.7 million, $14.5 million, and $16.2 million, respectively, of interest expense in connection with the Buildings' facility lease obligations.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F- 34</w:t>
      </w:r>
    </w:p>
    <w:p>
      <w:pPr>
        <w:sectPr>
          <w:pgSz w:w="11900" w:h="16838" w:orient="portrait"/>
          <w:cols w:equalWidth="0" w:num="1">
            <w:col w:w="11420"/>
          </w:cols>
          <w:pgMar w:left="240" w:top="130" w:right="23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Facility lease obligations consist of the following:</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48"/>
        </w:trPr>
        <w:tc>
          <w:tcPr>
            <w:tcW w:w="24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76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As of December 31,</w:t>
            </w:r>
          </w:p>
        </w:tc>
        <w:tc>
          <w:tcPr>
            <w:tcW w:w="64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2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6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 and B</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108,857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110,210</w:t>
            </w:r>
          </w:p>
        </w:tc>
      </w:tr>
      <w:tr>
        <w:trPr>
          <w:trHeight w:val="243"/>
        </w:trPr>
        <w:tc>
          <w:tcPr>
            <w:tcW w:w="246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Building C</w:t>
            </w: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49,475</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49,312</w:t>
            </w: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460" w:type="dxa"/>
            <w:vAlign w:val="bottom"/>
          </w:tcPr>
          <w:p>
            <w:pPr>
              <w:spacing w:after="0"/>
              <w:rPr>
                <w:sz w:val="23"/>
                <w:szCs w:val="23"/>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D and E</w:t>
            </w:r>
          </w:p>
        </w:tc>
        <w:tc>
          <w:tcPr>
            <w:tcW w:w="10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206,376</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152,770</w:t>
            </w:r>
          </w:p>
        </w:tc>
      </w:tr>
      <w:tr>
        <w:trPr>
          <w:trHeight w:val="237"/>
        </w:trPr>
        <w:tc>
          <w:tcPr>
            <w:tcW w:w="24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364,708</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312,292</w:t>
            </w:r>
          </w:p>
        </w:tc>
      </w:tr>
      <w:tr>
        <w:trPr>
          <w:trHeight w:val="27"/>
        </w:trPr>
        <w:tc>
          <w:tcPr>
            <w:tcW w:w="24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estimated future minimum noncancelable commitments under these facility lease obligations, as of December 31, 2015, are as follows:</w:t>
      </w:r>
    </w:p>
    <w:p>
      <w:pPr>
        <w:spacing w:after="0" w:line="302"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Buildings A</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Buildings 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and B</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Building C</w:t>
            </w: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and E</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31,176</w:t>
            </w: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31,913</w:t>
            </w:r>
          </w:p>
        </w:tc>
      </w:tr>
      <w:tr>
        <w:trPr>
          <w:trHeight w:val="27"/>
        </w:trPr>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32,667</w:t>
            </w: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33,442</w:t>
            </w:r>
          </w:p>
        </w:tc>
      </w:tr>
      <w:tr>
        <w:trPr>
          <w:trHeight w:val="27"/>
        </w:trPr>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34,234</w:t>
            </w:r>
          </w:p>
        </w:tc>
      </w:tr>
      <w:tr>
        <w:trPr>
          <w:trHeight w:val="243"/>
        </w:trPr>
        <w:tc>
          <w:tcPr>
            <w:tcW w:w="20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117,096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54,760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308,935</w:t>
            </w:r>
          </w:p>
        </w:tc>
      </w:tr>
      <w:tr>
        <w:trPr>
          <w:trHeight w:val="27"/>
        </w:trPr>
        <w:tc>
          <w:tcPr>
            <w:tcW w:w="2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472,367</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Research Collaboration and Licensing Agreements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As part of the Company's research and development efforts, the Company enters into research collaboration and licensing agreements with other companies and universities. These agreements contain varying terms and provisions which include fees to be paid by the Company, services to be provided, and license rights to certain proprietary technology developed under the agreements. Some of these agreements may require the Company to pay additional amounts upon the achievement of various development and commercial milestones, contingent upon the occurrence of various future events. Additionally, some of the agreements contain provisions which require the Company to pay royalties, as defined, at rates that range from 0.5% to 16.5%, in the event the Company sells or licenses any proprietary products developed under the respective agreements. The Company also has contingent reimbursement obligations to its collaborators Sanofi and Bayer HealthCare once the applicable collaboration becomes profitable. See Note 3 for additional information.</w:t>
      </w:r>
    </w:p>
    <w:p>
      <w:pPr>
        <w:spacing w:after="0" w:line="221"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December 2011, the Company and Genentech, a member of the Roche Group, entered into a Non-Exclusive License and Partial Settlement Agreement (the "Original Genentech Agreement") that covered making, using, and selling EYLEA for the prevention of human eye diseases and disorders in the United States, and ended the litigation relating to those matters. Pursuant to the Original Genentech Agreement, the Company received a non-exclusive license to certain patents relating to VEGF receptor proteins, known as the Davis-Smyth patents, and other technology patents. The Original Genentech Agreement provided for the Company to make payments to Genentech based on U.S. sales of EYLEA commencing upon FDA approval of EYLEA in November 2011 through May 7, 2016. The Company made a one-time, non-refundable $60.0 million payment during 2012 upon cumulative U.S. sales of EYLEA reaching $400 million, and is obligated to pay royalties of 4.75% on cumulative U.S. sales of EYLEA between $400 million and $3 billion and 5.5% on any cumulative U.S sales of EYLEA over $3 billion. As the Company records net product sales of EYLEA, the Company is recognizing expense in connection with the Genentech Agreement using a blended mid-single digit royalty rate that reflects both the $60.0 million payment and the royalties payable on cumulative sales and that is based upon the Company's estimate of cumulative EYLEA sales through May 7, 2016.</w:t>
      </w:r>
    </w:p>
    <w:p>
      <w:pPr>
        <w:spacing w:after="0" w:line="22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Effective May 17, 2013, the Company entered into an Amended and Restated Non-Exclusive License and Settlement Agreement with Genentech (the "Amended Genentech Agreement"), which amended the Original Genentech Agreement to include all sales of EYLEA worldwide and ended the litigation relating to those matters. Under the Amended Genentech Agreement, the Company received a worldwide non-exclusive license to the Davis-Smyth patents, and certain other patents, owned or co-owned by Genentech for the prevention or treatment of eye diseases and eye disorders in a human through administration of EYLEA to the eye. Under</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F- 35</w:t>
      </w:r>
    </w:p>
    <w:p>
      <w:pPr>
        <w:sectPr>
          <w:pgSz w:w="11900" w:h="16838" w:orient="portrait"/>
          <w:cols w:equalWidth="0" w:num="1">
            <w:col w:w="11420"/>
          </w:cols>
          <w:pgMar w:left="240" w:top="130" w:right="239" w:bottom="1440" w:gutter="0" w:footer="0" w:header="0"/>
          <w:type w:val="continuous"/>
        </w:sectPr>
      </w:pPr>
    </w:p>
    <w:bookmarkStart w:id="137" w:name="page138"/>
    <w:bookmarkEnd w:id="1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Amended Genentech Agreement, the Company is obligated to make payments to Genentech based on sales of EYLEA in the United States, and EYLEA manufactured in the United States and sold outside the United States, through May 7, 2016 using the same milestone and royalty rates as in the Original Genentech Agreement. EYLEA is sold outside the United States by affiliates of Bayer HealthCare under the Company's license and collaboration agreement. All payments to Genentech under the Original Genentech Agreement and the Amended Genentech Agreement have been or will be made by the Company. Bayer HealthCare shares in all such payments based on the proportion of EYLEA sales outside the United States to worldwide EYLEA sales and determined consistent with the license and collaboration agreement.</w:t>
      </w:r>
    </w:p>
    <w:p>
      <w:pPr>
        <w:spacing w:after="0" w:line="2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recognizes royalty expense based on product sales of commercial products under various licensing agreements, including, for EYLEA sales both inside and outside of the United States, the Genentech agreements described above. For the years ended December 31, 2015, 2014, and 2013, the Company recorded royalty expense of $247.9 million, $169.9 million, and $128.1 million,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8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Company's Restated Certificate of Incorporation, as amended, provides for the issuance of up to 40 million shares of Class A Stock, par value $0.001 per share, and 320 million shares of Common Stock (increased from 160 million shares effective upon shareholder approval obtained in 2015),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is authorized to issue up to 30 million shares of preferred stock, in series, with rights, privileges, and qualifications of each series determined by the board of directors.</w:t>
      </w:r>
    </w:p>
    <w:p>
      <w:pPr>
        <w:spacing w:after="0" w:line="232"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December 2007, Sanofi purchased 12 million newly issued, unregistered shares of the Company's Common Stock. As a condition to the closing of this transaction, Sanofi entered into an investor agreement, as amended and restated in January 2014, with the Company. Under the terms of the amended and restated investor agreement, Sanofi has three demand rights to require the Company to use all reasonable efforts to conduct a registered underwritten public offering with respect to shares of the Company's Common Stock held by Sanofi from time to time. Under the amended and restated investor agreement, Sanofi has also agreed not to dispose of any shares of the Company's Common Stock beneficially owned by Sanofi from time to time until the later of (i) December 20, 2020, and (ii) the expiration of the Antibody Discovery Agreement with Sanofi, as amended (see Note 3a) if the agreement is extended beyond December 20, 2020. These restrictions on dispositions are subject to earlier termination upon the occurrence of certain events, such as the consummation of a change-of-control transaction involving the Company or the Company's dissolution or liquidation, and certain restrictions have been imposed on the manner of sales thereafter.</w:t>
      </w:r>
    </w:p>
    <w:p>
      <w:pPr>
        <w:spacing w:after="0" w:line="25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amended and restated investor agreement, Sanofi is bound by certain "standstill" provisions, which contractually prohibit Sanofi from seeking to directly or indirectly exert control of the Company or acquiring more than 30% of the outstanding shares of the Company's Class A Stock and Common Stock (taken together). This prohibition will remain in place until the earliest of (i) the later of the fifth anniversaries of the expiration or earlier termination of the Company's License and Collaboration Agreement with Sanofi and the Company's ZALTRAP Agreement with Sanofi, each as amended (see Note 3a) and (ii) other specified events. Sanofi has also agreed to vote as recommended by the Company's board of directors, except that it may elect to vote proportionally with the votes cast by all of the Company's other shareholders with respect to certain change-of-control transactions, and to vote in its sole discretion with respect to liquidation or dissolution, stock issuances equal to or exceeding 20% of the then outstanding shares or voting rights of the Company's Class A Stock and Common Stock (taken together),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23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In addition, upon Sanofi reaching 20% ownership of the Company's then outstanding shares of Class A Stock and Common Stock (taken together) during 2014, the Company was required to appoint an individual agreed upon by the Company and Sanofi to the Company's board of directors. This individual is required to be independent of the Company, and not to be a current or former officer, director, employee, or paid consultant of Sanofi.</w:t>
      </w:r>
    </w:p>
    <w:p>
      <w:pPr>
        <w:spacing w:after="0" w:line="22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October 2011, the Company completed a private placement of $400.0 million aggregate principal amount of Notes, which are convertible into shares of the Company's Common Stock. In connection with the offering of the Notes in October 2011, the Company entered into convertible note hedge and warrant transactions. During 2015 and 2014, a substantial portion of the Notes were surrendered for conversion. The Company elected to settle these conversion obligations through a combination of cash, in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F- 36</w:t>
      </w:r>
    </w:p>
    <w:p>
      <w:pPr>
        <w:sectPr>
          <w:pgSz w:w="11900" w:h="16838" w:orient="portrait"/>
          <w:cols w:equalWidth="0" w:num="1">
            <w:col w:w="11420"/>
          </w:cols>
          <w:pgMar w:left="240" w:top="130" w:right="23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amount equal to the principal amount of the converted Notes, and shares of the Company's Common Stock in respect of any amounts due in excess thereof. A portion of the settlement consideration provided to the Note holders was allocated to the reacquisition of the equity component of the Notes. In addition, as a result of the Note conversions, the Company exercised a proportionate amount of its convertible note hedges, for which the Company received shares of Common Stock. The shares received were recorded as Treasury Stock, at cost. See Note 11.</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During 2015 and 2014, the Company entered into agreements to reduce the number of warrants held by warrant holders. Pursuant to the agreements, the Company made payments to the warrant holders to reduce the maximum number of shares of Common Stock issuable upon the exercise of the warrants by warrant holders. In addition, in November 2014, the Company entered into an amendment agreement with a warrant holder whereby the parties agreed to reduce a portion of the number of warrants held by the warrant holder. Given that the November 2014 amendment agreement contained a conditional obligation that required settlement in cash, and the Company's obligation was indexed to the Company's share price, the Company reclassified the estimated fair value of the warrants from additional paid-in capital to a liability in November 2014. See Note 11.</w:t>
      </w:r>
    </w:p>
    <w:p>
      <w:pPr>
        <w:spacing w:after="0" w:line="2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connection with the Company's January 2014 license and collaboration agreement with Bayer HealthCare for the joint development and commercialization outside the United States of antibody product candidates to PDGFR-beta (see Note 3b), Bayer HealthCare has also agreed to a "standstill" provision, which prohibits Bayer HealthCare and its affiliates from seeking to influence the control of the Company or acquiring more than 20% of the Company's then outstanding shares of Class A Stock and Common Stock (taken together).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Long-Term Incentive Plans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2000, the Company established the Regeneron Pharmaceuticals, Inc. 2000 Long-Term Incentive Plan which, as amended and restated and approved by the Company's shareholders (the "2000 Incentive Plan"), provided for the issuance of up to 35,397,043 shares of Common Stock in respect of awards, in addition to any shares subject to awards that were returned to the 2000 Incentive Plan upon expiration, forfeiture, surrender, exchange, cancellation, or termination of previously granted awards.</w:t>
      </w:r>
    </w:p>
    <w:p>
      <w:pPr>
        <w:spacing w:after="0" w:line="24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During 2014, the Company established, and the Company's shareholders approved, the Regeneron Pharmaceuticals, Inc. 2014 Long-Term Incentive Plan (the "2014 Incentive Plan"). As of the shareholder approval date, the 2014 Incentive Plan provides for the issuance of up to 16,485,333 shares of Common Stock in respect of awards (including 4,485,333 shares of Common Stock rolled over into the 2014 Incentive Plan from the 2000 Incentive Plan), which were registered with the Securities and Exchange Commission, in addition to any shares subject to awards under the 2000 Incentive Plan or the 2014 Incentive Plan that are added to the pool of shares available for grant under the 2014 Incentive Plan upon the expiration, forfeiture, surrender, exchange, cancellation, or termination of previously granted awards. Employees of the Company, including officers, and nonemployees, including consultants and nonemployee members of the Company's board of directors (collectively, "Participants"), may receive awards as determined by a committee of independent directors ("Committee").</w:t>
      </w:r>
    </w:p>
    <w:p>
      <w:pPr>
        <w:spacing w:after="0" w:line="24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awards that may be made under the 2014 Incentive Plan include: (a) Incentive Stock Options ("ISOs") and Nonqualified Stock Options, (b) shares of Restricted Stock, (c) shares of Phantom Stock, (d) Stock Bonuses, and (e) Other Awards.</w:t>
      </w:r>
    </w:p>
    <w:p>
      <w:pPr>
        <w:spacing w:after="0" w:line="2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Stock Option awards grant Participants the right to purchase shares of Common Stock at prices determined by the Committee; however, in the case of an ISO, the option exercise price may not be less than the fair market value of a share of Common Stock on the date the option is granted. Options vest over a period of time determined by the Committee, generally on a pro rata basis over a three- to four-year period. The Committee also determines the expiration date of each option; however, no ISO is exercisable more than ten years after the date of grant. The maximum term of options that have been awarded under the 2000 Incentive Plan or 2014 Incentive Plan (collectively, the "Incentive Plans") is ten years.</w:t>
      </w:r>
    </w:p>
    <w:p>
      <w:pPr>
        <w:spacing w:after="0" w:line="22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specified in the Incentive Plans, except as determined by the Committee in its discretion and subject to the applicable Incentive Plan documents, the ownership of any unvested Restricted Stock will be transferred to the Company. In such an event, the Company will be obligated to repay the Participant the amount, if any, paid by the Participant for such shares. In addition, if the Company requires a return of the Restricted Stock, it also has the right to require a return of all dividends paid on such shares.</w:t>
      </w:r>
    </w:p>
    <w:p>
      <w:pPr>
        <w:spacing w:after="0" w:line="24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Phantom Stock awards provide the Participant the right to receive, within 30 days of the date on which the share vests, an amount, in cash and/or shares of Common Stock as determined by the Committee, equal to the sum of the fair market value of a</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F- 37</w:t>
      </w:r>
    </w:p>
    <w:p>
      <w:pPr>
        <w:sectPr>
          <w:pgSz w:w="11900" w:h="16838" w:orient="portrait"/>
          <w:cols w:equalWidth="0" w:num="1">
            <w:col w:w="11420"/>
          </w:cols>
          <w:pgMar w:left="240" w:top="130" w:right="239" w:bottom="1440" w:gutter="0" w:footer="0" w:header="0"/>
          <w:type w:val="continuous"/>
        </w:sectPr>
      </w:pPr>
    </w:p>
    <w:bookmarkStart w:id="139" w:name="page140"/>
    <w:bookmarkEnd w:id="1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23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Awards are other forms of awards which are valued based on the Common Stock. Subject to the provisions of the 2014 Incentive Plan, the terms and provisions of such Other Awards are determined solely on the authority of the Committee.</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Incentive Plans contain provisions that allow for the Committee to provide for the immediate vesting of awards upon a change in control of the Company, as defined in the Plans.</w:t>
      </w:r>
    </w:p>
    <w:p>
      <w:pPr>
        <w:spacing w:after="0" w:line="22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of December 31, 2015, there were 9,711,439 shares available for future grants under the 2014 Incentive Plan. No additional awards may be made under the 2000 Incentive Plan.</w:t>
      </w:r>
    </w:p>
    <w:p>
      <w:pPr>
        <w:spacing w:after="0" w:line="224"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Stock Options</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Transactions involving stock option awards during 2015 under the Company's Incentive Plans are summarized in the table below.</w:t>
      </w:r>
    </w:p>
    <w:p>
      <w:pPr>
        <w:spacing w:after="0" w:line="302"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Intrinsic Value (in</w:t>
            </w:r>
          </w:p>
        </w:tc>
      </w:tr>
      <w:tr>
        <w:trPr>
          <w:trHeight w:val="234"/>
        </w:trPr>
        <w:tc>
          <w:tcPr>
            <w:tcW w:w="39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Stock Options:</w:t>
            </w: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Term (in years)</w:t>
            </w:r>
          </w:p>
        </w:tc>
        <w:tc>
          <w:tcPr>
            <w:tcW w:w="120" w:type="dxa"/>
            <w:vAlign w:val="bottom"/>
          </w:tcPr>
          <w:p>
            <w:pPr>
              <w:spacing w:after="0"/>
              <w:rPr>
                <w:sz w:val="20"/>
                <w:szCs w:val="20"/>
                <w:color w:val="auto"/>
              </w:rPr>
            </w:pPr>
          </w:p>
        </w:tc>
        <w:tc>
          <w:tcPr>
            <w:tcW w:w="1540" w:type="dxa"/>
            <w:vAlign w:val="bottom"/>
          </w:tcPr>
          <w:p>
            <w:pPr>
              <w:jc w:val="right"/>
              <w:ind w:right="33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39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21,506,260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Granted</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4,495,487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537.29</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(318,952)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580"/>
              <w:spacing w:after="0"/>
              <w:rPr>
                <w:sz w:val="20"/>
                <w:szCs w:val="20"/>
                <w:color w:val="auto"/>
              </w:rPr>
            </w:pPr>
            <w:r>
              <w:rPr>
                <w:rFonts w:ascii="Arial" w:cs="Arial" w:eastAsia="Arial" w:hAnsi="Arial"/>
                <w:sz w:val="18"/>
                <w:szCs w:val="18"/>
                <w:color w:val="auto"/>
              </w:rPr>
              <w:t>Expired</w:t>
            </w:r>
          </w:p>
        </w:tc>
        <w:tc>
          <w:tcPr>
            <w:tcW w:w="1340" w:type="dxa"/>
            <w:vAlign w:val="bottom"/>
          </w:tcPr>
          <w:p>
            <w:pPr>
              <w:jc w:val="right"/>
              <w:spacing w:after="0"/>
              <w:rPr>
                <w:sz w:val="20"/>
                <w:szCs w:val="20"/>
                <w:color w:val="auto"/>
              </w:rPr>
            </w:pPr>
            <w:r>
              <w:rPr>
                <w:rFonts w:ascii="Arial" w:cs="Arial" w:eastAsia="Arial" w:hAnsi="Arial"/>
                <w:sz w:val="18"/>
                <w:szCs w:val="18"/>
                <w:color w:val="auto"/>
              </w:rPr>
              <w:t>(363)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92.20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(2,516,663)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98.26</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Outstanding as of December 31, 2015</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23,165,769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236.75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7,209,994,851</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w w:val="99"/>
              </w:rPr>
              <w:t>Vested and expected to vest as of 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2015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22,635,728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231.75</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7,156,754,651</w:t>
            </w:r>
          </w:p>
        </w:tc>
      </w:tr>
      <w:tr>
        <w:trPr>
          <w:trHeight w:val="27"/>
        </w:trPr>
        <w:tc>
          <w:tcPr>
            <w:tcW w:w="3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9"/>
        </w:trPr>
        <w:tc>
          <w:tcPr>
            <w:tcW w:w="39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Exercisable as of December 31, 2015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13,212,236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103.67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5,852,659,560</w:t>
            </w:r>
          </w:p>
        </w:tc>
      </w:tr>
    </w:tbl>
    <w:p>
      <w:pPr>
        <w:spacing w:after="0" w:line="14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satisfies stock option exercises with newly issued shares of the Company's Common Stock. The total intrinsic value of stock options exercised during 2015, 2014, and 2013 was $1,031.6 million, $1,081.2 million, and $727.5 million, respectively. The intrinsic value represents the amount by which the market price of the underlying stock exceeds the exercise price of an option.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F- 38</w:t>
      </w:r>
    </w:p>
    <w:p>
      <w:pPr>
        <w:sectPr>
          <w:pgSz w:w="11900" w:h="16838" w:orient="portrait"/>
          <w:cols w:equalWidth="0" w:num="1">
            <w:col w:w="11420"/>
          </w:cols>
          <w:pgMar w:left="240" w:top="130" w:right="23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right="20" w:firstLine="243"/>
        <w:spacing w:after="0" w:line="279" w:lineRule="auto"/>
        <w:rPr>
          <w:sz w:val="20"/>
          <w:szCs w:val="20"/>
          <w:color w:val="auto"/>
        </w:rPr>
      </w:pPr>
      <w:r>
        <w:rPr>
          <w:rFonts w:ascii="Arial" w:cs="Arial" w:eastAsia="Arial" w:hAnsi="Arial"/>
          <w:sz w:val="17"/>
          <w:szCs w:val="17"/>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2015, 2014, and 2013. The fair value of each option granted under the Company's Incentive Plans during these periods was estimated on the date of grant using the Black-Scholes option-pricing model.</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420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Fair</w:t>
            </w:r>
          </w:p>
        </w:tc>
      </w:tr>
      <w:tr>
        <w:trPr>
          <w:trHeight w:val="234"/>
        </w:trPr>
        <w:tc>
          <w:tcPr>
            <w:tcW w:w="420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Granted</w:t>
            </w:r>
          </w:p>
        </w:tc>
        <w:tc>
          <w:tcPr>
            <w:tcW w:w="14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42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2015:</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4,495,487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537.29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181.65</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2014:</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3,913,368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140.38</w:t>
            </w:r>
          </w:p>
        </w:tc>
      </w:tr>
      <w:tr>
        <w:trPr>
          <w:trHeight w:val="27"/>
        </w:trPr>
        <w:tc>
          <w:tcPr>
            <w:tcW w:w="4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jc w:val="right"/>
              <w:ind w:right="3690"/>
              <w:spacing w:after="0"/>
              <w:rPr>
                <w:sz w:val="20"/>
                <w:szCs w:val="20"/>
                <w:color w:val="auto"/>
              </w:rPr>
            </w:pPr>
            <w:r>
              <w:rPr>
                <w:rFonts w:ascii="Arial" w:cs="Arial" w:eastAsia="Arial" w:hAnsi="Arial"/>
                <w:sz w:val="18"/>
                <w:szCs w:val="18"/>
                <w:color w:val="auto"/>
                <w:w w:val="88"/>
              </w:rPr>
              <w:t>2013:</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00" w:type="dxa"/>
            <w:vAlign w:val="bottom"/>
          </w:tcPr>
          <w:p>
            <w:pPr>
              <w:jc w:val="right"/>
              <w:ind w:right="1230"/>
              <w:spacing w:after="0"/>
              <w:rPr>
                <w:sz w:val="20"/>
                <w:szCs w:val="20"/>
                <w:color w:val="auto"/>
              </w:rPr>
            </w:pPr>
            <w:r>
              <w:rPr>
                <w:rFonts w:ascii="Arial" w:cs="Arial" w:eastAsia="Arial" w:hAnsi="Arial"/>
                <w:sz w:val="18"/>
                <w:szCs w:val="18"/>
                <w:color w:val="auto"/>
                <w:w w:val="99"/>
              </w:rPr>
              <w:t>Exercise price equal to Market Price</w:t>
            </w:r>
          </w:p>
        </w:tc>
        <w:tc>
          <w:tcPr>
            <w:tcW w:w="1040" w:type="dxa"/>
            <w:vAlign w:val="bottom"/>
          </w:tcPr>
          <w:p>
            <w:pPr>
              <w:jc w:val="right"/>
              <w:spacing w:after="0"/>
              <w:rPr>
                <w:sz w:val="20"/>
                <w:szCs w:val="20"/>
                <w:color w:val="auto"/>
              </w:rPr>
            </w:pPr>
            <w:r>
              <w:rPr>
                <w:rFonts w:ascii="Arial" w:cs="Arial" w:eastAsia="Arial" w:hAnsi="Arial"/>
                <w:sz w:val="18"/>
                <w:szCs w:val="18"/>
                <w:color w:val="auto"/>
              </w:rPr>
              <w:t>3,937,989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263.77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104.90</w:t>
            </w:r>
          </w:p>
        </w:tc>
      </w:tr>
    </w:tbl>
    <w:p>
      <w:pPr>
        <w:spacing w:after="0" w:line="14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 years ended December 31, 2015, 2014, and 2013, the Company recognized $443.7 million, $306.1 million, and $193.4 million, respectively, of non-cash stock-based compensation expense related to non-performance based stock option awards. As of December 31, 2015, there was $962.6 million of stock-based compensation cost related to outstanding non-performance based stock options, net of estimated forfeitures, which had not yet been recognized. The Company expects to recognize this compensation cost over a weighted-average period of 2.0 years.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years ended December 31, 2014 and 2013, the Company recognized $4.1 million and $8.0 million, respectively, of non-cash stock-based compensation expense related to performance-based options. As of December 31, 2013, there were 770,250 performance-based options outstanding and unvested, which were issued in 2011, and fully vested during 2014. The Company has not issued any performance-based options since 2011 and there were no performance-based options that were unvested as of December 31, 2015.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Assumptions: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weighted average values of the assumptions used in computing the fair value of option grants during 2015, 2014 and 2013.</w:t>
      </w:r>
    </w:p>
    <w:p>
      <w:pPr>
        <w:spacing w:after="0" w:line="247" w:lineRule="exact"/>
        <w:rPr>
          <w:sz w:val="20"/>
          <w:szCs w:val="20"/>
          <w:color w:val="auto"/>
        </w:rPr>
      </w:pPr>
    </w:p>
    <w:tbl>
      <w:tblPr>
        <w:tblLayout w:type="fixed"/>
        <w:tblInd w:w="224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r>
      <w:tr>
        <w:trPr>
          <w:trHeight w:val="27"/>
        </w:trPr>
        <w:tc>
          <w:tcPr>
            <w:tcW w:w="32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lives from grant date</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5.1 years</w:t>
            </w:r>
          </w:p>
        </w:tc>
        <w:tc>
          <w:tcPr>
            <w:tcW w:w="1280" w:type="dxa"/>
            <w:vAlign w:val="bottom"/>
            <w:gridSpan w:val="2"/>
          </w:tcPr>
          <w:p>
            <w:pPr>
              <w:ind w:left="340"/>
              <w:spacing w:after="0"/>
              <w:rPr>
                <w:sz w:val="20"/>
                <w:szCs w:val="20"/>
                <w:color w:val="auto"/>
              </w:rPr>
            </w:pPr>
            <w:r>
              <w:rPr>
                <w:rFonts w:ascii="Arial" w:cs="Arial" w:eastAsia="Arial" w:hAnsi="Arial"/>
                <w:sz w:val="18"/>
                <w:szCs w:val="18"/>
                <w:color w:val="auto"/>
              </w:rPr>
              <w:t>5.2 years</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5.3 years</w:t>
            </w:r>
          </w:p>
        </w:tc>
      </w:tr>
      <w:tr>
        <w:trPr>
          <w:trHeight w:val="27"/>
        </w:trPr>
        <w:tc>
          <w:tcPr>
            <w:tcW w:w="3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F- 39</w:t>
      </w:r>
    </w:p>
    <w:p>
      <w:pPr>
        <w:sectPr>
          <w:pgSz w:w="11900" w:h="16838" w:orient="portrait"/>
          <w:cols w:equalWidth="0" w:num="1">
            <w:col w:w="11420"/>
          </w:cols>
          <w:pgMar w:left="240" w:top="130" w:right="23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w:t>
      </w:r>
    </w:p>
    <w:p>
      <w:pPr>
        <w:spacing w:after="0" w:line="279" w:lineRule="exact"/>
        <w:rPr>
          <w:rFonts w:ascii="Arial" w:cs="Arial" w:eastAsia="Arial" w:hAnsi="Arial"/>
          <w:sz w:val="18"/>
          <w:szCs w:val="18"/>
          <w:i w:val="1"/>
          <w:iCs w:val="1"/>
          <w:color w:val="auto"/>
        </w:rPr>
      </w:pPr>
    </w:p>
    <w:p>
      <w:pPr>
        <w:ind w:left="260"/>
        <w:spacing w:after="0"/>
        <w:rPr>
          <w:rFonts w:ascii="Arial" w:cs="Arial" w:eastAsia="Arial" w:hAnsi="Arial"/>
          <w:sz w:val="18"/>
          <w:szCs w:val="18"/>
          <w:i w:val="1"/>
          <w:iCs w:val="1"/>
          <w:color w:val="auto"/>
        </w:rPr>
      </w:pPr>
      <w:r>
        <w:rPr>
          <w:rFonts w:ascii="Arial" w:cs="Arial" w:eastAsia="Arial" w:hAnsi="Arial"/>
          <w:sz w:val="18"/>
          <w:szCs w:val="18"/>
          <w:color w:val="auto"/>
        </w:rPr>
        <w:t>A summary of the Company's activity related to Restricted Stock awards for the year ended December 31, 2015 is summarized below:</w:t>
      </w:r>
    </w:p>
    <w:p>
      <w:pPr>
        <w:spacing w:after="0" w:line="200" w:lineRule="exact"/>
        <w:rPr>
          <w:sz w:val="20"/>
          <w:szCs w:val="20"/>
          <w:color w:val="auto"/>
        </w:rPr>
      </w:pPr>
    </w:p>
    <w:p>
      <w:pPr>
        <w:spacing w:after="0" w:line="237" w:lineRule="exact"/>
        <w:rPr>
          <w:sz w:val="20"/>
          <w:szCs w:val="20"/>
          <w:color w:val="auto"/>
        </w:rPr>
      </w:pPr>
    </w:p>
    <w:tbl>
      <w:tblPr>
        <w:tblLayout w:type="fixed"/>
        <w:tblInd w:w="266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3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Average Grant</w:t>
            </w:r>
          </w:p>
        </w:tc>
      </w:tr>
      <w:tr>
        <w:trPr>
          <w:trHeight w:val="216"/>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Date Fair</w:t>
            </w:r>
          </w:p>
        </w:tc>
      </w:tr>
      <w:tr>
        <w:trPr>
          <w:trHeight w:val="234"/>
        </w:trPr>
        <w:tc>
          <w:tcPr>
            <w:tcW w:w="37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Restricted Stock:</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 w:type="dxa"/>
            <w:vAlign w:val="bottom"/>
          </w:tcPr>
          <w:p>
            <w:pPr>
              <w:spacing w:after="0"/>
              <w:rPr>
                <w:sz w:val="20"/>
                <w:szCs w:val="20"/>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3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2014</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546,060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115.26</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Granted</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27,520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540.40</w:t>
            </w:r>
          </w:p>
        </w:tc>
      </w:tr>
      <w:tr>
        <w:trPr>
          <w:trHeight w:val="27"/>
        </w:trPr>
        <w:tc>
          <w:tcPr>
            <w:tcW w:w="3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Vested</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164.65</w:t>
            </w:r>
          </w:p>
        </w:tc>
      </w:tr>
      <w:tr>
        <w:trPr>
          <w:trHeight w:val="257"/>
        </w:trPr>
        <w:tc>
          <w:tcPr>
            <w:tcW w:w="3740" w:type="dxa"/>
            <w:vAlign w:val="bottom"/>
          </w:tcPr>
          <w:p>
            <w:pPr>
              <w:ind w:left="20"/>
              <w:spacing w:after="0"/>
              <w:rPr>
                <w:sz w:val="20"/>
                <w:szCs w:val="20"/>
                <w:color w:val="auto"/>
              </w:rPr>
            </w:pPr>
            <w:r>
              <w:rPr>
                <w:rFonts w:ascii="Arial" w:cs="Arial" w:eastAsia="Arial" w:hAnsi="Arial"/>
                <w:sz w:val="18"/>
                <w:szCs w:val="18"/>
                <w:color w:val="auto"/>
              </w:rPr>
              <w:t>Outstanding as of December 31, 2015</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541,700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133.96</w:t>
            </w:r>
          </w:p>
        </w:tc>
      </w:tr>
      <w:tr>
        <w:trPr>
          <w:trHeight w:val="20"/>
        </w:trPr>
        <w:tc>
          <w:tcPr>
            <w:tcW w:w="3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Company recognized non-cash stock-based compensation expense from Restricted Stock awards of $15.3 million, $11.5 million, and $14.0 million in 2015, 2014, and 2013, respectively. As of December 31, 2015, there was $33.9 million of stock-based compensation cost related to unvested shares of Restricted Stock which had not yet been recognized. The Company expects to recognize this compensation cost over a weighted-average period of 2.1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Revisions of Previously-Issued Financial Statements</w:t>
      </w:r>
    </w:p>
    <w:p>
      <w:pPr>
        <w:spacing w:after="0" w:line="27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first quarter of 2015, the Company determined that for certain stock option awards granted to an employee in prior periods, the incorrect requisite service period was utilized in determining the period over which the related compensation expense should have been recorded. Such awards were made as part of the Company's annual employee option grants in December of each applicable year. As a result, compensation expense for the years ended December 31, 2014 and 2013 was understated. These revisions consisted entirely of non-cash adjustments, and therefore had no impact on the Company's previously reported total cash flows from operating activities and total cash flows in its Statements of Cash Flows. The Company evaluated the impact of these items on prior periods, assessing materiality quantitatively and qualitatively, and concluded that the errors were not considered to be material to any previously-issued quarterly or annual financial statements. However, the Company concluded that it would revise the applicable prior period amounts in this filing to reflect the impact of these corrections because the cumulative amount of such corrections was expected to be material to the year ending December 31, 2015.</w:t>
      </w:r>
    </w:p>
    <w:p>
      <w:pPr>
        <w:spacing w:after="0" w:line="25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tables below present the impact of these revisions, including the related tax effect, on the Company's previously-filed financial statements.</w:t>
      </w:r>
    </w:p>
    <w:p>
      <w:pPr>
        <w:spacing w:after="0" w:line="200" w:lineRule="exact"/>
        <w:rPr>
          <w:sz w:val="20"/>
          <w:szCs w:val="20"/>
          <w:color w:val="auto"/>
        </w:rPr>
      </w:pPr>
    </w:p>
    <w:p>
      <w:pPr>
        <w:spacing w:after="0" w:line="249" w:lineRule="exact"/>
        <w:rPr>
          <w:sz w:val="20"/>
          <w:szCs w:val="20"/>
          <w:color w:val="auto"/>
        </w:rPr>
      </w:pPr>
    </w:p>
    <w:tbl>
      <w:tblPr>
        <w:tblLayout w:type="fixed"/>
        <w:tblInd w:w="154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December 31, 2014</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As Previously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Reported</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88"/>
              </w:rPr>
              <w:t>As Revised</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Balance Sheet Data:</w:t>
            </w:r>
          </w:p>
        </w:tc>
        <w:tc>
          <w:tcPr>
            <w:tcW w:w="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316,104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338,256</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2,465,008</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(38,738)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216,644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2,542,325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2,564,477</w:t>
            </w:r>
          </w:p>
        </w:tc>
        <w:tc>
          <w:tcPr>
            <w:tcW w:w="0" w:type="dxa"/>
            <w:vAlign w:val="bottom"/>
          </w:tcPr>
          <w:p>
            <w:pPr>
              <w:spacing w:after="0"/>
              <w:rPr>
                <w:sz w:val="1"/>
                <w:szCs w:val="1"/>
                <w:color w:val="auto"/>
              </w:rPr>
            </w:pPr>
          </w:p>
        </w:tc>
      </w:tr>
      <w:tr>
        <w:trPr>
          <w:trHeight w:val="243"/>
        </w:trPr>
        <w:tc>
          <w:tcPr>
            <w:tcW w:w="344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3,871,827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3,893,979</w:t>
            </w:r>
          </w:p>
        </w:tc>
        <w:tc>
          <w:tcPr>
            <w:tcW w:w="0" w:type="dxa"/>
            <w:vAlign w:val="bottom"/>
          </w:tcPr>
          <w:p>
            <w:pPr>
              <w:spacing w:after="0"/>
              <w:rPr>
                <w:sz w:val="1"/>
                <w:szCs w:val="1"/>
                <w:color w:val="auto"/>
              </w:rPr>
            </w:pPr>
          </w:p>
        </w:tc>
      </w:tr>
      <w:tr>
        <w:trPr>
          <w:trHeight w:val="621"/>
        </w:trPr>
        <w:tc>
          <w:tcPr>
            <w:tcW w:w="3440" w:type="dxa"/>
            <w:vAlign w:val="bottom"/>
          </w:tcPr>
          <w:p>
            <w:pPr>
              <w:spacing w:after="0"/>
              <w:rPr>
                <w:sz w:val="24"/>
                <w:szCs w:val="24"/>
                <w:color w:val="auto"/>
              </w:rPr>
            </w:pP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F- 40</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31" w:lineRule="exact"/>
        <w:rPr>
          <w:sz w:val="20"/>
          <w:szCs w:val="20"/>
          <w:color w:val="auto"/>
        </w:rPr>
      </w:pPr>
    </w:p>
    <w:tbl>
      <w:tblPr>
        <w:tblLayout w:type="fixed"/>
        <w:tblInd w:w="212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As Previously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Reported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6"/>
              </w:rPr>
              <w:t>Consolidated Statement of Operations</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180"/>
              <w:spacing w:after="0"/>
              <w:rPr>
                <w:sz w:val="20"/>
                <w:szCs w:val="20"/>
                <w:color w:val="auto"/>
              </w:rPr>
            </w:pPr>
            <w:r>
              <w:rPr>
                <w:rFonts w:ascii="Arial" w:cs="Arial" w:eastAsia="Arial" w:hAnsi="Arial"/>
                <w:sz w:val="18"/>
                <w:szCs w:val="18"/>
                <w:b w:val="1"/>
                <w:bCs w:val="1"/>
                <w:color w:val="auto"/>
              </w:rPr>
              <w:t>Data:</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175,307</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586,526</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215,803</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221,287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(31,564)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189,723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99,628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90,095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Previously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27"/>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Operations</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0"/>
              <w:spacing w:after="0"/>
              <w:rPr>
                <w:sz w:val="20"/>
                <w:szCs w:val="20"/>
                <w:color w:val="auto"/>
              </w:rPr>
            </w:pPr>
            <w:r>
              <w:rPr>
                <w:rFonts w:ascii="Arial" w:cs="Arial" w:eastAsia="Arial" w:hAnsi="Arial"/>
                <w:sz w:val="18"/>
                <w:szCs w:val="18"/>
                <w:b w:val="1"/>
                <w:bCs w:val="1"/>
                <w:color w:val="auto"/>
              </w:rPr>
              <w:t>Data:</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504,755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346,393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1,981,126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1,995,638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1,344,717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1,361,695</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838,431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743,050</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775,747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761,235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713,360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(16,978)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696,382</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427,673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423,109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282,644</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348,074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338,126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424,362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413,738</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657"/>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2014</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December 31, 2013</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4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As Previously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Reported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rPr>
              <w:t>As Revised</w:t>
            </w:r>
          </w:p>
        </w:tc>
        <w:tc>
          <w:tcPr>
            <w:tcW w:w="16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Reported</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6"/>
              </w:rPr>
              <w:t>As Revised</w:t>
            </w:r>
          </w:p>
        </w:tc>
        <w:tc>
          <w:tcPr>
            <w:tcW w:w="0" w:type="dxa"/>
            <w:vAlign w:val="bottom"/>
          </w:tcPr>
          <w:p>
            <w:pPr>
              <w:spacing w:after="0"/>
              <w:rPr>
                <w:sz w:val="1"/>
                <w:szCs w:val="1"/>
                <w:color w:val="auto"/>
              </w:rPr>
            </w:pPr>
          </w:p>
        </w:tc>
      </w:tr>
      <w:tr>
        <w:trPr>
          <w:trHeight w:val="27"/>
        </w:trPr>
        <w:tc>
          <w:tcPr>
            <w:tcW w:w="34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4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20" w:type="dxa"/>
            <w:vAlign w:val="bottom"/>
          </w:tcPr>
          <w:p>
            <w:pPr>
              <w:ind w:left="200"/>
              <w:spacing w:after="0"/>
              <w:rPr>
                <w:sz w:val="20"/>
                <w:szCs w:val="20"/>
                <w:color w:val="auto"/>
              </w:rPr>
            </w:pPr>
            <w:r>
              <w:rPr>
                <w:rFonts w:ascii="Arial" w:cs="Arial" w:eastAsia="Arial" w:hAnsi="Arial"/>
                <w:sz w:val="18"/>
                <w:szCs w:val="18"/>
                <w:b w:val="1"/>
                <w:bCs w:val="1"/>
                <w:color w:val="auto"/>
              </w:rPr>
              <w:t>Data:</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20" w:type="dxa"/>
            <w:vAlign w:val="bottom"/>
          </w:tcPr>
          <w:p>
            <w:pPr>
              <w:ind w:left="20"/>
              <w:spacing w:after="0"/>
              <w:rPr>
                <w:sz w:val="20"/>
                <w:szCs w:val="20"/>
                <w:color w:val="auto"/>
              </w:rPr>
            </w:pPr>
            <w:r>
              <w:rPr>
                <w:rFonts w:ascii="Arial" w:cs="Arial" w:eastAsia="Arial" w:hAnsi="Arial"/>
                <w:sz w:val="18"/>
                <w:szCs w:val="18"/>
                <w:i w:val="1"/>
                <w:iCs w:val="1"/>
                <w:color w:val="auto"/>
              </w:rPr>
              <w:t>Cash flows from operating activities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348,074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424,362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413,738</w:t>
            </w:r>
          </w:p>
        </w:tc>
        <w:tc>
          <w:tcPr>
            <w:tcW w:w="0" w:type="dxa"/>
            <w:vAlign w:val="bottom"/>
          </w:tcPr>
          <w:p>
            <w:pPr>
              <w:spacing w:after="0"/>
              <w:rPr>
                <w:sz w:val="1"/>
                <w:szCs w:val="1"/>
                <w:color w:val="auto"/>
              </w:rPr>
            </w:pPr>
          </w:p>
        </w:tc>
      </w:tr>
      <w:tr>
        <w:trPr>
          <w:trHeight w:val="243"/>
        </w:trPr>
        <w:tc>
          <w:tcPr>
            <w:tcW w:w="3420" w:type="dxa"/>
            <w:vAlign w:val="bottom"/>
          </w:tcPr>
          <w:p>
            <w:pPr>
              <w:ind w:left="120"/>
              <w:spacing w:after="0"/>
              <w:rPr>
                <w:sz w:val="20"/>
                <w:szCs w:val="20"/>
                <w:color w:val="auto"/>
              </w:rPr>
            </w:pPr>
            <w:r>
              <w:rPr>
                <w:rFonts w:ascii="Arial" w:cs="Arial" w:eastAsia="Arial" w:hAnsi="Arial"/>
                <w:sz w:val="18"/>
                <w:szCs w:val="18"/>
                <w:color w:val="auto"/>
              </w:rPr>
              <w:t>Non-cash compensation expense</w:t>
            </w: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307,238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321,750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198,399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16,978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215,377</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(71,168)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57,247</w:t>
            </w:r>
          </w:p>
        </w:tc>
        <w:tc>
          <w:tcPr>
            <w:tcW w:w="0" w:type="dxa"/>
            <w:vAlign w:val="bottom"/>
          </w:tcPr>
          <w:p>
            <w:pPr>
              <w:spacing w:after="0"/>
              <w:rPr>
                <w:sz w:val="1"/>
                <w:szCs w:val="1"/>
                <w:color w:val="auto"/>
              </w:rPr>
            </w:pPr>
          </w:p>
        </w:tc>
      </w:tr>
      <w:tr>
        <w:trPr>
          <w:trHeight w:val="594"/>
        </w:trPr>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ind w:left="640"/>
              <w:spacing w:after="0"/>
              <w:rPr>
                <w:sz w:val="20"/>
                <w:szCs w:val="20"/>
                <w:color w:val="auto"/>
              </w:rPr>
            </w:pPr>
            <w:r>
              <w:rPr>
                <w:rFonts w:ascii="Arial" w:cs="Arial" w:eastAsia="Arial" w:hAnsi="Arial"/>
                <w:sz w:val="18"/>
                <w:szCs w:val="18"/>
                <w:color w:val="auto"/>
              </w:rPr>
              <w:t>F- 41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Savings Plans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maintains the Regeneron Pharmaceuticals, Inc. 401(k) Savings Plan (the "Savings Plan"). The terms of the Savings Plan, as amended and restated, allow U.S. employees who are age twenty-one or older to contribute to the Savings Plan a percentage of their compensation. In addition, the Company may make discretionary contributions ("Contribution"), as defined, to the accounts of participants under the Savings Plan. The Company recognized $15.4 million, $13.1 million, and $5.7 million of Contribution expense in 2015, 2014, and 2013, respectively.</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2014, the Regeneron Ireland Pension Plan (the "Ireland Plan"), a defined contribution occupational pension plan which covers all eligible Ireland-based employees (as defined by the Ireland Plan), was established. Contributions to the Ireland Plan are comprised of two components: (i) a minimum mandatory employee and employer contribution rate, and (ii) a matching scheme, whereby the Company will match employee contributions up to a certain percentage. Employees can make additional voluntary contributions to the Ireland Plan. Expenses related to the Company's contributions to the Ireland Plan were not material during 2015 and 2014.</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 is subject to U.S. federal, state, and foreign income taxes. Components of income before income taxes consist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1,665,087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1,101,446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795,300</w:t>
            </w: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3900" w:type="dxa"/>
            <w:vAlign w:val="bottom"/>
          </w:tcPr>
          <w:p>
            <w:pPr>
              <w:ind w:left="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(439,990)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(340,211)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(98,918)</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160" w:type="dxa"/>
            <w:vAlign w:val="bottom"/>
          </w:tcPr>
          <w:p>
            <w:pPr>
              <w:spacing w:after="0"/>
              <w:rPr>
                <w:sz w:val="21"/>
                <w:szCs w:val="21"/>
                <w:color w:val="auto"/>
              </w:rPr>
            </w:pPr>
          </w:p>
        </w:tc>
        <w:tc>
          <w:tcPr>
            <w:tcW w:w="3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761,235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Components of income tax expense consist of the following:</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0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686,561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437,038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196,527</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23,489</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433</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tax expense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220,449</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53,504</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8,700</w:t>
            </w:r>
          </w:p>
        </w:tc>
      </w:tr>
      <w:tr>
        <w:trPr>
          <w:trHeight w:val="27"/>
        </w:trPr>
        <w:tc>
          <w:tcPr>
            <w:tcW w:w="3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7"/>
        </w:trPr>
        <w:tc>
          <w:tcPr>
            <w:tcW w:w="3900" w:type="dxa"/>
            <w:vAlign w:val="bottom"/>
          </w:tcPr>
          <w:p>
            <w:pPr>
              <w:ind w:left="600"/>
              <w:spacing w:after="0"/>
              <w:rPr>
                <w:sz w:val="20"/>
                <w:szCs w:val="20"/>
                <w:color w:val="auto"/>
              </w:rPr>
            </w:pPr>
            <w:r>
              <w:rPr>
                <w:rFonts w:ascii="Arial" w:cs="Arial" w:eastAsia="Arial" w:hAnsi="Arial"/>
                <w:sz w:val="18"/>
                <w:szCs w:val="18"/>
                <w:color w:val="auto"/>
              </w:rPr>
              <w:t>Total deferred tax (benefit) expense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(130,092)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(45,526)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62,195</w:t>
            </w:r>
          </w:p>
        </w:tc>
      </w:tr>
      <w:tr>
        <w:trPr>
          <w:trHeight w:val="27"/>
        </w:trPr>
        <w:tc>
          <w:tcPr>
            <w:tcW w:w="3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589,041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423,109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282,644</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2015, 2014, and 2013, the Company utilized $405.3 million, $439.3 million, and $211.9 million of excess tax benefits in connection with stock option exercises, which were credited to additional paid-in capital as realized.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Company also recorded an income tax provision in its Statement of Comprehensive Income of $24.9 million and $27.1 million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2014, respectively, in connection with unrealized gains (losses) on "available-for-sale" marketable securities.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no such income tax provision or benefit was recognized.</w:t>
      </w:r>
    </w:p>
    <w:p>
      <w:pPr>
        <w:sectPr>
          <w:pgSz w:w="11900" w:h="16838" w:orient="portrait"/>
          <w:cols w:equalWidth="0" w:num="1">
            <w:col w:w="11420"/>
          </w:cols>
          <w:pgMar w:left="240" w:top="130"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F- 42</w:t>
      </w:r>
    </w:p>
    <w:p>
      <w:pPr>
        <w:sectPr>
          <w:pgSz w:w="11900" w:h="16838" w:orient="portrait"/>
          <w:cols w:equalWidth="0" w:num="1">
            <w:col w:w="11420"/>
          </w:cols>
          <w:pgMar w:left="240" w:top="130" w:right="239" w:bottom="1440" w:gutter="0" w:footer="0" w:header="0"/>
          <w:type w:val="continuous"/>
        </w:sectPr>
      </w:pPr>
    </w:p>
    <w:bookmarkStart w:id="144" w:name="page145"/>
    <w:bookmarkEnd w:id="1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reconciliation of the U.S. statutory income tax rate to the Company's effective income tax rate is as follows:</w:t>
      </w:r>
    </w:p>
    <w:p>
      <w:pPr>
        <w:spacing w:after="0" w:line="302" w:lineRule="exact"/>
        <w:rPr>
          <w:sz w:val="20"/>
          <w:szCs w:val="20"/>
          <w:color w:val="auto"/>
        </w:rPr>
      </w:pPr>
    </w:p>
    <w:p>
      <w:pPr>
        <w:ind w:left="71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34290</wp:posOffset>
            </wp:positionV>
            <wp:extent cx="29927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740" w:type="dxa"/>
            <w:vAlign w:val="bottom"/>
            <w:gridSpan w:val="2"/>
          </w:tcPr>
          <w:p>
            <w:pPr>
              <w:ind w:left="5360"/>
              <w:spacing w:after="0"/>
              <w:rPr>
                <w:sz w:val="20"/>
                <w:szCs w:val="20"/>
                <w:color w:val="auto"/>
              </w:rPr>
            </w:pPr>
            <w:r>
              <w:rPr>
                <w:rFonts w:ascii="Arial" w:cs="Arial" w:eastAsia="Arial" w:hAnsi="Arial"/>
                <w:sz w:val="18"/>
                <w:szCs w:val="18"/>
                <w:b w:val="1"/>
                <w:bCs w:val="1"/>
                <w:color w:val="auto"/>
                <w:w w:val="89"/>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4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3.4</w:t>
            </w:r>
          </w:p>
        </w:tc>
      </w:tr>
      <w:tr>
        <w:trPr>
          <w:trHeight w:val="27"/>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state effective rate</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Foreign income tax rate differential</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w w:val="85"/>
              </w:rPr>
              <w:t>12.2</w:t>
            </w:r>
          </w:p>
        </w:tc>
        <w:tc>
          <w:tcPr>
            <w:tcW w:w="10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7"/>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credits</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Non-deductible Branded Prescription Drug Fee</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4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Domestic production activities deduction</w:t>
            </w:r>
          </w:p>
        </w:tc>
        <w:tc>
          <w:tcPr>
            <w:tcW w:w="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Other permanent differences</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1.1</w:t>
            </w:r>
          </w:p>
        </w:tc>
      </w:tr>
      <w:tr>
        <w:trPr>
          <w:trHeight w:val="27"/>
        </w:trPr>
        <w:tc>
          <w:tcPr>
            <w:tcW w:w="48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48.1 %</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55.6 %</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In 2015, the difference between the U.S. federal statutory rate of 35% and the Company's effective tax rate of 48.1% is primarily attributable to losses incurred in foreign jurisdictions with rates lower than the U.S. federal statutory rate, partly offset by the positive impact of the domestic manufacturing deduction.</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2014, the difference between the U.S. federal statutory rate of 35% and the Company's effective tax rate of 55.6% was primarily attributable to losses incurred in foreign jurisdictions with rates lower than the U.S. federal statutory rate and the non-deductible Branded Prescription Drug Fee, partly offset by the positive impact of the federal tax credit for increased research activities and state income tax credits.</w:t>
      </w:r>
    </w:p>
    <w:p>
      <w:pPr>
        <w:spacing w:after="0" w:line="23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2013, the difference between the U.S. federal statutory rate of 35% and the Company's effective tax rate of 40.6% was primarily attributable to increases related to losses incurred in foreign jurisdictions with rates lower than the U.S. federal statutory rate and state and local taxes. These negative impacts were partially offset by federal and state income tax credits. In January, 2013, The American Taxpayer Relief Act was enacted, which included a provision to extend the income tax credit for increased research activities retroactively to the tax year ended December 31, 2012, as well as for 2013. As a result of the extension, during 2013, the Company recognized the benefit of both the 2012 and 2013 federal research tax credit, which totaled $34.0 million.</w:t>
      </w:r>
    </w:p>
    <w:p>
      <w:pPr>
        <w:spacing w:after="0" w:line="212"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F- 43</w:t>
      </w:r>
    </w:p>
    <w:p>
      <w:pPr>
        <w:sectPr>
          <w:pgSz w:w="11900" w:h="16838" w:orient="portrait"/>
          <w:cols w:equalWidth="0" w:num="1">
            <w:col w:w="11420"/>
          </w:cols>
          <w:pgMar w:left="240" w:top="130" w:right="23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96" w:lineRule="exact"/>
        <w:rPr>
          <w:sz w:val="20"/>
          <w:szCs w:val="20"/>
          <w:color w:val="auto"/>
        </w:rPr>
      </w:pPr>
    </w:p>
    <w:tbl>
      <w:tblPr>
        <w:tblLayout w:type="fixed"/>
        <w:tblInd w:w="220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5"/>
              </w:rPr>
              <w:t>As of December 31,</w:t>
            </w:r>
          </w:p>
        </w:tc>
      </w:tr>
      <w:tr>
        <w:trPr>
          <w:trHeight w:val="27"/>
        </w:trPr>
        <w:tc>
          <w:tcPr>
            <w:tcW w:w="4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assets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8,078</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51,766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60,223</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349,508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216,640</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Income tax credit carryforwards</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8,539</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research and development costs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12,908</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19,331</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21,922</w:t>
            </w:r>
          </w:p>
        </w:tc>
      </w:tr>
      <w:tr>
        <w:trPr>
          <w:trHeight w:val="237"/>
        </w:trPr>
        <w:tc>
          <w:tcPr>
            <w:tcW w:w="4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483,239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347,791</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Valuation allowance</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7"/>
        </w:trPr>
        <w:tc>
          <w:tcPr>
            <w:tcW w:w="4840" w:type="dxa"/>
            <w:vAlign w:val="bottom"/>
          </w:tcPr>
          <w:p>
            <w:pPr>
              <w:ind w:left="4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483,239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347,432</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18"/>
        </w:trPr>
        <w:tc>
          <w:tcPr>
            <w:tcW w:w="4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gains/losses on marketable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(28,186)</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(3,578)</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4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(32,016)</w:t>
            </w: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461,945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315,416</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has state net operating loss carryforwards and state tax credits which will expire in various years from 2024 to 2034. The Internal Revenue Code and various state tax laws contain certain provisions that can limit a taxpayer's ability to utilize net operating losses and tax credit carryforwards in any given year resulting from cumulative changes in ownership interests in excess of 50% over a three-year period. The Company does not believe, however, that any such limitation would have a significant impact on the Company's ability to utilize its net operating losses or income tax credit carryforwards prior to expiration.</w:t>
      </w:r>
    </w:p>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Company's 2012 through 2014 federal income tax returns remain open to examination by the IRS. The Company's 2012 federal income tax return is currently under audit by the IRS. The Company's state income tax returns from 2012 to 2014 remain open to examination. New York State Department of Taxation and Finance is currently auditing the Company's 2012 through 2014 tax returns, and the Department of Revenue of the Commonwealth of Pennsylvania is currently auditing the Company's 2013 and 2014 tax returns</w:t>
      </w:r>
      <w:r>
        <w:rPr>
          <w:rFonts w:ascii="Arial" w:cs="Arial" w:eastAsia="Arial" w:hAnsi="Arial"/>
          <w:sz w:val="18"/>
          <w:szCs w:val="18"/>
          <w:color w:val="1F497D"/>
        </w:rPr>
        <w:t>.</w:t>
      </w:r>
      <w:r>
        <w:rPr>
          <w:rFonts w:ascii="Arial" w:cs="Arial" w:eastAsia="Arial" w:hAnsi="Arial"/>
          <w:sz w:val="17"/>
          <w:szCs w:val="17"/>
          <w:color w:val="auto"/>
        </w:rPr>
        <w:t xml:space="preserve"> The United States and many states generally have statutes of limitation ranging from 3 to 5 years; however, those statutes could be extended due to the Company's net operating loss and tax credit carryforward positions in a number of the Company's tax jurisdictions. In general, tax authorities have the ability to review income tax returns for loss periods in which the statute of limitation has previously expired to adjust the net operating loss carryforward or tax credits generated in those years.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F- 44</w:t>
      </w:r>
    </w:p>
    <w:p>
      <w:pPr>
        <w:sectPr>
          <w:pgSz w:w="11900" w:h="16838" w:orient="portrait"/>
          <w:cols w:equalWidth="0" w:num="1">
            <w:col w:w="11420"/>
          </w:cols>
          <w:pgMar w:left="240" w:top="130" w:right="23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summarizes the gross amounts of unrecognized tax benefits. The amount of unrecognized tax benefits that, if settled, would impact the effective tax rate is $102.1 million, $51.2 million, and $23.5 million as of December 31, 2015, 2014, and 2013, respectively.</w:t>
      </w:r>
    </w:p>
    <w:p>
      <w:pPr>
        <w:spacing w:after="0" w:line="247" w:lineRule="exact"/>
        <w:rPr>
          <w:sz w:val="20"/>
          <w:szCs w:val="20"/>
          <w:color w:val="auto"/>
        </w:rPr>
      </w:pPr>
    </w:p>
    <w:tbl>
      <w:tblPr>
        <w:tblLayout w:type="fixed"/>
        <w:tblInd w:w="168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11,274</w:t>
            </w:r>
          </w:p>
        </w:tc>
      </w:tr>
      <w:tr>
        <w:trPr>
          <w:trHeight w:val="243"/>
        </w:trPr>
        <w:tc>
          <w:tcPr>
            <w:tcW w:w="4840" w:type="dxa"/>
            <w:vAlign w:val="bottom"/>
          </w:tcPr>
          <w:p>
            <w:pPr>
              <w:ind w:left="200"/>
              <w:spacing w:after="0"/>
              <w:rPr>
                <w:sz w:val="20"/>
                <w:szCs w:val="20"/>
                <w:color w:val="auto"/>
              </w:rPr>
            </w:pPr>
            <w:r>
              <w:rPr>
                <w:rFonts w:ascii="Arial" w:cs="Arial" w:eastAsia="Arial" w:hAnsi="Arial"/>
                <w:sz w:val="18"/>
                <w:szCs w:val="18"/>
                <w:color w:val="auto"/>
              </w:rPr>
              <w:t>Gross increases related to current year tax positions</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27,538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7,620</w:t>
            </w:r>
          </w:p>
        </w:tc>
      </w:tr>
      <w:tr>
        <w:trPr>
          <w:trHeight w:val="27"/>
        </w:trPr>
        <w:tc>
          <w:tcPr>
            <w:tcW w:w="4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Gross (decreases) increases related to prior year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8,305</w:t>
            </w:r>
          </w:p>
        </w:tc>
      </w:tr>
      <w:tr>
        <w:trPr>
          <w:trHeight w:val="229"/>
        </w:trPr>
        <w:tc>
          <w:tcPr>
            <w:tcW w:w="4840" w:type="dxa"/>
            <w:vAlign w:val="bottom"/>
          </w:tcPr>
          <w:p>
            <w:pPr>
              <w:ind w:left="200"/>
              <w:spacing w:after="0"/>
              <w:rPr>
                <w:sz w:val="20"/>
                <w:szCs w:val="20"/>
                <w:color w:val="auto"/>
              </w:rPr>
            </w:pPr>
            <w:r>
              <w:rPr>
                <w:rFonts w:ascii="Arial" w:cs="Arial" w:eastAsia="Arial" w:hAnsi="Arial"/>
                <w:sz w:val="18"/>
                <w:szCs w:val="18"/>
                <w:color w:val="auto"/>
                <w:w w:val="90"/>
              </w:rPr>
              <w:t>Gross decrease due to settlements, recapture, filed returns, and</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lapse of statutes of limitation</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7"/>
        </w:trPr>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116,572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57,615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26,627</w:t>
            </w:r>
          </w:p>
        </w:tc>
      </w:tr>
      <w:tr>
        <w:trPr>
          <w:trHeight w:val="20"/>
        </w:trPr>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2014 and 2015, the increases in unrecognized tax benefits related primarily to the Company's calculation of certain tax credits and other items related to the Company's international operations. In 2014, the decreases in unrecognized tax benefits resulted from the settlement of the IRS audit of the 2011 tax year and the New York State audit of the 2009 to 2011 tax years, as well as the reduction in the New York state income tax rate. In 2013, the increase in unrecognized tax benefits related primarily to the Company's calculation of certain tax credits. In 2015, the Company accrued interest of $1.2 million related to its unrecognized tax benefits. In 2014, accrued interest related to unrecognized tax benefits recorded by the Company was not material, and no interest was accrued in 2013. The Company believes that it is reasonably possible that its unrecognized tax benefits at December 31, 2015 may increase within the next twelve months relating to operations during that period, in excess of potential decreases due to the resolution of the federal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Legal Matters</w:t>
      </w:r>
    </w:p>
    <w:p>
      <w:pPr>
        <w:spacing w:after="0" w:line="28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Proceedings Relating to </w:t>
      </w:r>
      <w:r>
        <w:rPr>
          <w:rFonts w:ascii="Arial" w:cs="Arial" w:eastAsia="Arial" w:hAnsi="Arial"/>
          <w:sz w:val="18"/>
          <w:szCs w:val="18"/>
          <w:color w:val="auto"/>
        </w:rPr>
        <w:t>'</w:t>
      </w:r>
      <w:r>
        <w:rPr>
          <w:rFonts w:ascii="Arial" w:cs="Arial" w:eastAsia="Arial" w:hAnsi="Arial"/>
          <w:sz w:val="18"/>
          <w:szCs w:val="18"/>
          <w:i w:val="1"/>
          <w:iCs w:val="1"/>
          <w:color w:val="auto"/>
        </w:rPr>
        <w:t xml:space="preserve">287 Patent, </w:t>
      </w:r>
      <w:r>
        <w:rPr>
          <w:rFonts w:ascii="Arial" w:cs="Arial" w:eastAsia="Arial" w:hAnsi="Arial"/>
          <w:sz w:val="18"/>
          <w:szCs w:val="18"/>
          <w:color w:val="auto"/>
        </w:rPr>
        <w:t>'</w:t>
      </w:r>
      <w:r>
        <w:rPr>
          <w:rFonts w:ascii="Arial" w:cs="Arial" w:eastAsia="Arial" w:hAnsi="Arial"/>
          <w:sz w:val="18"/>
          <w:szCs w:val="18"/>
          <w:i w:val="1"/>
          <w:iCs w:val="1"/>
          <w:color w:val="auto"/>
        </w:rPr>
        <w:t>018 Patent, and '163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altered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an estimate of gain or a range of possible loss, if any, related to, these proceedings.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F- 45</w:t>
      </w:r>
    </w:p>
    <w:p>
      <w:pPr>
        <w:sectPr>
          <w:pgSz w:w="11900" w:h="16838" w:orient="portrait"/>
          <w:cols w:equalWidth="0" w:num="1">
            <w:col w:w="11420"/>
          </w:cols>
          <w:pgMar w:left="240" w:top="130" w:right="23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On October 17, 2014 and October 28, 2014, Amgen Inc. filed complaints against Regeneron, Sanofi, Aventisub LLC (subsequently removed and replaced with Sanofi-Aventis U.S. LLC), and Aventis Pharmaceuticals, Inc. in the United States District Court for the District of Delaware seeking an injunction to prohibit Regeneron and the other defendants from manufacturing, using, offering to sell, or selling within the United States (as well as importing into the United States) Praluent, which Regeneron is jointly developing with Sanofi. On November 11, 2014 and November 17, 2014 Amgen filed complaints against Regeneron, Sanofi, Sanofi-Aventis U.S. LLC, and Aventis Pharmaceuticals, Inc. in the same court seeking the same relief. Amgen asserts U.S. Patent Nos. 8,563,698, 8,829,165 (the "'165 Patent"), and 8,859,741 (the "'741 Patent") in the first complaint, U.S. Patent Nos. 8,871,913 and 8,871,914 (the "'914 Patent") in the second complaint, U.S. Patent No. 8,883,983 in the third complaint, and U.S. Patent No. 8,889,834 in the fourth complaint. Amgen also seeks a judgment of patent infringement of the asserted patents, monetary damages (together with interest), costs and expenses of the lawsuits, and attorneys' fees. On December 15, 2014, all of the four proceedings were consolidated into a single case. On September 15, 2015, Amgen filed a motion for leave to file a supplemental and second amended complaint, which was granted on January 29, 2016. As amended, the complaint alleges, among other things, willful infringement of the asserted patents, which would allow the court to increase damages up to three times the amount assessed if the court finds willful infringement. On October 20, 2015, the District Court issued its claim construction order, in which it defined the meaning of certain disputed claim terms; none of the court's rulings were dispositive of the issues in the case. On November 3, 2015, pursuant to court order, the patents asserted by Amgen were narrowed to the '165, '741, and '914 Patents. The trial is currently set to begin on March 7, 2016, and a permanent injunction hearing (which would be held if the court finds infringement of a valid patent claim by the Company and Sanofi) is currently scheduled to begin on March 23, 2016. At this time, the Company is not able to estimate a range of possible loss, if any, related to these proceedings.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Patents Owned by Genentech and City of Hope</w:t>
      </w:r>
    </w:p>
    <w:p>
      <w:pPr>
        <w:spacing w:after="0" w:line="279" w:lineRule="exact"/>
        <w:rPr>
          <w:sz w:val="20"/>
          <w:szCs w:val="20"/>
          <w:color w:val="auto"/>
        </w:rPr>
      </w:pPr>
    </w:p>
    <w:p>
      <w:pPr>
        <w:jc w:val="both"/>
        <w:ind w:firstLine="230"/>
        <w:spacing w:after="0" w:line="288" w:lineRule="auto"/>
        <w:rPr>
          <w:sz w:val="20"/>
          <w:szCs w:val="20"/>
          <w:color w:val="auto"/>
        </w:rPr>
      </w:pPr>
      <w:r>
        <w:rPr>
          <w:rFonts w:ascii="Arial" w:cs="Arial" w:eastAsia="Arial" w:hAnsi="Arial"/>
          <w:sz w:val="16"/>
          <w:szCs w:val="16"/>
          <w:color w:val="auto"/>
        </w:rPr>
        <w:t>On July 27, 2015, the Company and Sanofi-Aventis U.S. LLC filed a complaint in the United States District Court for the Central District of California (Western Division) seeking a declaratory judgment of invalidity, as well as non-infringement by the manufacture, use, sale, offer of sale, or importation of Praluent (alirocumab), of U.S. Patent No. 7,923,221 (the "'221 Patent") jointly owned by Genentech, Inc. ("Genentech") and City of Hope relating to the production of recombinant antibodies by host cells. On the same day, the Company and Sanofi-Aventis U.S. LLC initiated an inter partes review in the United States Patent and Trademark Office ("USPTO") seeking a declaration of invalidity of certain claims of U.S. Patent No. 6,331,415 jointly owned by Genentech and City of Hope relating to the production of recombinant antibodies by host cells. On February 5, 2016, the USPTO instituted an inter partes review of the validity of most of the patent claims for which review had been requested. On September 17, 2015, Genentech and City of Hope answered the complaint previously filed by the Company and Sanofi in the District Court and counterclaimed, alleging that the Company and Sanofi infringe the '221 Patent and seeking, among other types of relief, damages and a permanent injunction. On November 2, 2015, the court set a tentative trial date beginning on September 27, 2016. At this time, the Company is not able to predict the outcome of, or an estimate of gain or range of possible loss, if any, related to these proceedings.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90"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2014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The Company intends to move to dismiss the shareholder derivative complaint.</w:t>
      </w:r>
    </w:p>
    <w:p>
      <w:pPr>
        <w:spacing w:after="0" w:line="220" w:lineRule="exact"/>
        <w:rPr>
          <w:sz w:val="20"/>
          <w:szCs w:val="20"/>
          <w:color w:val="auto"/>
        </w:rPr>
      </w:pPr>
    </w:p>
    <w:p>
      <w:pPr>
        <w:jc w:val="both"/>
        <w:ind w:firstLine="230"/>
        <w:spacing w:after="0" w:line="297" w:lineRule="auto"/>
        <w:rPr>
          <w:sz w:val="20"/>
          <w:szCs w:val="20"/>
          <w:color w:val="auto"/>
        </w:rPr>
      </w:pPr>
      <w:r>
        <w:rPr>
          <w:rFonts w:ascii="Arial" w:cs="Arial" w:eastAsia="Arial" w:hAnsi="Arial"/>
          <w:sz w:val="16"/>
          <w:szCs w:val="16"/>
          <w:color w:val="auto"/>
        </w:rPr>
        <w:t>On or about December 15, 2015, the Company received a shareholder litigation demand upon the Company's board of directors made by a purported Regeneron shareholder. The demand asserts that the current and certain former non-employee members of the board of directors and the Chairman of the board of directors excessively compensated themselves in 2013 and 2014. The demand requests that the board of directors investigate and bring legal action against these directors for breach of fiduciary duty, unjust enrichment, and corporate waste, and implement internal controls and systems designed to prohibit and prevent similar actions in the future. The Company's board of directors, working with outside counsel, investigated the allegations in the demand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F- 46</w:t>
      </w:r>
    </w:p>
    <w:p>
      <w:pPr>
        <w:sectPr>
          <w:pgSz w:w="11900" w:h="16838" w:orient="portrait"/>
          <w:cols w:equalWidth="0" w:num="1">
            <w:col w:w="11420"/>
          </w:cols>
          <w:pgMar w:left="240" w:top="129" w:right="23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 shareholder derivative complaint, and has determined to defer its decision on the demand until the court rules on the forthcoming motion to dismiss the shareholder derivative complaint, as discussed above.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estimate a range of possible loss, if any, relating to these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5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2013</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 basic and 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338,126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413,738</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97,917</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10,233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stock</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2,707</w:t>
            </w:r>
          </w:p>
        </w:tc>
      </w:tr>
      <w:tr>
        <w:trPr>
          <w:trHeight w:val="27"/>
        </w:trPr>
        <w:tc>
          <w:tcPr>
            <w:tcW w:w="5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5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Dilutive potential shares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r>
      <w:tr>
        <w:trPr>
          <w:trHeight w:val="297"/>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22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113,413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111,290</w:t>
            </w:r>
          </w:p>
        </w:tc>
      </w:tr>
      <w:tr>
        <w:trPr>
          <w:trHeight w:val="203"/>
        </w:trPr>
        <w:tc>
          <w:tcPr>
            <w:tcW w:w="5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43"/>
        </w:trPr>
        <w:tc>
          <w:tcPr>
            <w:tcW w:w="528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5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216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316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39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39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98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4,761</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Statement of Cash Flows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Supplemental disclosure of non-cash investing and financing activities: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Included in accounts payable and accrued expenses as of December 31, 2015, 2014, and 2013 were $50.7 million, $56.2 million, and $16.1 million, respectively, of accrued capital expenditures.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December 31, 2015 and 2014 was $1.6 million and $7.5 million, respectively, for the Company's conversion settlement obligation related to the Company's Notes which were surrendered for conversion but not settled as of the end of the respective period. No such amounts were payable as of December 31, 2013.</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F- 47</w:t>
      </w:r>
    </w:p>
    <w:p>
      <w:pPr>
        <w:sectPr>
          <w:pgSz w:w="11900" w:h="16838" w:orient="portrait"/>
          <w:cols w:equalWidth="0" w:num="1">
            <w:col w:w="11420"/>
          </w:cols>
          <w:pgMar w:left="240" w:top="130" w:right="23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7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Included in accounts payable and accrued expenses as of December 31, 2014 was $59.8 million related to the Company's payment obligation for a reduction in the number of warrants based on a warrant holder closing out a portion of its hedge position (see Note 11). Additionally, included within other current liabilities as of December 31, 2014 was $87.5 million in connection with the estimated fair value of the remaining warrant liability (see Note 11). There were no such liabilities recorded in connection with warrants as of December 31, 2015 and 2013.</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recognized a facility lease obligation of $26.0 million, $127.8 million and $25.0 million during 2015, 2014 and 2013, respectively, in connection with capitalizing, on the Company's books, the landlord's costs of constructing new facilities that the Company has leased (see Note 12a).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Unaudited Quarterly Results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Summarized quarterly financial data for the years ended December 31, 2015 and 2014 are set forth in the following tables.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First Quarter Ended</w:t>
            </w:r>
          </w:p>
        </w:tc>
        <w:tc>
          <w:tcPr>
            <w:tcW w:w="220" w:type="dxa"/>
            <w:vAlign w:val="bottom"/>
          </w:tcPr>
          <w:p>
            <w:pPr>
              <w:spacing w:after="0"/>
              <w:rPr>
                <w:sz w:val="18"/>
                <w:szCs w:val="18"/>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Second Quarter Ended</w:t>
            </w:r>
          </w:p>
        </w:tc>
        <w:tc>
          <w:tcPr>
            <w:tcW w:w="280" w:type="dxa"/>
            <w:vAlign w:val="bottom"/>
          </w:tcPr>
          <w:p>
            <w:pPr>
              <w:spacing w:after="0"/>
              <w:rPr>
                <w:sz w:val="18"/>
                <w:szCs w:val="18"/>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Third Quarter Ended</w:t>
            </w:r>
          </w:p>
        </w:tc>
        <w:tc>
          <w:tcPr>
            <w:tcW w:w="22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34"/>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March 31, 2015</w:t>
            </w:r>
          </w:p>
        </w:tc>
        <w:tc>
          <w:tcPr>
            <w:tcW w:w="220" w:type="dxa"/>
            <w:vAlign w:val="bottom"/>
          </w:tcPr>
          <w:p>
            <w:pPr>
              <w:spacing w:after="0"/>
              <w:rPr>
                <w:sz w:val="20"/>
                <w:szCs w:val="20"/>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 2015</w:t>
            </w:r>
          </w:p>
        </w:tc>
        <w:tc>
          <w:tcPr>
            <w:tcW w:w="280" w:type="dxa"/>
            <w:vAlign w:val="bottom"/>
          </w:tcPr>
          <w:p>
            <w:pPr>
              <w:spacing w:after="0"/>
              <w:rPr>
                <w:sz w:val="20"/>
                <w:szCs w:val="20"/>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September 30, 2015</w:t>
            </w:r>
          </w:p>
        </w:tc>
        <w:tc>
          <w:tcPr>
            <w:tcW w:w="22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 2015</w:t>
            </w:r>
          </w:p>
        </w:tc>
      </w:tr>
      <w:tr>
        <w:trPr>
          <w:trHeight w:val="27"/>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3"/>
          </w:tcPr>
          <w:p>
            <w:pPr>
              <w:jc w:val="right"/>
              <w:ind w:right="16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869,612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998,617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1,137,422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1,098,077</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76,021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194,643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210,398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154,994</w:t>
            </w: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576"/>
        </w:trPr>
        <w:tc>
          <w:tcPr>
            <w:tcW w:w="2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First Quarter Ended</w:t>
            </w:r>
          </w:p>
        </w:tc>
        <w:tc>
          <w:tcPr>
            <w:tcW w:w="220" w:type="dxa"/>
            <w:vAlign w:val="bottom"/>
          </w:tcPr>
          <w:p>
            <w:pPr>
              <w:spacing w:after="0"/>
              <w:rPr>
                <w:sz w:val="24"/>
                <w:szCs w:val="24"/>
                <w:color w:val="auto"/>
              </w:rPr>
            </w:pPr>
          </w:p>
        </w:tc>
        <w:tc>
          <w:tcPr>
            <w:tcW w:w="19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Second Quarter Ended</w:t>
            </w:r>
          </w:p>
        </w:tc>
        <w:tc>
          <w:tcPr>
            <w:tcW w:w="280" w:type="dxa"/>
            <w:vAlign w:val="bottom"/>
          </w:tcPr>
          <w:p>
            <w:pPr>
              <w:spacing w:after="0"/>
              <w:rPr>
                <w:sz w:val="24"/>
                <w:szCs w:val="24"/>
                <w:color w:val="auto"/>
              </w:rPr>
            </w:pPr>
          </w:p>
        </w:tc>
        <w:tc>
          <w:tcPr>
            <w:tcW w:w="2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Third Quarter Ended</w:t>
            </w:r>
          </w:p>
        </w:tc>
        <w:tc>
          <w:tcPr>
            <w:tcW w:w="220" w:type="dxa"/>
            <w:vAlign w:val="bottom"/>
          </w:tcPr>
          <w:p>
            <w:pPr>
              <w:spacing w:after="0"/>
              <w:rPr>
                <w:sz w:val="24"/>
                <w:szCs w:val="24"/>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Fourth Quarter Ended</w:t>
            </w:r>
          </w:p>
        </w:tc>
      </w:tr>
      <w:tr>
        <w:trPr>
          <w:trHeight w:val="261"/>
        </w:trPr>
        <w:tc>
          <w:tcPr>
            <w:tcW w:w="2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93"/>
              </w:rPr>
              <w:t>March 31, 2014</w:t>
            </w:r>
            <w:r>
              <w:rPr>
                <w:rFonts w:ascii="Arial" w:cs="Arial" w:eastAsia="Arial" w:hAnsi="Arial"/>
                <w:sz w:val="25"/>
                <w:szCs w:val="25"/>
                <w:b w:val="1"/>
                <w:bCs w:val="1"/>
                <w:color w:val="auto"/>
                <w:w w:val="93"/>
                <w:vertAlign w:val="superscript"/>
              </w:rPr>
              <w:t>*</w:t>
            </w:r>
          </w:p>
        </w:tc>
        <w:tc>
          <w:tcPr>
            <w:tcW w:w="22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8"/>
              </w:rPr>
              <w:t>June 30, 2014</w:t>
            </w:r>
            <w:r>
              <w:rPr>
                <w:rFonts w:ascii="Arial" w:cs="Arial" w:eastAsia="Arial" w:hAnsi="Arial"/>
                <w:sz w:val="25"/>
                <w:szCs w:val="25"/>
                <w:b w:val="1"/>
                <w:bCs w:val="1"/>
                <w:color w:val="auto"/>
                <w:w w:val="88"/>
                <w:vertAlign w:val="superscript"/>
              </w:rPr>
              <w:t>*</w:t>
            </w:r>
          </w:p>
        </w:tc>
        <w:tc>
          <w:tcPr>
            <w:tcW w:w="2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center"/>
              <w:ind w:right="110"/>
              <w:spacing w:after="0" w:line="262" w:lineRule="exact"/>
              <w:rPr>
                <w:sz w:val="20"/>
                <w:szCs w:val="20"/>
                <w:color w:val="auto"/>
              </w:rPr>
            </w:pPr>
            <w:r>
              <w:rPr>
                <w:rFonts w:ascii="Arial" w:cs="Arial" w:eastAsia="Arial" w:hAnsi="Arial"/>
                <w:sz w:val="18"/>
                <w:szCs w:val="18"/>
                <w:b w:val="1"/>
                <w:bCs w:val="1"/>
                <w:color w:val="auto"/>
                <w:w w:val="89"/>
              </w:rPr>
              <w:t>September 30, 2014</w:t>
            </w:r>
            <w:r>
              <w:rPr>
                <w:rFonts w:ascii="Arial" w:cs="Arial" w:eastAsia="Arial" w:hAnsi="Arial"/>
                <w:sz w:val="25"/>
                <w:szCs w:val="25"/>
                <w:b w:val="1"/>
                <w:bCs w:val="1"/>
                <w:color w:val="auto"/>
                <w:w w:val="89"/>
                <w:vertAlign w:val="superscript"/>
              </w:rPr>
              <w:t>*</w:t>
            </w:r>
          </w:p>
        </w:tc>
        <w:tc>
          <w:tcPr>
            <w:tcW w:w="2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90"/>
              </w:rPr>
              <w:t>December 31, 2014</w:t>
            </w:r>
            <w:r>
              <w:rPr>
                <w:rFonts w:ascii="Arial" w:cs="Arial" w:eastAsia="Arial" w:hAnsi="Arial"/>
                <w:sz w:val="25"/>
                <w:szCs w:val="25"/>
                <w:b w:val="1"/>
                <w:bCs w:val="1"/>
                <w:color w:val="auto"/>
                <w:w w:val="90"/>
                <w:vertAlign w:val="superscript"/>
              </w:rPr>
              <w:t>*</w:t>
            </w:r>
          </w:p>
        </w:tc>
      </w:tr>
      <w:tr>
        <w:trPr>
          <w:trHeight w:val="237"/>
        </w:trPr>
        <w:tc>
          <w:tcPr>
            <w:tcW w:w="2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3"/>
          </w:tcPr>
          <w:p>
            <w:pPr>
              <w:jc w:val="right"/>
              <w:ind w:right="161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625,740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665,700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725,788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802,329</w:t>
            </w:r>
          </w:p>
        </w:tc>
      </w:tr>
      <w:tr>
        <w:trPr>
          <w:trHeight w:val="270"/>
        </w:trPr>
        <w:tc>
          <w:tcPr>
            <w:tcW w:w="27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68,305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96,351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83,375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90,095</w:t>
            </w: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0.89</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Net income per share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0.73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0.78</w:t>
            </w:r>
          </w:p>
        </w:tc>
      </w:tr>
    </w:tbl>
    <w:p>
      <w:pPr>
        <w:spacing w:after="0" w:line="44" w:lineRule="exact"/>
        <w:rPr>
          <w:sz w:val="20"/>
          <w:szCs w:val="20"/>
          <w:color w:val="auto"/>
        </w:rPr>
      </w:pPr>
    </w:p>
    <w:p>
      <w:pPr>
        <w:ind w:left="340" w:hanging="89"/>
        <w:spacing w:after="0"/>
        <w:tabs>
          <w:tab w:leader="none" w:pos="34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Certain revisions have been made to the amounts originally reported for quarterly periods ended March 31, June 30, September 30, and December 31,</w:t>
      </w:r>
    </w:p>
    <w:p>
      <w:pPr>
        <w:spacing w:after="0" w:line="202" w:lineRule="exact"/>
        <w:rPr>
          <w:sz w:val="20"/>
          <w:szCs w:val="20"/>
          <w:color w:val="auto"/>
        </w:rPr>
      </w:pPr>
    </w:p>
    <w:p>
      <w:pPr>
        <w:ind w:left="420" w:hanging="169"/>
        <w:spacing w:after="0" w:line="227" w:lineRule="auto"/>
        <w:tabs>
          <w:tab w:leader="none" w:pos="450" w:val="left"/>
        </w:tabs>
        <w:numPr>
          <w:ilvl w:val="0"/>
          <w:numId w:val="37"/>
        </w:numPr>
        <w:rPr>
          <w:rFonts w:ascii="Arial" w:cs="Arial" w:eastAsia="Arial" w:hAnsi="Arial"/>
          <w:sz w:val="24"/>
          <w:szCs w:val="24"/>
          <w:color w:val="auto"/>
          <w:vertAlign w:val="superscript"/>
        </w:rPr>
      </w:pPr>
      <w:r>
        <w:rPr>
          <w:rFonts w:ascii="Arial" w:cs="Arial" w:eastAsia="Arial" w:hAnsi="Arial"/>
          <w:sz w:val="17"/>
          <w:szCs w:val="17"/>
          <w:color w:val="auto"/>
        </w:rPr>
        <w:t>Net income in the third quarter of 2014 included a $40.6 million incremental charge related to the Branded Prescription Drug Fee based on final regulations issued by the IRS in July 2014 as described in Note 2 above.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F- 48</w:t>
      </w:r>
    </w:p>
    <w:p>
      <w:pPr>
        <w:sectPr>
          <w:pgSz w:w="11900" w:h="16838" w:orient="portrait"/>
          <w:cols w:equalWidth="0" w:num="1">
            <w:col w:w="11420"/>
          </w:cols>
          <w:pgMar w:left="240" w:top="13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THE BY-LAWS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REGENERON PHARMACEUTICALS, INC.</w:t>
      </w: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This Amendment (this “</w:t>
      </w:r>
      <w:r>
        <w:rPr>
          <w:rFonts w:ascii="Arial" w:cs="Arial" w:eastAsia="Arial" w:hAnsi="Arial"/>
          <w:sz w:val="22"/>
          <w:szCs w:val="22"/>
          <w:u w:val="single" w:color="auto"/>
          <w:color w:val="auto"/>
        </w:rPr>
        <w:t>Amendment</w:t>
      </w:r>
      <w:r>
        <w:rPr>
          <w:rFonts w:ascii="Arial" w:cs="Arial" w:eastAsia="Arial" w:hAnsi="Arial"/>
          <w:sz w:val="22"/>
          <w:szCs w:val="22"/>
          <w:color w:val="auto"/>
        </w:rPr>
        <w:t>”) to the By-Laws of Regeneron Pharmaceuticals, Inc., as amended through November 9, 2007 and currently in effect (the “</w:t>
      </w:r>
      <w:r>
        <w:rPr>
          <w:rFonts w:ascii="Arial" w:cs="Arial" w:eastAsia="Arial" w:hAnsi="Arial"/>
          <w:sz w:val="22"/>
          <w:szCs w:val="22"/>
          <w:u w:val="single" w:color="auto"/>
          <w:color w:val="auto"/>
        </w:rPr>
        <w:t>By-Laws</w:t>
      </w:r>
      <w:r>
        <w:rPr>
          <w:rFonts w:ascii="Arial" w:cs="Arial" w:eastAsia="Arial" w:hAnsi="Arial"/>
          <w:sz w:val="22"/>
          <w:szCs w:val="22"/>
          <w:color w:val="auto"/>
        </w:rPr>
        <w:t>”), hereby amends the By-Laws as follows:</w:t>
      </w:r>
    </w:p>
    <w:p>
      <w:pPr>
        <w:spacing w:after="0" w:line="21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first paragraph of Section 7 of Article I of the By-Laws is hereby amended and restated in its entirety as follows:</w:t>
      </w:r>
    </w:p>
    <w:p>
      <w:pPr>
        <w:spacing w:after="0" w:line="260" w:lineRule="exact"/>
        <w:rPr>
          <w:sz w:val="20"/>
          <w:szCs w:val="20"/>
          <w:color w:val="auto"/>
        </w:rPr>
      </w:pPr>
    </w:p>
    <w:p>
      <w:pPr>
        <w:ind w:right="60" w:firstLine="648"/>
        <w:spacing w:after="0" w:line="265"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Voting</w:t>
      </w:r>
      <w:r>
        <w:rPr>
          <w:rFonts w:ascii="Arial" w:cs="Arial" w:eastAsia="Arial" w:hAnsi="Arial"/>
          <w:sz w:val="20"/>
          <w:szCs w:val="20"/>
          <w:color w:val="auto"/>
        </w:rPr>
        <w:t xml:space="preserve">.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Other than with respect to the election of directors and except as otherwise provided by statute, the Certificate of Incorporation, or these By-Laws, all action shall be determined by a majority of the votes cast at such meeting. Except as provided in Section 1 of Article II of these By-Laws in connection with filling vacancies in the Board of Directors, a nominee for director shall be elected to the Board of Directors if the votes cast for such nominee’s election exceed the votes cast against such nominee’s election;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directors shall be elected by a plurality of the votes cast at any meeting of shareholders for which (i) the Secretary of the Corporation receives a notice that a shareholder has nominated a person for election to the Board of Directors in compliance with the advance notice requirements for director nominees proposed by shareholders set forth in Section 2 of Article II of these By-Laws and (ii) such nomination has not been withdrawn by such shareholder on or prior to the seventh (7</w:t>
      </w:r>
      <w:r>
        <w:rPr>
          <w:rFonts w:ascii="Arial" w:cs="Arial" w:eastAsia="Arial" w:hAnsi="Arial"/>
          <w:sz w:val="26"/>
          <w:szCs w:val="26"/>
          <w:color w:val="auto"/>
          <w:vertAlign w:val="superscript"/>
        </w:rPr>
        <w:t>th</w:t>
      </w:r>
      <w:r>
        <w:rPr>
          <w:rFonts w:ascii="Arial" w:cs="Arial" w:eastAsia="Arial" w:hAnsi="Arial"/>
          <w:sz w:val="20"/>
          <w:szCs w:val="20"/>
          <w:color w:val="auto"/>
        </w:rPr>
        <w:t>) day preceding the date the Corporation is scheduled to mail or otherwise disseminate its notice of meeting for such meeting to the shareholders. Each proxy to vote shall be in writing and signed by the shareholder or by his duly authorized attorney.</w:t>
      </w:r>
    </w:p>
    <w:p>
      <w:pPr>
        <w:spacing w:after="0" w:line="218" w:lineRule="exact"/>
        <w:rPr>
          <w:sz w:val="20"/>
          <w:szCs w:val="20"/>
          <w:color w:val="auto"/>
        </w:rPr>
      </w:pPr>
    </w:p>
    <w:p>
      <w:pPr>
        <w:ind w:left="1040" w:hanging="384"/>
        <w:spacing w:after="0"/>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This Amendment is effective as of January 28, 2016.</w:t>
      </w:r>
    </w:p>
    <w:p>
      <w:pPr>
        <w:spacing w:after="0" w:line="260" w:lineRule="exact"/>
        <w:rPr>
          <w:rFonts w:ascii="Arial" w:cs="Arial" w:eastAsia="Arial" w:hAnsi="Arial"/>
          <w:sz w:val="22"/>
          <w:szCs w:val="22"/>
          <w:color w:val="auto"/>
        </w:rPr>
      </w:pPr>
    </w:p>
    <w:p>
      <w:pPr>
        <w:ind w:left="1020" w:hanging="364"/>
        <w:spacing w:after="0"/>
        <w:tabs>
          <w:tab w:leader="none" w:pos="10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As amended by this Amendment, the By-Laws shall remain in full force and effect.</w:t>
      </w:r>
    </w:p>
    <w:p>
      <w:pPr>
        <w:spacing w:after="0" w:line="260" w:lineRule="exact"/>
        <w:rPr>
          <w:rFonts w:ascii="Arial" w:cs="Arial" w:eastAsia="Arial" w:hAnsi="Arial"/>
          <w:sz w:val="22"/>
          <w:szCs w:val="22"/>
          <w:color w:val="auto"/>
        </w:rPr>
      </w:pPr>
    </w:p>
    <w:p>
      <w:pPr>
        <w:ind w:left="2760"/>
        <w:spacing w:after="0"/>
        <w:rPr>
          <w:rFonts w:ascii="Arial" w:cs="Arial" w:eastAsia="Arial" w:hAnsi="Arial"/>
          <w:sz w:val="22"/>
          <w:szCs w:val="22"/>
          <w:color w:val="auto"/>
        </w:rPr>
      </w:pPr>
      <w:r>
        <w:rPr>
          <w:rFonts w:ascii="Arial" w:cs="Arial" w:eastAsia="Arial" w:hAnsi="Arial"/>
          <w:sz w:val="22"/>
          <w:szCs w:val="22"/>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37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544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9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544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
        </w:trPr>
        <w:tc>
          <w:tcPr>
            <w:tcW w:w="9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54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7"/>
        </w:trPr>
        <w:tc>
          <w:tcPr>
            <w:tcW w:w="94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06"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BY-LAWS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REGENERON PHARMACEUTICALS, INC.</w:t>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(Amended Through November 9, 2007)</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SHAREHOLDERS</w:t>
      </w:r>
    </w:p>
    <w:p>
      <w:pPr>
        <w:spacing w:after="0" w:line="39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Annual Meeting</w:t>
      </w:r>
      <w:r>
        <w:rPr>
          <w:rFonts w:ascii="Arial" w:cs="Arial" w:eastAsia="Arial" w:hAnsi="Arial"/>
          <w:sz w:val="22"/>
          <w:szCs w:val="22"/>
          <w:color w:val="auto"/>
        </w:rPr>
        <w:t>. The annual meeting of the shareholders of the Corporation shall be held either within or without the State of New York, at such place and at such time as the Board of Directors may designate and set forth in the call or in a waiver of notice thereof, for the purpose of electing directors and for the transaction of such other business as may properly be brought before the meeting, provided that until changed by the Board of Directors, the annual meeting of the shareholders shall be held on the first Monday in June in each year, if not a legal holiday, and if a legal holiday, then on the next business day following, at 10:00 a.m., at which meeting the shareholders shall elect a Board of Directors for the ensuing year and transact such other business as may properly be brought before the meeting.</w:t>
      </w:r>
    </w:p>
    <w:p>
      <w:pPr>
        <w:spacing w:after="0" w:line="212"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Proposed Business at Annual Meeting</w:t>
      </w:r>
      <w:r>
        <w:rPr>
          <w:rFonts w:ascii="Arial" w:cs="Arial" w:eastAsia="Arial" w:hAnsi="Arial"/>
          <w:sz w:val="22"/>
          <w:szCs w:val="22"/>
          <w:color w:val="auto"/>
        </w:rPr>
        <w:t>. No business may be transacted at an annual meeting of shareholders, other than business that is either (a) specified in the notice of meeting (or any supplement thereto) given by or at the direction of the Board of Directors (or any duly authorized committee thereof), which shall include shareholder proposals contained in the Corporation's proxy statement made in accordance with Rule 14a-8 of the Securities and Exchange Act of 1934, as amended, or any successor thereto,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2 and on the record date for the determination of shareholders entitled to vote at such annual meeting and (ii) who complies with the notice procedures set forth in this Section 2.</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In addition to any other applicable requirements, for business to be properly brought before an annual meeting by a shareholder, such shareholder must have given timely notice thereof in proper written form to the Secretary of the Company.</w:t>
      </w:r>
    </w:p>
    <w:p>
      <w:pPr>
        <w:sectPr>
          <w:pgSz w:w="11900" w:h="16838" w:orient="portrait"/>
          <w:cols w:equalWidth="0" w:num="1">
            <w:col w:w="11420"/>
          </w:cols>
          <w:pgMar w:left="240" w:top="598" w:right="239" w:bottom="1440" w:gutter="0" w:footer="0" w:header="0"/>
        </w:sectPr>
      </w:pPr>
    </w:p>
    <w:bookmarkStart w:id="152" w:name="page153"/>
    <w:bookmarkEnd w:id="152"/>
    <w:p>
      <w:pPr>
        <w:jc w:val="both"/>
        <w:ind w:firstLine="1297"/>
        <w:spacing w:after="0" w:line="270" w:lineRule="auto"/>
        <w:rPr>
          <w:sz w:val="20"/>
          <w:szCs w:val="20"/>
          <w:color w:val="auto"/>
        </w:rPr>
      </w:pPr>
      <w:r>
        <w:rPr>
          <w:rFonts w:ascii="Arial" w:cs="Arial" w:eastAsia="Arial" w:hAnsi="Arial"/>
          <w:sz w:val="22"/>
          <w:szCs w:val="22"/>
          <w:color w:val="auto"/>
        </w:rPr>
        <w:t xml:space="preserve">To be timely, a shareholder's notice to the Secretary must be delivered to or mailed and received at the principal executive offices of the Company not less than sixty (60) days nor more than ninety (90) days prior to the date of the annual meeting;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that less than seventy (70) 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day on which such notice of the date of the annual meeting was mailed or such public disclosure of the date of the annual meeting was made, whichever first occurs.</w:t>
      </w:r>
    </w:p>
    <w:p>
      <w:pPr>
        <w:spacing w:after="0" w:line="200" w:lineRule="exact"/>
        <w:rPr>
          <w:sz w:val="20"/>
          <w:szCs w:val="20"/>
          <w:color w:val="auto"/>
        </w:rPr>
      </w:pPr>
    </w:p>
    <w:p>
      <w:pPr>
        <w:spacing w:after="0" w:line="24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Company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200" w:lineRule="exact"/>
        <w:rPr>
          <w:sz w:val="20"/>
          <w:szCs w:val="20"/>
          <w:color w:val="auto"/>
        </w:rPr>
      </w:pPr>
    </w:p>
    <w:p>
      <w:pPr>
        <w:spacing w:after="0" w:line="231"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color w:val="auto"/>
        </w:rPr>
        <w:t xml:space="preserve">No business shall be conducted at the annual meeting of shareholders except business brought before the annual meeting in accordance with the procedures set forth in this Section 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once business has been properly brought before the annual meeting in accordance with such procedures, nothing in this Section 2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21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shareholders, for any purpose or purposes, may be called at any time by resolution of the Board of Directors or by the President, and shall be called by the President or by the Secretary upon the written request of the holders of record of shares, issued and outstanding the entitled to cast at least twenty-five percent (25%) of the total number of votes entitled to be cast by shareholders at such meeting, at such times and at such place either within or without the State of New York as may be stated in the call or in a waiver of notice thereof.</w:t>
      </w:r>
    </w:p>
    <w:p>
      <w:pPr>
        <w:sectPr>
          <w:pgSz w:w="11900" w:h="16838" w:orient="portrait"/>
          <w:cols w:equalWidth="0" w:num="1">
            <w:col w:w="11420"/>
          </w:cols>
          <w:pgMar w:left="240" w:top="619" w:right="239" w:bottom="1440" w:gutter="0" w:footer="0" w:header="0"/>
        </w:sectPr>
      </w:pPr>
    </w:p>
    <w:bookmarkStart w:id="153" w:name="page154"/>
    <w:bookmarkEnd w:id="153"/>
    <w:p>
      <w:pPr>
        <w:jc w:val="both"/>
        <w:ind w:firstLine="1297"/>
        <w:spacing w:after="0" w:line="300"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u w:val="single" w:color="auto"/>
          <w:color w:val="auto"/>
        </w:rPr>
        <w:t>Notice of Meetings</w:t>
      </w:r>
      <w:r>
        <w:rPr>
          <w:rFonts w:ascii="Arial" w:cs="Arial" w:eastAsia="Arial" w:hAnsi="Arial"/>
          <w:sz w:val="21"/>
          <w:szCs w:val="21"/>
          <w:color w:val="auto"/>
        </w:rPr>
        <w:t>. Notice of the time, place and purpose of every meeting of shareholders shall be delivered personally or by first class mail, not less than ten days nor more than fifty days previous thereto, or by third class mail, not less than twenty four nor more than fifty days before the meeting, to each shareholder of record entitled to vote, at his post office address appearing upon the records of the Corporation or at such other address as shall be furnished in writing by him to the Corporation for such purpose. Such further notice shall be given as may be required by law or by these By-Laws. Any meeting may be held without notice if all shareholders entitled to vote are present in person or by proxy, or if notice is waived in writing, either before or after the meeting, by those not present.</w:t>
      </w:r>
    </w:p>
    <w:p>
      <w:pPr>
        <w:spacing w:after="0" w:line="19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Quorum</w:t>
      </w:r>
      <w:r>
        <w:rPr>
          <w:rFonts w:ascii="Arial" w:cs="Arial" w:eastAsia="Arial" w:hAnsi="Arial"/>
          <w:sz w:val="22"/>
          <w:szCs w:val="22"/>
          <w:color w:val="auto"/>
        </w:rPr>
        <w:t>. The holders of record of at least a majority of the votes of shares of the stock of the Corporation, issued and outstanding and entitled to vote, present in person or by proxy, shall, except as otherwise provided by law, the Certificate of Incorporation or by these By-Laws, constitute a quorum at all meetings of the shareholders; if there be no such quorum, the holders of a majority of the votes of such shares so present or represented may adjourn the meeting from time to time until a quorum shall have been obtained.</w:t>
      </w:r>
    </w:p>
    <w:p>
      <w:pPr>
        <w:spacing w:after="0" w:line="20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Organization of Meetings</w:t>
      </w:r>
      <w:r>
        <w:rPr>
          <w:rFonts w:ascii="Arial" w:cs="Arial" w:eastAsia="Arial" w:hAnsi="Arial"/>
          <w:sz w:val="22"/>
          <w:szCs w:val="22"/>
          <w:color w:val="auto"/>
        </w:rPr>
        <w:t>. Meetings of the shareholders shall be presided over by the Chairman of the Board, if there be one, or if he is not present by the President, or if he is not present by a chairman to be chosen at the meeting. The Secretary of the Corporation, or in his absence an Assistant Secretary, shall act as Secretary of the meeting, if present.</w:t>
      </w:r>
    </w:p>
    <w:p>
      <w:pPr>
        <w:spacing w:after="0" w:line="204"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Voting</w:t>
      </w:r>
      <w:r>
        <w:rPr>
          <w:rFonts w:ascii="Arial" w:cs="Arial" w:eastAsia="Arial" w:hAnsi="Arial"/>
          <w:sz w:val="22"/>
          <w:szCs w:val="22"/>
          <w:color w:val="auto"/>
        </w:rPr>
        <w:t>.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Elections of directors shall be determined by a plurality of the votes cast thereat and, except as otherwise provided by statute, the Certificate of Incorporation, or these By-Laws, all other action shall be determined by a majority of the votes cast at such meeting. Each proxy to vote shall be in writing and signed by the shareholder or by his duly authorized attorney.</w:t>
      </w:r>
    </w:p>
    <w:p>
      <w:pPr>
        <w:spacing w:after="0" w:line="200" w:lineRule="exact"/>
        <w:rPr>
          <w:sz w:val="20"/>
          <w:szCs w:val="20"/>
          <w:color w:val="auto"/>
        </w:rPr>
      </w:pPr>
    </w:p>
    <w:p>
      <w:pPr>
        <w:spacing w:after="0" w:line="228"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At all elections of directors, the voting shall be by ballot or in such other manner as may be determined by the shareholders present in person or by proxy entitled to vote at such election. With respect to any other matter presented to the shareholders</w:t>
      </w:r>
    </w:p>
    <w:p>
      <w:pPr>
        <w:sectPr>
          <w:pgSz w:w="11900" w:h="16838" w:orient="portrait"/>
          <w:cols w:equalWidth="0" w:num="1">
            <w:col w:w="11420"/>
          </w:cols>
          <w:pgMar w:left="240" w:top="403" w:right="2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for their consideration at a meeting, any shareholder entitled to vote may, on any question, demand a vote by ballot.</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color w:val="auto"/>
        </w:rPr>
        <w:t>A complete list of the shareholders entitled to vote at each such meeting, arranged in alphabetical order, with the address of each shareholder, the number of shares registered in the name of each shareholder, the class or series of such shares and the number of votes which such shares are entitled, shall be prepared by the Secretary and shall be open to the examination of any shareholder, for any purpose, germane to the meeting, during ordinary business hours, for a period of time of at least ten days prior to the meeting, either at a place within the city where the meeting is to be held, which place shall be specified in the notice of meeting, or, if not so specified, at the place where the meeting is to be held. The list shall also be produced and kept at the time and place of the meeting during the whole time thereof, and may be inspected by any shareholder who is present.</w:t>
      </w:r>
    </w:p>
    <w:p>
      <w:pPr>
        <w:spacing w:after="0" w:line="21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Action by Consent</w:t>
      </w:r>
      <w:r>
        <w:rPr>
          <w:rFonts w:ascii="Arial" w:cs="Arial" w:eastAsia="Arial" w:hAnsi="Arial"/>
          <w:sz w:val="22"/>
          <w:szCs w:val="22"/>
          <w:color w:val="auto"/>
        </w:rPr>
        <w:t>. Any action required or permitted to be taken at any meeting of shareholders may be taken without a meeting, if, prior to such action, a written consent or consents thereto setting forth such action, is signed by the holders of record of all of the shares of the stock of the Corporation, issued and outstanding and entitled to vote.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DIRECTORS</w:t>
      </w:r>
    </w:p>
    <w:p>
      <w:pPr>
        <w:spacing w:after="0" w:line="17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Number, Quorum, Term, Vacancies, Removal</w:t>
      </w:r>
      <w:r>
        <w:rPr>
          <w:rFonts w:ascii="Arial" w:cs="Arial" w:eastAsia="Arial" w:hAnsi="Arial"/>
          <w:sz w:val="22"/>
          <w:szCs w:val="22"/>
          <w:color w:val="auto"/>
        </w:rPr>
        <w:t>. The number of directors of the Corporation shall be fixed in the manner provided in the Certificate of Incorporation.</w:t>
      </w:r>
    </w:p>
    <w:p>
      <w:pPr>
        <w:spacing w:after="0" w:line="200" w:lineRule="exact"/>
        <w:rPr>
          <w:sz w:val="20"/>
          <w:szCs w:val="20"/>
          <w:color w:val="auto"/>
        </w:rPr>
      </w:pPr>
    </w:p>
    <w:p>
      <w:pPr>
        <w:spacing w:after="0" w:line="207"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A majority of the members of the Board of Directors then holding office shall constitute a quorum for the transaction of business, but if at any meeting of the Board there shall be less than a quorum present, a majority of those present may adjourn the meeting from time to time until a quorum shall have been obtained.</w:t>
      </w:r>
    </w:p>
    <w:p>
      <w:pPr>
        <w:spacing w:after="0" w:line="200" w:lineRule="exact"/>
        <w:rPr>
          <w:sz w:val="20"/>
          <w:szCs w:val="20"/>
          <w:color w:val="auto"/>
        </w:rPr>
      </w:pPr>
    </w:p>
    <w:p>
      <w:pPr>
        <w:spacing w:after="0" w:line="222" w:lineRule="exact"/>
        <w:rPr>
          <w:sz w:val="20"/>
          <w:szCs w:val="20"/>
          <w:color w:val="auto"/>
        </w:rPr>
      </w:pPr>
    </w:p>
    <w:p>
      <w:pPr>
        <w:jc w:val="both"/>
        <w:ind w:right="20" w:firstLine="1297"/>
        <w:spacing w:after="0" w:line="285" w:lineRule="auto"/>
        <w:rPr>
          <w:sz w:val="20"/>
          <w:szCs w:val="20"/>
          <w:color w:val="auto"/>
        </w:rPr>
      </w:pPr>
      <w:r>
        <w:rPr>
          <w:rFonts w:ascii="Arial" w:cs="Arial" w:eastAsia="Arial" w:hAnsi="Arial"/>
          <w:sz w:val="22"/>
          <w:szCs w:val="22"/>
          <w:color w:val="auto"/>
        </w:rPr>
        <w:t>Except as otherwise provided in the Certificate of Incorporation, Directors shall hold office until the next annual election at which the class to which a director shall have been elected is scheduled to stand for reelection and until their successors shall have been elected and shall have qualified, unless sooner displaced.</w:t>
      </w:r>
    </w:p>
    <w:p>
      <w:pPr>
        <w:spacing w:after="0" w:line="200" w:lineRule="exact"/>
        <w:rPr>
          <w:sz w:val="20"/>
          <w:szCs w:val="20"/>
          <w:color w:val="auto"/>
        </w:rPr>
      </w:pPr>
    </w:p>
    <w:p>
      <w:pPr>
        <w:spacing w:after="0" w:line="222"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Except as otherwise required by the Certificate of Incorporation, whenever any vacancy shall have occurred in the Board of Directors, by reason of death, resignation, or otherwise, other than removal of a director with cause by a vote of the shareholders as</w:t>
      </w:r>
    </w:p>
    <w:p>
      <w:pPr>
        <w:sectPr>
          <w:pgSz w:w="11900" w:h="16838" w:orient="portrait"/>
          <w:cols w:equalWidth="0" w:num="1">
            <w:col w:w="11420"/>
          </w:cols>
          <w:pgMar w:left="240" w:top="619" w:right="239" w:bottom="1440" w:gutter="0" w:footer="0" w:header="0"/>
        </w:sectPr>
      </w:pPr>
    </w:p>
    <w:bookmarkStart w:id="155" w:name="page156"/>
    <w:bookmarkEnd w:id="155"/>
    <w:p>
      <w:pPr>
        <w:jc w:val="both"/>
        <w:spacing w:after="0" w:line="283" w:lineRule="auto"/>
        <w:rPr>
          <w:sz w:val="20"/>
          <w:szCs w:val="20"/>
          <w:color w:val="auto"/>
        </w:rPr>
      </w:pPr>
      <w:r>
        <w:rPr>
          <w:rFonts w:ascii="Arial" w:cs="Arial" w:eastAsia="Arial" w:hAnsi="Arial"/>
          <w:sz w:val="22"/>
          <w:szCs w:val="22"/>
          <w:color w:val="auto"/>
        </w:rPr>
        <w:t>provided in the Certificate of Incorporation, it shall be filled by a majority of the remaining directors, though less than a quorum (except as otherwise provided by law), and the person so chosen shall serve for a term that coincides with the term of the class to which such director shall have been elected and until his successor is duly elected and has qualified.</w:t>
      </w:r>
    </w:p>
    <w:p>
      <w:pPr>
        <w:spacing w:after="0" w:line="200" w:lineRule="exact"/>
        <w:rPr>
          <w:sz w:val="20"/>
          <w:szCs w:val="20"/>
          <w:color w:val="auto"/>
        </w:rPr>
      </w:pPr>
    </w:p>
    <w:p>
      <w:pPr>
        <w:spacing w:after="0" w:line="227"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color w:val="auto"/>
        </w:rPr>
        <w:t>Any one or more of the directors of the Corporation may be removed with cause at any time by a vote of the shareholders as provided in the Certificate of Incorporation and thereupon the term of the director or directors who shall have been so removed shall forthwith terminate and there shall be a vacancy or vacancies in the Board of Directors, to be filled by a vote of the directors as provided in these By-Laws.</w:t>
      </w:r>
    </w:p>
    <w:p>
      <w:pPr>
        <w:spacing w:after="0" w:line="21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Nomination of Directors</w:t>
      </w:r>
      <w:r>
        <w:rPr>
          <w:rFonts w:ascii="Arial" w:cs="Arial" w:eastAsia="Arial" w:hAnsi="Arial"/>
          <w:sz w:val="22"/>
          <w:szCs w:val="22"/>
          <w:color w:val="auto"/>
        </w:rPr>
        <w:t>. Only persons who are nominated in accordance with the following procedures shall be eligible for election as directors of the Company, except as may be otherwise provided in the Certificate of Incorporation of the Company with respect to the right of holders of certain specified classes of preferred stock of the Company to nominate and elect a specified number of directors in certain circumstances. 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Company (i) who is a shareholder of record on the date of the giving of the notice provided for in this Section 2 and on the record date for the determination of shareholders entitled to vote at such meeting and (ii) who complies with the notice procedures set forth in this Section 2.</w:t>
      </w:r>
    </w:p>
    <w:p>
      <w:pPr>
        <w:spacing w:after="0" w:line="200" w:lineRule="exact"/>
        <w:rPr>
          <w:sz w:val="20"/>
          <w:szCs w:val="20"/>
          <w:color w:val="auto"/>
        </w:rPr>
      </w:pPr>
    </w:p>
    <w:p>
      <w:pPr>
        <w:spacing w:after="0" w:line="223"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In addition to any other applicable requirements, for a nomination to be made by a shareholder, such shareholder must have given timely notice thereof in proper written form to the Secretary of the Company.</w:t>
      </w:r>
    </w:p>
    <w:p>
      <w:pPr>
        <w:spacing w:after="0" w:line="200" w:lineRule="exact"/>
        <w:rPr>
          <w:sz w:val="20"/>
          <w:szCs w:val="20"/>
          <w:color w:val="auto"/>
        </w:rPr>
      </w:pPr>
    </w:p>
    <w:p>
      <w:pPr>
        <w:spacing w:after="0" w:line="219"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22"/>
          <w:szCs w:val="22"/>
          <w:color w:val="auto"/>
        </w:rPr>
        <w:t xml:space="preserve">To be timely, a shareholder's notice to the Secretary must be delivered to or mailed and received at the principal executive offices of the Company (a) in the case of an annual meeting, not less than sixty (60) days nor more than ninety (90) days prior to the date of the annual meeting;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event that less than seventy (70) 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day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w:t>
      </w:r>
      <w:r>
        <w:rPr>
          <w:rFonts w:ascii="Arial" w:cs="Arial" w:eastAsia="Arial" w:hAnsi="Arial"/>
          <w:sz w:val="28"/>
          <w:szCs w:val="28"/>
          <w:color w:val="auto"/>
          <w:vertAlign w:val="superscript"/>
        </w:rPr>
        <w:t>th</w:t>
      </w:r>
      <w:r>
        <w:rPr>
          <w:rFonts w:ascii="Arial" w:cs="Arial" w:eastAsia="Arial" w:hAnsi="Arial"/>
          <w:sz w:val="22"/>
          <w:szCs w:val="22"/>
          <w:color w:val="auto"/>
        </w:rPr>
        <w:t>) day following the day on which notice of the date of the</w:t>
      </w:r>
    </w:p>
    <w:p>
      <w:pPr>
        <w:sectPr>
          <w:pgSz w:w="11900" w:h="16838" w:orient="portrait"/>
          <w:cols w:equalWidth="0" w:num="1">
            <w:col w:w="11420"/>
          </w:cols>
          <w:pgMar w:left="240" w:top="619"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special meeting was mailed or public disclosure of the date of the special meeting was made, whichever first occurs.</w:t>
      </w:r>
    </w:p>
    <w:p>
      <w:pPr>
        <w:spacing w:after="0" w:line="200" w:lineRule="exact"/>
        <w:rPr>
          <w:sz w:val="20"/>
          <w:szCs w:val="20"/>
          <w:color w:val="auto"/>
        </w:rPr>
      </w:pPr>
    </w:p>
    <w:p>
      <w:pPr>
        <w:spacing w:after="0" w:line="27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22"/>
          <w:szCs w:val="22"/>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capital stock of the Company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(i) the name and record address of such shareholder, (ii) the class or series and number of shares of capital stock of the Company which are owned beneficially or of record by such shareholder, (iii) a description of all arrangements or understandings between such shareholder and each proposed nominee and any other person or persons (including their names) pursuant to which the nomination(s) are to be made by such shareholder, (iv) a representation that such shareholder intends to appear in person or by proxy at the meeting to nominate the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200" w:lineRule="exact"/>
        <w:rPr>
          <w:sz w:val="20"/>
          <w:szCs w:val="20"/>
          <w:color w:val="auto"/>
        </w:rPr>
      </w:pPr>
    </w:p>
    <w:p>
      <w:pPr>
        <w:spacing w:after="0" w:line="23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color w:val="auto"/>
        </w:rPr>
        <w:t>No person shall be eligible for election as a director of the Company unless nominated in accordance with the procedures set forth in this Section 2.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21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Meetings, Notice</w:t>
      </w:r>
      <w:r>
        <w:rPr>
          <w:rFonts w:ascii="Arial" w:cs="Arial" w:eastAsia="Arial" w:hAnsi="Arial"/>
          <w:sz w:val="22"/>
          <w:szCs w:val="22"/>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shall be held at such times as may from time to time be fixed by resolution of the Board, and special meetings may be held at any time upon the call of one director, the Chairman of the Board, if one be elected, or the President, by oral, telegraphic or written notice, duly served on or sent or mailed to each director not less than two days before such meeting. A meeting of the Board may be</w:t>
      </w:r>
    </w:p>
    <w:p>
      <w:pPr>
        <w:sectPr>
          <w:pgSz w:w="11900" w:h="16838" w:orient="portrait"/>
          <w:cols w:equalWidth="0" w:num="1">
            <w:col w:w="11420"/>
          </w:cols>
          <w:pgMar w:left="240" w:top="619" w:right="239" w:bottom="1440" w:gutter="0" w:footer="0" w:header="0"/>
        </w:sectPr>
      </w:pPr>
    </w:p>
    <w:bookmarkStart w:id="157" w:name="page158"/>
    <w:bookmarkEnd w:id="157"/>
    <w:p>
      <w:pPr>
        <w:jc w:val="both"/>
        <w:spacing w:after="0" w:line="285" w:lineRule="auto"/>
        <w:rPr>
          <w:sz w:val="20"/>
          <w:szCs w:val="20"/>
          <w:color w:val="auto"/>
        </w:rPr>
      </w:pPr>
      <w:r>
        <w:rPr>
          <w:rFonts w:ascii="Arial" w:cs="Arial" w:eastAsia="Arial" w:hAnsi="Arial"/>
          <w:sz w:val="22"/>
          <w:szCs w:val="22"/>
          <w:color w:val="auto"/>
        </w:rPr>
        <w:t>held without notice immediately after the annual meeting of shareholders at the same place at which such meeting was held. Notice need not be given of regular meetings of the Board. Any meeting may be held without notice, if all directors are present, or if notice is waived in writing, either before or after the meeting, by those not present.</w:t>
      </w:r>
    </w:p>
    <w:p>
      <w:pPr>
        <w:spacing w:after="0" w:line="20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Committees</w:t>
      </w:r>
      <w:r>
        <w:rPr>
          <w:rFonts w:ascii="Arial" w:cs="Arial" w:eastAsia="Arial" w:hAnsi="Arial"/>
          <w:sz w:val="22"/>
          <w:szCs w:val="22"/>
          <w:color w:val="auto"/>
        </w:rPr>
        <w:t>. The Board of Directors may, in its discretion, by resolution passed by a majority of the whole Board, designate from among its members one or more committees which shall consist of one or more directors. The Board may designate one or more directors as alternate members of any such committee, who may replace any absent or disqualified member at any meeting of the committee. Such committees shall have and may exercise such powers as shall be conferred or authorized by the resolution appointing them. A majority of any such committee may determine its action and fix the time and place of its meetings, unless the Board of Directors shall otherwise provide. The Board shall have power at any time to change the membership of any such committee, to fill vacancies in it, or to dissolve it.</w:t>
      </w:r>
    </w:p>
    <w:p>
      <w:pPr>
        <w:spacing w:after="0" w:line="21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Action by Consent</w:t>
      </w:r>
      <w:r>
        <w:rPr>
          <w:rFonts w:ascii="Arial" w:cs="Arial" w:eastAsia="Arial" w:hAnsi="Arial"/>
          <w:sz w:val="22"/>
          <w:szCs w:val="22"/>
          <w:color w:val="auto"/>
        </w:rPr>
        <w:t>. Any action required or permitted to be taken at any meeting of the Board of Directors, or of any committee thereof, may be taken without a meeting, if prior to such action a written consent or consents thereto is signed by all members of the Board, or of such committee as the case may be, and such written consent or consents is filed with the minutes of proceedings of the Board or committee.</w:t>
      </w:r>
    </w:p>
    <w:p>
      <w:pPr>
        <w:spacing w:after="0" w:line="20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Compensation</w:t>
      </w:r>
      <w:r>
        <w:rPr>
          <w:rFonts w:ascii="Arial" w:cs="Arial" w:eastAsia="Arial" w:hAnsi="Arial"/>
          <w:sz w:val="22"/>
          <w:szCs w:val="22"/>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in addition to the Board of Directors shall also have power, in its discretion, to provide for and pay to directors rendering services to the Corporation not ordinarily rendered by directors, as such, special compensation appropriate to the value of such services, as determined by the Board from time to time.</w:t>
      </w:r>
    </w:p>
    <w:p>
      <w:pPr>
        <w:spacing w:after="0" w:line="200" w:lineRule="exact"/>
        <w:rPr>
          <w:sz w:val="20"/>
          <w:szCs w:val="20"/>
          <w:color w:val="auto"/>
        </w:rPr>
      </w:pPr>
    </w:p>
    <w:p>
      <w:pPr>
        <w:spacing w:after="0" w:line="22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Section 7. The Board of Directors from time to time may elect a Chairman of the Board. The Chairman of the Board, if one is elected, shall preside at all meetings of the Board of Directors and of the shareholders, and he shall have and perform such other duties as from time to time may be assigned to him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OFFICERS</w:t>
      </w:r>
    </w:p>
    <w:p>
      <w:pPr>
        <w:sectPr>
          <w:pgSz w:w="11900" w:h="16838" w:orient="portrait"/>
          <w:cols w:equalWidth="0" w:num="1">
            <w:col w:w="11420"/>
          </w:cols>
          <w:pgMar w:left="240" w:top="403" w:right="239" w:bottom="1440" w:gutter="0" w:footer="0" w:header="0"/>
        </w:sectPr>
      </w:pPr>
    </w:p>
    <w:bookmarkStart w:id="158" w:name="page159"/>
    <w:bookmarkEnd w:id="158"/>
    <w:p>
      <w:pPr>
        <w:jc w:val="both"/>
        <w:ind w:firstLine="1297"/>
        <w:spacing w:after="0" w:line="285"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Titles and Election</w:t>
      </w:r>
      <w:r>
        <w:rPr>
          <w:rFonts w:ascii="Arial" w:cs="Arial" w:eastAsia="Arial" w:hAnsi="Arial"/>
          <w:sz w:val="22"/>
          <w:szCs w:val="22"/>
          <w:color w:val="auto"/>
        </w:rPr>
        <w:t>. The officers of the Corporation, who shall be chosen by the Board of Directors at its first meeting after each annual meeting of shareholders, shall be a President, a Treasurer and a Secretary. The Board of Directors from time to time may elect one or more Vice Presidents, Assistant Secretaries, Assistant Treasurers and such other officers and agents as it shall deem necessary, and may define their powers and duties. Any number of offices may be held by the same person, except that office of President and Secretary may not be held by the same person.</w:t>
      </w:r>
    </w:p>
    <w:p>
      <w:pPr>
        <w:spacing w:after="0" w:line="210"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Terms of office</w:t>
      </w:r>
      <w:r>
        <w:rPr>
          <w:rFonts w:ascii="Arial" w:cs="Arial" w:eastAsia="Arial" w:hAnsi="Arial"/>
          <w:sz w:val="21"/>
          <w:szCs w:val="21"/>
          <w:color w:val="auto"/>
        </w:rPr>
        <w:t>. The officers shall hold office until their successors are chosen and qualify.</w:t>
      </w:r>
    </w:p>
    <w:p>
      <w:pPr>
        <w:spacing w:after="0" w:line="274"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Removal</w:t>
      </w:r>
      <w:r>
        <w:rPr>
          <w:rFonts w:ascii="Arial" w:cs="Arial" w:eastAsia="Arial" w:hAnsi="Arial"/>
          <w:sz w:val="22"/>
          <w:szCs w:val="22"/>
          <w:color w:val="auto"/>
        </w:rPr>
        <w:t>. Any officer may be removed, either with or without cause, at any time, by the affirmative vote of a majority of the Board of Directors.</w:t>
      </w:r>
    </w:p>
    <w:p>
      <w:pPr>
        <w:spacing w:after="0" w:line="19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Resignations</w:t>
      </w:r>
      <w:r>
        <w:rPr>
          <w:rFonts w:ascii="Arial" w:cs="Arial" w:eastAsia="Arial" w:hAnsi="Arial"/>
          <w:sz w:val="22"/>
          <w:szCs w:val="22"/>
          <w:color w:val="auto"/>
        </w:rPr>
        <w:t>. Any officer may resign at any time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20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Vacancies</w:t>
      </w:r>
      <w:r>
        <w:rPr>
          <w:rFonts w:ascii="Arial" w:cs="Arial" w:eastAsia="Arial" w:hAnsi="Arial"/>
          <w:sz w:val="22"/>
          <w:szCs w:val="22"/>
          <w:color w:val="auto"/>
        </w:rPr>
        <w:t>. If the office of any officer or agent becomes vacant by reason of death, resignation, retirement, disqualification, removal from office or otherwise, the directors may choose a successor, who shall hold office for the unexpired term in respect of which such vacancy occurred.</w:t>
      </w:r>
    </w:p>
    <w:p>
      <w:pPr>
        <w:spacing w:after="0" w:line="20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President</w:t>
      </w:r>
      <w:r>
        <w:rPr>
          <w:rFonts w:ascii="Arial" w:cs="Arial" w:eastAsia="Arial" w:hAnsi="Arial"/>
          <w:sz w:val="22"/>
          <w:szCs w:val="22"/>
          <w:color w:val="auto"/>
        </w:rPr>
        <w:t>. The President shall be the chief executive officer of the Corporation and, in the absence of the Chairman, shall preside at all meetings of the Board of Directors, and of the shareholders. He shall exercise the powers and perform the duties usual to the chief executive officer and, subject to the control of the Board of Directors, shall have general management and control of the affairs and business of the Corporation; he shall appoint and discharge employees and agents of the Corporation (other than officers elected by the Board of Directors) and fix their compensation; and he shall see that all orders and resolutions of the Board of Directors are carried into effect. He shall have the power to execute bonds, mortgages and other contracts, agreements and instruments of the Corporation, and shall do and perform such other duties as from time to time may be assigned to him by the Board of Directors.</w:t>
      </w:r>
    </w:p>
    <w:p>
      <w:pPr>
        <w:spacing w:after="0" w:line="210"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Vice Presidents</w:t>
      </w:r>
      <w:r>
        <w:rPr>
          <w:rFonts w:ascii="Arial" w:cs="Arial" w:eastAsia="Arial" w:hAnsi="Arial"/>
          <w:sz w:val="22"/>
          <w:szCs w:val="22"/>
          <w:color w:val="auto"/>
        </w:rPr>
        <w:t>. If chosen, the Vice Presidents, in the order of their seniority, shall, in the absence or disability of the President, exercise all of the powers and duties of the President. Such Vice Presidents shall have the power to execute bonds, notes, mortgages and other contracts, agreements and instruments of the Corporation,</w:t>
      </w:r>
    </w:p>
    <w:p>
      <w:pPr>
        <w:sectPr>
          <w:pgSz w:w="11900" w:h="16838" w:orient="portrait"/>
          <w:cols w:equalWidth="0" w:num="1">
            <w:col w:w="11420"/>
          </w:cols>
          <w:pgMar w:left="240" w:top="403" w:right="239" w:bottom="1440" w:gutter="0" w:footer="0" w:header="0"/>
        </w:sectPr>
      </w:pPr>
    </w:p>
    <w:bookmarkStart w:id="159" w:name="page160"/>
    <w:bookmarkEnd w:id="159"/>
    <w:p>
      <w:pPr>
        <w:jc w:val="both"/>
        <w:spacing w:after="0" w:line="288" w:lineRule="auto"/>
        <w:rPr>
          <w:sz w:val="20"/>
          <w:szCs w:val="20"/>
          <w:color w:val="auto"/>
        </w:rPr>
      </w:pPr>
      <w:r>
        <w:rPr>
          <w:rFonts w:ascii="Arial" w:cs="Arial" w:eastAsia="Arial" w:hAnsi="Arial"/>
          <w:sz w:val="22"/>
          <w:szCs w:val="22"/>
          <w:color w:val="auto"/>
        </w:rPr>
        <w:t>and shall do and perform such other duties incident to the office of Vice President and as the Board of Directors or the President shall direct.</w:t>
      </w:r>
    </w:p>
    <w:p>
      <w:pPr>
        <w:spacing w:after="0" w:line="20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Secretary</w:t>
      </w:r>
      <w:r>
        <w:rPr>
          <w:rFonts w:ascii="Arial" w:cs="Arial" w:eastAsia="Arial" w:hAnsi="Arial"/>
          <w:sz w:val="22"/>
          <w:szCs w:val="22"/>
          <w:color w:val="auto"/>
        </w:rPr>
        <w:t>. The Secretary shall attend all sessions of the Board and all meetings of the shareholders and record all votes and the minutes of the proceedings in a book to be kept for that purpose. He shall give, or cause to be given, notice of all meetings of the shareholders and of the Board of Directors, and shall perform such other duties as may be prescribed by the Board of Directors. The Secretary shall affix the seal of the Corporation to any instrument requiring it, and when so affixed, it shall be attested by the signature of the Secretary or an Assistant Secretary or the Treasurer or an Assistant Treasurer who may affix the seal to any such instrument in the event of the absence or disability of the Secretary. The Secretary shall have and be the custodian of the stock records and all other books, records and papers of the Corporation (other than financial) and shall see that all books, reports, statements, certificates and other documents and records required by law are properly kept and filed.</w:t>
      </w:r>
    </w:p>
    <w:p>
      <w:pPr>
        <w:spacing w:after="0" w:line="210"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Treasurer</w:t>
      </w:r>
      <w:r>
        <w:rPr>
          <w:rFonts w:ascii="Arial" w:cs="Arial" w:eastAsia="Arial" w:hAnsi="Arial"/>
          <w:sz w:val="22"/>
          <w:szCs w:val="22"/>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taking proper vouchers for such disbursements, and shall render to the directors whenever they may require it, and account of all his transactions as Treasurer and of the financial condition of the Corporation.</w:t>
      </w:r>
    </w:p>
    <w:p>
      <w:pPr>
        <w:spacing w:after="0" w:line="21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Duties of Officers may be Delegated</w:t>
      </w:r>
      <w:r>
        <w:rPr>
          <w:rFonts w:ascii="Arial" w:cs="Arial" w:eastAsia="Arial" w:hAnsi="Arial"/>
          <w:sz w:val="22"/>
          <w:szCs w:val="22"/>
          <w:color w:val="auto"/>
        </w:rPr>
        <w:t>. In case of the absence of disability of an officer of the Corporation, or for any other reason that the Board may deem sufficient, the Board may delegate, for the time being, the powers or duties, or any of them, of such officer to any other officer, or to any director.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INDEMNIFICATION</w:t>
      </w:r>
    </w:p>
    <w:p>
      <w:pPr>
        <w:spacing w:after="0" w:line="17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Indemnification of Directors, Officers, Employees and Agents in Actions by or in the Right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the Corporation</w:t>
      </w:r>
      <w:r>
        <w:rPr>
          <w:rFonts w:ascii="Arial" w:cs="Arial" w:eastAsia="Arial" w:hAnsi="Arial"/>
          <w:sz w:val="22"/>
          <w:szCs w:val="22"/>
          <w:color w:val="auto"/>
        </w:rPr>
        <w:t>.</w:t>
      </w:r>
    </w:p>
    <w:p>
      <w:pPr>
        <w:spacing w:after="0" w:line="200" w:lineRule="exact"/>
        <w:rPr>
          <w:sz w:val="20"/>
          <w:szCs w:val="20"/>
          <w:color w:val="auto"/>
        </w:rPr>
      </w:pPr>
    </w:p>
    <w:p>
      <w:pPr>
        <w:spacing w:after="0" w:line="207" w:lineRule="exact"/>
        <w:rPr>
          <w:sz w:val="20"/>
          <w:szCs w:val="20"/>
          <w:color w:val="auto"/>
        </w:rPr>
      </w:pPr>
    </w:p>
    <w:p>
      <w:pPr>
        <w:jc w:val="both"/>
        <w:ind w:firstLine="1953"/>
        <w:spacing w:after="0" w:line="288" w:lineRule="auto"/>
        <w:tabs>
          <w:tab w:leader="none" w:pos="2483" w:val="left"/>
        </w:tabs>
        <w:numPr>
          <w:ilvl w:val="0"/>
          <w:numId w:val="39"/>
        </w:numPr>
        <w:rPr>
          <w:rFonts w:ascii="Arial" w:cs="Arial" w:eastAsia="Arial" w:hAnsi="Arial"/>
          <w:sz w:val="22"/>
          <w:szCs w:val="22"/>
          <w:color w:val="auto"/>
        </w:rPr>
      </w:pPr>
      <w:r>
        <w:rPr>
          <w:rFonts w:ascii="Arial" w:cs="Arial" w:eastAsia="Arial" w:hAnsi="Arial"/>
          <w:sz w:val="22"/>
          <w:szCs w:val="22"/>
          <w:color w:val="auto"/>
        </w:rPr>
        <w:t>Subject to Section 3, the corporation shall indemnify any person made or threatened to be made a party to an action by or in the right of the Corporation to procure a judgment in its favor by reason of the fact that he, his testator or intestate, is or was a director, officer, employee or agent of the Corporation, or is or was serving at the</w:t>
      </w:r>
    </w:p>
    <w:p>
      <w:pPr>
        <w:sectPr>
          <w:pgSz w:w="11900" w:h="16838" w:orient="portrait"/>
          <w:cols w:equalWidth="0" w:num="1">
            <w:col w:w="11420"/>
          </w:cols>
          <w:pgMar w:left="240" w:top="403" w:right="239" w:bottom="1440" w:gutter="0" w:footer="0" w:header="0"/>
        </w:sectPr>
      </w:pPr>
    </w:p>
    <w:bookmarkStart w:id="160" w:name="page161"/>
    <w:bookmarkEnd w:id="160"/>
    <w:p>
      <w:pPr>
        <w:jc w:val="both"/>
        <w:spacing w:after="0" w:line="296" w:lineRule="auto"/>
        <w:rPr>
          <w:sz w:val="20"/>
          <w:szCs w:val="20"/>
          <w:color w:val="auto"/>
        </w:rPr>
      </w:pPr>
      <w:r>
        <w:rPr>
          <w:rFonts w:ascii="Arial" w:cs="Arial" w:eastAsia="Arial" w:hAnsi="Arial"/>
          <w:sz w:val="21"/>
          <w:szCs w:val="21"/>
          <w:color w:val="auto"/>
        </w:rPr>
        <w:t>request of the Corporation as a director, officer, employee or agent of any other corporation of any type or kind, domestic or foreign, of any partnership, joint venture, trust, employee benefit plan or other enterprise, against amounts paid in settlement and reasonable expenses, including attorneys' fees, actually and necessarily incurred by him in connection with the defense or settlement of such action, or in connection with an appeal therein, if such director, officer, employee or agent acted in good faith, for a purpose which he reasonably believed to be in, or, in the case of service for any other corporation or any partnership, joint venture, trust, employee benefit plan or other enterprise, not opposed to, the best interests of the corporation, except that no indemnification under this paragraph shall be made in respect of (1) a threatened action, or a pending action which is settled or otherwise disposed of, or (2) any claim, issue or matter as to which such person shall have been adjudged to be liable to the Corporation,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208"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Indemnification of Directors, Officer, Employees and Agents in Other Actions or Proceedings</w:t>
      </w:r>
      <w:r>
        <w:rPr>
          <w:rFonts w:ascii="Arial" w:cs="Arial" w:eastAsia="Arial" w:hAnsi="Arial"/>
          <w:sz w:val="21"/>
          <w:szCs w:val="21"/>
          <w:color w:val="auto"/>
        </w:rPr>
        <w:t>.</w:t>
      </w:r>
    </w:p>
    <w:p>
      <w:pPr>
        <w:spacing w:after="0" w:line="200" w:lineRule="exact"/>
        <w:rPr>
          <w:sz w:val="20"/>
          <w:szCs w:val="20"/>
          <w:color w:val="auto"/>
        </w:rPr>
      </w:pPr>
    </w:p>
    <w:p>
      <w:pPr>
        <w:spacing w:after="0" w:line="290" w:lineRule="exact"/>
        <w:rPr>
          <w:sz w:val="20"/>
          <w:szCs w:val="20"/>
          <w:color w:val="auto"/>
        </w:rPr>
      </w:pPr>
    </w:p>
    <w:p>
      <w:pPr>
        <w:jc w:val="both"/>
        <w:ind w:firstLine="1953"/>
        <w:spacing w:after="0" w:line="283" w:lineRule="auto"/>
        <w:tabs>
          <w:tab w:leader="none" w:pos="2470" w:val="left"/>
        </w:tabs>
        <w:numPr>
          <w:ilvl w:val="0"/>
          <w:numId w:val="40"/>
        </w:numPr>
        <w:rPr>
          <w:rFonts w:ascii="Arial" w:cs="Arial" w:eastAsia="Arial" w:hAnsi="Arial"/>
          <w:sz w:val="22"/>
          <w:szCs w:val="22"/>
          <w:color w:val="auto"/>
        </w:rPr>
      </w:pPr>
      <w:r>
        <w:rPr>
          <w:rFonts w:ascii="Arial" w:cs="Arial" w:eastAsia="Arial" w:hAnsi="Arial"/>
          <w:sz w:val="22"/>
          <w:szCs w:val="22"/>
          <w:color w:val="auto"/>
        </w:rPr>
        <w:t>Subject to Section 3, the Corporation shall indemnify any person made or threatened to be made a party to an action or proceeding other than one by or in the right of the Corporation to procure a judgment in its favor, whether civil or criminal, including an action by or in the right of any other corporation of any type or kind, domestic or foreign, or any partnership, joint venture, trust, employee benefit plan or other enterprise, which any director, officer, employee or agent of the Corporation served in any capacity at the request of the Corporation, by reason of the fact that he, his testator or intestate, was a director, officer, employee or agent of the Corporation,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officer, employee or agent of the Corporation acted in good faith, for a purpose which he reasonably believed to be in, or, in the case of service for any other corporation or any partnership, joint venture, trust, employee benefit plan or other enterprise, not opposed to, the best interests of the Corporation and, in criminal actions or proceedings, in addition, had no reasonable cause to believe that his conduct was unlawful.</w:t>
      </w:r>
    </w:p>
    <w:p>
      <w:pPr>
        <w:spacing w:after="0" w:line="200" w:lineRule="exact"/>
        <w:rPr>
          <w:rFonts w:ascii="Arial" w:cs="Arial" w:eastAsia="Arial" w:hAnsi="Arial"/>
          <w:sz w:val="22"/>
          <w:szCs w:val="22"/>
          <w:color w:val="auto"/>
        </w:rPr>
      </w:pPr>
    </w:p>
    <w:p>
      <w:pPr>
        <w:spacing w:after="0" w:line="230" w:lineRule="exact"/>
        <w:rPr>
          <w:rFonts w:ascii="Arial" w:cs="Arial" w:eastAsia="Arial" w:hAnsi="Arial"/>
          <w:sz w:val="22"/>
          <w:szCs w:val="22"/>
          <w:color w:val="auto"/>
        </w:rPr>
      </w:pPr>
    </w:p>
    <w:p>
      <w:pPr>
        <w:ind w:firstLine="1953"/>
        <w:spacing w:after="0" w:line="300" w:lineRule="auto"/>
        <w:tabs>
          <w:tab w:leader="none" w:pos="2483" w:val="left"/>
        </w:tabs>
        <w:numPr>
          <w:ilvl w:val="0"/>
          <w:numId w:val="40"/>
        </w:numPr>
        <w:rPr>
          <w:rFonts w:ascii="Arial" w:cs="Arial" w:eastAsia="Arial" w:hAnsi="Arial"/>
          <w:sz w:val="22"/>
          <w:szCs w:val="22"/>
          <w:color w:val="auto"/>
        </w:rPr>
      </w:pPr>
      <w:r>
        <w:rPr>
          <w:rFonts w:ascii="Arial" w:cs="Arial" w:eastAsia="Arial" w:hAnsi="Arial"/>
          <w:sz w:val="22"/>
          <w:szCs w:val="22"/>
          <w:color w:val="auto"/>
        </w:rPr>
        <w:t xml:space="preserve">The termination of any such civil or criminal action or proceeding by judgment, settlement, conviction or upon a plea of </w:t>
      </w:r>
      <w:r>
        <w:rPr>
          <w:rFonts w:ascii="Arial" w:cs="Arial" w:eastAsia="Arial" w:hAnsi="Arial"/>
          <w:sz w:val="22"/>
          <w:szCs w:val="22"/>
          <w:u w:val="single" w:color="auto"/>
          <w:color w:val="auto"/>
        </w:rPr>
        <w:t>nolo contendere</w:t>
      </w:r>
      <w:r>
        <w:rPr>
          <w:rFonts w:ascii="Arial" w:cs="Arial" w:eastAsia="Arial" w:hAnsi="Arial"/>
          <w:sz w:val="22"/>
          <w:szCs w:val="22"/>
          <w:color w:val="auto"/>
        </w:rPr>
        <w:t>, or its</w:t>
      </w:r>
    </w:p>
    <w:p>
      <w:pPr>
        <w:sectPr>
          <w:pgSz w:w="11900" w:h="16838" w:orient="portrait"/>
          <w:cols w:equalWidth="0" w:num="1">
            <w:col w:w="11420"/>
          </w:cols>
          <w:pgMar w:left="240" w:top="619" w:right="239" w:bottom="1440" w:gutter="0" w:footer="0" w:header="0"/>
        </w:sectPr>
      </w:pPr>
    </w:p>
    <w:bookmarkStart w:id="161" w:name="page162"/>
    <w:bookmarkEnd w:id="161"/>
    <w:p>
      <w:pPr>
        <w:jc w:val="both"/>
        <w:spacing w:after="0" w:line="301" w:lineRule="auto"/>
        <w:rPr>
          <w:sz w:val="20"/>
          <w:szCs w:val="20"/>
          <w:color w:val="auto"/>
        </w:rPr>
      </w:pPr>
      <w:r>
        <w:rPr>
          <w:rFonts w:ascii="Arial" w:cs="Arial" w:eastAsia="Arial" w:hAnsi="Arial"/>
          <w:sz w:val="21"/>
          <w:szCs w:val="21"/>
          <w:color w:val="auto"/>
        </w:rPr>
        <w:t>equivalent, shall not in itself create a presumption that any such director, officer, employee or agent of the Corporation did not act, in good faith, for a purpose which he reasonably believed to be in, or, in the case of service for any other corporation or any partnership, joint venture, trust, employee benefit plan or other enterprise, not opposed to, the best interests of the Corporation or that he had reasonable cause to believe that his conduct was unlawful.</w:t>
      </w:r>
    </w:p>
    <w:p>
      <w:pPr>
        <w:spacing w:after="0" w:line="200" w:lineRule="exact"/>
        <w:rPr>
          <w:sz w:val="20"/>
          <w:szCs w:val="20"/>
          <w:color w:val="auto"/>
        </w:rPr>
      </w:pPr>
    </w:p>
    <w:p>
      <w:pPr>
        <w:spacing w:after="0" w:line="209"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color w:val="auto"/>
        </w:rPr>
        <w:t>For the purpose of this Section, the Corporation shall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215"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1"/>
          <w:szCs w:val="21"/>
          <w:u w:val="single" w:color="auto"/>
          <w:color w:val="auto"/>
        </w:rPr>
        <w:t>Payment of Indemnification Other Than by Court Award</w:t>
      </w:r>
      <w:r>
        <w:rPr>
          <w:rFonts w:ascii="Arial" w:cs="Arial" w:eastAsia="Arial" w:hAnsi="Arial"/>
          <w:sz w:val="21"/>
          <w:szCs w:val="21"/>
          <w:color w:val="auto"/>
        </w:rPr>
        <w:t>.</w:t>
      </w:r>
    </w:p>
    <w:p>
      <w:pPr>
        <w:spacing w:after="0" w:line="200" w:lineRule="exact"/>
        <w:rPr>
          <w:sz w:val="20"/>
          <w:szCs w:val="20"/>
          <w:color w:val="auto"/>
        </w:rPr>
      </w:pPr>
    </w:p>
    <w:p>
      <w:pPr>
        <w:spacing w:after="0" w:line="290" w:lineRule="exact"/>
        <w:rPr>
          <w:sz w:val="20"/>
          <w:szCs w:val="20"/>
          <w:color w:val="auto"/>
        </w:rPr>
      </w:pPr>
    </w:p>
    <w:p>
      <w:pPr>
        <w:jc w:val="both"/>
        <w:ind w:firstLine="1953"/>
        <w:spacing w:after="0" w:line="291" w:lineRule="auto"/>
        <w:tabs>
          <w:tab w:leader="none" w:pos="2402"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person who has been wholly successful, on the merits or otherwise, in the defense of a civil or criminal action or proceeding of the character described in Section 1 or 2 shall be entitled to indemnification as authorized in such sections.</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firstLine="1953"/>
        <w:spacing w:after="0" w:line="291" w:lineRule="auto"/>
        <w:tabs>
          <w:tab w:leader="none" w:pos="2402"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Except as provided in paragraph (a), any indemnification under Section 1 or 2, unless ordered by a court under Section 724 of the Business Corporation Law of New York, shall be made by the Corporation, only if authorized in the specific case:</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jc w:val="both"/>
        <w:ind w:left="660" w:firstLine="1941"/>
        <w:spacing w:after="0" w:line="291" w:lineRule="auto"/>
        <w:tabs>
          <w:tab w:leader="none" w:pos="3130" w:val="left"/>
        </w:tabs>
        <w:numPr>
          <w:ilvl w:val="1"/>
          <w:numId w:val="41"/>
        </w:numPr>
        <w:rPr>
          <w:rFonts w:ascii="Arial" w:cs="Arial" w:eastAsia="Arial" w:hAnsi="Arial"/>
          <w:sz w:val="22"/>
          <w:szCs w:val="22"/>
          <w:color w:val="auto"/>
        </w:rPr>
      </w:pPr>
      <w:r>
        <w:rPr>
          <w:rFonts w:ascii="Arial" w:cs="Arial" w:eastAsia="Arial" w:hAnsi="Arial"/>
          <w:sz w:val="22"/>
          <w:szCs w:val="22"/>
          <w:color w:val="auto"/>
        </w:rPr>
        <w:t>by the Board acting by a quorum consisting of directors who are not parties to such action or proceeding upon a finding that the director, officer, employee or agent has met the standard of conduct set forth in Section 1 or 2, as the case may be, or,</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660" w:firstLine="1941"/>
        <w:spacing w:after="0" w:line="300" w:lineRule="auto"/>
        <w:tabs>
          <w:tab w:leader="none" w:pos="3049"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a quorum under subparagraph (1) is not obtainable or even if obtainable, a quorum of disinterested directors so directs:</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ind w:left="1300" w:right="20" w:firstLine="1949"/>
        <w:spacing w:after="0" w:line="300" w:lineRule="auto"/>
        <w:tabs>
          <w:tab w:leader="none" w:pos="3875" w:val="left"/>
        </w:tabs>
        <w:numPr>
          <w:ilvl w:val="2"/>
          <w:numId w:val="41"/>
        </w:numPr>
        <w:rPr>
          <w:rFonts w:ascii="Arial" w:cs="Arial" w:eastAsia="Arial" w:hAnsi="Arial"/>
          <w:sz w:val="22"/>
          <w:szCs w:val="22"/>
          <w:color w:val="auto"/>
        </w:rPr>
      </w:pPr>
      <w:r>
        <w:rPr>
          <w:rFonts w:ascii="Arial" w:cs="Arial" w:eastAsia="Arial" w:hAnsi="Arial"/>
          <w:sz w:val="22"/>
          <w:szCs w:val="22"/>
          <w:color w:val="auto"/>
        </w:rPr>
        <w:t>by the Board upon the opinion in writing of independent legal counsel that indemnification is proper in the circumstances</w:t>
      </w:r>
    </w:p>
    <w:p>
      <w:pPr>
        <w:sectPr>
          <w:pgSz w:w="11900" w:h="16838" w:orient="portrait"/>
          <w:cols w:equalWidth="0" w:num="1">
            <w:col w:w="11420"/>
          </w:cols>
          <w:pgMar w:left="240" w:top="619" w:right="239" w:bottom="1440" w:gutter="0" w:footer="0" w:header="0"/>
        </w:sectPr>
      </w:pPr>
    </w:p>
    <w:bookmarkStart w:id="162" w:name="page163"/>
    <w:bookmarkEnd w:id="162"/>
    <w:p>
      <w:pPr>
        <w:ind w:left="1300"/>
        <w:spacing w:after="0" w:line="288" w:lineRule="auto"/>
        <w:rPr>
          <w:sz w:val="20"/>
          <w:szCs w:val="20"/>
          <w:color w:val="auto"/>
        </w:rPr>
      </w:pPr>
      <w:r>
        <w:rPr>
          <w:rFonts w:ascii="Arial" w:cs="Arial" w:eastAsia="Arial" w:hAnsi="Arial"/>
          <w:sz w:val="22"/>
          <w:szCs w:val="22"/>
          <w:color w:val="auto"/>
        </w:rPr>
        <w:t>because the applicable standard of conduct set forth in such sections has been met by such director, officer, employee or agent, or</w:t>
      </w:r>
    </w:p>
    <w:p>
      <w:pPr>
        <w:spacing w:after="0" w:line="200" w:lineRule="exact"/>
        <w:rPr>
          <w:sz w:val="20"/>
          <w:szCs w:val="20"/>
          <w:color w:val="auto"/>
        </w:rPr>
      </w:pPr>
    </w:p>
    <w:p>
      <w:pPr>
        <w:spacing w:after="0" w:line="219" w:lineRule="exact"/>
        <w:rPr>
          <w:sz w:val="20"/>
          <w:szCs w:val="20"/>
          <w:color w:val="auto"/>
        </w:rPr>
      </w:pPr>
    </w:p>
    <w:p>
      <w:pPr>
        <w:ind w:left="1300" w:firstLine="1949"/>
        <w:spacing w:after="0" w:line="300" w:lineRule="auto"/>
        <w:tabs>
          <w:tab w:leader="none" w:pos="3767" w:val="left"/>
        </w:tabs>
        <w:numPr>
          <w:ilvl w:val="0"/>
          <w:numId w:val="42"/>
        </w:numPr>
        <w:rPr>
          <w:rFonts w:ascii="Arial" w:cs="Arial" w:eastAsia="Arial" w:hAnsi="Arial"/>
          <w:sz w:val="22"/>
          <w:szCs w:val="22"/>
          <w:color w:val="auto"/>
        </w:rPr>
      </w:pPr>
      <w:r>
        <w:rPr>
          <w:rFonts w:ascii="Arial" w:cs="Arial" w:eastAsia="Arial" w:hAnsi="Arial"/>
          <w:sz w:val="22"/>
          <w:szCs w:val="22"/>
          <w:color w:val="auto"/>
        </w:rPr>
        <w:t>by the shareholders upon a finding that the director, officer, employee or agent has met the applicable standard of conduct set forth in such sections.</w:t>
      </w:r>
    </w:p>
    <w:p>
      <w:pPr>
        <w:spacing w:after="0" w:line="200" w:lineRule="exact"/>
        <w:rPr>
          <w:sz w:val="20"/>
          <w:szCs w:val="20"/>
          <w:color w:val="auto"/>
        </w:rPr>
      </w:pPr>
    </w:p>
    <w:p>
      <w:pPr>
        <w:spacing w:after="0" w:line="207" w:lineRule="exact"/>
        <w:rPr>
          <w:sz w:val="20"/>
          <w:szCs w:val="20"/>
          <w:color w:val="auto"/>
        </w:rPr>
      </w:pPr>
    </w:p>
    <w:p>
      <w:pPr>
        <w:ind w:firstLine="1297"/>
        <w:spacing w:after="0" w:line="288" w:lineRule="auto"/>
        <w:rPr>
          <w:sz w:val="20"/>
          <w:szCs w:val="20"/>
          <w:color w:val="auto"/>
        </w:rPr>
      </w:pPr>
      <w:r>
        <w:rPr>
          <w:rFonts w:ascii="Arial" w:cs="Arial" w:eastAsia="Arial" w:hAnsi="Arial"/>
          <w:sz w:val="22"/>
          <w:szCs w:val="22"/>
          <w:color w:val="auto"/>
        </w:rPr>
        <w:t>It is the policy of the Corporation that indemnification of the persons specified in Sections 1 and 2 shall be made to the fullest extent permitted by law.</w:t>
      </w:r>
    </w:p>
    <w:p>
      <w:pPr>
        <w:spacing w:after="0" w:line="200" w:lineRule="exact"/>
        <w:rPr>
          <w:sz w:val="20"/>
          <w:szCs w:val="20"/>
          <w:color w:val="auto"/>
        </w:rPr>
      </w:pPr>
    </w:p>
    <w:p>
      <w:pPr>
        <w:spacing w:after="0" w:line="219" w:lineRule="exact"/>
        <w:rPr>
          <w:sz w:val="20"/>
          <w:szCs w:val="20"/>
          <w:color w:val="auto"/>
        </w:rPr>
      </w:pPr>
    </w:p>
    <w:p>
      <w:pPr>
        <w:jc w:val="both"/>
        <w:ind w:firstLine="1953"/>
        <w:spacing w:after="0" w:line="310" w:lineRule="auto"/>
        <w:tabs>
          <w:tab w:leader="none" w:pos="2458" w:val="left"/>
        </w:tabs>
        <w:numPr>
          <w:ilvl w:val="0"/>
          <w:numId w:val="43"/>
        </w:numPr>
        <w:rPr>
          <w:rFonts w:ascii="Arial" w:cs="Arial" w:eastAsia="Arial" w:hAnsi="Arial"/>
          <w:sz w:val="21"/>
          <w:szCs w:val="21"/>
          <w:color w:val="auto"/>
        </w:rPr>
      </w:pPr>
      <w:r>
        <w:rPr>
          <w:rFonts w:ascii="Arial" w:cs="Arial" w:eastAsia="Arial" w:hAnsi="Arial"/>
          <w:sz w:val="21"/>
          <w:szCs w:val="21"/>
          <w:color w:val="auto"/>
        </w:rPr>
        <w:t>Expenses incurred in defending a civil or criminal action or proceeding may be paid by the Corporation in advance of the final disposition of such action or proceeding upon receipt of an undertaking by or on behalf of such director, officer, employee or agent to repay such amount as, and to the extent, required by Section 4(a).</w:t>
      </w:r>
    </w:p>
    <w:p>
      <w:pPr>
        <w:spacing w:after="0" w:line="185"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1"/>
          <w:szCs w:val="21"/>
          <w:u w:val="single" w:color="auto"/>
          <w:color w:val="auto"/>
        </w:rPr>
        <w:t>Other Provisions Affecting Indemnification of Directors, Officers, Employees and Agents</w:t>
      </w:r>
      <w:r>
        <w:rPr>
          <w:rFonts w:ascii="Arial" w:cs="Arial" w:eastAsia="Arial" w:hAnsi="Arial"/>
          <w:sz w:val="21"/>
          <w:szCs w:val="21"/>
          <w:color w:val="auto"/>
        </w:rPr>
        <w:t>.</w:t>
      </w:r>
    </w:p>
    <w:p>
      <w:pPr>
        <w:spacing w:after="0" w:line="200" w:lineRule="exact"/>
        <w:rPr>
          <w:sz w:val="20"/>
          <w:szCs w:val="20"/>
          <w:color w:val="auto"/>
        </w:rPr>
      </w:pPr>
    </w:p>
    <w:p>
      <w:pPr>
        <w:spacing w:after="0" w:line="290" w:lineRule="exact"/>
        <w:rPr>
          <w:sz w:val="20"/>
          <w:szCs w:val="20"/>
          <w:color w:val="auto"/>
        </w:rPr>
      </w:pPr>
    </w:p>
    <w:p>
      <w:pPr>
        <w:jc w:val="both"/>
        <w:ind w:firstLine="1953"/>
        <w:spacing w:after="0" w:line="285" w:lineRule="auto"/>
        <w:tabs>
          <w:tab w:leader="none" w:pos="2402" w:val="left"/>
        </w:tabs>
        <w:numPr>
          <w:ilvl w:val="0"/>
          <w:numId w:val="44"/>
        </w:numPr>
        <w:rPr>
          <w:rFonts w:ascii="Arial" w:cs="Arial" w:eastAsia="Arial" w:hAnsi="Arial"/>
          <w:sz w:val="22"/>
          <w:szCs w:val="22"/>
          <w:color w:val="auto"/>
        </w:rPr>
      </w:pPr>
      <w:r>
        <w:rPr>
          <w:rFonts w:ascii="Arial" w:cs="Arial" w:eastAsia="Arial" w:hAnsi="Arial"/>
          <w:sz w:val="22"/>
          <w:szCs w:val="22"/>
          <w:color w:val="auto"/>
        </w:rPr>
        <w:t>All expenses incurred in defending a civil or criminal action or proceeding which are advanced by the Corporation under paragraph (c) of Section 3 or allowed by a court shall be repaid in case the person receiving such advancement or allowance is ultimately found, under the procedure set forth in this Article IV or in Section 725 of the New York Business Corporation Law, not to be entitled to indemnification or, where indemnification is granted, to the extent the expenses so advance by the Corporation or allowed by the court exceed the indemnification to which he is entitled.</w:t>
      </w:r>
    </w:p>
    <w:p>
      <w:pPr>
        <w:spacing w:after="0" w:line="200" w:lineRule="exact"/>
        <w:rPr>
          <w:rFonts w:ascii="Arial" w:cs="Arial" w:eastAsia="Arial" w:hAnsi="Arial"/>
          <w:sz w:val="22"/>
          <w:szCs w:val="22"/>
          <w:color w:val="auto"/>
        </w:rPr>
      </w:pPr>
    </w:p>
    <w:p>
      <w:pPr>
        <w:spacing w:after="0" w:line="225" w:lineRule="exact"/>
        <w:rPr>
          <w:rFonts w:ascii="Arial" w:cs="Arial" w:eastAsia="Arial" w:hAnsi="Arial"/>
          <w:sz w:val="22"/>
          <w:szCs w:val="22"/>
          <w:color w:val="auto"/>
        </w:rPr>
      </w:pPr>
    </w:p>
    <w:p>
      <w:pPr>
        <w:ind w:right="20" w:firstLine="1953"/>
        <w:spacing w:after="0" w:line="300" w:lineRule="auto"/>
        <w:tabs>
          <w:tab w:leader="none" w:pos="2524" w:val="left"/>
        </w:tabs>
        <w:numPr>
          <w:ilvl w:val="0"/>
          <w:numId w:val="44"/>
        </w:numPr>
        <w:rPr>
          <w:rFonts w:ascii="Arial" w:cs="Arial" w:eastAsia="Arial" w:hAnsi="Arial"/>
          <w:sz w:val="22"/>
          <w:szCs w:val="22"/>
          <w:color w:val="auto"/>
        </w:rPr>
      </w:pPr>
      <w:r>
        <w:rPr>
          <w:rFonts w:ascii="Arial" w:cs="Arial" w:eastAsia="Arial" w:hAnsi="Arial"/>
          <w:sz w:val="22"/>
          <w:szCs w:val="22"/>
          <w:color w:val="auto"/>
        </w:rPr>
        <w:t>No indemnification, advancement or allowance shall be made under this Article IV in any circumstance where it appears:</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jc w:val="both"/>
        <w:ind w:left="660" w:firstLine="1941"/>
        <w:spacing w:after="0" w:line="286" w:lineRule="auto"/>
        <w:tabs>
          <w:tab w:leader="none" w:pos="3197"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that the indemnification would be inconsistent with a provision of the Certificate of Incorporation, a By-Law, a resolution of the Board of Directors or of the shareholders, an agreement or other proper corporation action, in effect at the time of the accrual of the alleged cause of action asserted in the threatened or pending action or proceeding in which the expenses were incurred or other amounts were paid, which prohibits or otherwise limits indemnification; or</w:t>
      </w:r>
    </w:p>
    <w:p>
      <w:pPr>
        <w:spacing w:after="0" w:line="200" w:lineRule="exact"/>
        <w:rPr>
          <w:rFonts w:ascii="Arial" w:cs="Arial" w:eastAsia="Arial" w:hAnsi="Arial"/>
          <w:sz w:val="22"/>
          <w:szCs w:val="22"/>
          <w:color w:val="auto"/>
        </w:rPr>
      </w:pPr>
    </w:p>
    <w:p>
      <w:pPr>
        <w:spacing w:after="0" w:line="223" w:lineRule="exact"/>
        <w:rPr>
          <w:rFonts w:ascii="Arial" w:cs="Arial" w:eastAsia="Arial" w:hAnsi="Arial"/>
          <w:sz w:val="22"/>
          <w:szCs w:val="22"/>
          <w:color w:val="auto"/>
        </w:rPr>
      </w:pPr>
    </w:p>
    <w:p>
      <w:pPr>
        <w:jc w:val="both"/>
        <w:ind w:left="660" w:firstLine="1941"/>
        <w:spacing w:after="0" w:line="291" w:lineRule="auto"/>
        <w:tabs>
          <w:tab w:leader="none" w:pos="3062"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there has been a settlement approved by the court, that the indemnification would be inconsistent with any condition with respect to indemnification expressly imposed by the court in approving the settlement.</w:t>
      </w:r>
    </w:p>
    <w:p>
      <w:pPr>
        <w:sectPr>
          <w:pgSz w:w="11900" w:h="16838" w:orient="portrait"/>
          <w:cols w:equalWidth="0" w:num="1">
            <w:col w:w="11420"/>
          </w:cols>
          <w:pgMar w:left="240" w:top="619" w:right="239" w:bottom="1440" w:gutter="0" w:footer="0" w:header="0"/>
        </w:sectPr>
      </w:pPr>
    </w:p>
    <w:bookmarkStart w:id="163" w:name="page164"/>
    <w:bookmarkEnd w:id="163"/>
    <w:p>
      <w:pPr>
        <w:jc w:val="both"/>
        <w:ind w:firstLine="1953"/>
        <w:spacing w:after="0" w:line="285" w:lineRule="auto"/>
        <w:tabs>
          <w:tab w:leader="none" w:pos="2458"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under this Article IV, any expenses or other amounts are paid by way of indemnification, otherwise than by court order or action by the shareholders, the Corporation shall, not later than the next annual meeting of shareholders unless such meeting is held within three months from the date of such payment, and, in any event, within fifteen months from the date of such payment, mail to its shareholders of record at the time entitled to vote for the election of directors, a statement specifying the persons paid, the amounts paid and the nature and status at the time of such payment of the litigation or threatened litigation.</w:t>
      </w:r>
    </w:p>
    <w:p>
      <w:pPr>
        <w:spacing w:after="0" w:line="21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Non-Exclusivity and Survival of Indemnification</w:t>
      </w:r>
      <w:r>
        <w:rPr>
          <w:rFonts w:ascii="Arial" w:cs="Arial" w:eastAsia="Arial" w:hAnsi="Arial"/>
          <w:sz w:val="22"/>
          <w:szCs w:val="22"/>
          <w:color w:val="auto"/>
        </w:rPr>
        <w:t>. The provisions of this Article IV shall not be deemed to preclude the indemnification of any person who is not specified in Section 1 or 2 but whom the Corporation has the power or obligation to indemnify under the provisions of the Business Corporation Law of New York, or otherwise. The indemnification provided by this Article IV shall continue as to a person who has ceased to be a director, officer, employee or agent and shall inure to the benefit of the heirs, executors, and administrators of such person. The indemnification provided by this Article IV shall not be deemed exclusive of any other rights to which directors, officers, employees or agents of the Corporation seeing indemnification or advancement of expenses may be entitled under any By-Law, agreement, contract, vote of shareholders or disinterested directors or pursuant to the direction (howsoever embodied) of any court of competent jurisdiction or otherwise, both as to actions in their official capacity and as to actions in another capacity while serving the Corporation provided that no indemnification may be made to or on behalf of any director, officer, employee or agent if a judgment or other final adjudication adverse to the officer, director, employee or agent establishes that his acts were committed in bad faith or were the result of active and deliberate dishonesty and were material to the cause of the action so adjudicated, or that he personally gained in fact a financial profit or other advantage to which he was not legally entitled.</w:t>
      </w:r>
    </w:p>
    <w:p>
      <w:pPr>
        <w:spacing w:after="0" w:line="213"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1"/>
          <w:szCs w:val="21"/>
          <w:u w:val="single" w:color="auto"/>
          <w:color w:val="auto"/>
        </w:rPr>
        <w:t>Insurance for Indemnification of Directors, Officers, Employees and Agents</w:t>
      </w:r>
      <w:r>
        <w:rPr>
          <w:rFonts w:ascii="Arial" w:cs="Arial" w:eastAsia="Arial" w:hAnsi="Arial"/>
          <w:sz w:val="21"/>
          <w:szCs w:val="21"/>
          <w:color w:val="auto"/>
        </w:rPr>
        <w:t>.</w:t>
      </w:r>
    </w:p>
    <w:p>
      <w:pPr>
        <w:spacing w:after="0" w:line="200" w:lineRule="exact"/>
        <w:rPr>
          <w:sz w:val="20"/>
          <w:szCs w:val="20"/>
          <w:color w:val="auto"/>
        </w:rPr>
      </w:pPr>
    </w:p>
    <w:p>
      <w:pPr>
        <w:spacing w:after="0" w:line="290" w:lineRule="exact"/>
        <w:rPr>
          <w:sz w:val="20"/>
          <w:szCs w:val="20"/>
          <w:color w:val="auto"/>
        </w:rPr>
      </w:pPr>
    </w:p>
    <w:p>
      <w:pPr>
        <w:ind w:left="1960"/>
        <w:spacing w:after="0"/>
        <w:tabs>
          <w:tab w:leader="none" w:pos="25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Subject to paragraph (b) below, the Corporation shall have the power to purchase and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maintain insurance:</w:t>
      </w:r>
    </w:p>
    <w:p>
      <w:pPr>
        <w:spacing w:after="0" w:line="200" w:lineRule="exact"/>
        <w:rPr>
          <w:sz w:val="20"/>
          <w:szCs w:val="20"/>
          <w:color w:val="auto"/>
        </w:rPr>
      </w:pPr>
    </w:p>
    <w:p>
      <w:pPr>
        <w:spacing w:after="0" w:line="276" w:lineRule="exact"/>
        <w:rPr>
          <w:sz w:val="20"/>
          <w:szCs w:val="20"/>
          <w:color w:val="auto"/>
        </w:rPr>
      </w:pPr>
    </w:p>
    <w:p>
      <w:pPr>
        <w:ind w:left="660" w:firstLine="1941"/>
        <w:spacing w:after="0" w:line="300" w:lineRule="auto"/>
        <w:tabs>
          <w:tab w:leader="none" w:pos="3238"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indemnify the Corporation for any obligation which it incurs as a result of the indemnification of directors, officers, employees and agents under the provisions of this Article IV, and</w:t>
      </w:r>
    </w:p>
    <w:p>
      <w:pPr>
        <w:sectPr>
          <w:pgSz w:w="11900" w:h="16838" w:orient="portrait"/>
          <w:cols w:equalWidth="0" w:num="1">
            <w:col w:w="11420"/>
          </w:cols>
          <w:pgMar w:left="240" w:top="619" w:right="239" w:bottom="1440" w:gutter="0" w:footer="0" w:header="0"/>
        </w:sectPr>
      </w:pPr>
    </w:p>
    <w:bookmarkStart w:id="164" w:name="page165"/>
    <w:bookmarkEnd w:id="164"/>
    <w:p>
      <w:pPr>
        <w:ind w:left="660" w:firstLine="1941"/>
        <w:spacing w:after="0" w:line="300" w:lineRule="auto"/>
        <w:tabs>
          <w:tab w:leader="none" w:pos="3103" w:val="left"/>
        </w:tabs>
        <w:numPr>
          <w:ilvl w:val="1"/>
          <w:numId w:val="47"/>
        </w:numPr>
        <w:rPr>
          <w:rFonts w:ascii="Arial" w:cs="Arial" w:eastAsia="Arial" w:hAnsi="Arial"/>
          <w:sz w:val="22"/>
          <w:szCs w:val="22"/>
          <w:color w:val="auto"/>
        </w:rPr>
      </w:pPr>
      <w:r>
        <w:rPr>
          <w:rFonts w:ascii="Arial" w:cs="Arial" w:eastAsia="Arial" w:hAnsi="Arial"/>
          <w:sz w:val="22"/>
          <w:szCs w:val="22"/>
          <w:color w:val="auto"/>
        </w:rPr>
        <w:t>to indemnify directors, officers, employees and agents in instances in which they may be indemnified by the Corporation under the provisions of this Article IV, and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jc w:val="both"/>
        <w:ind w:left="660" w:firstLine="1941"/>
        <w:spacing w:after="0" w:line="288" w:lineRule="auto"/>
        <w:tabs>
          <w:tab w:leader="none" w:pos="3103" w:val="left"/>
        </w:tabs>
        <w:numPr>
          <w:ilvl w:val="1"/>
          <w:numId w:val="47"/>
        </w:numPr>
        <w:rPr>
          <w:rFonts w:ascii="Arial" w:cs="Arial" w:eastAsia="Arial" w:hAnsi="Arial"/>
          <w:sz w:val="22"/>
          <w:szCs w:val="22"/>
          <w:color w:val="auto"/>
        </w:rPr>
      </w:pPr>
      <w:r>
        <w:rPr>
          <w:rFonts w:ascii="Arial" w:cs="Arial" w:eastAsia="Arial" w:hAnsi="Arial"/>
          <w:sz w:val="22"/>
          <w:szCs w:val="22"/>
          <w:color w:val="auto"/>
        </w:rPr>
        <w:t>to indemnify directors, officers, employees and agents in instances in which they may not otherwise be indemnified by the Corporation under the provisions of this Article IV provided the contract of insurance covering such directors, officers, employees and agents provides, in a manner acceptable to the superintendent of insurance, for a retention amount and for co-insurance.</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firstLine="1953"/>
        <w:spacing w:after="0" w:line="300" w:lineRule="auto"/>
        <w:tabs>
          <w:tab w:leader="none" w:pos="2389"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 insurance under paragraph (a) may provide for any payment, other than cost of defense, to or on behalf of any director, officer, employee or agent:</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jc w:val="both"/>
        <w:ind w:left="660" w:firstLine="1941"/>
        <w:spacing w:after="0" w:line="288" w:lineRule="auto"/>
        <w:tabs>
          <w:tab w:leader="none" w:pos="3278" w:val="left"/>
        </w:tabs>
        <w:numPr>
          <w:ilvl w:val="1"/>
          <w:numId w:val="48"/>
        </w:numPr>
        <w:rPr>
          <w:rFonts w:ascii="Arial" w:cs="Arial" w:eastAsia="Arial" w:hAnsi="Arial"/>
          <w:sz w:val="22"/>
          <w:szCs w:val="22"/>
          <w:color w:val="auto"/>
        </w:rPr>
      </w:pPr>
      <w:r>
        <w:rPr>
          <w:rFonts w:ascii="Arial" w:cs="Arial" w:eastAsia="Arial" w:hAnsi="Arial"/>
          <w:sz w:val="22"/>
          <w:szCs w:val="22"/>
          <w:color w:val="auto"/>
        </w:rPr>
        <w:t>if a judgment or other final adjudication adverse to the insured director, officer, employee or agent establishes that his acts of active and deliberate dishonesty were material to the cause of action so adjudicated, or that he personally gained in fact a financial profit or other advantage to which he was not legally entitled, or</w:t>
      </w:r>
    </w:p>
    <w:p>
      <w:pPr>
        <w:spacing w:after="0" w:line="200" w:lineRule="exact"/>
        <w:rPr>
          <w:rFonts w:ascii="Arial" w:cs="Arial" w:eastAsia="Arial" w:hAnsi="Arial"/>
          <w:sz w:val="22"/>
          <w:szCs w:val="22"/>
          <w:color w:val="auto"/>
        </w:rPr>
      </w:pPr>
    </w:p>
    <w:p>
      <w:pPr>
        <w:spacing w:after="0" w:line="219" w:lineRule="exact"/>
        <w:rPr>
          <w:rFonts w:ascii="Arial" w:cs="Arial" w:eastAsia="Arial" w:hAnsi="Arial"/>
          <w:sz w:val="22"/>
          <w:szCs w:val="22"/>
          <w:color w:val="auto"/>
        </w:rPr>
      </w:pPr>
    </w:p>
    <w:p>
      <w:pPr>
        <w:ind w:left="3040" w:hanging="439"/>
        <w:spacing w:after="0"/>
        <w:tabs>
          <w:tab w:leader="none" w:pos="3040" w:val="left"/>
        </w:tabs>
        <w:numPr>
          <w:ilvl w:val="1"/>
          <w:numId w:val="48"/>
        </w:numPr>
        <w:rPr>
          <w:rFonts w:ascii="Arial" w:cs="Arial" w:eastAsia="Arial" w:hAnsi="Arial"/>
          <w:sz w:val="21"/>
          <w:szCs w:val="21"/>
          <w:color w:val="auto"/>
        </w:rPr>
      </w:pPr>
      <w:r>
        <w:rPr>
          <w:rFonts w:ascii="Arial" w:cs="Arial" w:eastAsia="Arial" w:hAnsi="Arial"/>
          <w:sz w:val="21"/>
          <w:szCs w:val="21"/>
          <w:color w:val="auto"/>
        </w:rPr>
        <w:t>in relation to any risk the insurance of which is prohibited under the insurance law of the</w:t>
      </w:r>
    </w:p>
    <w:p>
      <w:pPr>
        <w:spacing w:after="0" w:line="6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State of New York.</w:t>
      </w: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ind w:firstLine="1953"/>
        <w:spacing w:after="0" w:line="300" w:lineRule="auto"/>
        <w:tabs>
          <w:tab w:leader="none" w:pos="2539"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Insurance under any or all subparagraphs of paragraph (a) may be included in a single contract or supplement thereto. Retrospective rated contracts are prohibited.</w:t>
      </w:r>
    </w:p>
    <w:p>
      <w:pPr>
        <w:spacing w:after="0" w:line="200" w:lineRule="exact"/>
        <w:rPr>
          <w:rFonts w:ascii="Arial" w:cs="Arial" w:eastAsia="Arial" w:hAnsi="Arial"/>
          <w:sz w:val="22"/>
          <w:szCs w:val="22"/>
          <w:color w:val="auto"/>
        </w:rPr>
      </w:pPr>
    </w:p>
    <w:p>
      <w:pPr>
        <w:spacing w:after="0" w:line="207" w:lineRule="exact"/>
        <w:rPr>
          <w:rFonts w:ascii="Arial" w:cs="Arial" w:eastAsia="Arial" w:hAnsi="Arial"/>
          <w:sz w:val="22"/>
          <w:szCs w:val="22"/>
          <w:color w:val="auto"/>
        </w:rPr>
      </w:pPr>
    </w:p>
    <w:p>
      <w:pPr>
        <w:jc w:val="both"/>
        <w:ind w:firstLine="1953"/>
        <w:spacing w:after="0" w:line="305" w:lineRule="auto"/>
        <w:tabs>
          <w:tab w:leader="none" w:pos="2402"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Corporation shall, within the time and to the persons provided in paragraph (c) of Section 4, mail a statement in respect of any insurance it has purchased or renewed under this Section, specifying the insurance carrier, date of the contract, cost of the insurance, corporate positions insured, and a statement explaining all sums, not previously reported in a statement to shareholders, paid under any indemnification insurance contract.</w:t>
      </w:r>
    </w:p>
    <w:p>
      <w:pPr>
        <w:spacing w:after="0" w:line="191"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1"/>
          <w:szCs w:val="21"/>
          <w:u w:val="single" w:color="auto"/>
          <w:color w:val="auto"/>
        </w:rPr>
        <w:t>Meaning of "Corporation" for Purposes of Article IV</w:t>
      </w:r>
      <w:r>
        <w:rPr>
          <w:rFonts w:ascii="Arial" w:cs="Arial" w:eastAsia="Arial" w:hAnsi="Arial"/>
          <w:sz w:val="21"/>
          <w:szCs w:val="21"/>
          <w:color w:val="auto"/>
        </w:rPr>
        <w:t>.</w:t>
      </w:r>
    </w:p>
    <w:p>
      <w:pPr>
        <w:spacing w:after="0" w:line="200" w:lineRule="exact"/>
        <w:rPr>
          <w:sz w:val="20"/>
          <w:szCs w:val="20"/>
          <w:color w:val="auto"/>
        </w:rPr>
      </w:pPr>
    </w:p>
    <w:p>
      <w:pPr>
        <w:spacing w:after="0" w:line="290"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color w:val="auto"/>
        </w:rPr>
        <w:t>For purposes of this Article IV,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w:t>
      </w:r>
    </w:p>
    <w:p>
      <w:pPr>
        <w:sectPr>
          <w:pgSz w:w="11900" w:h="16838" w:orient="portrait"/>
          <w:cols w:equalWidth="0" w:num="1">
            <w:col w:w="11420"/>
          </w:cols>
          <w:pgMar w:left="240" w:top="619" w:right="239" w:bottom="1440" w:gutter="0" w:footer="0" w:header="0"/>
        </w:sectPr>
      </w:pPr>
    </w:p>
    <w:bookmarkStart w:id="165" w:name="page166"/>
    <w:bookmarkEnd w:id="165"/>
    <w:p>
      <w:pPr>
        <w:jc w:val="both"/>
        <w:spacing w:after="0" w:line="283" w:lineRule="auto"/>
        <w:rPr>
          <w:sz w:val="20"/>
          <w:szCs w:val="20"/>
          <w:color w:val="auto"/>
        </w:rPr>
      </w:pPr>
      <w:r>
        <w:rPr>
          <w:rFonts w:ascii="Arial" w:cs="Arial" w:eastAsia="Arial" w:hAnsi="Arial"/>
          <w:sz w:val="22"/>
          <w:szCs w:val="22"/>
          <w:color w:val="auto"/>
        </w:rPr>
        <w:t>or agent of such constituent corporation, or is or was serving at the request of such constituent corporation as a director, officer, employee or agent of another corporation of any type or kind, domestic or foreign, partnership, joint venture, trust, employee benefit plan or other enterprise, shall stand in the same position under the provisions of the Article IV with respect to the resulting or surviving corporation as he would have with respect to such constituent corporation if its separate existence had continued.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CAPITAL STOCK</w:t>
      </w:r>
    </w:p>
    <w:p>
      <w:pPr>
        <w:spacing w:after="0" w:line="179"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Certificates</w:t>
      </w:r>
      <w:r>
        <w:rPr>
          <w:rFonts w:ascii="Arial" w:cs="Arial" w:eastAsia="Arial" w:hAnsi="Arial"/>
          <w:sz w:val="22"/>
          <w:szCs w:val="22"/>
          <w:color w:val="auto"/>
        </w:rPr>
        <w:t xml:space="preserve">. The shares of stock of the Corporation shall be represented by certificates, provided that the Board of Directors may provide by resolution(s) that some or all of any or all classes and series of its shares shall be uncertificated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 such resolution shall apply to shares represented by a certificate until such certificate is surrendered to the Corporation. Any certificates representing shares of stock shall be in such form as the Board of Directors may from time to time by resolution prescribe and shall be signed by the President or a Vice President and by the Secretary, or the Treasurer, or an Assistant Secretary, or an Assistant Treasurer, sealed with the seal of the Corporation or a facsimile thereof, and countersigned and registered in such manner, if any, as the Board of Directors may by resolution prescribe. Where any such certificate is countersigned by a transfer agent other than the Corporation or its employee, or registered by a registrar other than the Corporation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thought the person or persons who signed such certificate or certificates or whose facsimile signature or signatures shall have been used thereon had not ceased to be such officer or officers of the Corporation.</w:t>
      </w:r>
    </w:p>
    <w:p>
      <w:pPr>
        <w:spacing w:after="0" w:line="21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Transfer</w:t>
      </w:r>
      <w:r>
        <w:rPr>
          <w:rFonts w:ascii="Arial" w:cs="Arial" w:eastAsia="Arial" w:hAnsi="Arial"/>
          <w:sz w:val="22"/>
          <w:szCs w:val="22"/>
          <w:color w:val="auto"/>
        </w:rPr>
        <w:t>. Subject to any restrictions or transfer of shares of stock of the Corporation of any class, series or designation contained in the Certificate of Incorporation, the shares of stock of the Corporation shall be transferred only upon the books of the Corporation by the holder thereof in person or by his attorney, (i) upon surrender for cancellation of certificates for the same number of shares, with an assignment and power of transfer endorsed thereon or attached thereto, duly executed, with such proof of the authenticity of the signature as the Corporation or its agents may reasonably require,</w:t>
      </w:r>
    </w:p>
    <w:p>
      <w:pPr>
        <w:sectPr>
          <w:pgSz w:w="11900" w:h="16838" w:orient="portrait"/>
          <w:cols w:equalWidth="0" w:num="1">
            <w:col w:w="11420"/>
          </w:cols>
          <w:pgMar w:left="240" w:top="619" w:right="239" w:bottom="1440" w:gutter="0" w:footer="0" w:header="0"/>
        </w:sectPr>
      </w:pPr>
    </w:p>
    <w:bookmarkStart w:id="166" w:name="page167"/>
    <w:bookmarkEnd w:id="166"/>
    <w:p>
      <w:pPr>
        <w:jc w:val="both"/>
        <w:spacing w:after="0" w:line="288" w:lineRule="auto"/>
        <w:rPr>
          <w:sz w:val="20"/>
          <w:szCs w:val="20"/>
          <w:color w:val="auto"/>
        </w:rPr>
      </w:pPr>
      <w:r>
        <w:rPr>
          <w:rFonts w:ascii="Arial" w:cs="Arial" w:eastAsia="Arial" w:hAnsi="Arial"/>
          <w:sz w:val="22"/>
          <w:szCs w:val="22"/>
          <w:color w:val="auto"/>
        </w:rPr>
        <w:t>or (ii) upon presentation of proper transfer instructions from the holder of record for the same number of uncertificated shares.</w:t>
      </w:r>
    </w:p>
    <w:p>
      <w:pPr>
        <w:spacing w:after="0" w:line="203"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Record Dates</w:t>
      </w:r>
      <w:r>
        <w:rPr>
          <w:rFonts w:ascii="Arial" w:cs="Arial" w:eastAsia="Arial" w:hAnsi="Arial"/>
          <w:sz w:val="22"/>
          <w:szCs w:val="22"/>
          <w:color w:val="auto"/>
        </w:rPr>
        <w:t>. The Board of Directors may fix in advance a date, not less than ten nor more than sixty days preceding the date of any meeting of shareholders, or the date for the payment of any dividend, or the date for the distribution or allotment of any rights, or the date when any change, conversion or exchange of capital stock shall go into effect, as a record date for the determination of the shareholders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shareholders as shall be shareholders of record on the date so fixed shall be entitled to such notice of, and to vote at, such meeting, or to receive payment of such dividend, or to receive such distribution or allotment of rights or to exercise such rights, as the case may be, notwithstanding any transfer of any stock on the books of the Corporation after any such record date fixed as aforesaid.</w:t>
      </w:r>
    </w:p>
    <w:p>
      <w:pPr>
        <w:spacing w:after="0" w:line="207"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Lost Certificates</w:t>
      </w:r>
      <w:r>
        <w:rPr>
          <w:rFonts w:ascii="Arial" w:cs="Arial" w:eastAsia="Arial" w:hAnsi="Arial"/>
          <w:sz w:val="22"/>
          <w:szCs w:val="22"/>
          <w:color w:val="auto"/>
        </w:rPr>
        <w:t>. In the event that any certificate of stock is lost, stolen, destroyed or mutilated, the Board of Directors may direct a new certificate or certificates or, if the shares represented by such certificate have been designated as uncertificated shares in accordance with Section 1 of this Article V, uncertificated shares to be issued by the Corporation for the same number of shares in lieu thereof. The Board may in its discretion, before the issuance of such new certificate, or certificates, or uncertified shares, require the owner of the lost, stolen, destroyed or mutilated certificate, or the legal representative of the owner to make an affidavit or affirmation setting forth such facts as to the loss, destruction or mutilation as it deems necessary, and to give the Corporation a bond in such reasonable sum as it directs to indemnify the Corporation.</w:t>
      </w:r>
    </w:p>
    <w:p>
      <w:pPr>
        <w:spacing w:after="0" w:line="212"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Regulations</w:t>
      </w:r>
      <w:r>
        <w:rPr>
          <w:rFonts w:ascii="Arial" w:cs="Arial" w:eastAsia="Arial" w:hAnsi="Arial"/>
          <w:sz w:val="22"/>
          <w:szCs w:val="22"/>
          <w:color w:val="auto"/>
        </w:rPr>
        <w:t>. Except to the extent that the exercise of such power shall be prohibited or circumscribed by these By-Laws, by the Certificate of Incorporation, as amended from time to time, or by statute, the Board of Directors shall have the power to make such rules and regulations concerning the issuance, registration, transfer and cancellation of stock certificates and uncertificated shares as it shall deem appropriate.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CHECKS, NOTES, ETC.</w:t>
      </w:r>
    </w:p>
    <w:p>
      <w:pPr>
        <w:spacing w:after="0" w:line="179" w:lineRule="exact"/>
        <w:rPr>
          <w:sz w:val="20"/>
          <w:szCs w:val="20"/>
          <w:color w:val="auto"/>
        </w:rPr>
      </w:pPr>
    </w:p>
    <w:p>
      <w:pPr>
        <w:jc w:val="both"/>
        <w:ind w:firstLine="1297"/>
        <w:spacing w:after="0" w:line="300"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Checks, Notes, Etc</w:t>
      </w:r>
      <w:r>
        <w:rPr>
          <w:rFonts w:ascii="Arial" w:cs="Arial" w:eastAsia="Arial" w:hAnsi="Arial"/>
          <w:sz w:val="22"/>
          <w:szCs w:val="22"/>
          <w:color w:val="auto"/>
        </w:rPr>
        <w:t>. All checks and drafts on the Corporation's bank accounts, and all bills of exchange and promissory notes, and all acceptances,</w:t>
      </w:r>
    </w:p>
    <w:p>
      <w:pPr>
        <w:sectPr>
          <w:pgSz w:w="11900" w:h="16838" w:orient="portrait"/>
          <w:cols w:equalWidth="0" w:num="1">
            <w:col w:w="11420"/>
          </w:cols>
          <w:pgMar w:left="240" w:top="403" w:right="239" w:bottom="1440" w:gutter="0" w:footer="0" w:header="0"/>
        </w:sectPr>
      </w:pPr>
    </w:p>
    <w:bookmarkStart w:id="167" w:name="page168"/>
    <w:bookmarkEnd w:id="167"/>
    <w:p>
      <w:pPr>
        <w:jc w:val="both"/>
        <w:spacing w:after="0" w:line="285" w:lineRule="auto"/>
        <w:rPr>
          <w:sz w:val="20"/>
          <w:szCs w:val="20"/>
          <w:color w:val="auto"/>
        </w:rPr>
      </w:pPr>
      <w:r>
        <w:rPr>
          <w:rFonts w:ascii="Arial" w:cs="Arial" w:eastAsia="Arial" w:hAnsi="Arial"/>
          <w:sz w:val="22"/>
          <w:szCs w:val="22"/>
          <w:color w:val="auto"/>
        </w:rPr>
        <w:t>obligations and other instruments for the payment of money, may be signed by the President or any Vice President and may also be signed by such other officer or officers, agent or agents, as shall be thereunto authorized from time to time by the Board of Directors.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 PROVISIONS</w:t>
      </w:r>
    </w:p>
    <w:p>
      <w:pPr>
        <w:spacing w:after="0" w:line="179"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Offices</w:t>
      </w:r>
      <w:r>
        <w:rPr>
          <w:rFonts w:ascii="Arial" w:cs="Arial" w:eastAsia="Arial" w:hAnsi="Arial"/>
          <w:sz w:val="22"/>
          <w:szCs w:val="22"/>
          <w:color w:val="auto"/>
        </w:rPr>
        <w:t>. The registered office of the Corporation shall be located at 777 Old Saw Mill River Road, in the City of Tarrytown, in the county of Westchester, in the State of New York, and the Corporate Secretary. The Corporation may have other offices either within or without the State of New York at such places as shall be determined from time to time by the Board of Directors or the business of the Corporation may require.</w:t>
      </w:r>
    </w:p>
    <w:p>
      <w:pPr>
        <w:spacing w:after="0" w:line="204"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1"/>
          <w:szCs w:val="21"/>
          <w:u w:val="single" w:color="auto"/>
          <w:color w:val="auto"/>
        </w:rPr>
        <w:t>Fiscal Year</w:t>
      </w:r>
      <w:r>
        <w:rPr>
          <w:rFonts w:ascii="Arial" w:cs="Arial" w:eastAsia="Arial" w:hAnsi="Arial"/>
          <w:sz w:val="21"/>
          <w:szCs w:val="21"/>
          <w:color w:val="auto"/>
        </w:rPr>
        <w:t>. The fiscal year of the Corporation shall be determined by the Board of Directors.</w:t>
      </w:r>
    </w:p>
    <w:p>
      <w:pPr>
        <w:spacing w:after="0" w:line="274"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 xml:space="preserve">Section 3. </w:t>
      </w:r>
      <w:r>
        <w:rPr>
          <w:rFonts w:ascii="Arial" w:cs="Arial" w:eastAsia="Arial" w:hAnsi="Arial"/>
          <w:sz w:val="22"/>
          <w:szCs w:val="22"/>
          <w:u w:val="single" w:color="auto"/>
          <w:color w:val="auto"/>
        </w:rPr>
        <w:t>Corporate Seal</w:t>
      </w:r>
      <w:r>
        <w:rPr>
          <w:rFonts w:ascii="Arial" w:cs="Arial" w:eastAsia="Arial" w:hAnsi="Arial"/>
          <w:sz w:val="22"/>
          <w:szCs w:val="22"/>
          <w:color w:val="auto"/>
        </w:rPr>
        <w:t>. The seal of the Corporation shall be circular in form and contain the name of the Corporation, and the year and state of its incorporation. Such seal may be altered from time to time at the discretion of the Board of Directors.</w:t>
      </w:r>
    </w:p>
    <w:p>
      <w:pPr>
        <w:spacing w:after="0" w:line="201"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Books</w:t>
      </w:r>
      <w:r>
        <w:rPr>
          <w:rFonts w:ascii="Arial" w:cs="Arial" w:eastAsia="Arial" w:hAnsi="Arial"/>
          <w:sz w:val="22"/>
          <w:szCs w:val="22"/>
          <w:color w:val="auto"/>
        </w:rPr>
        <w:t>. There shall be kept at such office of the Corporation as the Board of Directors shall determine, within or without the State of New York, correct books and records of account of all its business and transactions, minutes of the proceedings of its shareholders, Board of Directors and committees, and the stock book, containing the names and addresses of the shareholders, the number of shares held by them and the class or series thereof, respectively, and the dates when they respectively became the owners of record thereof, and in which the transfer of stock shall be registered, and such other books and records as the Board of Directors may from time to time determine.</w:t>
      </w:r>
    </w:p>
    <w:p>
      <w:pPr>
        <w:spacing w:after="0" w:line="20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Voting of Stock</w:t>
      </w:r>
      <w:r>
        <w:rPr>
          <w:rFonts w:ascii="Arial" w:cs="Arial" w:eastAsia="Arial" w:hAnsi="Arial"/>
          <w:sz w:val="22"/>
          <w:szCs w:val="22"/>
          <w:color w:val="auto"/>
        </w:rPr>
        <w:t>. Unless otherwise specifically authorized by the Board of Directors, all stock owned by the Corporation, other than stock of the Corporation, shall be voted, in person or by proxy, by the President or any Vice President of the Corporation on behalf of the Corporation.</w:t>
      </w:r>
    </w:p>
    <w:p>
      <w:pPr>
        <w:spacing w:after="0" w:line="201" w:lineRule="exact"/>
        <w:rPr>
          <w:sz w:val="20"/>
          <w:szCs w:val="20"/>
          <w:color w:val="auto"/>
        </w:rPr>
      </w:pPr>
    </w:p>
    <w:p>
      <w:pPr>
        <w:jc w:val="both"/>
        <w:ind w:firstLine="1297"/>
        <w:spacing w:after="0" w:line="310" w:lineRule="auto"/>
        <w:rPr>
          <w:sz w:val="20"/>
          <w:szCs w:val="20"/>
          <w:color w:val="auto"/>
        </w:rPr>
      </w:pPr>
      <w:r>
        <w:rPr>
          <w:rFonts w:ascii="Arial" w:cs="Arial" w:eastAsia="Arial" w:hAnsi="Arial"/>
          <w:sz w:val="21"/>
          <w:szCs w:val="21"/>
          <w:color w:val="auto"/>
        </w:rPr>
        <w:t xml:space="preserve">Section 6. </w:t>
      </w:r>
      <w:r>
        <w:rPr>
          <w:rFonts w:ascii="Arial" w:cs="Arial" w:eastAsia="Arial" w:hAnsi="Arial"/>
          <w:sz w:val="21"/>
          <w:szCs w:val="21"/>
          <w:u w:val="single" w:color="auto"/>
          <w:color w:val="auto"/>
        </w:rPr>
        <w:t>Business Advisory Board</w:t>
      </w:r>
      <w:r>
        <w:rPr>
          <w:rFonts w:ascii="Arial" w:cs="Arial" w:eastAsia="Arial" w:hAnsi="Arial"/>
          <w:sz w:val="21"/>
          <w:szCs w:val="21"/>
          <w:color w:val="auto"/>
        </w:rPr>
        <w:t>. The Corporation shall establish a Business Advisory Board which shall consist of the President of the Corporation and such other members, who may or may not be Directors, officers, or employees of the Corporation as shall be chosen by the President or the Board of Directors. The Business Advisory</w:t>
      </w:r>
    </w:p>
    <w:p>
      <w:pPr>
        <w:sectPr>
          <w:pgSz w:w="11900" w:h="16838" w:orient="portrait"/>
          <w:cols w:equalWidth="0" w:num="1">
            <w:col w:w="11420"/>
          </w:cols>
          <w:pgMar w:left="240" w:top="404" w:right="239" w:bottom="1440" w:gutter="0" w:footer="0" w:header="0"/>
        </w:sectPr>
      </w:pPr>
    </w:p>
    <w:bookmarkStart w:id="168" w:name="page169"/>
    <w:bookmarkEnd w:id="168"/>
    <w:p>
      <w:pPr>
        <w:jc w:val="both"/>
        <w:spacing w:after="0" w:line="288" w:lineRule="auto"/>
        <w:rPr>
          <w:sz w:val="20"/>
          <w:szCs w:val="20"/>
          <w:color w:val="auto"/>
        </w:rPr>
      </w:pPr>
      <w:r>
        <w:rPr>
          <w:rFonts w:ascii="Arial" w:cs="Arial" w:eastAsia="Arial" w:hAnsi="Arial"/>
          <w:sz w:val="22"/>
          <w:szCs w:val="22"/>
          <w:color w:val="auto"/>
        </w:rPr>
        <w:t>Board will have advisory status, and will not have the power to establish policy or procedure for the Corporation. It shall meet at least quarterly.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AMENDMENTS</w:t>
      </w:r>
    </w:p>
    <w:p>
      <w:pPr>
        <w:spacing w:after="0" w:line="17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Amendments</w:t>
      </w:r>
      <w:r>
        <w:rPr>
          <w:rFonts w:ascii="Arial" w:cs="Arial" w:eastAsia="Arial" w:hAnsi="Arial"/>
          <w:sz w:val="22"/>
          <w:szCs w:val="22"/>
          <w:color w:val="auto"/>
        </w:rPr>
        <w:t xml:space="preserve">. These By-Laws may be amended or repealed, or new By-Laws may be adopted, by the majority of the votes cast at the meeting of shareholders by the holders of shares entitled to vote thereon. The vote of the holders of at least a majority of the voting power of the Corporation, of the shares that are issued and outstanding and entitled to vote, shall be necessary at any meeting of shareholders to amend or repeal these By-Laws or to adopt new by-laws. The By-Laws may also be amended or repealed, or new by-laws adopted, at any meeting of the Board of Directors by the vote of at least a majority of the entire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by-law adopted by the Board may be amended or repealed by the shareholders in the manner set forth below.</w:t>
      </w:r>
    </w:p>
    <w:p>
      <w:pPr>
        <w:spacing w:after="0" w:line="200" w:lineRule="exact"/>
        <w:rPr>
          <w:sz w:val="20"/>
          <w:szCs w:val="20"/>
          <w:color w:val="auto"/>
        </w:rPr>
      </w:pPr>
    </w:p>
    <w:p>
      <w:pPr>
        <w:spacing w:after="0" w:line="223" w:lineRule="exact"/>
        <w:rPr>
          <w:sz w:val="20"/>
          <w:szCs w:val="20"/>
          <w:color w:val="auto"/>
        </w:rPr>
      </w:pPr>
    </w:p>
    <w:p>
      <w:pPr>
        <w:jc w:val="both"/>
        <w:ind w:right="20" w:firstLine="1297"/>
        <w:spacing w:after="0" w:line="283" w:lineRule="auto"/>
        <w:rPr>
          <w:sz w:val="20"/>
          <w:szCs w:val="20"/>
          <w:color w:val="auto"/>
        </w:rPr>
      </w:pPr>
      <w:r>
        <w:rPr>
          <w:rFonts w:ascii="Arial" w:cs="Arial" w:eastAsia="Arial" w:hAnsi="Arial"/>
          <w:sz w:val="22"/>
          <w:szCs w:val="22"/>
          <w:color w:val="auto"/>
        </w:rPr>
        <w:t>Any proposal to amend or repeal these By-Laws or to adopt new by-laws shall be stated in the notice of the meeting of the Board of Directors or the shareholders, or in the waiver of notice thereof, as the case may be, unless all of the directors or the holders of record of all of the shares of stock of the Corporation, issued and outstanding and entitled to vote, are present at such meeting.</w:t>
      </w:r>
    </w:p>
    <w:p>
      <w:pPr>
        <w:sectPr>
          <w:pgSz w:w="11900" w:h="16838" w:orient="portrait"/>
          <w:cols w:equalWidth="0" w:num="1">
            <w:col w:w="11420"/>
          </w:cols>
          <w:pgMar w:left="240" w:top="403"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Regeneron Pharmaceuticals, Inc.</w:t>
            </w:r>
          </w:p>
        </w:tc>
        <w:tc>
          <w:tcPr>
            <w:tcW w:w="1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1660" w:type="dxa"/>
            <w:vAlign w:val="bottom"/>
          </w:tcPr>
          <w:p>
            <w:pPr>
              <w:ind w:left="104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240" w:type="dxa"/>
            <w:vAlign w:val="bottom"/>
            <w:gridSpan w:val="3"/>
          </w:tcPr>
          <w:p>
            <w:pPr>
              <w:ind w:left="1040"/>
              <w:spacing w:after="0"/>
              <w:rPr>
                <w:sz w:val="20"/>
                <w:szCs w:val="20"/>
                <w:color w:val="auto"/>
              </w:rPr>
            </w:pPr>
            <w:r>
              <w:rPr>
                <w:rFonts w:ascii="Arial" w:cs="Arial" w:eastAsia="Arial" w:hAnsi="Arial"/>
                <w:sz w:val="18"/>
                <w:szCs w:val="18"/>
                <w:color w:val="auto"/>
                <w:w w:val="94"/>
              </w:rPr>
              <w:t>777 Old Saw Mill River Road</w:t>
            </w:r>
          </w:p>
        </w:tc>
        <w:tc>
          <w:tcPr>
            <w:tcW w:w="120" w:type="dxa"/>
            <w:vAlign w:val="bottom"/>
          </w:tcPr>
          <w:p>
            <w:pPr>
              <w:spacing w:after="0"/>
              <w:rPr>
                <w:sz w:val="23"/>
                <w:szCs w:val="23"/>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b w:val="1"/>
                <w:bCs w:val="1"/>
                <w:color w:val="auto"/>
              </w:rPr>
              <w:t>and Option Agreement for Time-Based Vesting</w:t>
            </w:r>
          </w:p>
        </w:tc>
        <w:tc>
          <w:tcPr>
            <w:tcW w:w="3240" w:type="dxa"/>
            <w:vAlign w:val="bottom"/>
            <w:gridSpan w:val="3"/>
          </w:tcPr>
          <w:p>
            <w:pPr>
              <w:ind w:left="1040"/>
              <w:spacing w:after="0"/>
              <w:rPr>
                <w:sz w:val="20"/>
                <w:szCs w:val="20"/>
                <w:color w:val="auto"/>
              </w:rPr>
            </w:pPr>
            <w:r>
              <w:rPr>
                <w:rFonts w:ascii="Arial" w:cs="Arial" w:eastAsia="Arial" w:hAnsi="Arial"/>
                <w:sz w:val="18"/>
                <w:szCs w:val="18"/>
                <w:color w:val="auto"/>
                <w:w w:val="97"/>
              </w:rPr>
              <w:t>Tarrytown, New York 10591</w:t>
            </w:r>
          </w:p>
        </w:tc>
        <w:tc>
          <w:tcPr>
            <w:tcW w:w="120" w:type="dxa"/>
            <w:vAlign w:val="bottom"/>
          </w:tcPr>
          <w:p>
            <w:pPr>
              <w:spacing w:after="0"/>
              <w:rPr>
                <w:sz w:val="23"/>
                <w:szCs w:val="23"/>
                <w:color w:val="auto"/>
              </w:rPr>
            </w:pPr>
          </w:p>
        </w:tc>
      </w:tr>
      <w:tr>
        <w:trPr>
          <w:trHeight w:val="270"/>
        </w:trPr>
        <w:tc>
          <w:tcPr>
            <w:tcW w:w="466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67"/>
        </w:trPr>
        <w:tc>
          <w:tcPr>
            <w:tcW w:w="466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520" w:type="dxa"/>
            <w:vAlign w:val="bottom"/>
            <w:gridSpan w:val="2"/>
          </w:tcPr>
          <w:p>
            <w:pPr>
              <w:ind w:left="1040"/>
              <w:spacing w:after="0"/>
              <w:rPr>
                <w:sz w:val="20"/>
                <w:szCs w:val="20"/>
                <w:color w:val="auto"/>
              </w:rPr>
            </w:pPr>
            <w:r>
              <w:rPr>
                <w:rFonts w:ascii="Arial" w:cs="Arial" w:eastAsia="Arial" w:hAnsi="Arial"/>
                <w:sz w:val="18"/>
                <w:szCs w:val="18"/>
                <w:b w:val="1"/>
                <w:bCs w:val="1"/>
                <w:color w:val="auto"/>
              </w:rPr>
              <w:t>Option Number:</w:t>
            </w: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66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660" w:type="dxa"/>
            <w:vAlign w:val="bottom"/>
          </w:tcPr>
          <w:p>
            <w:pPr>
              <w:ind w:left="1040"/>
              <w:spacing w:after="0"/>
              <w:rPr>
                <w:sz w:val="20"/>
                <w:szCs w:val="20"/>
                <w:color w:val="auto"/>
              </w:rPr>
            </w:pPr>
            <w:r>
              <w:rPr>
                <w:rFonts w:ascii="Arial" w:cs="Arial" w:eastAsia="Arial" w:hAnsi="Arial"/>
                <w:sz w:val="18"/>
                <w:szCs w:val="18"/>
                <w:b w:val="1"/>
                <w:bCs w:val="1"/>
                <w:color w:val="auto"/>
              </w:rPr>
              <w:t>Plan:</w:t>
            </w:r>
          </w:p>
        </w:tc>
        <w:tc>
          <w:tcPr>
            <w:tcW w:w="860" w:type="dxa"/>
            <w:vAlign w:val="bottom"/>
          </w:tcPr>
          <w:p>
            <w:pPr>
              <w:spacing w:after="0"/>
              <w:rPr>
                <w:sz w:val="23"/>
                <w:szCs w:val="23"/>
                <w:color w:val="auto"/>
              </w:rPr>
            </w:pP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4660" w:type="dxa"/>
            <w:vAlign w:val="bottom"/>
          </w:tcPr>
          <w:p>
            <w:pPr>
              <w:spacing w:after="0"/>
              <w:rPr>
                <w:sz w:val="23"/>
                <w:szCs w:val="23"/>
                <w:color w:val="auto"/>
              </w:rPr>
            </w:pPr>
          </w:p>
        </w:tc>
        <w:tc>
          <w:tcPr>
            <w:tcW w:w="1660" w:type="dxa"/>
            <w:vAlign w:val="bottom"/>
          </w:tcPr>
          <w:p>
            <w:pPr>
              <w:ind w:left="1040"/>
              <w:spacing w:after="0"/>
              <w:rPr>
                <w:sz w:val="20"/>
                <w:szCs w:val="20"/>
                <w:color w:val="auto"/>
              </w:rPr>
            </w:pPr>
            <w:r>
              <w:rPr>
                <w:rFonts w:ascii="Arial" w:cs="Arial" w:eastAsia="Arial" w:hAnsi="Arial"/>
                <w:sz w:val="18"/>
                <w:szCs w:val="18"/>
                <w:b w:val="1"/>
                <w:bCs w:val="1"/>
                <w:color w:val="auto"/>
              </w:rPr>
              <w:t>ID</w:t>
            </w:r>
          </w:p>
        </w:tc>
        <w:tc>
          <w:tcPr>
            <w:tcW w:w="860" w:type="dxa"/>
            <w:vAlign w:val="bottom"/>
          </w:tcPr>
          <w:p>
            <w:pPr>
              <w:spacing w:after="0"/>
              <w:rPr>
                <w:sz w:val="23"/>
                <w:szCs w:val="23"/>
                <w:color w:val="auto"/>
              </w:rPr>
            </w:pPr>
          </w:p>
        </w:tc>
        <w:tc>
          <w:tcPr>
            <w:tcW w:w="7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Effective &lt;date&gt; (the “Grant Date”) you have been granted a Non-Qualified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Full Vest</w:t>
            </w:r>
          </w:p>
        </w:tc>
        <w:tc>
          <w:tcPr>
            <w:tcW w:w="28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bl>
    <w:p>
      <w:pPr>
        <w:spacing w:after="0" w:line="200" w:lineRule="exact"/>
        <w:rPr>
          <w:sz w:val="20"/>
          <w:szCs w:val="20"/>
          <w:color w:val="auto"/>
        </w:rPr>
      </w:pPr>
    </w:p>
    <w:p>
      <w:pPr>
        <w:spacing w:after="0" w:line="24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380" w:lineRule="exact"/>
        <w:rPr>
          <w:sz w:val="20"/>
          <w:szCs w:val="20"/>
          <w:color w:val="auto"/>
        </w:rPr>
      </w:pPr>
    </w:p>
    <w:p>
      <w:pPr>
        <w:ind w:left="460" w:right="160" w:hanging="452"/>
        <w:spacing w:after="0" w:line="277"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ectPr>
          <w:pgSz w:w="11900" w:h="16838" w:orient="portrait"/>
          <w:cols w:equalWidth="0" w:num="1">
            <w:col w:w="11420"/>
          </w:cols>
          <w:pgMar w:left="240" w:top="206"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t>Exhibit 10.2.5</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23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8"/>
          <w:szCs w:val="18"/>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8"/>
          <w:szCs w:val="18"/>
          <w:u w:val="single" w:color="auto"/>
          <w:color w:val="auto"/>
        </w:rPr>
        <w:t>Committee</w:t>
      </w:r>
      <w:r>
        <w:rPr>
          <w:rFonts w:ascii="Arial" w:cs="Arial" w:eastAsia="Arial" w:hAnsi="Arial"/>
          <w:sz w:val="18"/>
          <w:szCs w:val="18"/>
          <w:color w:val="auto"/>
        </w:rPr>
        <w:t>”)) administering the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17"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7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89" w:lineRule="auto"/>
        <w:tabs>
          <w:tab w:leader="none" w:pos="1023"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Company shall have the right to require the Grantee in connection with the exercise of the Option to remit to the Company in cash an amount sufficient to satisfy any federal, state and local withholding tax requirements related thereto.</w:t>
      </w:r>
    </w:p>
    <w:p>
      <w:pPr>
        <w:spacing w:after="0" w:line="84" w:lineRule="exact"/>
        <w:rPr>
          <w:sz w:val="20"/>
          <w:szCs w:val="20"/>
          <w:color w:val="auto"/>
        </w:rPr>
      </w:pPr>
    </w:p>
    <w:p>
      <w:pPr>
        <w:jc w:val="both"/>
        <w:ind w:left="80" w:firstLine="563"/>
        <w:spacing w:after="0" w:line="319" w:lineRule="auto"/>
        <w:tabs>
          <w:tab w:leader="none" w:pos="1181"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any employment agreement, consulting agreement or similar agreement in effect between the Employer and the Grantee (or otherwise applicable to the Grantee) 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48" w:lineRule="exact"/>
        <w:rPr>
          <w:rFonts w:ascii="Arial" w:cs="Arial" w:eastAsia="Arial" w:hAnsi="Arial"/>
          <w:sz w:val="17"/>
          <w:szCs w:val="17"/>
          <w:color w:val="auto"/>
        </w:rPr>
      </w:pPr>
    </w:p>
    <w:p>
      <w:pPr>
        <w:jc w:val="both"/>
        <w:ind w:left="80" w:firstLine="644"/>
        <w:spacing w:after="0" w:line="264" w:lineRule="auto"/>
        <w:tabs>
          <w:tab w:leader="none" w:pos="973"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w:t>
      </w:r>
    </w:p>
    <w:p>
      <w:pPr>
        <w:sectPr>
          <w:pgSz w:w="11900" w:h="16838" w:orient="portrait"/>
          <w:cols w:equalWidth="0" w:num="1">
            <w:col w:w="11420"/>
          </w:cols>
          <w:pgMar w:left="240" w:top="206"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80"/>
        <w:spacing w:after="0" w:line="287" w:lineRule="auto"/>
        <w:rPr>
          <w:sz w:val="20"/>
          <w:szCs w:val="20"/>
          <w:color w:val="auto"/>
        </w:rPr>
      </w:pPr>
      <w:r>
        <w:rPr>
          <w:rFonts w:ascii="Arial" w:cs="Arial" w:eastAsia="Arial" w:hAnsi="Arial"/>
          <w:sz w:val="16"/>
          <w:szCs w:val="16"/>
          <w:color w:val="auto"/>
        </w:rPr>
        <w:t xml:space="preserve">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92" w:lineRule="exact"/>
        <w:rPr>
          <w:sz w:val="20"/>
          <w:szCs w:val="20"/>
          <w:color w:val="auto"/>
        </w:rPr>
      </w:pPr>
    </w:p>
    <w:p>
      <w:pPr>
        <w:jc w:val="both"/>
        <w:ind w:firstLine="656"/>
        <w:spacing w:after="0" w:line="256" w:lineRule="exact"/>
        <w:tabs>
          <w:tab w:leader="none" w:pos="97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51" w:lineRule="exact"/>
        <w:rPr>
          <w:sz w:val="20"/>
          <w:szCs w:val="20"/>
          <w:color w:val="auto"/>
        </w:rPr>
      </w:pPr>
    </w:p>
    <w:p>
      <w:pPr>
        <w:jc w:val="both"/>
        <w:ind w:firstLine="656"/>
        <w:spacing w:after="0" w:line="334" w:lineRule="auto"/>
        <w:tabs>
          <w:tab w:leader="none" w:pos="1238" w:val="left"/>
        </w:tabs>
        <w:numPr>
          <w:ilvl w:val="0"/>
          <w:numId w:val="53"/>
        </w:numPr>
        <w:rPr>
          <w:rFonts w:ascii="Arial" w:cs="Arial" w:eastAsia="Arial" w:hAnsi="Arial"/>
          <w:sz w:val="19"/>
          <w:szCs w:val="19"/>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7" w:lineRule="exact"/>
        <w:rPr>
          <w:sz w:val="20"/>
          <w:szCs w:val="20"/>
          <w:color w:val="auto"/>
        </w:rPr>
      </w:pPr>
    </w:p>
    <w:p>
      <w:pPr>
        <w:jc w:val="both"/>
        <w:ind w:firstLine="656"/>
        <w:spacing w:after="0" w:line="254" w:lineRule="auto"/>
        <w:tabs>
          <w:tab w:leader="none" w:pos="1038"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ind w:right="20" w:firstLine="656"/>
        <w:spacing w:after="0" w:line="282" w:lineRule="auto"/>
        <w:tabs>
          <w:tab w:leader="none" w:pos="979"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Rights of a Shareholder. </w:t>
      </w:r>
      <w:r>
        <w:rPr>
          <w:rFonts w:ascii="Arial" w:cs="Arial" w:eastAsia="Arial" w:hAnsi="Arial"/>
          <w:sz w:val="18"/>
          <w:szCs w:val="18"/>
          <w:color w:val="auto"/>
        </w:rPr>
        <w:t>The Grantee shall have no rights as a shareholder with respect to any shares of Common Stock subject to this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issuance to the Grantee of a certificate or certificates or book-entry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06" w:right="239" w:bottom="1440" w:gutter="0" w:footer="0" w:header="0"/>
        </w:sectPr>
      </w:pPr>
    </w:p>
    <w:bookmarkStart w:id="172" w:name="page173"/>
    <w:bookmarkEnd w:id="172"/>
    <w:p>
      <w:pPr>
        <w:ind w:left="10400"/>
        <w:spacing w:after="0"/>
        <w:rPr>
          <w:sz w:val="20"/>
          <w:szCs w:val="20"/>
          <w:color w:val="auto"/>
        </w:rPr>
      </w:pPr>
      <w:r>
        <w:rPr>
          <w:rFonts w:ascii="Arial" w:cs="Arial" w:eastAsia="Arial" w:hAnsi="Arial"/>
          <w:sz w:val="16"/>
          <w:szCs w:val="16"/>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69" w:lineRule="exact"/>
        <w:rPr>
          <w:sz w:val="20"/>
          <w:szCs w:val="20"/>
          <w:color w:val="auto"/>
        </w:rPr>
      </w:pPr>
    </w:p>
    <w:p>
      <w:pPr>
        <w:jc w:val="both"/>
        <w:ind w:firstLine="656"/>
        <w:spacing w:after="0" w:line="288" w:lineRule="auto"/>
        <w:tabs>
          <w:tab w:leader="none" w:pos="984"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07"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3840" w:type="dxa"/>
            <w:vAlign w:val="bottom"/>
            <w:gridSpan w:val="4"/>
          </w:tcPr>
          <w:p>
            <w:pPr>
              <w:ind w:left="1300"/>
              <w:spacing w:after="0"/>
              <w:rPr>
                <w:sz w:val="20"/>
                <w:szCs w:val="20"/>
                <w:color w:val="auto"/>
              </w:rPr>
            </w:pPr>
            <w:r>
              <w:rPr>
                <w:rFonts w:ascii="Arial" w:cs="Arial" w:eastAsia="Arial" w:hAnsi="Arial"/>
                <w:sz w:val="18"/>
                <w:szCs w:val="18"/>
                <w:b w:val="1"/>
                <w:bCs w:val="1"/>
                <w:color w:val="auto"/>
                <w:w w:val="88"/>
              </w:rPr>
              <w:t>Regeneron Pharmaceuticals, Inc.</w:t>
            </w:r>
          </w:p>
        </w:tc>
      </w:tr>
      <w:tr>
        <w:trPr>
          <w:trHeight w:val="270"/>
        </w:trPr>
        <w:tc>
          <w:tcPr>
            <w:tcW w:w="4400" w:type="dxa"/>
            <w:vAlign w:val="bottom"/>
          </w:tcPr>
          <w:p>
            <w:pPr>
              <w:spacing w:after="0"/>
              <w:rPr>
                <w:sz w:val="23"/>
                <w:szCs w:val="23"/>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Notice of Grant of Stock Options</w:t>
            </w:r>
          </w:p>
        </w:tc>
        <w:tc>
          <w:tcPr>
            <w:tcW w:w="3840" w:type="dxa"/>
            <w:vAlign w:val="bottom"/>
            <w:gridSpan w:val="4"/>
          </w:tcPr>
          <w:p>
            <w:pPr>
              <w:ind w:left="1300"/>
              <w:spacing w:after="0"/>
              <w:rPr>
                <w:sz w:val="20"/>
                <w:szCs w:val="20"/>
                <w:color w:val="auto"/>
              </w:rPr>
            </w:pPr>
            <w:r>
              <w:rPr>
                <w:rFonts w:ascii="Arial" w:cs="Arial" w:eastAsia="Arial" w:hAnsi="Arial"/>
                <w:sz w:val="18"/>
                <w:szCs w:val="18"/>
                <w:color w:val="auto"/>
              </w:rPr>
              <w:t>777 Old Saw Mill River Road</w:t>
            </w: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and Option Agreement for Time Vesting</w:t>
            </w:r>
          </w:p>
        </w:tc>
        <w:tc>
          <w:tcPr>
            <w:tcW w:w="3400" w:type="dxa"/>
            <w:vAlign w:val="bottom"/>
            <w:gridSpan w:val="3"/>
          </w:tcPr>
          <w:p>
            <w:pPr>
              <w:ind w:left="1300"/>
              <w:spacing w:after="0"/>
              <w:rPr>
                <w:sz w:val="20"/>
                <w:szCs w:val="20"/>
                <w:color w:val="auto"/>
              </w:rPr>
            </w:pPr>
            <w:r>
              <w:rPr>
                <w:rFonts w:ascii="Arial" w:cs="Arial" w:eastAsia="Arial" w:hAnsi="Arial"/>
                <w:sz w:val="18"/>
                <w:szCs w:val="18"/>
                <w:color w:val="auto"/>
                <w:w w:val="93"/>
              </w:rPr>
              <w:t>Tarrytown, New York 10591</w:t>
            </w:r>
          </w:p>
        </w:tc>
        <w:tc>
          <w:tcPr>
            <w:tcW w:w="440" w:type="dxa"/>
            <w:vAlign w:val="bottom"/>
          </w:tcPr>
          <w:p>
            <w:pPr>
              <w:spacing w:after="0"/>
              <w:rPr>
                <w:sz w:val="23"/>
                <w:szCs w:val="23"/>
                <w:color w:val="auto"/>
              </w:rPr>
            </w:pP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 Awards</w:t>
            </w:r>
          </w:p>
        </w:tc>
        <w:tc>
          <w:tcPr>
            <w:tcW w:w="19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67"/>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[OPTIONEE NAME]</w:t>
            </w:r>
          </w:p>
        </w:tc>
        <w:tc>
          <w:tcPr>
            <w:tcW w:w="2740" w:type="dxa"/>
            <w:vAlign w:val="bottom"/>
            <w:gridSpan w:val="2"/>
          </w:tcPr>
          <w:p>
            <w:pPr>
              <w:ind w:left="1300"/>
              <w:spacing w:after="0"/>
              <w:rPr>
                <w:sz w:val="20"/>
                <w:szCs w:val="20"/>
                <w:color w:val="auto"/>
              </w:rPr>
            </w:pPr>
            <w:r>
              <w:rPr>
                <w:rFonts w:ascii="Arial" w:cs="Arial" w:eastAsia="Arial" w:hAnsi="Arial"/>
                <w:sz w:val="18"/>
                <w:szCs w:val="18"/>
                <w:b w:val="1"/>
                <w:bCs w:val="1"/>
                <w:color w:val="auto"/>
              </w:rPr>
              <w:t>Option Number:</w:t>
            </w: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70"/>
        </w:trPr>
        <w:tc>
          <w:tcPr>
            <w:tcW w:w="4400" w:type="dxa"/>
            <w:vAlign w:val="bottom"/>
          </w:tcPr>
          <w:p>
            <w:pPr>
              <w:spacing w:after="0"/>
              <w:rPr>
                <w:sz w:val="20"/>
                <w:szCs w:val="20"/>
                <w:color w:val="auto"/>
              </w:rPr>
            </w:pPr>
            <w:r>
              <w:rPr>
                <w:rFonts w:ascii="Arial" w:cs="Arial" w:eastAsia="Arial" w:hAnsi="Arial"/>
                <w:sz w:val="18"/>
                <w:szCs w:val="18"/>
                <w:b w:val="1"/>
                <w:bCs w:val="1"/>
                <w:color w:val="auto"/>
              </w:rPr>
              <w:t>[OPTIONEE ADDRESS</w:t>
            </w: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Plan:</w:t>
            </w:r>
          </w:p>
        </w:tc>
        <w:tc>
          <w:tcPr>
            <w:tcW w:w="820" w:type="dxa"/>
            <w:vAlign w:val="bottom"/>
          </w:tcPr>
          <w:p>
            <w:pPr>
              <w:spacing w:after="0"/>
              <w:rPr>
                <w:sz w:val="23"/>
                <w:szCs w:val="23"/>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r>
        <w:trPr>
          <w:trHeight w:val="270"/>
        </w:trPr>
        <w:tc>
          <w:tcPr>
            <w:tcW w:w="4400" w:type="dxa"/>
            <w:vAlign w:val="bottom"/>
          </w:tcPr>
          <w:p>
            <w:pPr>
              <w:spacing w:after="0"/>
              <w:rPr>
                <w:sz w:val="23"/>
                <w:szCs w:val="23"/>
                <w:color w:val="auto"/>
              </w:rPr>
            </w:pPr>
          </w:p>
        </w:tc>
        <w:tc>
          <w:tcPr>
            <w:tcW w:w="1920" w:type="dxa"/>
            <w:vAlign w:val="bottom"/>
          </w:tcPr>
          <w:p>
            <w:pPr>
              <w:ind w:left="1300"/>
              <w:spacing w:after="0"/>
              <w:rPr>
                <w:sz w:val="20"/>
                <w:szCs w:val="20"/>
                <w:color w:val="auto"/>
              </w:rPr>
            </w:pPr>
            <w:r>
              <w:rPr>
                <w:rFonts w:ascii="Arial" w:cs="Arial" w:eastAsia="Arial" w:hAnsi="Arial"/>
                <w:sz w:val="18"/>
                <w:szCs w:val="18"/>
                <w:b w:val="1"/>
                <w:bCs w:val="1"/>
                <w:color w:val="auto"/>
              </w:rPr>
              <w:t>ID</w:t>
            </w:r>
          </w:p>
        </w:tc>
        <w:tc>
          <w:tcPr>
            <w:tcW w:w="820" w:type="dxa"/>
            <w:vAlign w:val="bottom"/>
          </w:tcPr>
          <w:p>
            <w:pPr>
              <w:spacing w:after="0"/>
              <w:rPr>
                <w:sz w:val="23"/>
                <w:szCs w:val="23"/>
                <w:color w:val="auto"/>
              </w:rPr>
            </w:pPr>
          </w:p>
        </w:tc>
        <w:tc>
          <w:tcPr>
            <w:tcW w:w="6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r>
    </w:tbl>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Effective &lt;date&gt; (the “Grant Date”) you have been granted an Incentive Stock Option to buy [ ] shares of Regeneron Pharmaceuticals, Inc. (the “Company”) stock at $[ ] per share.</w:t>
      </w:r>
    </w:p>
    <w:p>
      <w:pPr>
        <w:spacing w:after="0" w:line="170" w:lineRule="exact"/>
        <w:rPr>
          <w:sz w:val="20"/>
          <w:szCs w:val="20"/>
          <w:color w:val="auto"/>
        </w:rPr>
      </w:pPr>
    </w:p>
    <w:p>
      <w:pPr>
        <w:spacing w:after="0"/>
        <w:tabs>
          <w:tab w:leader="none" w:pos="3620" w:val="left"/>
        </w:tabs>
        <w:rPr>
          <w:sz w:val="20"/>
          <w:szCs w:val="20"/>
          <w:color w:val="auto"/>
        </w:rPr>
      </w:pPr>
      <w:r>
        <w:rPr>
          <w:rFonts w:ascii="Arial" w:cs="Arial" w:eastAsia="Arial" w:hAnsi="Arial"/>
          <w:sz w:val="17"/>
          <w:szCs w:val="17"/>
          <w:color w:val="auto"/>
        </w:rPr>
        <w:t>The total option price of the shares granted is $[</w:t>
        <w:tab/>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Vest Type</w:t>
            </w:r>
          </w:p>
        </w:tc>
        <w:tc>
          <w:tcPr>
            <w:tcW w:w="3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Full Vest</w:t>
            </w:r>
          </w:p>
        </w:tc>
        <w:tc>
          <w:tcPr>
            <w:tcW w:w="28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560" w:type="dxa"/>
            <w:vAlign w:val="bottom"/>
          </w:tcPr>
          <w:p>
            <w:pPr>
              <w:ind w:lef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700" w:type="dxa"/>
            <w:vAlign w:val="bottom"/>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bl>
    <w:p>
      <w:pPr>
        <w:spacing w:after="0" w:line="200" w:lineRule="exact"/>
        <w:rPr>
          <w:sz w:val="20"/>
          <w:szCs w:val="20"/>
          <w:color w:val="auto"/>
        </w:rPr>
      </w:pPr>
    </w:p>
    <w:p>
      <w:pPr>
        <w:spacing w:after="0" w:line="24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380" w:lineRule="exact"/>
        <w:rPr>
          <w:sz w:val="20"/>
          <w:szCs w:val="20"/>
          <w:color w:val="auto"/>
        </w:rPr>
      </w:pPr>
    </w:p>
    <w:p>
      <w:pPr>
        <w:ind w:left="460" w:right="160" w:hanging="452"/>
        <w:spacing w:after="0" w:line="27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Options will vest in approximately equal annual 25% installments. Full Vest Dates will occur on the first, second, third and fourth anniversaries of the Grant Date.</w:t>
      </w:r>
    </w:p>
    <w:p>
      <w:pPr>
        <w:sectPr>
          <w:pgSz w:w="11900" w:h="16838" w:orient="portrait"/>
          <w:cols w:equalWidth="0" w:num="1">
            <w:col w:w="11420"/>
          </w:cols>
          <w:pgMar w:left="240" w:top="206"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Incentive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THE REGENERON PHARMACEUTICALS, INC.</w:t>
      </w:r>
    </w:p>
    <w:p>
      <w:pPr>
        <w:spacing w:after="0" w:line="4"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w:t>
      </w:r>
    </w:p>
    <w:p>
      <w:pPr>
        <w:spacing w:after="0" w:line="19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employee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an employee of the Company (or a Subsidiary of the Company)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8"/>
          <w:szCs w:val="18"/>
          <w:color w:val="auto"/>
        </w:rPr>
        <w:t>WHEREAS, the Committee (or the person or persons to whom the Committee has delegated the relevant authority pursuant to Section 4 of the Plan (as defined below) (the Committee or such person or person being referred to in this Agreement as the “</w:t>
      </w:r>
      <w:r>
        <w:rPr>
          <w:rFonts w:ascii="Arial" w:cs="Arial" w:eastAsia="Arial" w:hAnsi="Arial"/>
          <w:sz w:val="18"/>
          <w:szCs w:val="18"/>
          <w:u w:val="single" w:color="auto"/>
          <w:color w:val="auto"/>
        </w:rPr>
        <w:t>Committee</w:t>
      </w:r>
      <w:r>
        <w:rPr>
          <w:rFonts w:ascii="Arial" w:cs="Arial" w:eastAsia="Arial" w:hAnsi="Arial"/>
          <w:sz w:val="18"/>
          <w:szCs w:val="18"/>
          <w:color w:val="auto"/>
        </w:rPr>
        <w:t>”)) administering the Regeneron Pharmaceuticals, Inc. 2014 Long</w:t>
      </w:r>
      <w:r>
        <w:rPr>
          <w:rFonts w:ascii="MS PGothic" w:cs="MS PGothic" w:eastAsia="MS PGothic" w:hAnsi="MS PGothic"/>
          <w:sz w:val="18"/>
          <w:szCs w:val="18"/>
          <w:color w:val="auto"/>
        </w:rPr>
        <w:t>‑</w:t>
      </w:r>
      <w:r>
        <w:rPr>
          <w:rFonts w:ascii="Arial" w:cs="Arial" w:eastAsia="Arial" w:hAnsi="Arial"/>
          <w:sz w:val="18"/>
          <w:szCs w:val="18"/>
          <w:color w:val="auto"/>
        </w:rPr>
        <w:t>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has granted (as of the effective date of grant specified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to the Grantee a Stock Option to purchase the number of shares of the Company’s common stock, $0.001 par value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as set forth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w:t>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18" w:lineRule="exact"/>
        <w:tabs>
          <w:tab w:leader="none" w:pos="1017"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Grant of Award. </w:t>
      </w:r>
      <w:r>
        <w:rPr>
          <w:rFonts w:ascii="Arial" w:cs="Arial" w:eastAsia="Arial" w:hAnsi="Arial"/>
          <w:sz w:val="16"/>
          <w:szCs w:val="16"/>
          <w:color w:val="auto"/>
        </w:rPr>
        <w:t>Pursuant to Section 7 of the Plan, the Company grants to the Grantee, subject to the terms and conditions of the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further to the terms and conditions set forth herein, the option (the “</w:t>
      </w:r>
      <w:r>
        <w:rPr>
          <w:rFonts w:ascii="Arial" w:cs="Arial" w:eastAsia="Arial" w:hAnsi="Arial"/>
          <w:sz w:val="16"/>
          <w:szCs w:val="16"/>
          <w:u w:val="single" w:color="auto"/>
          <w:color w:val="auto"/>
        </w:rPr>
        <w:t>Option</w:t>
      </w:r>
      <w:r>
        <w:rPr>
          <w:rFonts w:ascii="Arial" w:cs="Arial" w:eastAsia="Arial" w:hAnsi="Arial"/>
          <w:sz w:val="16"/>
          <w:szCs w:val="16"/>
          <w:color w:val="auto"/>
        </w:rPr>
        <w:t xml:space="preserve">”) to purchase from the Company all or any part of an aggregate of shares of Common Stock at the purchase price per share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The Option is intended to be an Incentive Stock Option under Section 422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Notwithstanding the foregoing, the Option will not qualify as an Incentive Stock Option, among other events, (i) if the Grantee disposes of the Common Stock acquired pursuant to the Option at any time during the two year period following the date of this Agreement or the one year period following the date on which the Option is exercised, or (ii) if the Grantee is not employed by the Company or a subsidiary of the Company within the meaning of Section 424 of the Code (a “</w:t>
      </w:r>
      <w:r>
        <w:rPr>
          <w:rFonts w:ascii="Arial" w:cs="Arial" w:eastAsia="Arial" w:hAnsi="Arial"/>
          <w:sz w:val="16"/>
          <w:szCs w:val="16"/>
          <w:u w:val="single" w:color="auto"/>
          <w:color w:val="auto"/>
        </w:rPr>
        <w:t>Subsidiary</w:t>
      </w:r>
      <w:r>
        <w:rPr>
          <w:rFonts w:ascii="Arial" w:cs="Arial" w:eastAsia="Arial" w:hAnsi="Arial"/>
          <w:sz w:val="16"/>
          <w:szCs w:val="16"/>
          <w:color w:val="auto"/>
        </w:rPr>
        <w:t>”) at all times during the period beginning on the date of this Agreement and ending on the day three months before the date of exercise of the Option, or (iii) to the extent the aggregate fair market value (determined as of the time the Option is granted) of the stock subject to Incentive Stock Options which become exercisable for the first time in any calendar year exceeds $100,000. To the extent that the Option does not qualify as an Incentive Stock Option, it shall constitute a separate Non</w:t>
      </w:r>
      <w:r>
        <w:rPr>
          <w:rFonts w:ascii="MS PGothic" w:cs="MS PGothic" w:eastAsia="MS PGothic" w:hAnsi="MS PGothic"/>
          <w:sz w:val="16"/>
          <w:szCs w:val="16"/>
          <w:color w:val="auto"/>
        </w:rPr>
        <w:t>‑</w:t>
      </w:r>
      <w:r>
        <w:rPr>
          <w:rFonts w:ascii="Arial" w:cs="Arial" w:eastAsia="Arial" w:hAnsi="Arial"/>
          <w:sz w:val="16"/>
          <w:szCs w:val="16"/>
          <w:color w:val="auto"/>
        </w:rPr>
        <w:t>Qualified Stock Option.</w:t>
      </w:r>
    </w:p>
    <w:p>
      <w:pPr>
        <w:spacing w:after="0" w:line="91" w:lineRule="exact"/>
        <w:rPr>
          <w:rFonts w:ascii="Arial" w:cs="Arial" w:eastAsia="Arial" w:hAnsi="Arial"/>
          <w:sz w:val="16"/>
          <w:szCs w:val="16"/>
          <w:b w:val="1"/>
          <w:bCs w:val="1"/>
          <w:color w:val="auto"/>
        </w:rPr>
      </w:pPr>
    </w:p>
    <w:p>
      <w:pPr>
        <w:jc w:val="both"/>
        <w:ind w:firstLine="656"/>
        <w:spacing w:after="0" w:line="292" w:lineRule="auto"/>
        <w:tabs>
          <w:tab w:leader="none" w:pos="1023"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Exercise. </w:t>
      </w:r>
      <w:r>
        <w:rPr>
          <w:rFonts w:ascii="Arial" w:cs="Arial" w:eastAsia="Arial" w:hAnsi="Arial"/>
          <w:sz w:val="16"/>
          <w:szCs w:val="16"/>
          <w:color w:val="auto"/>
        </w:rPr>
        <w:t>(a) The Option is exercisable in installments as provided on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extent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Option has become exercisable with respect to the number of shares of Common Stock as provided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and subject to the terms and conditions of the Plan, including without limitation, Sections 7(c)(1) (if applicable) and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The Company shall have the right to require the Grantee in connection with the exercise of the Option to remit to the Company in cash an amount sufficient to satisfy any federal, state and local withholding tax requirements related thereto.</w:t>
      </w:r>
    </w:p>
    <w:p>
      <w:pPr>
        <w:spacing w:after="0" w:line="85" w:lineRule="exact"/>
        <w:rPr>
          <w:sz w:val="20"/>
          <w:szCs w:val="20"/>
          <w:color w:val="auto"/>
        </w:rPr>
      </w:pPr>
    </w:p>
    <w:p>
      <w:pPr>
        <w:jc w:val="both"/>
        <w:ind w:firstLine="656"/>
        <w:spacing w:after="0" w:line="320" w:lineRule="auto"/>
        <w:tabs>
          <w:tab w:leader="none" w:pos="118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the Grantee has not incurred a termination of employment or service with the Company and all Subsidiaries (the Company and all Subsidiaries shall be referred to herein, collectively, as the “</w:t>
      </w:r>
      <w:r>
        <w:rPr>
          <w:rFonts w:ascii="Arial" w:cs="Arial" w:eastAsia="Arial" w:hAnsi="Arial"/>
          <w:sz w:val="17"/>
          <w:szCs w:val="17"/>
          <w:u w:val="single" w:color="auto"/>
          <w:color w:val="auto"/>
        </w:rPr>
        <w:t>Employer</w:t>
      </w:r>
      <w:r>
        <w:rPr>
          <w:rFonts w:ascii="Arial" w:cs="Arial" w:eastAsia="Arial" w:hAnsi="Arial"/>
          <w:sz w:val="17"/>
          <w:szCs w:val="17"/>
          <w:color w:val="auto"/>
        </w:rPr>
        <w:t xml:space="preserve">,” and no termination of employment or service shall be deemed to take place unless the Grantee is no longer employed by or providing service to the Employer)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No vesting shall occur after such date as the Grantee ceases to be employed by or provide services to the Employer and the entire unvested portion of the Option shall be forfeited at such time. The provisions of this Section 2(b) are subject to (i) the provisions set forth in the </w:t>
      </w:r>
      <w:r>
        <w:rPr>
          <w:rFonts w:ascii="Arial" w:cs="Arial" w:eastAsia="Arial" w:hAnsi="Arial"/>
          <w:sz w:val="17"/>
          <w:szCs w:val="17"/>
          <w:i w:val="1"/>
          <w:iCs w:val="1"/>
          <w:color w:val="auto"/>
        </w:rPr>
        <w:t xml:space="preserve">Notice of Grant of Stock Options </w:t>
      </w:r>
      <w:r>
        <w:rPr>
          <w:rFonts w:ascii="Arial" w:cs="Arial" w:eastAsia="Arial" w:hAnsi="Arial"/>
          <w:sz w:val="17"/>
          <w:szCs w:val="17"/>
          <w:color w:val="auto"/>
        </w:rPr>
        <w:t>or any employment agreement, consulting agreement or similar agreement in effect between the Employer and the Grantee</w:t>
      </w:r>
      <w:r>
        <w:rPr>
          <w:rFonts w:ascii="Arial" w:cs="Arial" w:eastAsia="Arial" w:hAnsi="Arial"/>
          <w:sz w:val="17"/>
          <w:szCs w:val="17"/>
          <w:i w:val="1"/>
          <w:iCs w:val="1"/>
          <w:color w:val="auto"/>
        </w:rPr>
        <w:t xml:space="preserve"> </w:t>
      </w:r>
      <w:r>
        <w:rPr>
          <w:rFonts w:ascii="Arial" w:cs="Arial" w:eastAsia="Arial" w:hAnsi="Arial"/>
          <w:sz w:val="17"/>
          <w:szCs w:val="17"/>
          <w:color w:val="auto"/>
        </w:rPr>
        <w:t>(or otherwise applicable to the Grantee)</w:t>
      </w:r>
    </w:p>
    <w:p>
      <w:pPr>
        <w:sectPr>
          <w:pgSz w:w="11900" w:h="16838" w:orient="portrait"/>
          <w:cols w:equalWidth="0" w:num="1">
            <w:col w:w="11420"/>
          </w:cols>
          <w:pgMar w:left="240" w:top="360" w:right="239" w:bottom="1440" w:gutter="0" w:footer="0" w:header="0"/>
        </w:sectPr>
      </w:pPr>
    </w:p>
    <w:bookmarkStart w:id="175" w:name="page176"/>
    <w:bookmarkEnd w:id="175"/>
    <w:p>
      <w:pPr>
        <w:spacing w:after="0"/>
        <w:rPr>
          <w:sz w:val="20"/>
          <w:szCs w:val="20"/>
          <w:color w:val="auto"/>
        </w:rPr>
      </w:pPr>
      <w:r>
        <w:rPr>
          <w:rFonts w:ascii="Arial" w:cs="Arial" w:eastAsia="Arial" w:hAnsi="Arial"/>
          <w:sz w:val="17"/>
          <w:szCs w:val="17"/>
          <w:color w:val="auto"/>
        </w:rPr>
        <w:t xml:space="preserve">on the date of grant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(ii) the Committee’s determination in accordance with Section 7(e) of the Plan.</w:t>
      </w:r>
    </w:p>
    <w:p>
      <w:pPr>
        <w:spacing w:after="0" w:line="250" w:lineRule="exact"/>
        <w:rPr>
          <w:sz w:val="20"/>
          <w:szCs w:val="20"/>
          <w:color w:val="auto"/>
        </w:rPr>
      </w:pPr>
    </w:p>
    <w:p>
      <w:pPr>
        <w:ind w:right="40" w:firstLine="656"/>
        <w:spacing w:after="0" w:line="286" w:lineRule="auto"/>
        <w:tabs>
          <w:tab w:leader="none" w:pos="1028"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Notwithstanding anything herein (except the following sentence) or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to the contrary, the Option shall be fully vested on the date of a Change in Control. Except as otherwise provided in any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if the application of the provision in the foregoing sentence, similar provisions in other stock option or restricted stock grants, and other payments and benefits payable to the Grantee upon termination of employment with the Employer (collectively, the “</w:t>
      </w:r>
      <w:r>
        <w:rPr>
          <w:rFonts w:ascii="Arial" w:cs="Arial" w:eastAsia="Arial" w:hAnsi="Arial"/>
          <w:sz w:val="16"/>
          <w:szCs w:val="16"/>
          <w:u w:val="single" w:color="auto"/>
          <w:color w:val="auto"/>
        </w:rPr>
        <w:t>Company Payments</w:t>
      </w:r>
      <w:r>
        <w:rPr>
          <w:rFonts w:ascii="Arial" w:cs="Arial" w:eastAsia="Arial" w:hAnsi="Arial"/>
          <w:sz w:val="16"/>
          <w:szCs w:val="16"/>
          <w:color w:val="auto"/>
        </w:rPr>
        <w:t>”) would result in the Grantee being subject to the excise tax payable under Section 4999 of the Code (the “</w:t>
      </w:r>
      <w:r>
        <w:rPr>
          <w:rFonts w:ascii="Arial" w:cs="Arial" w:eastAsia="Arial" w:hAnsi="Arial"/>
          <w:sz w:val="16"/>
          <w:szCs w:val="16"/>
          <w:u w:val="single" w:color="auto"/>
          <w:color w:val="auto"/>
        </w:rPr>
        <w:t>Excise Tax</w:t>
      </w:r>
      <w:r>
        <w:rPr>
          <w:rFonts w:ascii="Arial" w:cs="Arial" w:eastAsia="Arial" w:hAnsi="Arial"/>
          <w:sz w:val="16"/>
          <w:szCs w:val="16"/>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Employer and the Grantee or, in the event the parties cannot agree, in the following order: (1) acceleration of vesting of any option where the exercise price exceeds the fair market value of the underlying shares at the time the acceleration would otherwise occur; (2) any lump-sum severance based on a multiple of base salary or bonus; (3) any other cash amounts payable to the Grantee; (4) any benefits valued as parachute payments; and (5) acceleration of vesting of any equity not covered by (1) above.</w:t>
      </w:r>
    </w:p>
    <w:p>
      <w:pPr>
        <w:spacing w:after="0" w:line="84" w:lineRule="exact"/>
        <w:rPr>
          <w:sz w:val="20"/>
          <w:szCs w:val="20"/>
          <w:color w:val="auto"/>
        </w:rPr>
      </w:pPr>
    </w:p>
    <w:p>
      <w:pPr>
        <w:jc w:val="both"/>
        <w:ind w:firstLine="656"/>
        <w:spacing w:after="0" w:line="256" w:lineRule="exact"/>
        <w:tabs>
          <w:tab w:leader="none" w:pos="97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Option Term. </w:t>
      </w:r>
      <w:r>
        <w:rPr>
          <w:rFonts w:ascii="Arial" w:cs="Arial" w:eastAsia="Arial" w:hAnsi="Arial"/>
          <w:sz w:val="16"/>
          <w:szCs w:val="16"/>
          <w:color w:val="auto"/>
        </w:rPr>
        <w:t>(a) Except as otherwise provided in the next sentence or in the Plan, the Option shall expire on the tenth anniversary of the grant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Option as shown on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In the event of termination of employment or service with the Employer, except as may be determined by the Committee in accordance with Section 7(e) of the Plan, the vested portion of the Option shall expire on the earlier of (i) the tenth anniversary of this grant, or (ii)(A) subject to (E) below, three months after such termination if such termination is for any reason other than death, retirement (as defined in the Company’s employee handbook as in effect on the date hereof), or long</w:t>
      </w:r>
      <w:r>
        <w:rPr>
          <w:rFonts w:ascii="MS PGothic" w:cs="MS PGothic" w:eastAsia="MS PGothic" w:hAnsi="MS PGothic"/>
          <w:sz w:val="16"/>
          <w:szCs w:val="16"/>
          <w:color w:val="auto"/>
        </w:rPr>
        <w:t>‑</w:t>
      </w:r>
      <w:r>
        <w:rPr>
          <w:rFonts w:ascii="Arial" w:cs="Arial" w:eastAsia="Arial" w:hAnsi="Arial"/>
          <w:sz w:val="16"/>
          <w:szCs w:val="16"/>
          <w:color w:val="auto"/>
        </w:rPr>
        <w:t>term disability; (B) the tenth anniversary of this grant if such termination is due to the Grantee's retirement (as defined in the Company’s employee handbook as in effect on the date hereof) or the Grantee’s death; (C) one year after the termination if such termination is due to the Grantee’s long</w:t>
      </w:r>
      <w:r>
        <w:rPr>
          <w:rFonts w:ascii="MS PGothic" w:cs="MS PGothic" w:eastAsia="MS PGothic" w:hAnsi="MS PGothic"/>
          <w:sz w:val="16"/>
          <w:szCs w:val="16"/>
          <w:color w:val="auto"/>
        </w:rPr>
        <w:t>‑</w:t>
      </w:r>
      <w:r>
        <w:rPr>
          <w:rFonts w:ascii="Arial" w:cs="Arial" w:eastAsia="Arial" w:hAnsi="Arial"/>
          <w:sz w:val="16"/>
          <w:szCs w:val="16"/>
          <w:color w:val="auto"/>
        </w:rPr>
        <w:t>term disability; (D) the occurrence of the Cause event if such termination is for Cause or Cause existed at the time of such termination (whether then known or later discovered); or (E) one year after such termination if such termination is at any time within two years after the occurrence of a Change in Control and is not due to death, retirement, or long-term disability.</w:t>
      </w:r>
    </w:p>
    <w:p>
      <w:pPr>
        <w:spacing w:after="0" w:line="151" w:lineRule="exact"/>
        <w:rPr>
          <w:sz w:val="20"/>
          <w:szCs w:val="20"/>
          <w:color w:val="auto"/>
        </w:rPr>
      </w:pPr>
    </w:p>
    <w:p>
      <w:pPr>
        <w:jc w:val="both"/>
        <w:ind w:firstLine="656"/>
        <w:spacing w:after="0" w:line="334" w:lineRule="auto"/>
        <w:tabs>
          <w:tab w:leader="none" w:pos="1549" w:val="left"/>
        </w:tabs>
        <w:numPr>
          <w:ilvl w:val="0"/>
          <w:numId w:val="61"/>
        </w:numPr>
        <w:rPr>
          <w:rFonts w:ascii="Arial" w:cs="Arial" w:eastAsia="Arial" w:hAnsi="Arial"/>
          <w:sz w:val="19"/>
          <w:szCs w:val="19"/>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(i) in the case where there is no employment agreement, consulting agreement, change in control agreement or plan, or similar agreement or plan in effect between the Company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(or where there is such an agreement or plan but it does not define “cause” (or words of like import)) (A) the willful and continued failure by the Grantee substantially to perform his or her duties and obligations to the Employer, including without limitation, repeated refusal to follow the reasonable directions of the Employer, violation of the Employer’s Code of Business Conduct and Ethics, knowing violation of law in the course of performance of the duties of the Grantee’s employment with the Employer, repeated absences from work without a reasonable excuse, and intoxication with alcohol or illegal drugs while on the Employer’s premises during regular business hours (other than any such failure resulting from his or her incapacity due to physical or mental illness); (B) fraud or material dishonesty against the Employer; or (C) a conviction or plea of guilty or nolo contendere to a felony or a crime involving material dishonesty; or (ii) in the case where there is an employment agreement, consulting agreement, change in control agreement or plan, or similar agreement or plan in effect between the Employer and the Grantee (or otherwise applicable to the Grantee) on the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xml:space="preserve"> that defines “cause” (or words of like import), as defined under such agreement or plan. For purposes of this Section 3(b), no act, or failure to act, on a Grantee’s part shall be considered “willful” unless done, or omitted to be done, by the Grantee in bad faith and without reasonable belief that his or her action or omission was in the best interest of the Employer. Any determination of Cause made prior to a Change in Control shall be made by the Committee in its sole discretion.</w:t>
      </w:r>
    </w:p>
    <w:p>
      <w:pPr>
        <w:spacing w:after="0" w:line="37" w:lineRule="exact"/>
        <w:rPr>
          <w:sz w:val="20"/>
          <w:szCs w:val="20"/>
          <w:color w:val="auto"/>
        </w:rPr>
      </w:pPr>
    </w:p>
    <w:p>
      <w:pPr>
        <w:jc w:val="both"/>
        <w:ind w:firstLine="656"/>
        <w:spacing w:after="0" w:line="295" w:lineRule="auto"/>
        <w:tabs>
          <w:tab w:leader="none" w:pos="1038"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of Option. </w:t>
      </w:r>
      <w:r>
        <w:rPr>
          <w:rFonts w:ascii="Arial" w:cs="Arial" w:eastAsia="Arial" w:hAnsi="Arial"/>
          <w:sz w:val="16"/>
          <w:szCs w:val="16"/>
          <w:color w:val="auto"/>
        </w:rPr>
        <w:t>The Option granted hereby shall not be transferable other than by will or by the laws of descent and</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03" w:right="239" w:bottom="1440" w:gutter="0" w:footer="0" w:header="0"/>
        </w:sectPr>
      </w:pPr>
    </w:p>
    <w:bookmarkStart w:id="176" w:name="page177"/>
    <w:bookmarkEnd w:id="176"/>
    <w:p>
      <w:pPr>
        <w:jc w:val="both"/>
        <w:spacing w:after="0" w:line="259" w:lineRule="auto"/>
        <w:rPr>
          <w:sz w:val="20"/>
          <w:szCs w:val="20"/>
          <w:color w:val="auto"/>
        </w:rPr>
      </w:pPr>
      <w:r>
        <w:rPr>
          <w:rFonts w:ascii="Arial" w:cs="Arial" w:eastAsia="Arial" w:hAnsi="Arial"/>
          <w:sz w:val="18"/>
          <w:szCs w:val="18"/>
          <w:color w:val="auto"/>
        </w:rPr>
        <w:t xml:space="preserve">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5" w:lineRule="exact"/>
        <w:rPr>
          <w:sz w:val="20"/>
          <w:szCs w:val="20"/>
          <w:color w:val="auto"/>
        </w:rPr>
      </w:pPr>
    </w:p>
    <w:p>
      <w:pPr>
        <w:jc w:val="both"/>
        <w:ind w:firstLine="656"/>
        <w:spacing w:after="0" w:line="281" w:lineRule="auto"/>
        <w:tabs>
          <w:tab w:leader="none" w:pos="979"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jc w:val="both"/>
        <w:ind w:firstLine="656"/>
        <w:spacing w:after="0" w:line="266" w:lineRule="auto"/>
        <w:tabs>
          <w:tab w:leader="none" w:pos="10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 respect to, or in any way inconsistent with, the terms of the Plan, the provisions of the Plan shall govern and this Agreement shall be deemed to be modified accordingly.</w:t>
      </w:r>
    </w:p>
    <w:p>
      <w:pPr>
        <w:spacing w:after="0" w:line="68" w:lineRule="exact"/>
        <w:rPr>
          <w:rFonts w:ascii="Arial" w:cs="Arial" w:eastAsia="Arial" w:hAnsi="Arial"/>
          <w:sz w:val="18"/>
          <w:szCs w:val="18"/>
          <w:b w:val="1"/>
          <w:bCs w:val="1"/>
          <w:color w:val="auto"/>
        </w:rPr>
      </w:pPr>
    </w:p>
    <w:p>
      <w:pPr>
        <w:jc w:val="both"/>
        <w:ind w:firstLine="656"/>
        <w:spacing w:after="0" w:line="258" w:lineRule="auto"/>
        <w:tabs>
          <w:tab w:leader="none" w:pos="100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Employer, to: Regeneron Pharmaceuticals, Inc., 777 Old Saw Mill River Road, Tarrytown, NY 10591, Attention: Secretary, and (ii) if to the Grantee, to: the Grantee at Regeneron Pharmaceuticals, Inc., 777 Old Saw Mill River Road, Tarrytown, NY 10591, or, if the Grantee has terminated employment, to the last address for the Grantee indicated in the records of the Employer, or such other address as the relevant party shall specify at any time hereafter in accordance with this Section 8.</w:t>
      </w:r>
    </w:p>
    <w:p>
      <w:pPr>
        <w:spacing w:after="0" w:line="75" w:lineRule="exact"/>
        <w:rPr>
          <w:rFonts w:ascii="Arial" w:cs="Arial" w:eastAsia="Arial" w:hAnsi="Arial"/>
          <w:sz w:val="18"/>
          <w:szCs w:val="18"/>
          <w:b w:val="1"/>
          <w:bCs w:val="1"/>
          <w:color w:val="auto"/>
        </w:rPr>
      </w:pPr>
    </w:p>
    <w:p>
      <w:pPr>
        <w:ind w:firstLine="656"/>
        <w:spacing w:after="0" w:line="282" w:lineRule="auto"/>
        <w:tabs>
          <w:tab w:leader="none" w:pos="102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Continue Employment. </w:t>
      </w:r>
      <w:r>
        <w:rPr>
          <w:rFonts w:ascii="Arial" w:cs="Arial" w:eastAsia="Arial" w:hAnsi="Arial"/>
          <w:sz w:val="18"/>
          <w:szCs w:val="18"/>
          <w:color w:val="auto"/>
        </w:rPr>
        <w:t>This Agreement does not guarantee that the Employer will employ the Grantee for any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time period, nor does it modify in any respect the Grantee’s employment or compensation.</w:t>
      </w:r>
    </w:p>
    <w:p>
      <w:pPr>
        <w:spacing w:after="0" w:line="53" w:lineRule="exact"/>
        <w:rPr>
          <w:rFonts w:ascii="Arial" w:cs="Arial" w:eastAsia="Arial" w:hAnsi="Arial"/>
          <w:sz w:val="18"/>
          <w:szCs w:val="18"/>
          <w:b w:val="1"/>
          <w:bCs w:val="1"/>
          <w:color w:val="auto"/>
        </w:rPr>
      </w:pPr>
    </w:p>
    <w:p>
      <w:pPr>
        <w:jc w:val="both"/>
        <w:ind w:firstLine="656"/>
        <w:spacing w:after="0" w:line="261" w:lineRule="auto"/>
        <w:tabs>
          <w:tab w:leader="none" w:pos="1161"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Recoupment. </w:t>
      </w:r>
      <w:r>
        <w:rPr>
          <w:rFonts w:ascii="Arial" w:cs="Arial" w:eastAsia="Arial" w:hAnsi="Arial"/>
          <w:sz w:val="18"/>
          <w:szCs w:val="18"/>
          <w:color w:val="auto"/>
        </w:rPr>
        <w:t>By entering into this Agreement and accepting the award hereunder, the Grantee agrees to be bound by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Policy Regarding Recoupment or Reduction of Incentive Compensation for Compliance Violations, as in effect from time to time (or any successor policy thereto) (the “</w:t>
      </w:r>
      <w:r>
        <w:rPr>
          <w:rFonts w:ascii="Arial" w:cs="Arial" w:eastAsia="Arial" w:hAnsi="Arial"/>
          <w:sz w:val="18"/>
          <w:szCs w:val="18"/>
          <w:u w:val="single" w:color="auto"/>
          <w:color w:val="auto"/>
        </w:rPr>
        <w:t>Recoupment Policy</w:t>
      </w:r>
      <w:r>
        <w:rPr>
          <w:rFonts w:ascii="Arial" w:cs="Arial" w:eastAsia="Arial" w:hAnsi="Arial"/>
          <w:sz w:val="18"/>
          <w:szCs w:val="18"/>
          <w:color w:val="auto"/>
        </w:rPr>
        <w:t>”), and further acknowledges and agrees that the Recoupment Policy shall apply to the Option and any shares of Common Stock issued pursuant thereto.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76"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Exhibit 10.2.10</w:t>
            </w:r>
          </w:p>
        </w:tc>
      </w:tr>
      <w:tr>
        <w:trPr>
          <w:trHeight w:val="959"/>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Regeneron Pharmaceuticals, Inc.</w:t>
            </w:r>
          </w:p>
        </w:tc>
        <w:tc>
          <w:tcPr>
            <w:tcW w:w="2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67"/>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Notice of Grant of Stock Options</w:t>
            </w:r>
          </w:p>
        </w:tc>
        <w:tc>
          <w:tcPr>
            <w:tcW w:w="2480" w:type="dxa"/>
            <w:vAlign w:val="bottom"/>
          </w:tcPr>
          <w:p>
            <w:pPr>
              <w:ind w:left="1820"/>
              <w:spacing w:after="0"/>
              <w:rPr>
                <w:sz w:val="20"/>
                <w:szCs w:val="20"/>
                <w:color w:val="auto"/>
              </w:rPr>
            </w:pPr>
            <w:r>
              <w:rPr>
                <w:rFonts w:ascii="Arial" w:cs="Arial" w:eastAsia="Arial" w:hAnsi="Arial"/>
                <w:sz w:val="18"/>
                <w:szCs w:val="18"/>
                <w:b w:val="1"/>
                <w:bCs w:val="1"/>
                <w:color w:val="auto"/>
              </w:rPr>
              <w:t xml:space="preserve">ID: </w:t>
            </w:r>
            <w:r>
              <w:rPr>
                <w:rFonts w:ascii="Arial" w:cs="Arial" w:eastAsia="Arial" w:hAnsi="Arial"/>
                <w:sz w:val="18"/>
                <w:szCs w:val="18"/>
                <w:color w:val="auto"/>
              </w:rPr>
              <w:t>[</w:t>
            </w:r>
          </w:p>
        </w:tc>
        <w:tc>
          <w:tcPr>
            <w:tcW w:w="2200" w:type="dxa"/>
            <w:vAlign w:val="bottom"/>
          </w:tcPr>
          <w:p>
            <w:pPr>
              <w:jc w:val="right"/>
              <w:ind w:right="179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and Option Agreement</w:t>
            </w:r>
          </w:p>
        </w:tc>
        <w:tc>
          <w:tcPr>
            <w:tcW w:w="4680" w:type="dxa"/>
            <w:vAlign w:val="bottom"/>
            <w:gridSpan w:val="2"/>
          </w:tcPr>
          <w:p>
            <w:pPr>
              <w:ind w:left="1820"/>
              <w:spacing w:after="0"/>
              <w:rPr>
                <w:sz w:val="20"/>
                <w:szCs w:val="20"/>
                <w:color w:val="auto"/>
              </w:rPr>
            </w:pPr>
            <w:r>
              <w:rPr>
                <w:rFonts w:ascii="Arial" w:cs="Arial" w:eastAsia="Arial" w:hAnsi="Arial"/>
                <w:sz w:val="18"/>
                <w:szCs w:val="18"/>
                <w:color w:val="auto"/>
              </w:rPr>
              <w:t>777 Old Saw Mill River Road</w:t>
            </w: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4680" w:type="dxa"/>
            <w:vAlign w:val="bottom"/>
            <w:gridSpan w:val="2"/>
          </w:tcPr>
          <w:p>
            <w:pPr>
              <w:ind w:left="1820"/>
              <w:spacing w:after="0"/>
              <w:rPr>
                <w:sz w:val="20"/>
                <w:szCs w:val="20"/>
                <w:color w:val="auto"/>
              </w:rPr>
            </w:pPr>
            <w:r>
              <w:rPr>
                <w:rFonts w:ascii="Arial" w:cs="Arial" w:eastAsia="Arial" w:hAnsi="Arial"/>
                <w:sz w:val="18"/>
                <w:szCs w:val="18"/>
                <w:color w:val="auto"/>
              </w:rPr>
              <w:t>Tarrytown, New York 10591</w:t>
            </w: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84"/>
        </w:trPr>
        <w:tc>
          <w:tcPr>
            <w:tcW w:w="43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2"/>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493"/>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[OPTIONEE NAME]</w:t>
            </w:r>
          </w:p>
        </w:tc>
        <w:tc>
          <w:tcPr>
            <w:tcW w:w="4680" w:type="dxa"/>
            <w:vAlign w:val="bottom"/>
            <w:gridSpan w:val="2"/>
          </w:tcPr>
          <w:p>
            <w:pPr>
              <w:ind w:left="1820"/>
              <w:spacing w:after="0"/>
              <w:rPr>
                <w:sz w:val="20"/>
                <w:szCs w:val="20"/>
                <w:color w:val="auto"/>
              </w:rPr>
            </w:pPr>
            <w:r>
              <w:rPr>
                <w:rFonts w:ascii="Arial" w:cs="Arial" w:eastAsia="Arial" w:hAnsi="Arial"/>
                <w:sz w:val="18"/>
                <w:szCs w:val="18"/>
                <w:b w:val="1"/>
                <w:bCs w:val="1"/>
                <w:color w:val="auto"/>
              </w:rPr>
              <w:t>Option Number:</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r>
      <w:tr>
        <w:trPr>
          <w:trHeight w:val="270"/>
        </w:trPr>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[OPTIONEE ADDRESS]</w:t>
            </w:r>
          </w:p>
        </w:tc>
        <w:tc>
          <w:tcPr>
            <w:tcW w:w="2480" w:type="dxa"/>
            <w:vAlign w:val="bottom"/>
          </w:tcPr>
          <w:p>
            <w:pPr>
              <w:ind w:left="1820"/>
              <w:spacing w:after="0"/>
              <w:rPr>
                <w:sz w:val="20"/>
                <w:szCs w:val="20"/>
                <w:color w:val="auto"/>
              </w:rPr>
            </w:pPr>
            <w:r>
              <w:rPr>
                <w:rFonts w:ascii="Arial" w:cs="Arial" w:eastAsia="Arial" w:hAnsi="Arial"/>
                <w:sz w:val="18"/>
                <w:szCs w:val="18"/>
                <w:b w:val="1"/>
                <w:bCs w:val="1"/>
                <w:color w:val="auto"/>
              </w:rPr>
              <w:t>Plan:</w:t>
            </w:r>
          </w:p>
        </w:tc>
        <w:tc>
          <w:tcPr>
            <w:tcW w:w="2200" w:type="dxa"/>
            <w:vAlign w:val="bottom"/>
          </w:tcPr>
          <w:p>
            <w:pPr>
              <w:spacing w:after="0"/>
              <w:rPr>
                <w:sz w:val="23"/>
                <w:szCs w:val="23"/>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r>
      <w:tr>
        <w:trPr>
          <w:trHeight w:val="270"/>
        </w:trPr>
        <w:tc>
          <w:tcPr>
            <w:tcW w:w="4380" w:type="dxa"/>
            <w:vAlign w:val="bottom"/>
          </w:tcPr>
          <w:p>
            <w:pPr>
              <w:spacing w:after="0"/>
              <w:rPr>
                <w:sz w:val="23"/>
                <w:szCs w:val="23"/>
                <w:color w:val="auto"/>
              </w:rPr>
            </w:pPr>
          </w:p>
        </w:tc>
        <w:tc>
          <w:tcPr>
            <w:tcW w:w="2480" w:type="dxa"/>
            <w:vAlign w:val="bottom"/>
          </w:tcPr>
          <w:p>
            <w:pPr>
              <w:ind w:left="1820"/>
              <w:spacing w:after="0"/>
              <w:rPr>
                <w:sz w:val="20"/>
                <w:szCs w:val="20"/>
                <w:color w:val="auto"/>
              </w:rPr>
            </w:pPr>
            <w:r>
              <w:rPr>
                <w:rFonts w:ascii="Arial" w:cs="Arial" w:eastAsia="Arial" w:hAnsi="Arial"/>
                <w:sz w:val="18"/>
                <w:szCs w:val="18"/>
                <w:b w:val="1"/>
                <w:bCs w:val="1"/>
                <w:color w:val="auto"/>
              </w:rPr>
              <w:t>ID</w:t>
            </w:r>
          </w:p>
        </w:tc>
        <w:tc>
          <w:tcPr>
            <w:tcW w:w="2200" w:type="dxa"/>
            <w:vAlign w:val="bottom"/>
          </w:tcPr>
          <w:p>
            <w:pPr>
              <w:spacing w:after="0"/>
              <w:rPr>
                <w:sz w:val="23"/>
                <w:szCs w:val="23"/>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ind w:right="930"/>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390525</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Effective &lt;date&gt; (the “Grant Date”) you have been granted a Non-Qualified Stock Option to buy [ “Company”) stock at $[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 shares of Regeneron Pharmaceuticals, Inc. (the</w:t>
      </w:r>
    </w:p>
    <w:p>
      <w:pPr>
        <w:spacing w:after="0" w:line="463" w:lineRule="exact"/>
        <w:rPr>
          <w:sz w:val="20"/>
          <w:szCs w:val="20"/>
          <w:color w:val="auto"/>
        </w:rPr>
      </w:pPr>
    </w:p>
    <w:p>
      <w:pPr>
        <w:sectPr>
          <w:pgSz w:w="11900" w:h="16838" w:orient="portrait"/>
          <w:cols w:equalWidth="0" w:num="2">
            <w:col w:w="7100" w:space="540"/>
            <w:col w:w="3780"/>
          </w:cols>
          <w:pgMar w:left="240" w:top="206"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total option price of the shares granted is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460" w:space="540"/>
            <w:col w:w="7420"/>
          </w:cols>
          <w:pgMar w:left="240" w:top="206"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Shares in each period will become fully vested on the date shown.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Vest Type</w:t>
            </w:r>
          </w:p>
        </w:tc>
        <w:tc>
          <w:tcPr>
            <w:tcW w:w="3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4"/>
                <w:szCs w:val="14"/>
                <w:b w:val="1"/>
                <w:bCs w:val="1"/>
                <w:color w:val="auto"/>
                <w:w w:val="92"/>
              </w:rPr>
              <w:t>Full Vest</w:t>
            </w:r>
          </w:p>
        </w:tc>
        <w:tc>
          <w:tcPr>
            <w:tcW w:w="28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50"/>
        </w:trPr>
        <w:tc>
          <w:tcPr>
            <w:tcW w:w="2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43"/>
        </w:trPr>
        <w:tc>
          <w:tcPr>
            <w:tcW w:w="26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43"/>
        </w:trPr>
        <w:tc>
          <w:tcPr>
            <w:tcW w:w="2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On Vest Date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 years from Grant Date]</w:t>
            </w:r>
          </w:p>
        </w:tc>
      </w:tr>
      <w:tr>
        <w:trPr>
          <w:trHeight w:val="27"/>
        </w:trPr>
        <w:tc>
          <w:tcPr>
            <w:tcW w:w="2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You and the Company agree that these options are granted under and governed by the terms and conditions of the Regeneron Pharmaceuticals, Inc. 2014 Long Term Incentive Plan, as amended from time to time, and the enclosed Option Agreement, both of which are attached and made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00" w:right="160" w:hanging="465"/>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Options for non-employee directors will vest in approximately equal annual 33-1/3% installments. Full Vest Dates will occur on the first, second, and third anniversaries of the Grant Date.</w:t>
      </w:r>
    </w:p>
    <w:p>
      <w:pPr>
        <w:sectPr>
          <w:pgSz w:w="11900" w:h="16838" w:orient="portrait"/>
          <w:cols w:equalWidth="0" w:num="1">
            <w:col w:w="11420"/>
          </w:cols>
          <w:pgMar w:left="240" w:top="206" w:right="23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color w:val="auto"/>
        </w:rPr>
        <w:t>Exhibit 10.2.10</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800000"/>
        </w:rPr>
        <w:t>REGENERON PHARMACEUTICALS, INC.</w:t>
      </w:r>
    </w:p>
    <w:p>
      <w:pPr>
        <w:spacing w:after="0" w:line="127" w:lineRule="exact"/>
        <w:rPr>
          <w:sz w:val="20"/>
          <w:szCs w:val="20"/>
          <w:color w:val="auto"/>
        </w:rPr>
      </w:pPr>
    </w:p>
    <w:p>
      <w:pPr>
        <w:ind w:left="4420"/>
        <w:spacing w:after="0" w:line="253" w:lineRule="exact"/>
        <w:rPr>
          <w:sz w:val="20"/>
          <w:szCs w:val="20"/>
          <w:color w:val="auto"/>
        </w:rPr>
      </w:pPr>
      <w:r>
        <w:rPr>
          <w:rFonts w:ascii="Arial" w:cs="Arial" w:eastAsia="Arial" w:hAnsi="Arial"/>
          <w:sz w:val="22"/>
          <w:szCs w:val="22"/>
          <w:b w:val="1"/>
          <w:bCs w:val="1"/>
          <w:color w:val="auto"/>
        </w:rPr>
        <w:t>Non</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Qualified Stock Option</w:t>
      </w:r>
    </w:p>
    <w:p>
      <w:pPr>
        <w:spacing w:after="0" w:line="112" w:lineRule="exact"/>
        <w:rPr>
          <w:sz w:val="20"/>
          <w:szCs w:val="20"/>
          <w:color w:val="auto"/>
        </w:rPr>
      </w:pPr>
    </w:p>
    <w:p>
      <w:pPr>
        <w:ind w:left="4560"/>
        <w:spacing w:after="0"/>
        <w:rPr>
          <w:sz w:val="20"/>
          <w:szCs w:val="20"/>
          <w:color w:val="auto"/>
        </w:rPr>
      </w:pPr>
      <w:r>
        <w:rPr>
          <w:rFonts w:ascii="Arial" w:cs="Arial" w:eastAsia="Arial" w:hAnsi="Arial"/>
          <w:sz w:val="22"/>
          <w:szCs w:val="22"/>
          <w:b w:val="1"/>
          <w:bCs w:val="1"/>
          <w:color w:val="auto"/>
        </w:rPr>
        <w:t>OPTION AGREEMENT</w:t>
      </w:r>
    </w:p>
    <w:p>
      <w:pPr>
        <w:spacing w:after="0" w:line="28" w:lineRule="exact"/>
        <w:rPr>
          <w:sz w:val="20"/>
          <w:szCs w:val="20"/>
          <w:color w:val="auto"/>
        </w:rPr>
      </w:pPr>
    </w:p>
    <w:p>
      <w:pPr>
        <w:jc w:val="center"/>
        <w:spacing w:after="0" w:line="257" w:lineRule="exact"/>
        <w:rPr>
          <w:sz w:val="20"/>
          <w:szCs w:val="20"/>
          <w:color w:val="auto"/>
        </w:rPr>
      </w:pPr>
      <w:r>
        <w:rPr>
          <w:rFonts w:ascii="Arial" w:cs="Arial" w:eastAsia="Arial" w:hAnsi="Arial"/>
          <w:sz w:val="22"/>
          <w:szCs w:val="22"/>
          <w:b w:val="1"/>
          <w:bCs w:val="1"/>
          <w:color w:val="auto"/>
        </w:rPr>
        <w:t>PURSUANT TO THE REGENERON PHARMACEUTICALS, INC. 2014 LONG</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TERM INCENTIVE PLAN (Non-Employee Director Grant)</w:t>
      </w:r>
    </w:p>
    <w:p>
      <w:pPr>
        <w:spacing w:after="0" w:line="23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made as of the date of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by and between Regeneron Pharmaceuticals, Inc., a New York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the individual named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Grantee</w:t>
      </w:r>
      <w:r>
        <w:rPr>
          <w:rFonts w:ascii="Arial" w:cs="Arial" w:eastAsia="Arial" w:hAnsi="Arial"/>
          <w:sz w:val="17"/>
          <w:szCs w:val="17"/>
          <w:color w:val="auto"/>
        </w:rPr>
        <w:t>”). Any capitalized term used but not defined in this Agreement shall have the meaning given to such term in the Plan (as defined below).</w:t>
      </w:r>
    </w:p>
    <w:p>
      <w:pPr>
        <w:spacing w:after="0" w:line="5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the Grantee is a non-employee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the Company desires to afford the Grantee the opportunity to acquire or enlarge the Grantee’s stock ownership in the Company so that the Grantee may have a direct proprietary interest in the Company’s success; and</w:t>
      </w:r>
    </w:p>
    <w:p>
      <w:pPr>
        <w:spacing w:after="0" w:line="73" w:lineRule="exact"/>
        <w:rPr>
          <w:sz w:val="20"/>
          <w:szCs w:val="20"/>
          <w:color w:val="auto"/>
        </w:rPr>
      </w:pPr>
    </w:p>
    <w:p>
      <w:pPr>
        <w:jc w:val="both"/>
        <w:ind w:firstLine="1297"/>
        <w:spacing w:after="0" w:line="221" w:lineRule="exact"/>
        <w:rPr>
          <w:sz w:val="20"/>
          <w:szCs w:val="20"/>
          <w:color w:val="auto"/>
        </w:rPr>
      </w:pPr>
      <w:r>
        <w:rPr>
          <w:rFonts w:ascii="Arial" w:cs="Arial" w:eastAsia="Arial" w:hAnsi="Arial"/>
          <w:sz w:val="16"/>
          <w:szCs w:val="16"/>
          <w:color w:val="auto"/>
        </w:rPr>
        <w:t>WHEREAS, the Committee administering the Regeneron Pharmaceuticals, Inc. 2014 Long</w:t>
      </w:r>
      <w:r>
        <w:rPr>
          <w:rFonts w:ascii="MS PGothic" w:cs="MS PGothic" w:eastAsia="MS PGothic" w:hAnsi="MS PGothic"/>
          <w:sz w:val="16"/>
          <w:szCs w:val="16"/>
          <w:color w:val="auto"/>
        </w:rPr>
        <w:t>‑</w:t>
      </w:r>
      <w:r>
        <w:rPr>
          <w:rFonts w:ascii="Arial" w:cs="Arial" w:eastAsia="Arial" w:hAnsi="Arial"/>
          <w:sz w:val="16"/>
          <w:szCs w:val="16"/>
          <w:color w:val="auto"/>
        </w:rPr>
        <w:t>Term Incentive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has granted (as of the effective date of grant specified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 to the Grantee a Stock Option to purchase the number of shares of the Company’s common stock, $0.001 par value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as set forth in the </w:t>
      </w:r>
      <w:r>
        <w:rPr>
          <w:rFonts w:ascii="Arial" w:cs="Arial" w:eastAsia="Arial" w:hAnsi="Arial"/>
          <w:sz w:val="16"/>
          <w:szCs w:val="16"/>
          <w:i w:val="1"/>
          <w:iCs w:val="1"/>
          <w:color w:val="auto"/>
        </w:rPr>
        <w:t>Notice of Grant of Stock Options</w:t>
      </w:r>
      <w:r>
        <w:rPr>
          <w:rFonts w:ascii="Arial" w:cs="Arial" w:eastAsia="Arial" w:hAnsi="Arial"/>
          <w:sz w:val="16"/>
          <w:szCs w:val="16"/>
          <w:color w:val="auto"/>
        </w:rPr>
        <w:t>.</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covenants and agreements herein contained, the parties agree as follows:</w:t>
      </w:r>
    </w:p>
    <w:p>
      <w:pPr>
        <w:spacing w:after="0" w:line="113" w:lineRule="exact"/>
        <w:rPr>
          <w:sz w:val="20"/>
          <w:szCs w:val="20"/>
          <w:color w:val="auto"/>
        </w:rPr>
      </w:pPr>
    </w:p>
    <w:p>
      <w:pPr>
        <w:jc w:val="both"/>
        <w:ind w:firstLine="656"/>
        <w:spacing w:after="0" w:line="281" w:lineRule="auto"/>
        <w:tabs>
          <w:tab w:leader="none" w:pos="1008"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Grant of Award. </w:t>
      </w:r>
      <w:r>
        <w:rPr>
          <w:rFonts w:ascii="Arial" w:cs="Arial" w:eastAsia="Arial" w:hAnsi="Arial"/>
          <w:sz w:val="17"/>
          <w:szCs w:val="17"/>
          <w:color w:val="auto"/>
        </w:rPr>
        <w:t>Pursuant to Section 12 of the Plan, the Company grants to the Grantee, subject to the terms and conditions of the Plan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further to the terms and conditions set forth herein, the option (the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to purchase from the Company all or any part of an aggregate of shares of Common Stock at the purchase price per share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No part of the Option granted hereby is intended to qualify as an Incentive Stock Option under Section 422 of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w:t>
      </w:r>
    </w:p>
    <w:p>
      <w:pPr>
        <w:spacing w:after="0" w:line="56" w:lineRule="exact"/>
        <w:rPr>
          <w:rFonts w:ascii="Arial" w:cs="Arial" w:eastAsia="Arial" w:hAnsi="Arial"/>
          <w:sz w:val="17"/>
          <w:szCs w:val="17"/>
          <w:b w:val="1"/>
          <w:bCs w:val="1"/>
          <w:color w:val="auto"/>
        </w:rPr>
      </w:pPr>
    </w:p>
    <w:p>
      <w:pPr>
        <w:jc w:val="both"/>
        <w:ind w:firstLine="656"/>
        <w:spacing w:after="0" w:line="270" w:lineRule="auto"/>
        <w:tabs>
          <w:tab w:leader="none" w:pos="1023"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Exercise. </w:t>
      </w:r>
      <w:r>
        <w:rPr>
          <w:rFonts w:ascii="Arial" w:cs="Arial" w:eastAsia="Arial" w:hAnsi="Arial"/>
          <w:sz w:val="17"/>
          <w:szCs w:val="17"/>
          <w:color w:val="auto"/>
        </w:rPr>
        <w:t>(a) The Option is exercisable in installments as provided on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To the extent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Option has become exercisable with respect to the number of shares of Common Stock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subject to the terms and conditions of the Plan, including without limitation, Section 7(c)(2) of the Plan, the Option may thereafter be exercised by the Grantee, in whole or in part, at any time or from time to time prior to the expiration of the Option in accordance with the requirements set forth in Section 7(c)(3) of the Plan, including, without limitation, the filing of such written form of exercise notice as may be provided by the Company, and in accordance with applicable tax and other laws. In addition to the methods of payment described in Section 7(c)(3) of the Plan, the Grantee shall be eligible to pay for shares of Common Stock purchased upon the exercise of the Option by directing the Company to withhold shares of Common Stock that would otherwise be issued pursuant to the Option exercise having an aggregate Fair Market Value (as measured on the date of exercise) equal to the aggregate Option exercise price due upon such exercise. The Grantee acknowledges that it is the Grantee’s responsibility to satisfy any federal, state and local tax requirements related to the exercise of the Option.</w:t>
      </w:r>
    </w:p>
    <w:p>
      <w:pPr>
        <w:spacing w:after="0" w:line="101" w:lineRule="exact"/>
        <w:rPr>
          <w:sz w:val="20"/>
          <w:szCs w:val="20"/>
          <w:color w:val="auto"/>
        </w:rPr>
      </w:pPr>
    </w:p>
    <w:p>
      <w:pPr>
        <w:jc w:val="both"/>
        <w:ind w:firstLine="656"/>
        <w:spacing w:after="0" w:line="319" w:lineRule="auto"/>
        <w:tabs>
          <w:tab w:leader="none" w:pos="1506"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indicates each date upon which the Grantee shall be entitled to exercise the Option with respect to the number of shares of Common Stock granted as indicated provided that (except as set forth below with respect to Retirement or the Grantee’s death) the Grantee has not incurred a termination of service as a member of the Board prior to such date. There shall be no proportionate or partial vesting in the periods between the Full Vest Dates specified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and all vesting shall occur only on such Full Vest Dates. Except as otherwise provided below or in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or as may be otherwise determined by the Committee in accordance with Section 12(e) of the Plan, no vesting shall occur after such date as the Grantee ceases to be on the Board and the entire unvested portion of the Option shall be forfeited at such time. Notwithstanding the preceding sentence, upon the Grantee’s Retirement from service on the Board, the Option shall continue to vest in installments as provided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xml:space="preserve"> as if the Grantee had remained in service on the Board. For purposes of this Agreement, “</w:t>
      </w:r>
      <w:r>
        <w:rPr>
          <w:rFonts w:ascii="Arial" w:cs="Arial" w:eastAsia="Arial" w:hAnsi="Arial"/>
          <w:sz w:val="17"/>
          <w:szCs w:val="17"/>
          <w:u w:val="single" w:color="auto"/>
          <w:color w:val="auto"/>
        </w:rPr>
        <w:t>Retirement</w:t>
      </w:r>
      <w:r>
        <w:rPr>
          <w:rFonts w:ascii="Arial" w:cs="Arial" w:eastAsia="Arial" w:hAnsi="Arial"/>
          <w:sz w:val="17"/>
          <w:szCs w:val="17"/>
          <w:color w:val="auto"/>
        </w:rPr>
        <w:t>” shall mean a voluntary termination of service on the Board (including by not standing for re-election) by the Grantee at a time when the Grantee meets both of the following criteria: the Grantee has served as a member of the Board for a minimum of three (3) years, and the combination of the Grantee’s age and total years of service as a member of the Board equals a minimum of 80.</w:t>
      </w:r>
    </w:p>
    <w:p>
      <w:pPr>
        <w:spacing w:after="0" w:line="45" w:lineRule="exact"/>
        <w:rPr>
          <w:rFonts w:ascii="Arial" w:cs="Arial" w:eastAsia="Arial" w:hAnsi="Arial"/>
          <w:sz w:val="17"/>
          <w:szCs w:val="17"/>
          <w:color w:val="auto"/>
        </w:rPr>
      </w:pPr>
    </w:p>
    <w:p>
      <w:pPr>
        <w:jc w:val="both"/>
        <w:ind w:left="80" w:firstLine="644"/>
        <w:spacing w:after="0" w:line="259" w:lineRule="auto"/>
        <w:tabs>
          <w:tab w:leader="none" w:pos="973"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Notwithstanding anything herein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the Grantee’s death if the Grantee’s service on the Board has not terminated prior to the Grantee’s death. In addition, and also notwithstanding anything herein (except the following sentence) or in the </w:t>
      </w:r>
      <w:r>
        <w:rPr>
          <w:rFonts w:ascii="Arial" w:cs="Arial" w:eastAsia="Arial" w:hAnsi="Arial"/>
          <w:sz w:val="18"/>
          <w:szCs w:val="18"/>
          <w:i w:val="1"/>
          <w:iCs w:val="1"/>
          <w:color w:val="auto"/>
        </w:rPr>
        <w:t>Notice of Grant of Stock Options</w:t>
      </w:r>
      <w:r>
        <w:rPr>
          <w:rFonts w:ascii="Arial" w:cs="Arial" w:eastAsia="Arial" w:hAnsi="Arial"/>
          <w:sz w:val="18"/>
          <w:szCs w:val="18"/>
          <w:color w:val="auto"/>
        </w:rPr>
        <w:t xml:space="preserve"> to the contrary, the Option shall be fully vested on the date of a Change in Control if the Grantee’s service on the Board</w:t>
      </w:r>
    </w:p>
    <w:p>
      <w:pPr>
        <w:sectPr>
          <w:pgSz w:w="11900" w:h="16838" w:orient="portrait"/>
          <w:cols w:equalWidth="0" w:num="1">
            <w:col w:w="11420"/>
          </w:cols>
          <w:pgMar w:left="240" w:top="206"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t>Exhibit 10.2.10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80"/>
        <w:spacing w:after="0" w:line="269" w:lineRule="auto"/>
        <w:rPr>
          <w:sz w:val="20"/>
          <w:szCs w:val="20"/>
          <w:color w:val="auto"/>
        </w:rPr>
      </w:pPr>
      <w:r>
        <w:rPr>
          <w:rFonts w:ascii="Arial" w:cs="Arial" w:eastAsia="Arial" w:hAnsi="Arial"/>
          <w:sz w:val="17"/>
          <w:szCs w:val="17"/>
          <w:color w:val="auto"/>
        </w:rPr>
        <w:t>has not terminated prior to such date. If the application of the provision in the foregoing sentence, similar provisions in other stock option or restricted stock grants, and other payments and benefits payable to the Grantee in connection with a Change in Control (collectively, the “</w:t>
      </w:r>
      <w:r>
        <w:rPr>
          <w:rFonts w:ascii="Arial" w:cs="Arial" w:eastAsia="Arial" w:hAnsi="Arial"/>
          <w:sz w:val="17"/>
          <w:szCs w:val="17"/>
          <w:u w:val="single" w:color="auto"/>
          <w:color w:val="auto"/>
        </w:rPr>
        <w:t>Company Payments</w:t>
      </w:r>
      <w:r>
        <w:rPr>
          <w:rFonts w:ascii="Arial" w:cs="Arial" w:eastAsia="Arial" w:hAnsi="Arial"/>
          <w:sz w:val="17"/>
          <w:szCs w:val="17"/>
          <w:color w:val="auto"/>
        </w:rPr>
        <w:t>”) would result in the Grantee being subject to the excise tax payable under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xml:space="preserve">”), the amount of any Company Payments shall be automatically reduced to an amount one dollar less than an amount that would subject the Grantee to the Excise Tax;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reduction shall occur only if the reduced Company Payments received by the Grantee (after taking into account further reductions for applicable federal, state and local income, social security and other taxes) would be greater than the unreduced Company Payments to be received by the Grantee minus (i) the Excise Tax payable with respect to such Company Payments and (ii) all applicable federal, state and local income, social security and other taxes on such Company Payments. If the Company Payments are to be reduced in accordance with the foregoing, the Company Payments shall be reduced as mutually agreed between the Company and the Grantee or, in the event the parties cannot agree, in the following order: (1) acceleration of vesting of any option where the exercise price exceeds the fair market value of the underlying shares at the time the acceleration would otherwise occur; (2) any lump sum severance based on a multiple of base salary or bonus; (3) any other cash amounts payable to the Grantee; (4) any benefits valued as parachute payments; and (5) acceleration of vesting of any equity not covered by (1) above.</w:t>
      </w:r>
    </w:p>
    <w:p>
      <w:pPr>
        <w:spacing w:after="0" w:line="176" w:lineRule="exact"/>
        <w:rPr>
          <w:sz w:val="20"/>
          <w:szCs w:val="20"/>
          <w:color w:val="auto"/>
        </w:rPr>
      </w:pPr>
    </w:p>
    <w:p>
      <w:pPr>
        <w:jc w:val="both"/>
        <w:ind w:firstLine="656"/>
        <w:spacing w:after="0" w:line="219" w:lineRule="exact"/>
        <w:tabs>
          <w:tab w:leader="none" w:pos="981"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Term. </w:t>
      </w:r>
      <w:r>
        <w:rPr>
          <w:rFonts w:ascii="Arial" w:cs="Arial" w:eastAsia="Arial" w:hAnsi="Arial"/>
          <w:sz w:val="17"/>
          <w:szCs w:val="17"/>
          <w:color w:val="auto"/>
        </w:rPr>
        <w:t>Except as otherwise provided in the next sentence or in the Plan, the Option shall expire on the tenth anniversary of the grant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Option as shown on the </w:t>
      </w:r>
      <w:r>
        <w:rPr>
          <w:rFonts w:ascii="Arial" w:cs="Arial" w:eastAsia="Arial" w:hAnsi="Arial"/>
          <w:sz w:val="17"/>
          <w:szCs w:val="17"/>
          <w:i w:val="1"/>
          <w:iCs w:val="1"/>
          <w:color w:val="auto"/>
        </w:rPr>
        <w:t>Notice of Grant of Stock Options</w:t>
      </w:r>
      <w:r>
        <w:rPr>
          <w:rFonts w:ascii="Arial" w:cs="Arial" w:eastAsia="Arial" w:hAnsi="Arial"/>
          <w:sz w:val="17"/>
          <w:szCs w:val="17"/>
          <w:color w:val="auto"/>
        </w:rPr>
        <w:t>. In the event of termination of service as a member of the Board of the Company, except as may be otherwise determined by the Committee in accordance with Section 12(e) of the Plan, the vested portion of the Option shall expire on the earlier of (i) the tenth anniversary of this grant, or (ii)(A) subject to (D) below, three months after such termination if such termination is for any reason other than death, Retirement, or long</w:t>
      </w:r>
      <w:r>
        <w:rPr>
          <w:rFonts w:ascii="MS PGothic" w:cs="MS PGothic" w:eastAsia="MS PGothic" w:hAnsi="MS PGothic"/>
          <w:sz w:val="17"/>
          <w:szCs w:val="17"/>
          <w:color w:val="auto"/>
        </w:rPr>
        <w:t>‑</w:t>
      </w:r>
      <w:r>
        <w:rPr>
          <w:rFonts w:ascii="Arial" w:cs="Arial" w:eastAsia="Arial" w:hAnsi="Arial"/>
          <w:sz w:val="17"/>
          <w:szCs w:val="17"/>
          <w:color w:val="auto"/>
        </w:rPr>
        <w:t>term disability, (B) the tenth anniversary of this grant if such termination is due to Retirement or death, (C) one year after the termination if such termination is due to the Grantee’s long</w:t>
      </w:r>
      <w:r>
        <w:rPr>
          <w:rFonts w:ascii="MS PGothic" w:cs="MS PGothic" w:eastAsia="MS PGothic" w:hAnsi="MS PGothic"/>
          <w:sz w:val="17"/>
          <w:szCs w:val="17"/>
          <w:color w:val="auto"/>
        </w:rPr>
        <w:t>‑</w:t>
      </w:r>
      <w:r>
        <w:rPr>
          <w:rFonts w:ascii="Arial" w:cs="Arial" w:eastAsia="Arial" w:hAnsi="Arial"/>
          <w:sz w:val="17"/>
          <w:szCs w:val="17"/>
          <w:color w:val="auto"/>
        </w:rPr>
        <w:t>term disability or (D) one year after such termination if such termination is at any time within two years after the occurrence of a Change in Control and is not due to death, Retirement, or long-term disability.</w:t>
      </w:r>
    </w:p>
    <w:p>
      <w:pPr>
        <w:spacing w:after="0" w:line="92" w:lineRule="exact"/>
        <w:rPr>
          <w:rFonts w:ascii="Arial" w:cs="Arial" w:eastAsia="Arial" w:hAnsi="Arial"/>
          <w:sz w:val="17"/>
          <w:szCs w:val="17"/>
          <w:b w:val="1"/>
          <w:bCs w:val="1"/>
          <w:color w:val="auto"/>
        </w:rPr>
      </w:pPr>
    </w:p>
    <w:p>
      <w:pPr>
        <w:jc w:val="both"/>
        <w:ind w:firstLine="656"/>
        <w:spacing w:after="0" w:line="254" w:lineRule="auto"/>
        <w:tabs>
          <w:tab w:leader="none" w:pos="1038"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Option. </w:t>
      </w:r>
      <w:r>
        <w:rPr>
          <w:rFonts w:ascii="Arial" w:cs="Arial" w:eastAsia="Arial" w:hAnsi="Arial"/>
          <w:sz w:val="18"/>
          <w:szCs w:val="18"/>
          <w:color w:val="auto"/>
        </w:rPr>
        <w:t>The Option granted hereby shall not be transferable other than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distribution. During the lifetime of the Grantee, this Option shall be exercisable only by the Grantee. In addition, except as otherwise provided in this Agreement, the Option shall not be assigned, negotiated, pledged or hypothecated in any way (whether by operation of law or otherwise), and the Option shall not be subject to execution, attachment or similar process. Upon any other attempt to transfer, assign, negotiate, pledge or hypothecate the Option, or in the event of any levy upon the option by reason of any execution, attachment, or similar process contrary to the provisions hereof, the Option shall immediately become null and void. Notwithstanding the foregoing provisions of this Section 4, subject to the approval of the Committee in its sole and absolute discretion and to any conditions that the Committee may prescribe, the Grantee may, upon providing written notice to the Company, elect to transfer the Option to members of his or her immediate family, including, but not limited to, children, grandchildren and spouse or to trusts for the benefit of such immediate family members or to partnerships in which such family members are the only partners;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transfer may be made in exchange for consideration.</w:t>
      </w:r>
    </w:p>
    <w:p>
      <w:pPr>
        <w:spacing w:after="0" w:line="78" w:lineRule="exact"/>
        <w:rPr>
          <w:rFonts w:ascii="Arial" w:cs="Arial" w:eastAsia="Arial" w:hAnsi="Arial"/>
          <w:sz w:val="18"/>
          <w:szCs w:val="18"/>
          <w:b w:val="1"/>
          <w:bCs w:val="1"/>
          <w:color w:val="auto"/>
        </w:rPr>
      </w:pPr>
    </w:p>
    <w:p>
      <w:pPr>
        <w:jc w:val="both"/>
        <w:ind w:firstLine="656"/>
        <w:spacing w:after="0" w:line="281" w:lineRule="auto"/>
        <w:tabs>
          <w:tab w:leader="none" w:pos="979"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Rights of a Shareholder. </w:t>
      </w:r>
      <w:r>
        <w:rPr>
          <w:rFonts w:ascii="Arial" w:cs="Arial" w:eastAsia="Arial" w:hAnsi="Arial"/>
          <w:sz w:val="17"/>
          <w:szCs w:val="17"/>
          <w:color w:val="auto"/>
        </w:rPr>
        <w:t>The Grantee shall have no rights as a shareholder with respect to any shares of Common Stock subject to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issuance to the Grantee of a certificate or certificates or book-entry registration or registrations for such shares. Except as provided in Section 3(c) of the Plan, no adjustment shall be made for dividends in cash or other property, distributions, or other rights with respect to such shares for which the record date is prior to the date upon which the Grantee shall become the holder of record therefor.</w:t>
      </w:r>
    </w:p>
    <w:p>
      <w:pPr>
        <w:spacing w:after="0" w:line="56" w:lineRule="exact"/>
        <w:rPr>
          <w:rFonts w:ascii="Arial" w:cs="Arial" w:eastAsia="Arial" w:hAnsi="Arial"/>
          <w:sz w:val="17"/>
          <w:szCs w:val="17"/>
          <w:b w:val="1"/>
          <w:bCs w:val="1"/>
          <w:color w:val="auto"/>
        </w:rPr>
      </w:pPr>
    </w:p>
    <w:p>
      <w:pPr>
        <w:jc w:val="both"/>
        <w:ind w:firstLine="656"/>
        <w:spacing w:after="0" w:line="288" w:lineRule="auto"/>
        <w:tabs>
          <w:tab w:leader="none" w:pos="984"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Law and Regulations. </w:t>
      </w:r>
      <w:r>
        <w:rPr>
          <w:rFonts w:ascii="Arial" w:cs="Arial" w:eastAsia="Arial" w:hAnsi="Arial"/>
          <w:sz w:val="16"/>
          <w:szCs w:val="16"/>
          <w:color w:val="auto"/>
        </w:rPr>
        <w:t>This Agreement, the award hereunder and any obligation of the Company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applicable federal, state and local laws, rules and regulations and to such approvals by any government or regulatory agency as may be required. The Company shall be under no obligation to effect the registration pursuant to federal securities laws of any interests in the Plan or any shares of Common Stock to be issued hereunder or to effect similar compliance under any state laws. The Company shall not be obligated to cause to be issued or delivered any certificates or register book entries evidencing shares of Common Stock pursuant to this Agreement unless and until the Company is advised by its counsel that the issuance and delivery of such certificates or the registration of such book entries is in compliance with all applicable laws, regulations of governmental authority and the requirements of any securities exchange on which shares of Common Stock are traded. The Committee may require, as a condition of the issuance and delivery of certificates or the registration of book entries evidencing shares of Common Stock pursuant to the terms hereof, that the recipient of such shares make such agreements and representations, and that such certificates and book entries bear or be subject to such legends, as the Committee, in its sole discretion, deems necessary or desirable. Except to the extent preempted by any applicable federal law, this Agreement shall be construed and administered in accordance with the laws of the State of New York without reference to its principles of conflicts of law.</w:t>
      </w:r>
    </w:p>
    <w:p>
      <w:pPr>
        <w:spacing w:after="0" w:line="56" w:lineRule="exact"/>
        <w:rPr>
          <w:rFonts w:ascii="Arial" w:cs="Arial" w:eastAsia="Arial" w:hAnsi="Arial"/>
          <w:sz w:val="16"/>
          <w:szCs w:val="16"/>
          <w:b w:val="1"/>
          <w:bCs w:val="1"/>
          <w:color w:val="auto"/>
        </w:rPr>
      </w:pPr>
    </w:p>
    <w:p>
      <w:pPr>
        <w:ind w:firstLine="656"/>
        <w:spacing w:after="0" w:line="282" w:lineRule="auto"/>
        <w:tabs>
          <w:tab w:leader="none" w:pos="10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Grantee Bound by Plan. </w:t>
      </w:r>
      <w:r>
        <w:rPr>
          <w:rFonts w:ascii="Arial" w:cs="Arial" w:eastAsia="Arial" w:hAnsi="Arial"/>
          <w:sz w:val="18"/>
          <w:szCs w:val="18"/>
          <w:color w:val="auto"/>
        </w:rPr>
        <w:t>The Grantee acknowledges receipt of a copy of the Plan and agrees to be bound by all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which are incorporated herein by reference. To the extent that this Agreement is silent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06"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t>Exhibit 10.2.10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 to, or in any way inconsistent with, the terms of the Plan, the provisions of the Plan shall govern and this Agreement shall be deemed to be modified accordingly.</w:t>
      </w:r>
    </w:p>
    <w:p>
      <w:pPr>
        <w:spacing w:after="0" w:line="58" w:lineRule="exact"/>
        <w:rPr>
          <w:sz w:val="20"/>
          <w:szCs w:val="20"/>
          <w:color w:val="auto"/>
        </w:rPr>
      </w:pPr>
    </w:p>
    <w:p>
      <w:pPr>
        <w:jc w:val="both"/>
        <w:ind w:firstLine="656"/>
        <w:spacing w:after="0" w:line="258" w:lineRule="auto"/>
        <w:tabs>
          <w:tab w:leader="none" w:pos="1004"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or communication given hereunder shall be in writing and shall be deemed given when delivered in person, or by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mail, at the following addresses: (i) if to the Company, to: Regeneron Pharmaceuticals, Inc., 777 Old Saw Mill River Road, Tarrytown, NY 10591, Attention: Secretary, and (ii) if to the Grantee, to: the Grantee at Regeneron Pharmaceuticals, Inc., 777 Old Saw Mill River Road, Tarrytown, NY 10591, or, if the Grantee has terminated service, to the last address for the Grantee indicated in the records of the Company, or such other address as the relevant party shall specify at any time hereafter in accordance with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06"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6"/>
          <w:szCs w:val="16"/>
          <w:color w:val="auto"/>
        </w:rPr>
        <w:t>Exhibit 10.26.4</w:t>
      </w:r>
    </w:p>
    <w:p>
      <w:pPr>
        <w:sectPr>
          <w:pgSz w:w="11900" w:h="16838" w:orient="portrait"/>
          <w:cols w:equalWidth="0" w:num="1">
            <w:col w:w="11420"/>
          </w:cols>
          <w:pgMar w:left="240" w:top="46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November 15, 2015</w:t>
      </w:r>
    </w:p>
    <w:p>
      <w:pPr>
        <w:spacing w:after="0" w:line="200" w:lineRule="exact"/>
        <w:rPr>
          <w:sz w:val="20"/>
          <w:szCs w:val="20"/>
          <w:color w:val="auto"/>
        </w:rPr>
      </w:pPr>
    </w:p>
    <w:p>
      <w:pPr>
        <w:sectPr>
          <w:pgSz w:w="11900" w:h="16838" w:orient="portrait"/>
          <w:cols w:equalWidth="0" w:num="2">
            <w:col w:w="1160" w:space="720"/>
            <w:col w:w="9540"/>
          </w:cols>
          <w:pgMar w:left="240" w:top="463" w:right="239" w:bottom="1440" w:gutter="0" w:footer="0" w:header="0"/>
          <w:type w:val="continuous"/>
        </w:sect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Regeneron Pharmaceuticals, Inc.</w:t>
      </w:r>
    </w:p>
    <w:p>
      <w:pPr>
        <w:spacing w:after="0" w:line="97" w:lineRule="exact"/>
        <w:rPr>
          <w:sz w:val="20"/>
          <w:szCs w:val="20"/>
          <w:color w:val="auto"/>
        </w:rPr>
      </w:pPr>
    </w:p>
    <w:p>
      <w:pPr>
        <w:sectPr>
          <w:pgSz w:w="11900" w:h="16838" w:orient="portrait"/>
          <w:cols w:equalWidth="0" w:num="2">
            <w:col w:w="1160" w:space="720"/>
            <w:col w:w="9540"/>
          </w:cols>
          <w:pgMar w:left="240" w:top="463" w:right="23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777 Old Saw Mill River Road</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Tarrytown, NY 10591-6707</w:t>
      </w:r>
    </w:p>
    <w:p>
      <w:pPr>
        <w:sectPr>
          <w:pgSz w:w="11900" w:h="16838" w:orient="portrait"/>
          <w:cols w:equalWidth="0" w:num="1">
            <w:col w:w="11420"/>
          </w:cols>
          <w:pgMar w:left="240" w:top="463" w:right="239" w:bottom="1440" w:gutter="0" w:footer="0" w:header="0"/>
          <w:type w:val="continuous"/>
        </w:sect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Attention:</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Dominick Agron</w:t>
      </w:r>
    </w:p>
    <w:p>
      <w:pPr>
        <w:spacing w:after="0" w:line="75" w:lineRule="exact"/>
        <w:rPr>
          <w:sz w:val="20"/>
          <w:szCs w:val="20"/>
          <w:color w:val="auto"/>
        </w:rPr>
      </w:pPr>
    </w:p>
    <w:p>
      <w:pPr>
        <w:sectPr>
          <w:pgSz w:w="11900" w:h="16838" w:orient="portrait"/>
          <w:cols w:equalWidth="0" w:num="2">
            <w:col w:w="1240" w:space="640"/>
            <w:col w:w="9540"/>
          </w:cols>
          <w:pgMar w:left="240" w:top="463" w:right="239" w:bottom="1440" w:gutter="0" w:footer="0" w:header="0"/>
          <w:type w:val="continuous"/>
        </w:sectPr>
      </w:pPr>
    </w:p>
    <w:p>
      <w:pPr>
        <w:ind w:left="1880"/>
        <w:spacing w:after="0"/>
        <w:rPr>
          <w:sz w:val="20"/>
          <w:szCs w:val="20"/>
          <w:color w:val="auto"/>
        </w:rPr>
      </w:pPr>
      <w:r>
        <w:rPr>
          <w:rFonts w:ascii="Arial" w:cs="Arial" w:eastAsia="Arial" w:hAnsi="Arial"/>
          <w:sz w:val="18"/>
          <w:szCs w:val="18"/>
          <w:color w:val="auto"/>
        </w:rPr>
        <w:t>VP and Treasurer</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777 Old Saw Mill River Road</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Tarrytown, NY 10591-6707</w:t>
      </w:r>
    </w:p>
    <w:p>
      <w:pPr>
        <w:sectPr>
          <w:pgSz w:w="11900" w:h="16838" w:orient="portrait"/>
          <w:cols w:equalWidth="0" w:num="1">
            <w:col w:w="11420"/>
          </w:cols>
          <w:pgMar w:left="240" w:top="463" w:right="239" w:bottom="1440" w:gutter="0" w:footer="0" w:header="0"/>
          <w:type w:val="continuous"/>
        </w:sect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Facsimile: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(914) 847-1555</w:t>
      </w:r>
    </w:p>
    <w:p>
      <w:pPr>
        <w:spacing w:after="0" w:line="200" w:lineRule="exact"/>
        <w:rPr>
          <w:sz w:val="20"/>
          <w:szCs w:val="20"/>
          <w:color w:val="auto"/>
        </w:rPr>
      </w:pPr>
    </w:p>
    <w:p>
      <w:pPr>
        <w:sectPr>
          <w:pgSz w:w="11900" w:h="16838" w:orient="portrait"/>
          <w:cols w:equalWidth="0" w:num="2">
            <w:col w:w="1260" w:space="620"/>
            <w:col w:w="9540"/>
          </w:cols>
          <w:pgMar w:left="240" w:top="463" w:right="239" w:bottom="1440" w:gutter="0" w:footer="0" w:header="0"/>
          <w:type w:val="continuous"/>
        </w:sectPr>
      </w:pPr>
    </w:p>
    <w:p>
      <w:pPr>
        <w:spacing w:after="0" w:line="2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Credit Suisse Capital LLC</w:t>
      </w:r>
    </w:p>
    <w:p>
      <w:pPr>
        <w:spacing w:after="0" w:line="86" w:lineRule="exact"/>
        <w:rPr>
          <w:sz w:val="20"/>
          <w:szCs w:val="20"/>
          <w:color w:val="auto"/>
        </w:rPr>
      </w:pPr>
    </w:p>
    <w:p>
      <w:pPr>
        <w:sectPr>
          <w:pgSz w:w="11900" w:h="16838" w:orient="portrait"/>
          <w:cols w:equalWidth="0" w:num="2">
            <w:col w:w="1160" w:space="720"/>
            <w:col w:w="9540"/>
          </w:cols>
          <w:pgMar w:left="240" w:top="463" w:right="239" w:bottom="1440" w:gutter="0" w:footer="0" w:header="0"/>
          <w:type w:val="continuous"/>
        </w:sectPr>
      </w:pPr>
    </w:p>
    <w:p>
      <w:pPr>
        <w:ind w:left="1880"/>
        <w:spacing w:after="0"/>
        <w:rPr>
          <w:sz w:val="20"/>
          <w:szCs w:val="20"/>
          <w:color w:val="auto"/>
        </w:rPr>
      </w:pPr>
      <w:r>
        <w:rPr>
          <w:rFonts w:ascii="Arial" w:cs="Arial" w:eastAsia="Arial" w:hAnsi="Arial"/>
          <w:sz w:val="18"/>
          <w:szCs w:val="18"/>
          <w:color w:val="auto"/>
        </w:rPr>
        <w:t>Eleven Madison Avenue</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10010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With Credit Suisse Securities (USA) LLC as agent</w:t>
      </w:r>
    </w:p>
    <w:p>
      <w:pPr>
        <w:spacing w:after="0" w:line="8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Eleven Madison Avenue</w:t>
      </w:r>
    </w:p>
    <w:p>
      <w:pPr>
        <w:spacing w:after="0" w:line="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New York, NY 10010</w:t>
      </w:r>
    </w:p>
    <w:p>
      <w:pPr>
        <w:sectPr>
          <w:pgSz w:w="11900" w:h="16838" w:orient="portrait"/>
          <w:cols w:equalWidth="0" w:num="1">
            <w:col w:w="11420"/>
          </w:cols>
          <w:pgMar w:left="240" w:top="463" w:right="239" w:bottom="1440" w:gutter="0" w:footer="0" w:header="0"/>
          <w:type w:val="continuous"/>
        </w:sectPr>
      </w:pPr>
    </w:p>
    <w:p>
      <w:pPr>
        <w:spacing w:after="0" w:line="38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Fourth Amendment of the Warrant Transaction between Credit Suisse Capital LLC and</w:t>
      </w:r>
    </w:p>
    <w:p>
      <w:pPr>
        <w:spacing w:after="0" w:line="82" w:lineRule="exact"/>
        <w:rPr>
          <w:sz w:val="20"/>
          <w:szCs w:val="20"/>
          <w:color w:val="auto"/>
        </w:rPr>
      </w:pPr>
    </w:p>
    <w:p>
      <w:pPr>
        <w:sectPr>
          <w:pgSz w:w="11900" w:h="16838" w:orient="portrait"/>
          <w:cols w:equalWidth="0" w:num="2">
            <w:col w:w="1160" w:space="720"/>
            <w:col w:w="9540"/>
          </w:cols>
          <w:pgMar w:left="240" w:top="463" w:right="239" w:bottom="1440" w:gutter="0" w:footer="0" w:header="0"/>
          <w:type w:val="continuous"/>
        </w:sectPr>
      </w:pPr>
    </w:p>
    <w:p>
      <w:pPr>
        <w:ind w:left="1880"/>
        <w:spacing w:after="0"/>
        <w:rPr>
          <w:sz w:val="20"/>
          <w:szCs w:val="20"/>
          <w:color w:val="auto"/>
        </w:rPr>
      </w:pPr>
      <w:r>
        <w:rPr>
          <w:rFonts w:ascii="Arial" w:cs="Arial" w:eastAsia="Arial" w:hAnsi="Arial"/>
          <w:sz w:val="16"/>
          <w:szCs w:val="16"/>
          <w:color w:val="auto"/>
        </w:rPr>
        <w:t>Regeneron Pharmaceuticals, Inc. (this "</w:t>
      </w:r>
      <w:r>
        <w:rPr>
          <w:rFonts w:ascii="Arial" w:cs="Arial" w:eastAsia="Arial" w:hAnsi="Arial"/>
          <w:sz w:val="16"/>
          <w:szCs w:val="16"/>
          <w:b w:val="1"/>
          <w:bCs w:val="1"/>
          <w:color w:val="auto"/>
        </w:rPr>
        <w:t>Amendment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Credit Suisse Capital LLC (“</w:t>
      </w:r>
      <w:r>
        <w:rPr>
          <w:rFonts w:ascii="Arial" w:cs="Arial" w:eastAsia="Arial" w:hAnsi="Arial"/>
          <w:sz w:val="18"/>
          <w:szCs w:val="18"/>
          <w:b w:val="1"/>
          <w:bCs w:val="1"/>
          <w:color w:val="auto"/>
        </w:rPr>
        <w:t>CS</w:t>
      </w:r>
      <w:r>
        <w:rPr>
          <w:rFonts w:ascii="Arial" w:cs="Arial" w:eastAsia="Arial" w:hAnsi="Arial"/>
          <w:sz w:val="18"/>
          <w:szCs w:val="18"/>
          <w:color w:val="auto"/>
        </w:rPr>
        <w:t>”) and Regeneron Pharmaceuticals, Inc. (“</w:t>
      </w:r>
      <w:r>
        <w:rPr>
          <w:rFonts w:ascii="Arial" w:cs="Arial" w:eastAsia="Arial" w:hAnsi="Arial"/>
          <w:sz w:val="18"/>
          <w:szCs w:val="18"/>
          <w:b w:val="1"/>
          <w:bCs w:val="1"/>
          <w:color w:val="auto"/>
        </w:rPr>
        <w:t>Issuer</w:t>
      </w:r>
      <w:r>
        <w:rPr>
          <w:rFonts w:ascii="Arial" w:cs="Arial" w:eastAsia="Arial" w:hAnsi="Arial"/>
          <w:sz w:val="18"/>
          <w:szCs w:val="18"/>
          <w:color w:val="auto"/>
        </w:rPr>
        <w:t>”) are parties to a warrant transaction pursuant to a November 13, 2013 assignment by Credit Suisse International, an affiliate of Dealer, to CS of such warrant transaction. The warrant transaction is evidenced by the Master Terms and Conditions for Base Warrants Issued by Regeneron Pharmaceuticals, Inc. dated as of October 18, 2011, supplemented by the written confirmation dated as of October 18, 2011 and amended by the Amendment, dated as of May 14, 2014, the Second Amendment, dated as of November 18, 2014, and the Third Amendment, dated as of November 24, 2014 (as so amended, the “</w:t>
      </w:r>
      <w:r>
        <w:rPr>
          <w:rFonts w:ascii="Arial" w:cs="Arial" w:eastAsia="Arial" w:hAnsi="Arial"/>
          <w:sz w:val="18"/>
          <w:szCs w:val="18"/>
          <w:b w:val="1"/>
          <w:bCs w:val="1"/>
          <w:color w:val="auto"/>
        </w:rPr>
        <w:t>Confirmation</w:t>
      </w:r>
      <w:r>
        <w:rPr>
          <w:rFonts w:ascii="Arial" w:cs="Arial" w:eastAsia="Arial" w:hAnsi="Arial"/>
          <w:sz w:val="18"/>
          <w:szCs w:val="18"/>
          <w:color w:val="auto"/>
        </w:rPr>
        <w:t>”). Terms used herein but are not otherwise defined shall have meanings assigned to them in the Confirmation.</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effectiveness of each daily amendment as set forth in Paragraph 1 below, all references in the Confirmation to the “Number of Warrants” will be deemed to be to the Number of Warrants as amended hereby and all references in the Confirmation to the “Transaction” will be deemed to be to the Transaction as amended hereby.</w:t>
      </w:r>
    </w:p>
    <w:p>
      <w:pPr>
        <w:spacing w:after="0" w:line="181" w:lineRule="exact"/>
        <w:rPr>
          <w:sz w:val="20"/>
          <w:szCs w:val="20"/>
          <w:color w:val="auto"/>
        </w:rPr>
      </w:pPr>
    </w:p>
    <w:p>
      <w:pPr>
        <w:jc w:val="both"/>
        <w:ind w:firstLine="656"/>
        <w:spacing w:after="0" w:line="226" w:lineRule="auto"/>
        <w:tabs>
          <w:tab w:leader="none" w:pos="842"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For each Unwind Date (as defined below), effective upon the closeout of Dealer’s Hedge Positions on such Unwind Date,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Warrants for each Component of the Transaction shall be reduced by 1/80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Daily Number of Warrants (as defined below) for such Unwind Date, with each such Number of Warrants</w:t>
      </w:r>
    </w:p>
    <w:p>
      <w:pPr>
        <w:sectPr>
          <w:pgSz w:w="11900" w:h="16838" w:orient="portrait"/>
          <w:cols w:equalWidth="0" w:num="1">
            <w:col w:w="11420"/>
          </w:cols>
          <w:pgMar w:left="240" w:top="463" w:right="239" w:bottom="1440" w:gutter="0" w:footer="0" w:header="0"/>
          <w:type w:val="continuous"/>
        </w:sectPr>
      </w:pPr>
    </w:p>
    <w:bookmarkStart w:id="182" w:name="page183"/>
    <w:bookmarkEnd w:id="182"/>
    <w:p>
      <w:pPr>
        <w:spacing w:after="0" w:line="277" w:lineRule="auto"/>
        <w:rPr>
          <w:sz w:val="20"/>
          <w:szCs w:val="20"/>
          <w:color w:val="auto"/>
        </w:rPr>
      </w:pPr>
      <w:r>
        <w:rPr>
          <w:rFonts w:ascii="Arial" w:cs="Arial" w:eastAsia="Arial" w:hAnsi="Arial"/>
          <w:sz w:val="18"/>
          <w:szCs w:val="18"/>
          <w:color w:val="auto"/>
        </w:rPr>
        <w:t>rounded up to the nearest whole number, except that the Number of Warrants for the Component with the latest Expiration Date shall be reduced by the aggregate number resulting from such rounding.</w:t>
      </w:r>
    </w:p>
    <w:p>
      <w:pPr>
        <w:spacing w:after="0" w:line="170" w:lineRule="exact"/>
        <w:rPr>
          <w:sz w:val="20"/>
          <w:szCs w:val="20"/>
          <w:color w:val="auto"/>
        </w:rPr>
      </w:pPr>
    </w:p>
    <w:p>
      <w:pPr>
        <w:jc w:val="both"/>
        <w:ind w:firstLine="656"/>
        <w:spacing w:after="0" w:line="272" w:lineRule="auto"/>
        <w:tabs>
          <w:tab w:leader="none" w:pos="842"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Amendment Payment</w:t>
      </w:r>
      <w:r>
        <w:rPr>
          <w:rFonts w:ascii="Arial" w:cs="Arial" w:eastAsia="Arial" w:hAnsi="Arial"/>
          <w:sz w:val="17"/>
          <w:szCs w:val="17"/>
          <w:color w:val="auto"/>
        </w:rPr>
        <w:t>. In consideration of the amendments to the Transaction, Issuer agrees to pay to Dealer on each Payment Date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below) an amount in USD (the “</w:t>
      </w:r>
      <w:r>
        <w:rPr>
          <w:rFonts w:ascii="Arial" w:cs="Arial" w:eastAsia="Arial" w:hAnsi="Arial"/>
          <w:sz w:val="17"/>
          <w:szCs w:val="17"/>
          <w:b w:val="1"/>
          <w:bCs w:val="1"/>
          <w:color w:val="auto"/>
        </w:rPr>
        <w:t>Daily Amendment Payment</w:t>
      </w:r>
      <w:r>
        <w:rPr>
          <w:rFonts w:ascii="Arial" w:cs="Arial" w:eastAsia="Arial" w:hAnsi="Arial"/>
          <w:sz w:val="17"/>
          <w:szCs w:val="17"/>
          <w:color w:val="auto"/>
        </w:rPr>
        <w:t xml:space="preserve">”) equal to the product of the Daily Number of Warrants for the related Unwind Date and the Amendment Payment Amount per Warrant (each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sum of the Daily Amendment Payments shall not exceed the Maximum Amendment Payment Amount (as defined below);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lieu of payment in USD, Issuer may elect in its sole discretion to satisfy, with respect to any Unwind Date, the Daily Amendment Payment in Shares as provided in Annex B hereto so long as Issuer makes such election prior to the opening of trading on the relevant Exchange on such Unwind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on each date of such election, Issuer is deemed to represent to CS that it has no material non-public information regarding itself or the Shares.</w:t>
      </w:r>
    </w:p>
    <w:p>
      <w:pPr>
        <w:sectPr>
          <w:pgSz w:w="11900" w:h="16838" w:orient="portrait"/>
          <w:cols w:equalWidth="0" w:num="1">
            <w:col w:w="11420"/>
          </w:cols>
          <w:pgMar w:left="240" w:top="625" w:right="239" w:bottom="1440" w:gutter="0" w:footer="0" w:header="0"/>
        </w:sectPr>
      </w:pP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Daily Number of Warrants: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 any Unwind Date, a number of Warrants as determined by Dealer, in its good-faith, commercially reasonable discretion, with respect to which Dealer has closed out its Hedge Positions with Shares purchased by Dealer on such Unwind Date and, if applicable, any Shares delivered by Issuer pursuant to clause (x) of paragraph 1 in Annex B in respect of such Unwind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the Daily Number of Warrants shall not exceed the Maximum Number of Warrants (as defined below).</w:t>
      </w:r>
    </w:p>
    <w:p>
      <w:pPr>
        <w:spacing w:after="0" w:line="158"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Maximum Number of Warrants: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476,376</w:t>
      </w:r>
    </w:p>
    <w:p>
      <w:pPr>
        <w:spacing w:after="0" w:line="20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spacing w:after="0" w:line="48"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Amendment Payment Amount per Warrant: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As set forth in Annex A, to be the amount specified for the relevant Unwind Date Price.</w:t>
      </w:r>
    </w:p>
    <w:p>
      <w:pPr>
        <w:spacing w:after="0" w:line="247"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Maximum Amendment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Amount: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USD 200,000,000.00 (in the aggregate);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(i) the Maximum Amendment Payment Amount with respect to Unwind Dates where the Unwind Date Price is greater than USD 505.00 shall be USD 50,000,000.00 (in the aggregate); (ii) the Maximum Amendment Payment Amount with respect to Unwind Dates where the Unwind Date Price is greater than USD 475.00 shall be USD 100,000,000.00 (in the aggregate); and (iii) the Maximum Amendment Payment Amount with respect to Unwind Dates where the Unwind Date Price is greater than USD 455.00 shall be USD 150,000,000.00 (in the aggregate).</w:t>
      </w:r>
    </w:p>
    <w:p>
      <w:pPr>
        <w:spacing w:after="0" w:line="189"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Unwind Date, the third Currency Business Day following such Unwind Date.</w:t>
      </w:r>
    </w:p>
    <w:p>
      <w:pPr>
        <w:spacing w:after="0" w:line="20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Unwind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Scheduled Trading Day during the Unwind Period on which Dealer has closed out its Hedge Positions in respect of Warrants.</w:t>
      </w:r>
    </w:p>
    <w:p>
      <w:pPr>
        <w:spacing w:after="0" w:line="17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Unwind Period:</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Each Exchange Business Day during the period commencing on November 16, 2015 and ending on February 9, 2016 (inclusive).</w:t>
      </w:r>
    </w:p>
    <w:p>
      <w:pPr>
        <w:spacing w:after="0" w:line="17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Unwind Date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any Unwind Date, the volume-weighted average of the per Share prices at which Dealer purchases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Shares in order to close out its Hedge Positions in respect of the Daily Number of Warrants on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Unwind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Dealer shall not</w:t>
      </w:r>
    </w:p>
    <w:p>
      <w:pPr>
        <w:spacing w:after="0" w:line="200" w:lineRule="exact"/>
        <w:rPr>
          <w:sz w:val="20"/>
          <w:szCs w:val="20"/>
          <w:color w:val="auto"/>
        </w:rPr>
      </w:pPr>
    </w:p>
    <w:p>
      <w:pPr>
        <w:sectPr>
          <w:pgSz w:w="11900" w:h="16838" w:orient="portrait"/>
          <w:cols w:equalWidth="0" w:num="2">
            <w:col w:w="3180" w:space="720"/>
            <w:col w:w="7520"/>
          </w:cols>
          <w:pgMar w:left="240" w:top="625" w:right="2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625" w:right="239" w:bottom="1440" w:gutter="0" w:footer="0" w:header="0"/>
          <w:type w:val="continuous"/>
        </w:sectPr>
      </w:pPr>
    </w:p>
    <w:bookmarkStart w:id="183" w:name="page184"/>
    <w:bookmarkEnd w:id="183"/>
    <w:p>
      <w:pPr>
        <w:ind w:left="3900"/>
        <w:spacing w:after="0"/>
        <w:rPr>
          <w:sz w:val="20"/>
          <w:szCs w:val="20"/>
          <w:color w:val="auto"/>
        </w:rPr>
      </w:pPr>
      <w:r>
        <w:rPr>
          <w:rFonts w:ascii="Arial" w:cs="Arial" w:eastAsia="Arial" w:hAnsi="Arial"/>
          <w:sz w:val="16"/>
          <w:szCs w:val="16"/>
          <w:color w:val="auto"/>
        </w:rPr>
        <w:t>effect any such purchases at a price per Share in excess of the Limit Price.</w:t>
      </w:r>
    </w:p>
    <w:p>
      <w:pPr>
        <w:sectPr>
          <w:pgSz w:w="11900" w:h="16838" w:orient="portrait"/>
          <w:cols w:equalWidth="0" w:num="1">
            <w:col w:w="11420"/>
          </w:cols>
          <w:pgMar w:left="240" w:top="652" w:right="239" w:bottom="1440" w:gutter="0" w:footer="0" w:header="0"/>
        </w:sect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Limit Price: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USD 535.00</w:t>
      </w:r>
    </w:p>
    <w:p>
      <w:pPr>
        <w:spacing w:after="0" w:line="46" w:lineRule="exact"/>
        <w:rPr>
          <w:sz w:val="20"/>
          <w:szCs w:val="20"/>
          <w:color w:val="auto"/>
        </w:rPr>
      </w:pPr>
    </w:p>
    <w:p>
      <w:pPr>
        <w:sectPr>
          <w:pgSz w:w="11900" w:h="16838" w:orient="portrait"/>
          <w:cols w:equalWidth="0" w:num="2">
            <w:col w:w="3180" w:space="720"/>
            <w:col w:w="7520"/>
          </w:cols>
          <w:pgMar w:left="240" w:top="652" w:right="239" w:bottom="1440" w:gutter="0" w:footer="0" w:header="0"/>
          <w:type w:val="continuous"/>
        </w:sectPr>
      </w:pPr>
    </w:p>
    <w:p>
      <w:pPr>
        <w:ind w:left="840" w:hanging="184"/>
        <w:spacing w:after="0"/>
        <w:tabs>
          <w:tab w:leader="none" w:pos="84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p>
    <w:p>
      <w:pPr>
        <w:spacing w:after="0" w:line="21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party represents to the other party that:</w:t>
      </w:r>
    </w:p>
    <w:p>
      <w:pPr>
        <w:spacing w:after="0" w:line="225" w:lineRule="exact"/>
        <w:rPr>
          <w:sz w:val="20"/>
          <w:szCs w:val="20"/>
          <w:color w:val="auto"/>
        </w:rPr>
      </w:pPr>
    </w:p>
    <w:p>
      <w:pPr>
        <w:ind w:right="20" w:firstLine="656"/>
        <w:spacing w:after="0" w:line="277" w:lineRule="auto"/>
        <w:tabs>
          <w:tab w:leader="none" w:pos="99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the jurisdiction of its organization or incorporation and, if relevant under such laws, in good standing.</w:t>
      </w:r>
    </w:p>
    <w:p>
      <w:pPr>
        <w:spacing w:after="0" w:line="170" w:lineRule="exact"/>
        <w:rPr>
          <w:rFonts w:ascii="Arial" w:cs="Arial" w:eastAsia="Arial" w:hAnsi="Arial"/>
          <w:sz w:val="18"/>
          <w:szCs w:val="18"/>
          <w:color w:val="auto"/>
        </w:rPr>
      </w:pPr>
    </w:p>
    <w:p>
      <w:pPr>
        <w:jc w:val="both"/>
        <w:ind w:right="20" w:firstLine="656"/>
        <w:spacing w:after="0" w:line="264" w:lineRule="auto"/>
        <w:tabs>
          <w:tab w:leader="none" w:pos="11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has the power to execute this Amendment and any other documentation relating to this Amendment to which it is a party, to deliver this Amendment and any other documentation relating to this Amendment that it is required by this Amendment to deliver and to perform its obligations under this Amendment and has taken all necessary action to authorize such execution, delivery and performance.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2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any law applicable to it, any provision of its constitutional documents, any order or judgment of any court or other agency of government applicable to it or any of its assets or any contractual restriction binding on or affecting it or any of its assets.</w:t>
      </w:r>
    </w:p>
    <w:p>
      <w:pPr>
        <w:spacing w:after="0" w:line="181" w:lineRule="exact"/>
        <w:rPr>
          <w:rFonts w:ascii="Arial" w:cs="Arial" w:eastAsia="Arial" w:hAnsi="Arial"/>
          <w:sz w:val="18"/>
          <w:szCs w:val="18"/>
          <w:color w:val="auto"/>
        </w:rPr>
      </w:pPr>
    </w:p>
    <w:p>
      <w:pPr>
        <w:ind w:firstLine="656"/>
        <w:spacing w:after="0" w:line="277" w:lineRule="auto"/>
        <w:tabs>
          <w:tab w:leader="none" w:pos="1096"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governmental and other consents that are required to have been obtained by it with respect to this Amendment have been obtained and are in full force and effect and all conditions of any such consents have been complied with.</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07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Its obligations under this Amendment constitute its legal, valid and binding obligations, enforceable in accordance with their respective terms (subject to applicable bankruptcy, reorganization, insolvency, moratorium or similar laws affecting creditors' rights generally and subject, as to enforceability, to equitable principles of general application (regardless of whether enforcement is sought in a proceeding in equity or at law)).</w:t>
      </w:r>
    </w:p>
    <w:p>
      <w:pPr>
        <w:spacing w:after="0" w:line="166" w:lineRule="exact"/>
        <w:rPr>
          <w:sz w:val="20"/>
          <w:szCs w:val="20"/>
          <w:color w:val="auto"/>
        </w:rPr>
      </w:pPr>
    </w:p>
    <w:p>
      <w:pPr>
        <w:ind w:left="1100" w:hanging="444"/>
        <w:spacing w:after="0"/>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Issuer represents and warrants to and for the benefit of Dealer as follows:</w:t>
      </w:r>
    </w:p>
    <w:p>
      <w:pPr>
        <w:spacing w:after="0" w:line="225" w:lineRule="exact"/>
        <w:rPr>
          <w:rFonts w:ascii="Arial" w:cs="Arial" w:eastAsia="Arial" w:hAnsi="Arial"/>
          <w:sz w:val="18"/>
          <w:szCs w:val="18"/>
          <w:color w:val="auto"/>
        </w:rPr>
      </w:pPr>
    </w:p>
    <w:p>
      <w:pPr>
        <w:jc w:val="both"/>
        <w:ind w:left="660" w:firstLine="645"/>
        <w:spacing w:after="0" w:line="291" w:lineRule="auto"/>
        <w:tabs>
          <w:tab w:leader="none" w:pos="1734" w:val="left"/>
        </w:tabs>
        <w:numPr>
          <w:ilvl w:val="1"/>
          <w:numId w:val="74"/>
        </w:numPr>
        <w:rPr>
          <w:rFonts w:ascii="Arial" w:cs="Arial" w:eastAsia="Arial" w:hAnsi="Arial"/>
          <w:sz w:val="16"/>
          <w:szCs w:val="16"/>
          <w:color w:val="auto"/>
        </w:rPr>
      </w:pPr>
      <w:r>
        <w:rPr>
          <w:rFonts w:ascii="Arial" w:cs="Arial" w:eastAsia="Arial" w:hAnsi="Arial"/>
          <w:sz w:val="16"/>
          <w:szCs w:val="16"/>
          <w:color w:val="auto"/>
        </w:rPr>
        <w:t>(A) On the date hereof, Issuer is not aware of any material non-public information regarding Issuer or the Shares or any potential tender offer for the Shares by any person, as to which a substantial step or steps to commence such tender offer have been taken (within the meaning of Rule 14e-3 under the Exchange Act), and (B) its most recent Annual Report on Form 10-K, taken together with all reports and other documents subsequently filed by Issuer with the Securities and Exchange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when considered as a whole (with the more recent such reports and documents deemed to amend inconsistent statements contained in any earlier such reports and documents), does not contain any untrue statement of a material fact or omit to state any material fact required to be stated therein or necessary to make the statements therein, in the light of the circumstances in which they were made, not misleading.</w:t>
      </w:r>
    </w:p>
    <w:p>
      <w:pPr>
        <w:spacing w:after="0" w:line="167" w:lineRule="exact"/>
        <w:rPr>
          <w:rFonts w:ascii="Arial" w:cs="Arial" w:eastAsia="Arial" w:hAnsi="Arial"/>
          <w:sz w:val="16"/>
          <w:szCs w:val="16"/>
          <w:color w:val="auto"/>
        </w:rPr>
      </w:pPr>
    </w:p>
    <w:p>
      <w:pPr>
        <w:jc w:val="both"/>
        <w:ind w:left="660" w:firstLine="645"/>
        <w:spacing w:after="0" w:line="312" w:lineRule="auto"/>
        <w:tabs>
          <w:tab w:leader="none" w:pos="1730" w:val="left"/>
        </w:tabs>
        <w:numPr>
          <w:ilvl w:val="1"/>
          <w:numId w:val="74"/>
        </w:numPr>
        <w:rPr>
          <w:rFonts w:ascii="Arial" w:cs="Arial" w:eastAsia="Arial" w:hAnsi="Arial"/>
          <w:sz w:val="16"/>
          <w:szCs w:val="16"/>
          <w:color w:val="auto"/>
        </w:rPr>
      </w:pPr>
      <w:r>
        <w:rPr>
          <w:rFonts w:ascii="Arial" w:cs="Arial" w:eastAsia="Arial" w:hAnsi="Arial"/>
          <w:sz w:val="16"/>
          <w:szCs w:val="16"/>
          <w:color w:val="auto"/>
        </w:rPr>
        <w:t>On the date hereof and on each Payment Date, (A) the assets of Issuer at their fair valuation exceed the liabilities of Issuer, including contingent liabilities, (B) the capital of Issuer is adequate to conduct the business of Issuer and (C) Issuer has the ability to pay its debts and obligations as such debts mature and does not intend to, or does not believe that it will, incur debt beyond its ability to pay as such debts mature.</w:t>
      </w:r>
    </w:p>
    <w:p>
      <w:pPr>
        <w:spacing w:after="0" w:line="147" w:lineRule="exact"/>
        <w:rPr>
          <w:sz w:val="20"/>
          <w:szCs w:val="20"/>
          <w:color w:val="auto"/>
        </w:rPr>
      </w:pPr>
    </w:p>
    <w:p>
      <w:pPr>
        <w:ind w:firstLine="656"/>
        <w:spacing w:after="0" w:line="277" w:lineRule="auto"/>
        <w:tabs>
          <w:tab w:leader="none" w:pos="11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Issuer acknowledges its responsibilities under applicable federal securities laws, including, without limitation, Rule 10b-5 under the Exchange Act, in relation to the Transaction and its amendment.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11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Issuer is entering into this Amendment in good faith and not as part of a plan or scheme to evade the prohibitions of Rule 10b5-1 under the Exchange Act (“</w:t>
      </w:r>
      <w:r>
        <w:rPr>
          <w:rFonts w:ascii="Arial" w:cs="Arial" w:eastAsia="Arial" w:hAnsi="Arial"/>
          <w:sz w:val="18"/>
          <w:szCs w:val="18"/>
          <w:b w:val="1"/>
          <w:bCs w:val="1"/>
          <w:color w:val="auto"/>
        </w:rPr>
        <w:t>Rule 10b5-1</w:t>
      </w:r>
      <w:r>
        <w:rPr>
          <w:rFonts w:ascii="Arial" w:cs="Arial" w:eastAsia="Arial" w:hAnsi="Arial"/>
          <w:sz w:val="18"/>
          <w:szCs w:val="18"/>
          <w:color w:val="auto"/>
        </w:rPr>
        <w:t>”) or any other antifraud or anti-manipulation provisions of the federal or applicable state securities laws and that it has not entered into or altered and will not enter into or alter any corresponding or hedging transaction or position with respect to the Shares. Issuer acknowledges that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52" w:right="239" w:bottom="1440" w:gutter="0" w:footer="0" w:header="0"/>
          <w:type w:val="continuous"/>
        </w:sectPr>
      </w:pPr>
    </w:p>
    <w:bookmarkStart w:id="184" w:name="page185"/>
    <w:bookmarkEnd w:id="184"/>
    <w:p>
      <w:pPr>
        <w:spacing w:after="0" w:line="277" w:lineRule="auto"/>
        <w:rPr>
          <w:sz w:val="20"/>
          <w:szCs w:val="20"/>
          <w:color w:val="auto"/>
        </w:rPr>
      </w:pPr>
      <w:r>
        <w:rPr>
          <w:rFonts w:ascii="Arial" w:cs="Arial" w:eastAsia="Arial" w:hAnsi="Arial"/>
          <w:sz w:val="18"/>
          <w:szCs w:val="18"/>
          <w:color w:val="auto"/>
        </w:rPr>
        <w:t>it is the intent of the parties that this Amendment comply with the requirements of paragraphs (c)(1)(i)(A) and (B) of Rule 10b5-1 and this Amendment shall be interpreted to comply with the requirements of Rule 10b5-1(c).</w:t>
      </w:r>
    </w:p>
    <w:p>
      <w:pPr>
        <w:spacing w:after="0" w:line="170" w:lineRule="exact"/>
        <w:rPr>
          <w:sz w:val="20"/>
          <w:szCs w:val="20"/>
          <w:color w:val="auto"/>
        </w:rPr>
      </w:pPr>
    </w:p>
    <w:p>
      <w:pPr>
        <w:ind w:left="1080" w:hanging="424"/>
        <w:spacing w:after="0"/>
        <w:tabs>
          <w:tab w:leader="none" w:pos="1080" w:val="left"/>
        </w:tabs>
        <w:numPr>
          <w:ilvl w:val="1"/>
          <w:numId w:val="76"/>
        </w:numPr>
        <w:rPr>
          <w:rFonts w:ascii="Arial" w:cs="Arial" w:eastAsia="Arial" w:hAnsi="Arial"/>
          <w:sz w:val="16"/>
          <w:szCs w:val="16"/>
          <w:color w:val="auto"/>
        </w:rPr>
      </w:pPr>
      <w:r>
        <w:rPr>
          <w:rFonts w:ascii="Arial" w:cs="Arial" w:eastAsia="Arial" w:hAnsi="Arial"/>
          <w:sz w:val="16"/>
          <w:szCs w:val="16"/>
          <w:color w:val="auto"/>
        </w:rPr>
        <w:t>Issuer will not seek to control or influence Dealer’s decision to make any “purchases or sales” (within the meaning of Rule 10b5-1(c)(1)(i)(B)</w:t>
      </w:r>
    </w:p>
    <w:p>
      <w:pPr>
        <w:spacing w:after="0" w:line="4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(3)) of Shares during the period beginning on the first Unwind Date and ending on the last Unwind Date (such period, the “</w:t>
      </w:r>
      <w:r>
        <w:rPr>
          <w:rFonts w:ascii="Arial" w:cs="Arial" w:eastAsia="Arial" w:hAnsi="Arial"/>
          <w:sz w:val="18"/>
          <w:szCs w:val="18"/>
          <w:b w:val="1"/>
          <w:bCs w:val="1"/>
          <w:color w:val="auto"/>
        </w:rPr>
        <w:t>Unwind Period</w:t>
      </w:r>
      <w:r>
        <w:rPr>
          <w:rFonts w:ascii="Arial" w:cs="Arial" w:eastAsia="Arial" w:hAnsi="Arial"/>
          <w:sz w:val="18"/>
          <w:szCs w:val="18"/>
          <w:color w:val="auto"/>
        </w:rPr>
        <w:t>”), including, without limitation, Dealer’s decision to enter into any hedging transactions. Issuer represents and warrants that it has consulted with its own advisors as to the legal aspects of its adoption and implementation of this Amendment under Rule 10b5-1.</w:t>
      </w:r>
    </w:p>
    <w:p>
      <w:pPr>
        <w:spacing w:after="0" w:line="190" w:lineRule="exact"/>
        <w:rPr>
          <w:rFonts w:ascii="Arial" w:cs="Arial" w:eastAsia="Arial" w:hAnsi="Arial"/>
          <w:sz w:val="16"/>
          <w:szCs w:val="16"/>
          <w:color w:val="auto"/>
        </w:rPr>
      </w:pPr>
    </w:p>
    <w:p>
      <w:pPr>
        <w:jc w:val="both"/>
        <w:ind w:left="660" w:firstLine="645"/>
        <w:spacing w:after="0" w:line="257" w:lineRule="auto"/>
        <w:tabs>
          <w:tab w:leader="none" w:pos="1815" w:val="left"/>
        </w:tabs>
        <w:numPr>
          <w:ilvl w:val="2"/>
          <w:numId w:val="76"/>
        </w:numPr>
        <w:rPr>
          <w:rFonts w:ascii="Arial" w:cs="Arial" w:eastAsia="Arial" w:hAnsi="Arial"/>
          <w:sz w:val="18"/>
          <w:szCs w:val="18"/>
          <w:color w:val="auto"/>
        </w:rPr>
      </w:pPr>
      <w:r>
        <w:rPr>
          <w:rFonts w:ascii="Arial" w:cs="Arial" w:eastAsia="Arial" w:hAnsi="Arial"/>
          <w:sz w:val="18"/>
          <w:szCs w:val="18"/>
          <w:color w:val="auto"/>
        </w:rPr>
        <w:t>Issuer acknowledges and agrees that any amendment, modification, waiver or termination of this Amendment must be effected in accordance with the requirements for the amendment or termination of a “plan” as defined in Rule 10b5-1(c). Without limiting the generality of the foregoing, any such amendment, modification, waiver or termination shall be made in good faith and not as part of a plan or scheme to evade the prohibitions of Rule 10b5-1, and no such amendment, modification or waiver shall be made at any time at which Issuer is aware of any material non-public information regarding Issuer or the Shares.</w:t>
      </w:r>
    </w:p>
    <w:p>
      <w:pPr>
        <w:spacing w:after="0" w:line="188" w:lineRule="exact"/>
        <w:rPr>
          <w:rFonts w:ascii="Arial" w:cs="Arial" w:eastAsia="Arial" w:hAnsi="Arial"/>
          <w:sz w:val="18"/>
          <w:szCs w:val="18"/>
          <w:color w:val="auto"/>
        </w:rPr>
      </w:pPr>
    </w:p>
    <w:p>
      <w:pPr>
        <w:jc w:val="both"/>
        <w:ind w:left="660" w:firstLine="645"/>
        <w:spacing w:after="0" w:line="259" w:lineRule="auto"/>
        <w:tabs>
          <w:tab w:leader="none" w:pos="1981" w:val="left"/>
        </w:tabs>
        <w:numPr>
          <w:ilvl w:val="2"/>
          <w:numId w:val="76"/>
        </w:numPr>
        <w:rPr>
          <w:rFonts w:ascii="Arial" w:cs="Arial" w:eastAsia="Arial" w:hAnsi="Arial"/>
          <w:sz w:val="18"/>
          <w:szCs w:val="18"/>
          <w:color w:val="auto"/>
        </w:rPr>
      </w:pPr>
      <w:r>
        <w:rPr>
          <w:rFonts w:ascii="Arial" w:cs="Arial" w:eastAsia="Arial" w:hAnsi="Arial"/>
          <w:sz w:val="18"/>
          <w:szCs w:val="18"/>
          <w:color w:val="auto"/>
        </w:rPr>
        <w:t>In the event Issuer elects to pay the Amendment Payment by delivering Shares in accordance with Annex B hereto, the representation and agreement set forth in Section 9.11 of the Equity Definitions shall be true and correct at the time of such delivery, excluding, with respect to any Restricted Shares (as defined in such Annex), any representations therein relating to restrictions, obligations, limitations or requirements under applicable securities laws.</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Covenants of Issuer during Unwind Period</w:t>
      </w:r>
      <w:r>
        <w:rPr>
          <w:rFonts w:ascii="Arial" w:cs="Arial" w:eastAsia="Arial" w:hAnsi="Arial"/>
          <w:sz w:val="18"/>
          <w:szCs w:val="18"/>
          <w:color w:val="auto"/>
        </w:rPr>
        <w:t>. Issuer agrees with Dealer that during the Unwind Period:</w:t>
      </w:r>
    </w:p>
    <w:p>
      <w:pPr>
        <w:spacing w:after="0" w:line="225" w:lineRule="exact"/>
        <w:rPr>
          <w:sz w:val="20"/>
          <w:szCs w:val="20"/>
          <w:color w:val="auto"/>
        </w:rPr>
      </w:pPr>
    </w:p>
    <w:p>
      <w:pPr>
        <w:jc w:val="both"/>
        <w:ind w:firstLine="656"/>
        <w:spacing w:after="0" w:line="279" w:lineRule="auto"/>
        <w:tabs>
          <w:tab w:leader="none" w:pos="1087" w:val="left"/>
        </w:tabs>
        <w:numPr>
          <w:ilvl w:val="0"/>
          <w:numId w:val="78"/>
        </w:numPr>
        <w:rPr>
          <w:rFonts w:ascii="Arial" w:cs="Arial" w:eastAsia="Arial" w:hAnsi="Arial"/>
          <w:sz w:val="17"/>
          <w:szCs w:val="17"/>
          <w:color w:val="auto"/>
        </w:rPr>
      </w:pPr>
      <w:r>
        <w:rPr>
          <w:rFonts w:ascii="Arial" w:cs="Arial" w:eastAsia="Arial" w:hAnsi="Arial"/>
          <w:sz w:val="17"/>
          <w:szCs w:val="17"/>
          <w:color w:val="auto"/>
        </w:rPr>
        <w:t>(i) the Shares or securities that are convertible into, or exchangeable or exercisable for Shares, are not, and shall not be, subject to a “restricted period,” as such term is defined in Regulation M and (ii) Issuer shall not engage in any “distribution,” as such term is defined in Regulation M, from the beginning of the Unwind Period until the second Exchange Business Day immediately following the Unwind Period. For the avoidance of doubt, if such a “restricted period” occurs on an Unwind Date, CS may reduce the Daily Number of Warrants for such Unwind Date to zero;</w:t>
      </w:r>
    </w:p>
    <w:p>
      <w:pPr>
        <w:spacing w:after="0" w:line="171" w:lineRule="exact"/>
        <w:rPr>
          <w:rFonts w:ascii="Arial" w:cs="Arial" w:eastAsia="Arial" w:hAnsi="Arial"/>
          <w:sz w:val="17"/>
          <w:szCs w:val="17"/>
          <w:color w:val="auto"/>
        </w:rPr>
      </w:pPr>
    </w:p>
    <w:p>
      <w:pPr>
        <w:ind w:right="60" w:firstLine="656"/>
        <w:spacing w:after="0" w:line="270" w:lineRule="auto"/>
        <w:tabs>
          <w:tab w:leader="none" w:pos="1038"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On any Unwind Date, neither Issuer nor any “affiliated purchaser” (as defined in Rule 10b-18) shall directly or indirectly (including, without limitation, by means of any cash-settled or other derivative instrument, or any unwind agreement with respect to a derivative instrument) purchase, offer to purchase, place any bid or limit order that would effect a purchase of, or commence any tender offer relating to, any Shares (or an equivalent interest, including a unit of beneficial interest in a trust or limited partnership or a depository share) or any security convertible into or exchangeable or exercisable for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(i) for purposes of this Section 4(b) “affiliated purchaser” shall not include Sanofi or any of its directly or indirectly wholly owned subsidiaries; and (ii) this Section 4(b) shall not preclude Issuer from receiving (or retaining) any Shares in payment of the option exercise price or receiving (or retaining) any Shares in respect of tax withholding or other similar tax obligation in connection with the exercise, vesting or delivery of any awards granted under Issuer’s equity incentive award plans;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nothing contained herein shall be deemed to prevent the exercise and settlement of any convertible bond hedging transaction entered into by the Issuer in connection with the issuance of its 1.875% Senior Convertible Notes due 2016;</w:t>
      </w:r>
    </w:p>
    <w:p>
      <w:pPr>
        <w:spacing w:after="0" w:line="177" w:lineRule="exact"/>
        <w:rPr>
          <w:rFonts w:ascii="Arial" w:cs="Arial" w:eastAsia="Arial" w:hAnsi="Arial"/>
          <w:sz w:val="17"/>
          <w:szCs w:val="17"/>
          <w:color w:val="auto"/>
        </w:rPr>
      </w:pPr>
    </w:p>
    <w:p>
      <w:pPr>
        <w:jc w:val="both"/>
        <w:ind w:firstLine="656"/>
        <w:spacing w:after="0" w:line="279" w:lineRule="auto"/>
        <w:tabs>
          <w:tab w:leader="none" w:pos="110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it (A) will not make any public announcement (as defined in Rule 165(f) under the Securities Act) of any Merger Transaction or potential Merger Transaction unless such public announcement is made prior to the opening or after the close of the regular trading session on the Exchange for the Shares; and (B) shall promptly (but in any event prior to the next opening of the regular trading session on the Exchange on the first Unwind Date following such announcement) notify Dealer following any such announcement that such announcement has been made.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086" w:val="left"/>
        </w:tabs>
        <w:numPr>
          <w:ilvl w:val="0"/>
          <w:numId w:val="78"/>
        </w:numPr>
        <w:rPr>
          <w:rFonts w:ascii="Arial" w:cs="Arial" w:eastAsia="Arial" w:hAnsi="Arial"/>
          <w:sz w:val="18"/>
          <w:szCs w:val="18"/>
          <w:color w:val="auto"/>
        </w:rPr>
      </w:pPr>
      <w:r>
        <w:rPr>
          <w:rFonts w:ascii="Arial" w:cs="Arial" w:eastAsia="Arial" w:hAnsi="Arial"/>
          <w:sz w:val="18"/>
          <w:szCs w:val="18"/>
          <w:color w:val="auto"/>
        </w:rPr>
        <w:t>Issuer will inform Dealer if Issuer has made any purchases of Shares in Rule 10b-18 purchases of blocks pursuant to the once-a-week block exception in Rule 10b-18(b)(4) during the four calendar weeks immediately preceding the date hereof, and, if so, Issuer will notify Dealer of the number of Shares so purchased.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85" w:name="page186"/>
    <w:bookmarkEnd w:id="185"/>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Dealer Activities during Unwind Period</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firstLine="656"/>
        <w:spacing w:after="0" w:line="291" w:lineRule="auto"/>
        <w:tabs>
          <w:tab w:leader="none" w:pos="1072" w:val="left"/>
        </w:tabs>
        <w:numPr>
          <w:ilvl w:val="1"/>
          <w:numId w:val="79"/>
        </w:numPr>
        <w:rPr>
          <w:rFonts w:ascii="Arial" w:cs="Arial" w:eastAsia="Arial" w:hAnsi="Arial"/>
          <w:sz w:val="16"/>
          <w:szCs w:val="16"/>
          <w:color w:val="auto"/>
        </w:rPr>
      </w:pPr>
      <w:r>
        <w:rPr>
          <w:rFonts w:ascii="Arial" w:cs="Arial" w:eastAsia="Arial" w:hAnsi="Arial"/>
          <w:sz w:val="16"/>
          <w:szCs w:val="16"/>
          <w:color w:val="auto"/>
        </w:rPr>
        <w:t>Dealer agrees with Issuer that, in connection with the closeout of any Hedge Positions pursuant to this Amendment on each Unwind Date, it shall use commercially reasonable efforts to make all purchases of Shares in a manner that would comply with the limitations set forth in clauses (b)(1), (b)</w:t>
      </w: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(2), (b)(3), (b)(4) and (c) of Rule 10b-18, as if such rule were applicable to such purchases, taking into account any applicable Securities and Exchange Commission no-action letters as appropriate and subject to any delays between the execution and reporting of a trade of the Shares on the Exchange and other circumstances beyond Dealer’s control, and it being understood that Dealer shall be entitled to assume, for this purpose, that no purchases of Shares have been made by any “affiliated purchasers” (as defined in Rule 10b-18) of Issuer on such Unwind Date or during the calendar week that includes such Unwind Date or the four immediately preceding calendar weeks.</w:t>
      </w:r>
    </w:p>
    <w:p>
      <w:pPr>
        <w:spacing w:after="0" w:line="191" w:lineRule="exact"/>
        <w:rPr>
          <w:rFonts w:ascii="Arial" w:cs="Arial" w:eastAsia="Arial" w:hAnsi="Arial"/>
          <w:sz w:val="16"/>
          <w:szCs w:val="16"/>
          <w:color w:val="auto"/>
        </w:rPr>
      </w:pPr>
    </w:p>
    <w:p>
      <w:pPr>
        <w:jc w:val="both"/>
        <w:ind w:firstLine="656"/>
        <w:spacing w:after="0" w:line="264" w:lineRule="auto"/>
        <w:tabs>
          <w:tab w:leader="none" w:pos="1186"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Dealer and Issuer agree and acknowledge that any transactions with respect to the Shares (including, without limitation, any hedging transactions) entered into by Dealer on any Unwind Date are entered into for Dealer’s own account and on its own behalf and not for the account of, or on behalf of, Issuer.</w:t>
      </w:r>
    </w:p>
    <w:p>
      <w:pPr>
        <w:spacing w:after="0" w:line="181" w:lineRule="exact"/>
        <w:rPr>
          <w:rFonts w:ascii="Arial" w:cs="Arial" w:eastAsia="Arial" w:hAnsi="Arial"/>
          <w:sz w:val="18"/>
          <w:szCs w:val="18"/>
          <w:color w:val="auto"/>
        </w:rPr>
      </w:pPr>
    </w:p>
    <w:p>
      <w:pPr>
        <w:ind w:firstLine="8"/>
        <w:spacing w:after="0" w:line="277" w:lineRule="auto"/>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No Additional Amendments or Waivers</w:t>
      </w:r>
      <w:r>
        <w:rPr>
          <w:rFonts w:ascii="Arial" w:cs="Arial" w:eastAsia="Arial" w:hAnsi="Arial"/>
          <w:sz w:val="18"/>
          <w:szCs w:val="18"/>
          <w:color w:val="auto"/>
        </w:rPr>
        <w:t>. Except as amended hereby, all the terms of the Transaction and provisions in the Confirmation shall remain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in full force and effect and are hereby confirmed in all respects.</w:t>
      </w:r>
    </w:p>
    <w:p>
      <w:pPr>
        <w:spacing w:after="0" w:line="170" w:lineRule="exact"/>
        <w:rPr>
          <w:rFonts w:ascii="Arial" w:cs="Arial" w:eastAsia="Arial" w:hAnsi="Arial"/>
          <w:sz w:val="18"/>
          <w:szCs w:val="18"/>
          <w:color w:val="auto"/>
        </w:rPr>
      </w:pPr>
    </w:p>
    <w:p>
      <w:pPr>
        <w:ind w:firstLine="8"/>
        <w:spacing w:after="0" w:line="277" w:lineRule="auto"/>
        <w:tabs>
          <w:tab w:leader="none" w:pos="194"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signed in any number of counterparts, each of which shall be an original, with the same effect as if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provisions of this Amendment shall be governed by the New York law (without reference to choice of law doctrine).</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273" w:right="239" w:bottom="1440" w:gutter="0" w:footer="0" w:header="0"/>
        </w:sectPr>
      </w:pPr>
    </w:p>
    <w:bookmarkStart w:id="186" w:name="page187"/>
    <w:bookmarkEnd w:id="186"/>
    <w:p>
      <w:pPr>
        <w:ind w:firstLine="648"/>
        <w:spacing w:after="0" w:line="277" w:lineRule="auto"/>
        <w:rPr>
          <w:sz w:val="20"/>
          <w:szCs w:val="20"/>
          <w:color w:val="auto"/>
        </w:rPr>
      </w:pPr>
      <w:r>
        <w:rPr>
          <w:rFonts w:ascii="Arial" w:cs="Arial" w:eastAsia="Arial" w:hAnsi="Arial"/>
          <w:sz w:val="18"/>
          <w:szCs w:val="18"/>
          <w:color w:val="auto"/>
        </w:rPr>
        <w:t>Please confirm that the foregoing correctly sets forth the terms of our agreement by executing this Amendment and returning it in the manner indicated in the attached cover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CAPITAL LLC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Barry Dixon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Barry Dixon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601"/>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Carole Villoresi</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Carole Villoresi</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 as agent for Credit Suisse Capital LLC</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Barry Dixon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Barry Dixon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840"/>
          </w:cols>
          <w:pgMar w:left="240" w:top="1084" w:right="81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Pr>
          <w:p>
            <w:pPr>
              <w:ind w:left="20"/>
              <w:spacing w:after="0"/>
              <w:rPr>
                <w:sz w:val="20"/>
                <w:szCs w:val="20"/>
                <w:color w:val="auto"/>
              </w:rPr>
            </w:pPr>
            <w:r>
              <w:rPr>
                <w:rFonts w:ascii="Arial" w:cs="Arial" w:eastAsia="Arial" w:hAnsi="Arial"/>
                <w:sz w:val="18"/>
                <w:szCs w:val="18"/>
                <w:color w:val="auto"/>
              </w:rPr>
              <w:t>/s/ Dominick Agron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3760" w:type="dxa"/>
            <w:vAlign w:val="bottom"/>
          </w:tcPr>
          <w:p>
            <w:pPr>
              <w:ind w:left="20"/>
              <w:spacing w:after="0"/>
              <w:rPr>
                <w:sz w:val="20"/>
                <w:szCs w:val="20"/>
                <w:color w:val="auto"/>
              </w:rPr>
            </w:pPr>
            <w:r>
              <w:rPr>
                <w:rFonts w:ascii="Arial" w:cs="Arial" w:eastAsia="Arial" w:hAnsi="Arial"/>
                <w:sz w:val="18"/>
                <w:szCs w:val="18"/>
                <w:color w:val="auto"/>
              </w:rPr>
              <w:t>Dominick Agron</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60" w:type="dxa"/>
            <w:vAlign w:val="bottom"/>
          </w:tcPr>
          <w:p>
            <w:pPr>
              <w:ind w:left="20"/>
              <w:spacing w:after="0"/>
              <w:rPr>
                <w:sz w:val="20"/>
                <w:szCs w:val="20"/>
                <w:color w:val="auto"/>
              </w:rPr>
            </w:pPr>
            <w:r>
              <w:rPr>
                <w:rFonts w:ascii="Arial" w:cs="Arial" w:eastAsia="Arial" w:hAnsi="Arial"/>
                <w:sz w:val="18"/>
                <w:szCs w:val="18"/>
                <w:color w:val="auto"/>
              </w:rPr>
              <w:t>V.P. &amp; Treasurer</w:t>
            </w:r>
          </w:p>
        </w:tc>
      </w:tr>
      <w:tr>
        <w:trPr>
          <w:trHeight w:val="27"/>
        </w:trPr>
        <w:tc>
          <w:tcPr>
            <w:tcW w:w="78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219"/>
          </w:cols>
          <w:pgMar w:left="240" w:top="625" w:right="1440" w:bottom="1440" w:gutter="0" w:footer="0" w:header="0"/>
        </w:sectPr>
      </w:pPr>
    </w:p>
    <w:bookmarkStart w:id="188" w:name="page189"/>
    <w:bookmarkEnd w:id="188"/>
    <w:tbl>
      <w:tblPr>
        <w:tblLayout w:type="fixed"/>
        <w:tblInd w:w="162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00" w:type="dxa"/>
            <w:vAlign w:val="bottom"/>
          </w:tcPr>
          <w:p>
            <w:pPr>
              <w:ind w:left="1560"/>
              <w:spacing w:after="0"/>
              <w:rPr>
                <w:sz w:val="20"/>
                <w:szCs w:val="20"/>
                <w:color w:val="auto"/>
              </w:rPr>
            </w:pPr>
            <w:r>
              <w:rPr>
                <w:rFonts w:ascii="Arial" w:cs="Arial" w:eastAsia="Arial" w:hAnsi="Arial"/>
                <w:sz w:val="18"/>
                <w:szCs w:val="18"/>
                <w:b w:val="1"/>
                <w:bCs w:val="1"/>
                <w:color w:val="auto"/>
              </w:rPr>
              <w:t>ANNEX A</w:t>
            </w:r>
          </w:p>
        </w:tc>
      </w:tr>
      <w:tr>
        <w:trPr>
          <w:trHeight w:val="594"/>
        </w:trPr>
        <w:tc>
          <w:tcPr>
            <w:tcW w:w="2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000080"/>
                <w:w w:val="99"/>
              </w:rPr>
              <w:t>Unwind Date Price</w:t>
            </w:r>
          </w:p>
        </w:tc>
        <w:tc>
          <w:tcPr>
            <w:tcW w:w="4300" w:type="dxa"/>
            <w:vAlign w:val="bottom"/>
          </w:tcPr>
          <w:p>
            <w:pPr>
              <w:jc w:val="center"/>
              <w:spacing w:after="0"/>
              <w:rPr>
                <w:sz w:val="20"/>
                <w:szCs w:val="20"/>
                <w:color w:val="auto"/>
              </w:rPr>
            </w:pPr>
            <w:r>
              <w:rPr>
                <w:rFonts w:ascii="Arial" w:cs="Arial" w:eastAsia="Arial" w:hAnsi="Arial"/>
                <w:sz w:val="18"/>
                <w:szCs w:val="18"/>
                <w:b w:val="1"/>
                <w:bCs w:val="1"/>
                <w:color w:val="000080"/>
                <w:w w:val="99"/>
              </w:rPr>
              <w:t>Amendment Payment Amount per Warrant</w:t>
            </w:r>
          </w:p>
        </w:tc>
      </w:tr>
      <w:tr>
        <w:trPr>
          <w:trHeight w:val="27"/>
        </w:trPr>
        <w:tc>
          <w:tcPr>
            <w:tcW w:w="2000" w:type="dxa"/>
            <w:vAlign w:val="bottom"/>
            <w:tcBorders>
              <w:bottom w:val="single" w:sz="8" w:color="000080"/>
            </w:tcBorders>
          </w:tcPr>
          <w:p>
            <w:pPr>
              <w:spacing w:after="0"/>
              <w:rPr>
                <w:sz w:val="2"/>
                <w:szCs w:val="2"/>
                <w:color w:val="auto"/>
              </w:rPr>
            </w:pPr>
          </w:p>
        </w:tc>
        <w:tc>
          <w:tcPr>
            <w:tcW w:w="120" w:type="dxa"/>
            <w:vAlign w:val="bottom"/>
          </w:tcPr>
          <w:p>
            <w:pPr>
              <w:spacing w:after="0"/>
              <w:rPr>
                <w:sz w:val="2"/>
                <w:szCs w:val="2"/>
                <w:color w:val="auto"/>
              </w:rPr>
            </w:pPr>
          </w:p>
        </w:tc>
        <w:tc>
          <w:tcPr>
            <w:tcW w:w="4300" w:type="dxa"/>
            <w:vAlign w:val="bottom"/>
            <w:tcBorders>
              <w:bottom w:val="single" w:sz="8" w:color="000080"/>
            </w:tcBorders>
          </w:tcPr>
          <w:p>
            <w:pPr>
              <w:spacing w:after="0"/>
              <w:rPr>
                <w:sz w:val="2"/>
                <w:szCs w:val="2"/>
                <w:color w:val="auto"/>
              </w:rPr>
            </w:pPr>
          </w:p>
        </w:tc>
      </w:tr>
      <w:tr>
        <w:trPr>
          <w:trHeight w:val="237"/>
        </w:trPr>
        <w:tc>
          <w:tcPr>
            <w:tcW w:w="2000" w:type="dxa"/>
            <w:vAlign w:val="bottom"/>
          </w:tcPr>
          <w:p>
            <w:pPr>
              <w:jc w:val="center"/>
              <w:spacing w:after="0"/>
              <w:rPr>
                <w:sz w:val="20"/>
                <w:szCs w:val="20"/>
                <w:color w:val="auto"/>
              </w:rPr>
            </w:pPr>
            <w:r>
              <w:rPr>
                <w:rFonts w:ascii="Arial" w:cs="Arial" w:eastAsia="Arial" w:hAnsi="Arial"/>
                <w:sz w:val="18"/>
                <w:szCs w:val="18"/>
                <w:color w:val="auto"/>
              </w:rPr>
              <w:t>$450.00</w:t>
            </w:r>
          </w:p>
        </w:tc>
        <w:tc>
          <w:tcPr>
            <w:tcW w:w="12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$347.66</w:t>
            </w:r>
          </w:p>
        </w:tc>
      </w:tr>
      <w:tr>
        <w:trPr>
          <w:trHeight w:val="257"/>
        </w:trPr>
        <w:tc>
          <w:tcPr>
            <w:tcW w:w="2000" w:type="dxa"/>
            <w:vAlign w:val="bottom"/>
          </w:tcPr>
          <w:p>
            <w:pPr>
              <w:jc w:val="center"/>
              <w:spacing w:after="0"/>
              <w:rPr>
                <w:sz w:val="20"/>
                <w:szCs w:val="20"/>
                <w:color w:val="auto"/>
              </w:rPr>
            </w:pPr>
            <w:r>
              <w:rPr>
                <w:rFonts w:ascii="Arial" w:cs="Arial" w:eastAsia="Arial" w:hAnsi="Arial"/>
                <w:sz w:val="18"/>
                <w:szCs w:val="18"/>
                <w:color w:val="auto"/>
              </w:rPr>
              <w:t>$455.00</w:t>
            </w:r>
          </w:p>
        </w:tc>
        <w:tc>
          <w:tcPr>
            <w:tcW w:w="120" w:type="dxa"/>
            <w:vAlign w:val="bottom"/>
          </w:tcPr>
          <w:p>
            <w:pPr>
              <w:spacing w:after="0"/>
              <w:rPr>
                <w:sz w:val="22"/>
                <w:szCs w:val="22"/>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$352.62</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$357.57</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$465.00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$362.53</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$470.00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$367.48</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$475.00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$372.44</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$480.00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$377.39</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$382.35</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$490.00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$387.30</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$495.00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$392.26</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$397.21</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$505.00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$402.17</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$510.00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$407.12</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$515.00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$412.08</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$520.00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$417.03</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$525.00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$421.99</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$426.94</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$431.90</w:t>
            </w:r>
          </w:p>
        </w:tc>
      </w:tr>
      <w:tr>
        <w:trPr>
          <w:trHeight w:val="270"/>
        </w:trPr>
        <w:tc>
          <w:tcPr>
            <w:tcW w:w="2000" w:type="dxa"/>
            <w:vAlign w:val="bottom"/>
          </w:tcPr>
          <w:p>
            <w:pPr>
              <w:jc w:val="center"/>
              <w:spacing w:after="0"/>
              <w:rPr>
                <w:sz w:val="20"/>
                <w:szCs w:val="20"/>
                <w:color w:val="auto"/>
              </w:rPr>
            </w:pPr>
            <w:r>
              <w:rPr>
                <w:rFonts w:ascii="Arial" w:cs="Arial" w:eastAsia="Arial" w:hAnsi="Arial"/>
                <w:sz w:val="18"/>
                <w:szCs w:val="18"/>
                <w:color w:val="auto"/>
              </w:rPr>
              <w:t>$540.00</w:t>
            </w:r>
          </w:p>
        </w:tc>
        <w:tc>
          <w:tcPr>
            <w:tcW w:w="120" w:type="dxa"/>
            <w:vAlign w:val="bottom"/>
          </w:tcPr>
          <w:p>
            <w:pPr>
              <w:spacing w:after="0"/>
              <w:rPr>
                <w:sz w:val="23"/>
                <w:szCs w:val="23"/>
                <w:color w:val="auto"/>
              </w:rPr>
            </w:pPr>
          </w:p>
        </w:tc>
        <w:tc>
          <w:tcPr>
            <w:tcW w:w="4300" w:type="dxa"/>
            <w:vAlign w:val="bottom"/>
          </w:tcPr>
          <w:p>
            <w:pPr>
              <w:jc w:val="center"/>
              <w:spacing w:after="0"/>
              <w:rPr>
                <w:sz w:val="20"/>
                <w:szCs w:val="20"/>
                <w:color w:val="auto"/>
              </w:rPr>
            </w:pPr>
            <w:r>
              <w:rPr>
                <w:rFonts w:ascii="Arial" w:cs="Arial" w:eastAsia="Arial" w:hAnsi="Arial"/>
                <w:sz w:val="18"/>
                <w:szCs w:val="18"/>
                <w:color w:val="auto"/>
                <w:w w:val="98"/>
              </w:rPr>
              <w:t>$436.85</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an Unwind Date Price falling between the amounts appearing in such column, the Amendment Payment Amount per Warrant will be calculated by Dealer using linear interpolation. If the Amendment Payment Amount per Warrant is otherwise not determinable pursuant to the foregoing because the Unwind Date Price is less than the lowest Unwind Date Price set forth above, the Amendment Payment Amount per Warrant will be determined by Dealer by linear extrapolation based on the two lowest Unwind Date Prices set forth above.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837"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SETTLEMENT PROVISIONS</w:t>
      </w:r>
    </w:p>
    <w:p>
      <w:pPr>
        <w:spacing w:after="0" w:line="229" w:lineRule="exact"/>
        <w:rPr>
          <w:sz w:val="20"/>
          <w:szCs w:val="20"/>
          <w:color w:val="auto"/>
        </w:rPr>
      </w:pPr>
    </w:p>
    <w:p>
      <w:pPr>
        <w:jc w:val="both"/>
        <w:ind w:firstLine="656"/>
        <w:spacing w:after="0" w:line="255" w:lineRule="auto"/>
        <w:tabs>
          <w:tab w:leader="none" w:pos="974"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Payment of any Daily Amendment Payment in Shares by Issuer shall be made by delivery on the Payment Date of (x) a number of Shares equal to the Daily Amendment Payment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Unwind Date Price on the relevant Unwind Date or (y) if Dealer or Issuer reasonably determines that such Shares would not be immediately freely transferable by Dealer under Rule 144 under the Securities Act (any such Shares, “</w:t>
      </w:r>
      <w:r>
        <w:rPr>
          <w:rFonts w:ascii="Arial" w:cs="Arial" w:eastAsia="Arial" w:hAnsi="Arial"/>
          <w:sz w:val="18"/>
          <w:szCs w:val="18"/>
          <w:b w:val="1"/>
          <w:bCs w:val="1"/>
          <w:color w:val="auto"/>
        </w:rPr>
        <w:t>Restricted Shares</w:t>
      </w:r>
      <w:r>
        <w:rPr>
          <w:rFonts w:ascii="Arial" w:cs="Arial" w:eastAsia="Arial" w:hAnsi="Arial"/>
          <w:sz w:val="18"/>
          <w:szCs w:val="18"/>
          <w:color w:val="auto"/>
        </w:rPr>
        <w:t>”), a number of Shares satisfying the conditions set forth in paragraph 2 below (the “</w:t>
      </w:r>
      <w:r>
        <w:rPr>
          <w:rFonts w:ascii="Arial" w:cs="Arial" w:eastAsia="Arial" w:hAnsi="Arial"/>
          <w:sz w:val="18"/>
          <w:szCs w:val="18"/>
          <w:b w:val="1"/>
          <w:bCs w:val="1"/>
          <w:color w:val="auto"/>
        </w:rPr>
        <w:t>Registered Settlement Shares</w:t>
      </w:r>
      <w:r>
        <w:rPr>
          <w:rFonts w:ascii="Arial" w:cs="Arial" w:eastAsia="Arial" w:hAnsi="Arial"/>
          <w:sz w:val="18"/>
          <w:szCs w:val="18"/>
          <w:color w:val="auto"/>
        </w:rPr>
        <w:t>”), or a number of Shares not satisfying such conditions (the “</w:t>
      </w:r>
      <w:r>
        <w:rPr>
          <w:rFonts w:ascii="Arial" w:cs="Arial" w:eastAsia="Arial" w:hAnsi="Arial"/>
          <w:sz w:val="18"/>
          <w:szCs w:val="18"/>
          <w:b w:val="1"/>
          <w:bCs w:val="1"/>
          <w:color w:val="auto"/>
        </w:rPr>
        <w:t>Unregistered Settlement Shares</w:t>
      </w:r>
      <w:r>
        <w:rPr>
          <w:rFonts w:ascii="Arial" w:cs="Arial" w:eastAsia="Arial" w:hAnsi="Arial"/>
          <w:sz w:val="18"/>
          <w:szCs w:val="18"/>
          <w:color w:val="auto"/>
        </w:rPr>
        <w:t>”), in either case with a value equal to such Daily Amendment Payment, with such Shares’ value determined by Dealer in good faith and in a commercially reasonable manner (which value shall, in the case of Unregistered Settlement Shares, take into account a commercially reasonable illiquidity discount).</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Issuer may only deliver Registered Settlement Shares pursuant to paragraph 1 above if:</w:t>
      </w:r>
    </w:p>
    <w:p>
      <w:pPr>
        <w:spacing w:after="0" w:line="221" w:lineRule="exact"/>
        <w:rPr>
          <w:rFonts w:ascii="Arial" w:cs="Arial" w:eastAsia="Arial" w:hAnsi="Arial"/>
          <w:sz w:val="18"/>
          <w:szCs w:val="18"/>
          <w:color w:val="auto"/>
        </w:rPr>
      </w:pPr>
    </w:p>
    <w:p>
      <w:pPr>
        <w:jc w:val="both"/>
        <w:ind w:firstLine="1305"/>
        <w:spacing w:after="0" w:line="258" w:lineRule="auto"/>
        <w:tabs>
          <w:tab w:leader="none" w:pos="1682" w:val="left"/>
        </w:tabs>
        <w:numPr>
          <w:ilvl w:val="1"/>
          <w:numId w:val="80"/>
        </w:numPr>
        <w:rPr>
          <w:rFonts w:ascii="Arial" w:cs="Arial" w:eastAsia="Arial" w:hAnsi="Arial"/>
          <w:sz w:val="18"/>
          <w:szCs w:val="18"/>
          <w:color w:val="auto"/>
        </w:rPr>
      </w:pPr>
      <w:r>
        <w:rPr>
          <w:rFonts w:ascii="Arial" w:cs="Arial" w:eastAsia="Arial" w:hAnsi="Arial"/>
          <w:sz w:val="18"/>
          <w:szCs w:val="18"/>
          <w:color w:val="auto"/>
        </w:rPr>
        <w:t>a registration statement covering the public resale of the Registered Settlement Shares by Dealer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have been filed with the Securities and Exchange Commission under the Securities Act and been declared or otherwise become effective on or prior to the date of delivery, and no stop order shall be in effect with respect to the Registration Statement; a printed prospectus relating to the Registered Settlement Shares (including any prospectus supplement thereto, the “</w:t>
      </w:r>
      <w:r>
        <w:rPr>
          <w:rFonts w:ascii="Arial" w:cs="Arial" w:eastAsia="Arial" w:hAnsi="Arial"/>
          <w:sz w:val="18"/>
          <w:szCs w:val="18"/>
          <w:b w:val="1"/>
          <w:bCs w:val="1"/>
          <w:color w:val="auto"/>
        </w:rPr>
        <w:t>Prospectus</w:t>
      </w:r>
      <w:r>
        <w:rPr>
          <w:rFonts w:ascii="Arial" w:cs="Arial" w:eastAsia="Arial" w:hAnsi="Arial"/>
          <w:sz w:val="18"/>
          <w:szCs w:val="18"/>
          <w:color w:val="auto"/>
        </w:rPr>
        <w:t>”) shall have been delivered to Dealer, in such quantities as Dealer shall reasonably have requested, on or prior to the date of delivery;</w:t>
      </w:r>
    </w:p>
    <w:p>
      <w:pPr>
        <w:spacing w:after="0" w:line="187" w:lineRule="exact"/>
        <w:rPr>
          <w:rFonts w:ascii="Arial" w:cs="Arial" w:eastAsia="Arial" w:hAnsi="Arial"/>
          <w:sz w:val="18"/>
          <w:szCs w:val="18"/>
          <w:color w:val="auto"/>
        </w:rPr>
      </w:pPr>
    </w:p>
    <w:p>
      <w:pPr>
        <w:ind w:firstLine="1305"/>
        <w:spacing w:after="0" w:line="277" w:lineRule="auto"/>
        <w:tabs>
          <w:tab w:leader="none" w:pos="170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form and content of the Registration Statement and the Prospectus (including, without limitation, any sections describing the plan of distribution) shall be reasonably satisfactory to Dealer;</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of or prior to the date of delivery, Dealer and its agents shall have been afforded a reasonable opportunity to conduct a due diligence investigation with respect to Issuer customary in scope for underwritten offerings of equity securities and the results of such investigation are satisfactory to Dealer, in its good faith discretion; and</w:t>
      </w:r>
    </w:p>
    <w:p>
      <w:pPr>
        <w:spacing w:after="0" w:line="177" w:lineRule="exact"/>
        <w:rPr>
          <w:rFonts w:ascii="Arial" w:cs="Arial" w:eastAsia="Arial" w:hAnsi="Arial"/>
          <w:sz w:val="18"/>
          <w:szCs w:val="18"/>
          <w:color w:val="auto"/>
        </w:rPr>
      </w:pPr>
    </w:p>
    <w:p>
      <w:pPr>
        <w:jc w:val="both"/>
        <w:ind w:firstLine="1305"/>
        <w:spacing w:after="0" w:line="274" w:lineRule="auto"/>
        <w:tabs>
          <w:tab w:leader="none" w:pos="1691" w:val="left"/>
        </w:tabs>
        <w:numPr>
          <w:ilvl w:val="1"/>
          <w:numId w:val="80"/>
        </w:numPr>
        <w:rPr>
          <w:rFonts w:ascii="Arial" w:cs="Arial" w:eastAsia="Arial" w:hAnsi="Arial"/>
          <w:sz w:val="17"/>
          <w:szCs w:val="17"/>
          <w:color w:val="auto"/>
        </w:rPr>
      </w:pPr>
      <w:r>
        <w:rPr>
          <w:rFonts w:ascii="Arial" w:cs="Arial" w:eastAsia="Arial" w:hAnsi="Arial"/>
          <w:sz w:val="17"/>
          <w:szCs w:val="17"/>
          <w:color w:val="auto"/>
        </w:rPr>
        <w:t>as of the date of delivery, an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shall have been entered into with Dealer in connection with the public resale of the Registered Settlement Shares by Dealer substantially similar to underwriting agreements customary for underwritten offerings of equity securities of a similar size by companies similar to Issuer, in form and substance reasonably satisfactory to Dealer, which Underwriting Agreement shall include, without limitation, provisions substantially similar to those contained in such underwriting agreements for offerings of a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Issuer delivers Unregistered Settlement Shares pursuant to paragraph 1 above:</w:t>
      </w:r>
    </w:p>
    <w:p>
      <w:pPr>
        <w:spacing w:after="0" w:line="225" w:lineRule="exact"/>
        <w:rPr>
          <w:rFonts w:ascii="Arial" w:cs="Arial" w:eastAsia="Arial" w:hAnsi="Arial"/>
          <w:sz w:val="18"/>
          <w:szCs w:val="18"/>
          <w:color w:val="auto"/>
        </w:rPr>
      </w:pPr>
    </w:p>
    <w:p>
      <w:pPr>
        <w:ind w:firstLine="1305"/>
        <w:spacing w:after="0" w:line="277" w:lineRule="auto"/>
        <w:tabs>
          <w:tab w:leader="none" w:pos="17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Unregistered Settlement Shares shall be delivered to Dealer (or any affiliate of Dealer designated by Dealer) pursuant to the exemption from the registration requirements of the Securities Act provided by Section 4(a)(2) thereof;</w:t>
      </w:r>
    </w:p>
    <w:p>
      <w:pPr>
        <w:spacing w:after="0" w:line="170" w:lineRule="exact"/>
        <w:rPr>
          <w:rFonts w:ascii="Arial" w:cs="Arial" w:eastAsia="Arial" w:hAnsi="Arial"/>
          <w:sz w:val="18"/>
          <w:szCs w:val="18"/>
          <w:color w:val="auto"/>
        </w:rPr>
      </w:pPr>
    </w:p>
    <w:p>
      <w:pPr>
        <w:jc w:val="both"/>
        <w:ind w:firstLine="1305"/>
        <w:spacing w:after="0" w:line="312" w:lineRule="auto"/>
        <w:tabs>
          <w:tab w:leader="none" w:pos="1718" w:val="left"/>
        </w:tabs>
        <w:numPr>
          <w:ilvl w:val="1"/>
          <w:numId w:val="80"/>
        </w:numPr>
        <w:rPr>
          <w:rFonts w:ascii="Arial" w:cs="Arial" w:eastAsia="Arial" w:hAnsi="Arial"/>
          <w:sz w:val="16"/>
          <w:szCs w:val="16"/>
          <w:color w:val="auto"/>
        </w:rPr>
      </w:pPr>
      <w:r>
        <w:rPr>
          <w:rFonts w:ascii="Arial" w:cs="Arial" w:eastAsia="Arial" w:hAnsi="Arial"/>
          <w:sz w:val="16"/>
          <w:szCs w:val="16"/>
          <w:color w:val="auto"/>
        </w:rPr>
        <w:t>as of or prior to the date of delivery, Dealer and any potential purchaser of any such Unregistered Settlement Shares from Dealer (or any affiliate of Dealer designated by Dealer) identified by Dealer shall be afforded a commercially reasonable opportunity to conduct a due diligence investigation with respect to Issuer customary in scope for private placements of equity securities of a similar size by companies similar to Issuer (including,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283" w:right="239" w:bottom="1440" w:gutter="0" w:footer="0" w:header="0"/>
        </w:sectPr>
      </w:pPr>
    </w:p>
    <w:bookmarkStart w:id="190" w:name="page191"/>
    <w:bookmarkEnd w:id="190"/>
    <w:p>
      <w:pPr>
        <w:spacing w:after="0" w:line="277" w:lineRule="auto"/>
        <w:rPr>
          <w:sz w:val="20"/>
          <w:szCs w:val="20"/>
          <w:color w:val="auto"/>
        </w:rPr>
      </w:pPr>
      <w:r>
        <w:rPr>
          <w:rFonts w:ascii="Arial" w:cs="Arial" w:eastAsia="Arial" w:hAnsi="Arial"/>
          <w:sz w:val="18"/>
          <w:szCs w:val="18"/>
          <w:color w:val="auto"/>
        </w:rPr>
        <w:t>without limitation, the right to have made available to them for inspection all financial and other records, pertinent corporate documents and other information reasonably requested by them);</w:t>
      </w:r>
    </w:p>
    <w:p>
      <w:pPr>
        <w:spacing w:after="0" w:line="166" w:lineRule="exact"/>
        <w:rPr>
          <w:sz w:val="20"/>
          <w:szCs w:val="20"/>
          <w:color w:val="auto"/>
        </w:rPr>
      </w:pPr>
    </w:p>
    <w:p>
      <w:pPr>
        <w:jc w:val="both"/>
        <w:ind w:firstLine="1305"/>
        <w:spacing w:after="0" w:line="270" w:lineRule="auto"/>
        <w:tabs>
          <w:tab w:leader="none" w:pos="1727" w:val="left"/>
        </w:tabs>
        <w:numPr>
          <w:ilvl w:val="1"/>
          <w:numId w:val="81"/>
        </w:numPr>
        <w:rPr>
          <w:rFonts w:ascii="Arial" w:cs="Arial" w:eastAsia="Arial" w:hAnsi="Arial"/>
          <w:sz w:val="17"/>
          <w:szCs w:val="17"/>
          <w:color w:val="auto"/>
        </w:rPr>
      </w:pPr>
      <w:r>
        <w:rPr>
          <w:rFonts w:ascii="Arial" w:cs="Arial" w:eastAsia="Arial" w:hAnsi="Arial"/>
          <w:sz w:val="17"/>
          <w:szCs w:val="17"/>
          <w:color w:val="auto"/>
        </w:rPr>
        <w:t>as of the date of delivery, Issuer shall enter into an agreement (a “</w:t>
      </w:r>
      <w:r>
        <w:rPr>
          <w:rFonts w:ascii="Arial" w:cs="Arial" w:eastAsia="Arial" w:hAnsi="Arial"/>
          <w:sz w:val="17"/>
          <w:szCs w:val="17"/>
          <w:b w:val="1"/>
          <w:bCs w:val="1"/>
          <w:color w:val="auto"/>
        </w:rPr>
        <w:t>Private Placement Agreement</w:t>
      </w:r>
      <w:r>
        <w:rPr>
          <w:rFonts w:ascii="Arial" w:cs="Arial" w:eastAsia="Arial" w:hAnsi="Arial"/>
          <w:sz w:val="17"/>
          <w:szCs w:val="17"/>
          <w:color w:val="auto"/>
        </w:rPr>
        <w:t>”) with Dealer (or any affiliate of Dealer designated by Dealer) in connection with the private placement of such Unregistered Settlement Shares by Issuer to Dealer (or any such affiliate) and the private resale of such Unregistered Settlement Shares by Dealer (or any such affiliate), substantially similar to private placement purchase agreements customary for private placements of equity securities of a similar size by companies similar to Issuer, in form and substance commercially reasonably satisfactory to Dealer, which Private Placement Agreement shall include, without limitation, provisions substantially similar to those contained in such private placement purchase agreements for offerings of similar size by companies similar to Issuer relating, without limitation, to the indemnification of, and contribution in connection with the liability of, Dealer and its affiliates and the provision of customary opinions, accountants’ comfort letters and lawyers’ negative assurance letters, and shall provide for the payment by Issuer of all commercially reasonable fees and expenses in connection with such resale, including all commercially reasonable fees and expenses of counsel for Dealer, and shall contain representations, warranties, covenants and agreements of Issuer reasonably necessary or advisable to establish and maintain the availability of an exemption from the registration requirements of the Securities Act for such resale; and</w:t>
      </w:r>
    </w:p>
    <w:p>
      <w:pPr>
        <w:spacing w:after="0" w:line="178" w:lineRule="exact"/>
        <w:rPr>
          <w:rFonts w:ascii="Arial" w:cs="Arial" w:eastAsia="Arial" w:hAnsi="Arial"/>
          <w:sz w:val="17"/>
          <w:szCs w:val="17"/>
          <w:color w:val="auto"/>
        </w:rPr>
      </w:pPr>
    </w:p>
    <w:p>
      <w:pPr>
        <w:jc w:val="both"/>
        <w:ind w:firstLine="1305"/>
        <w:spacing w:after="0" w:line="312" w:lineRule="auto"/>
        <w:tabs>
          <w:tab w:leader="none" w:pos="1696" w:val="left"/>
        </w:tabs>
        <w:numPr>
          <w:ilvl w:val="1"/>
          <w:numId w:val="81"/>
        </w:numPr>
        <w:rPr>
          <w:rFonts w:ascii="Arial" w:cs="Arial" w:eastAsia="Arial" w:hAnsi="Arial"/>
          <w:sz w:val="16"/>
          <w:szCs w:val="16"/>
          <w:color w:val="auto"/>
        </w:rPr>
      </w:pPr>
      <w:r>
        <w:rPr>
          <w:rFonts w:ascii="Arial" w:cs="Arial" w:eastAsia="Arial" w:hAnsi="Arial"/>
          <w:sz w:val="16"/>
          <w:szCs w:val="16"/>
          <w:color w:val="auto"/>
        </w:rPr>
        <w:t>in connection with the private placement of such shares by Issuer to Dealer (or any such affiliate) and the private resale of such shares by Dealer (or any such affiliate), Issuer shall, if so requested by Dealer, prepare, in cooperation with Dealer, a private placement memorandum in form and substance reasonably satisfactory to Dealer and customary for private placements of equity securities of similar size by companies similar to Issuer.</w:t>
      </w:r>
    </w:p>
    <w:p>
      <w:pPr>
        <w:spacing w:after="0" w:line="142" w:lineRule="exact"/>
        <w:rPr>
          <w:rFonts w:ascii="Arial" w:cs="Arial" w:eastAsia="Arial" w:hAnsi="Arial"/>
          <w:sz w:val="16"/>
          <w:szCs w:val="16"/>
          <w:color w:val="auto"/>
        </w:rPr>
      </w:pPr>
    </w:p>
    <w:p>
      <w:pPr>
        <w:jc w:val="both"/>
        <w:ind w:firstLine="656"/>
        <w:spacing w:after="0" w:line="287" w:lineRule="auto"/>
        <w:tabs>
          <w:tab w:leader="none" w:pos="1054"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clause (y) of paragraph 1 above applies, Dealer, itself or through an affiliate (the “</w:t>
      </w:r>
      <w:r>
        <w:rPr>
          <w:rFonts w:ascii="Arial" w:cs="Arial" w:eastAsia="Arial" w:hAnsi="Arial"/>
          <w:sz w:val="16"/>
          <w:szCs w:val="16"/>
          <w:b w:val="1"/>
          <w:bCs w:val="1"/>
          <w:color w:val="auto"/>
        </w:rPr>
        <w:t>Selling Agent</w:t>
      </w:r>
      <w:r>
        <w:rPr>
          <w:rFonts w:ascii="Arial" w:cs="Arial" w:eastAsia="Arial" w:hAnsi="Arial"/>
          <w:sz w:val="16"/>
          <w:szCs w:val="16"/>
          <w:color w:val="auto"/>
        </w:rPr>
        <w:t>”) or any underwriter(s), will sell, in a commercially reasonable manner and over a commercially reasonable period, all, or such lesser portion as may be required hereunder, of the Registered Settlement Shares or Unregistered Settlement Shares and any Makewhole Shares (as defined below) (together, the “</w:t>
      </w:r>
      <w:r>
        <w:rPr>
          <w:rFonts w:ascii="Arial" w:cs="Arial" w:eastAsia="Arial" w:hAnsi="Arial"/>
          <w:sz w:val="16"/>
          <w:szCs w:val="16"/>
          <w:b w:val="1"/>
          <w:bCs w:val="1"/>
          <w:color w:val="auto"/>
        </w:rPr>
        <w:t>Settlement Shares</w:t>
      </w:r>
      <w:r>
        <w:rPr>
          <w:rFonts w:ascii="Arial" w:cs="Arial" w:eastAsia="Arial" w:hAnsi="Arial"/>
          <w:sz w:val="16"/>
          <w:szCs w:val="16"/>
          <w:color w:val="auto"/>
        </w:rPr>
        <w:t>”) delivered by Issuer to Dealer pursuant to paragraph 5 below in a commercially reasonable manner commencing on the relevant Payment Date (such date, the “</w:t>
      </w:r>
      <w:r>
        <w:rPr>
          <w:rFonts w:ascii="Arial" w:cs="Arial" w:eastAsia="Arial" w:hAnsi="Arial"/>
          <w:sz w:val="16"/>
          <w:szCs w:val="16"/>
          <w:b w:val="1"/>
          <w:bCs w:val="1"/>
          <w:color w:val="auto"/>
        </w:rPr>
        <w:t>Net Share</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 Date</w:t>
      </w:r>
      <w:r>
        <w:rPr>
          <w:rFonts w:ascii="Arial" w:cs="Arial" w:eastAsia="Arial" w:hAnsi="Arial"/>
          <w:sz w:val="16"/>
          <w:szCs w:val="16"/>
          <w:color w:val="auto"/>
        </w:rPr>
        <w:t>” for purposes of Net Share Settlement by Issuer) and continuing until the date on which the aggregate Net Proceeds (as such term is defined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of such sales, as determined by Dealer in a commercially reasonable manner, is equal to the Amendment Payment (such date, the “</w:t>
      </w:r>
      <w:r>
        <w:rPr>
          <w:rFonts w:ascii="Arial" w:cs="Arial" w:eastAsia="Arial" w:hAnsi="Arial"/>
          <w:sz w:val="16"/>
          <w:szCs w:val="16"/>
          <w:b w:val="1"/>
          <w:bCs w:val="1"/>
          <w:color w:val="auto"/>
        </w:rPr>
        <w:t>Final Resale</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If the proceeds of any sale(s) made by Dealer, the Selling Agent or any underwriter(s), net of any commercially reasonable fees and commissions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without limitation, commercially reasonable underwriting or placement fees) customary for similar transactions of a similar size under the circumstances at the time of the offering, together with commercially reasonable carrying charges and expenses incurred in connection with the offer and sale of the Shares (including, but without limitation to, the covering of any over-allotment or short position (syndicate or otherwise)) (the “</w:t>
      </w:r>
      <w:r>
        <w:rPr>
          <w:rFonts w:ascii="Arial" w:cs="Arial" w:eastAsia="Arial" w:hAnsi="Arial"/>
          <w:sz w:val="16"/>
          <w:szCs w:val="16"/>
          <w:b w:val="1"/>
          <w:bCs w:val="1"/>
          <w:color w:val="auto"/>
        </w:rPr>
        <w:t>Net Proceeds</w:t>
      </w:r>
      <w:r>
        <w:rPr>
          <w:rFonts w:ascii="Arial" w:cs="Arial" w:eastAsia="Arial" w:hAnsi="Arial"/>
          <w:sz w:val="16"/>
          <w:szCs w:val="16"/>
          <w:color w:val="auto"/>
        </w:rPr>
        <w:t>”) exceed the Amendment Payment, Dealer will refund, in USD, such excess to Issuer on the date that is three (3) Currency Business Days following the Final Resale Date, and, if any portion of the Settlement Shares remains unsold, Dealer shall return to Issuer on that date such unsold Shares.</w:t>
      </w:r>
    </w:p>
    <w:p>
      <w:pPr>
        <w:spacing w:after="0" w:line="159" w:lineRule="exact"/>
        <w:rPr>
          <w:rFonts w:ascii="Arial" w:cs="Arial" w:eastAsia="Arial" w:hAnsi="Arial"/>
          <w:sz w:val="16"/>
          <w:szCs w:val="16"/>
          <w:color w:val="auto"/>
        </w:rPr>
      </w:pPr>
    </w:p>
    <w:p>
      <w:pPr>
        <w:jc w:val="both"/>
        <w:ind w:firstLine="656"/>
        <w:spacing w:after="0" w:line="349" w:lineRule="auto"/>
        <w:tabs>
          <w:tab w:leader="none" w:pos="991"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clause (y) of paragraph 1 above applies and the Calculation Agent determines that the Net Proceeds received from the sale of the Registered Settlement Shares or Unregistered Settlement Shares or any Makewhole Shares, if any, pursuant to this paragraph 5 are less than the Amendment Payment</w:t>
      </w:r>
    </w:p>
    <w:p>
      <w:pPr>
        <w:spacing w:after="0" w:line="1" w:lineRule="exact"/>
        <w:rPr>
          <w:rFonts w:ascii="Arial" w:cs="Arial" w:eastAsia="Arial" w:hAnsi="Arial"/>
          <w:sz w:val="16"/>
          <w:szCs w:val="16"/>
          <w:color w:val="auto"/>
        </w:rPr>
      </w:pPr>
    </w:p>
    <w:p>
      <w:pPr>
        <w:jc w:val="both"/>
        <w:spacing w:after="0" w:line="321" w:lineRule="auto"/>
        <w:rPr>
          <w:rFonts w:ascii="Arial" w:cs="Arial" w:eastAsia="Arial" w:hAnsi="Arial"/>
          <w:sz w:val="16"/>
          <w:szCs w:val="16"/>
          <w:color w:val="auto"/>
        </w:rPr>
      </w:pPr>
      <w:r>
        <w:rPr>
          <w:rFonts w:ascii="Arial" w:cs="Arial" w:eastAsia="Arial" w:hAnsi="Arial"/>
          <w:sz w:val="17"/>
          <w:szCs w:val="17"/>
          <w:color w:val="auto"/>
        </w:rPr>
        <w:t>(the amount in USD by which the Net Proceeds are less than the Amendment Payment being the “</w:t>
      </w:r>
      <w:r>
        <w:rPr>
          <w:rFonts w:ascii="Arial" w:cs="Arial" w:eastAsia="Arial" w:hAnsi="Arial"/>
          <w:sz w:val="17"/>
          <w:szCs w:val="17"/>
          <w:b w:val="1"/>
          <w:bCs w:val="1"/>
          <w:color w:val="auto"/>
        </w:rPr>
        <w:t>Shortfall</w:t>
      </w:r>
      <w:r>
        <w:rPr>
          <w:rFonts w:ascii="Arial" w:cs="Arial" w:eastAsia="Arial" w:hAnsi="Arial"/>
          <w:sz w:val="17"/>
          <w:szCs w:val="17"/>
          <w:color w:val="auto"/>
        </w:rPr>
        <w:t>” and the date on which such determination is made, the “</w:t>
      </w:r>
      <w:r>
        <w:rPr>
          <w:rFonts w:ascii="Arial" w:cs="Arial" w:eastAsia="Arial" w:hAnsi="Arial"/>
          <w:sz w:val="17"/>
          <w:szCs w:val="17"/>
          <w:b w:val="1"/>
          <w:bCs w:val="1"/>
          <w:color w:val="auto"/>
        </w:rPr>
        <w:t>Deficiency Determination Date</w:t>
      </w:r>
      <w:r>
        <w:rPr>
          <w:rFonts w:ascii="Arial" w:cs="Arial" w:eastAsia="Arial" w:hAnsi="Arial"/>
          <w:sz w:val="17"/>
          <w:szCs w:val="17"/>
          <w:color w:val="auto"/>
        </w:rPr>
        <w:t>”), Issuer shall on the Exchange Business Day next succeeding the Deficiency Determination Date (the “</w:t>
      </w:r>
      <w:r>
        <w:rPr>
          <w:rFonts w:ascii="Arial" w:cs="Arial" w:eastAsia="Arial" w:hAnsi="Arial"/>
          <w:sz w:val="17"/>
          <w:szCs w:val="17"/>
          <w:b w:val="1"/>
          <w:bCs w:val="1"/>
          <w:color w:val="auto"/>
        </w:rPr>
        <w:t>Makewhole Notice Date</w:t>
      </w:r>
      <w:r>
        <w:rPr>
          <w:rFonts w:ascii="Arial" w:cs="Arial" w:eastAsia="Arial" w:hAnsi="Arial"/>
          <w:sz w:val="17"/>
          <w:szCs w:val="17"/>
          <w:color w:val="auto"/>
        </w:rPr>
        <w:t>”) deliver to Dealer, through the Selling Agent, a notice of Issuer’s election that Issuer shall either (i) pay an amount in cash equal to the Shortfall on the day that is one (1) Currency Business Day after the Makewhole Notice Date, or (ii) deliver additional Shares. If Issuer elects to deliver to Dealer additional Shares, then Issuer shall deliver additional Shares in compliance with the terms and conditions of paragraph 2 or paragraph 3 above, as the case may be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on the first Clearance System Business Day which is also an Exchange Business Day following the Makewhole Notice Date in such number as the Calculation Agent commercially reasonably believes would have a market value on that Exchange Business Day equal to the Shortfall. Such Makewhole Shares shall be sold by Dealer in accordance with the provisions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sum of the Net Proceeds from the sale of the originally delivered Shares and the Net Proceeds from the sale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25" w:right="239" w:bottom="1440" w:gutter="0" w:footer="0" w:header="0"/>
        </w:sectPr>
      </w:pPr>
    </w:p>
    <w:bookmarkStart w:id="191" w:name="page192"/>
    <w:bookmarkEnd w:id="191"/>
    <w:p>
      <w:pPr>
        <w:spacing w:after="0" w:line="324" w:lineRule="auto"/>
        <w:rPr>
          <w:sz w:val="20"/>
          <w:szCs w:val="20"/>
          <w:color w:val="auto"/>
        </w:rPr>
      </w:pPr>
      <w:r>
        <w:rPr>
          <w:rFonts w:ascii="Arial" w:cs="Arial" w:eastAsia="Arial" w:hAnsi="Arial"/>
          <w:sz w:val="18"/>
          <w:szCs w:val="18"/>
          <w:color w:val="auto"/>
        </w:rPr>
        <w:t>of any Makewhole Shares is less than the Amendment Payment then Issuer shall, at its election, either make such cash payment or deliver to Dealer further Makewhole Shares until such Shortfall has been reduced to zero.</w:t>
      </w:r>
    </w:p>
    <w:p>
      <w:pPr>
        <w:spacing w:after="0" w:line="211" w:lineRule="exact"/>
        <w:rPr>
          <w:sz w:val="20"/>
          <w:szCs w:val="20"/>
          <w:color w:val="auto"/>
        </w:rPr>
      </w:pPr>
    </w:p>
    <w:p>
      <w:pPr>
        <w:jc w:val="both"/>
        <w:ind w:firstLine="656"/>
        <w:spacing w:after="0" w:line="255" w:lineRule="auto"/>
        <w:tabs>
          <w:tab w:leader="none" w:pos="9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the foregoing, and without limiting the Issuer’s ability to elect to settle any Daily Amendment Payment in Shares, as provided in this Annex B, in no event shall the aggregate number of Settlement Shares and Makewhole Shares required to be delivered by the Issuer upon settlement of all Daily Amendment Payments so settled in Shares, in the aggregate, be greater than 250,000 Shares (the “</w:t>
      </w:r>
      <w:r>
        <w:rPr>
          <w:rFonts w:ascii="Arial" w:cs="Arial" w:eastAsia="Arial" w:hAnsi="Arial"/>
          <w:sz w:val="18"/>
          <w:szCs w:val="18"/>
          <w:b w:val="1"/>
          <w:bCs w:val="1"/>
          <w:color w:val="auto"/>
        </w:rPr>
        <w:t>Maximum Number of Shares</w:t>
      </w:r>
      <w:r>
        <w:rPr>
          <w:rFonts w:ascii="Arial" w:cs="Arial" w:eastAsia="Arial" w:hAnsi="Arial"/>
          <w:sz w:val="18"/>
          <w:szCs w:val="18"/>
          <w:color w:val="auto"/>
        </w:rPr>
        <w:t>”). For the avoidance of doubt, in no event will the Company be required to deliver cash in the event the aggregate number of Settlement Shares and Makewhole Shares required to be delivered by the Issuer upon settlement of all Daily Amendment Payments so settled in Shares, in the aggregate, would, but for the foregoing sentence, exceed the Maximum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65"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color w:val="auto"/>
        </w:rPr>
        <w:t>Exhibit 21.1</w:t>
      </w:r>
    </w:p>
    <w:p>
      <w:pPr>
        <w:spacing w:after="0" w:line="302"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SUBSIDIARIES OF REGENERON PHARMACEUTICALS, INC.</w:t>
      </w:r>
    </w:p>
    <w:p>
      <w:pPr>
        <w:spacing w:after="0" w:line="37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or Other Jurisdiction of</w:t>
            </w:r>
          </w:p>
        </w:tc>
        <w:tc>
          <w:tcPr>
            <w:tcW w:w="80" w:type="dxa"/>
            <w:vAlign w:val="bottom"/>
          </w:tcPr>
          <w:p>
            <w:pPr>
              <w:spacing w:after="0"/>
              <w:rPr>
                <w:sz w:val="17"/>
                <w:szCs w:val="17"/>
                <w:color w:val="auto"/>
              </w:rPr>
            </w:pPr>
          </w:p>
        </w:tc>
      </w:tr>
      <w:tr>
        <w:trPr>
          <w:trHeight w:val="196"/>
        </w:trPr>
        <w:tc>
          <w:tcPr>
            <w:tcW w:w="1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1"/>
              </w:rPr>
              <w:t>Name of Subsidiary*</w:t>
            </w:r>
          </w:p>
        </w:tc>
        <w:tc>
          <w:tcPr>
            <w:tcW w:w="2360" w:type="dxa"/>
            <w:vAlign w:val="bottom"/>
          </w:tcPr>
          <w:p>
            <w:pPr>
              <w:spacing w:after="0"/>
              <w:rPr>
                <w:sz w:val="17"/>
                <w:szCs w:val="17"/>
                <w:color w:val="auto"/>
              </w:rPr>
            </w:pPr>
          </w:p>
        </w:tc>
        <w:tc>
          <w:tcPr>
            <w:tcW w:w="23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2"/>
              </w:rPr>
              <w:t>Incorporation or Organization</w:t>
            </w:r>
          </w:p>
        </w:tc>
      </w:tr>
      <w:tr>
        <w:trPr>
          <w:trHeight w:val="291"/>
        </w:trPr>
        <w:tc>
          <w:tcPr>
            <w:tcW w:w="3980" w:type="dxa"/>
            <w:vAlign w:val="bottom"/>
            <w:gridSpan w:val="2"/>
          </w:tcPr>
          <w:p>
            <w:pPr>
              <w:spacing w:after="0"/>
              <w:rPr>
                <w:sz w:val="20"/>
                <w:szCs w:val="20"/>
                <w:color w:val="auto"/>
              </w:rPr>
            </w:pPr>
            <w:r>
              <w:rPr>
                <w:rFonts w:ascii="Arial" w:cs="Arial" w:eastAsia="Arial" w:hAnsi="Arial"/>
                <w:sz w:val="18"/>
                <w:szCs w:val="18"/>
                <w:color w:val="auto"/>
              </w:rPr>
              <w:t>Loop Road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OSMR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OSMR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Bermuda</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Capital International B.V.</w:t>
            </w:r>
          </w:p>
        </w:tc>
        <w:tc>
          <w:tcPr>
            <w:tcW w:w="2360" w:type="dxa"/>
            <w:vAlign w:val="bottom"/>
            <w:gridSpan w:val="2"/>
          </w:tcPr>
          <w:p>
            <w:pPr>
              <w:spacing w:after="0"/>
              <w:rPr>
                <w:sz w:val="20"/>
                <w:szCs w:val="20"/>
                <w:color w:val="auto"/>
              </w:rPr>
            </w:pPr>
            <w:r>
              <w:rPr>
                <w:rFonts w:ascii="Arial" w:cs="Arial" w:eastAsia="Arial" w:hAnsi="Arial"/>
                <w:sz w:val="18"/>
                <w:szCs w:val="18"/>
                <w:color w:val="auto"/>
              </w:rPr>
              <w:t>The Netherlands</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Genetics Center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Healthcare Solutions, Inc.</w:t>
            </w:r>
          </w:p>
        </w:tc>
        <w:tc>
          <w:tcPr>
            <w:tcW w:w="236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International</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International Holdings LLC</w:t>
            </w:r>
          </w:p>
        </w:tc>
        <w:tc>
          <w:tcPr>
            <w:tcW w:w="236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Ireland Holdings</w:t>
            </w:r>
          </w:p>
        </w:tc>
        <w:tc>
          <w:tcPr>
            <w:tcW w:w="236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Spain, S.L.U.</w:t>
            </w:r>
          </w:p>
        </w:tc>
        <w:tc>
          <w:tcPr>
            <w:tcW w:w="2360" w:type="dxa"/>
            <w:vAlign w:val="bottom"/>
            <w:gridSpan w:val="2"/>
          </w:tcPr>
          <w:p>
            <w:pPr>
              <w:spacing w:after="0"/>
              <w:rPr>
                <w:sz w:val="20"/>
                <w:szCs w:val="20"/>
                <w:color w:val="auto"/>
              </w:rPr>
            </w:pPr>
            <w:r>
              <w:rPr>
                <w:rFonts w:ascii="Arial" w:cs="Arial" w:eastAsia="Arial" w:hAnsi="Arial"/>
                <w:sz w:val="18"/>
                <w:szCs w:val="18"/>
                <w:color w:val="auto"/>
              </w:rPr>
              <w:t>Spain</w:t>
            </w:r>
          </w:p>
        </w:tc>
      </w:tr>
      <w:tr>
        <w:trPr>
          <w:trHeight w:val="270"/>
        </w:trPr>
        <w:tc>
          <w:tcPr>
            <w:tcW w:w="3980" w:type="dxa"/>
            <w:vAlign w:val="bottom"/>
            <w:gridSpan w:val="2"/>
          </w:tcPr>
          <w:p>
            <w:pPr>
              <w:spacing w:after="0"/>
              <w:rPr>
                <w:sz w:val="20"/>
                <w:szCs w:val="20"/>
                <w:color w:val="auto"/>
              </w:rPr>
            </w:pPr>
            <w:r>
              <w:rPr>
                <w:rFonts w:ascii="Arial" w:cs="Arial" w:eastAsia="Arial" w:hAnsi="Arial"/>
                <w:sz w:val="18"/>
                <w:szCs w:val="18"/>
                <w:color w:val="auto"/>
              </w:rPr>
              <w:t>Regeneron UK Limited</w:t>
            </w:r>
          </w:p>
        </w:tc>
        <w:tc>
          <w:tcPr>
            <w:tcW w:w="2360" w:type="dxa"/>
            <w:vAlign w:val="bottom"/>
            <w:gridSpan w:val="2"/>
          </w:tcPr>
          <w:p>
            <w:pPr>
              <w:spacing w:after="0"/>
              <w:rPr>
                <w:sz w:val="20"/>
                <w:szCs w:val="20"/>
                <w:color w:val="auto"/>
              </w:rPr>
            </w:pPr>
            <w:r>
              <w:rPr>
                <w:rFonts w:ascii="Arial" w:cs="Arial" w:eastAsia="Arial" w:hAnsi="Arial"/>
                <w:sz w:val="18"/>
                <w:szCs w:val="18"/>
                <w:color w:val="auto"/>
              </w:rPr>
              <w:t>United Kingdom</w:t>
            </w:r>
          </w:p>
        </w:tc>
      </w:tr>
    </w:tbl>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Directly or indirectly wholly owned by Regeneron Pharmaceuticals, Inc.</w:t>
      </w:r>
    </w:p>
    <w:p>
      <w:pPr>
        <w:sectPr>
          <w:pgSz w:w="11900" w:h="16838" w:orient="portrait"/>
          <w:cols w:equalWidth="0" w:num="1">
            <w:col w:w="10220"/>
          </w:cols>
          <w:pgMar w:left="1440" w:top="666"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21"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333-61132, 333-97375, 333-119257, 333-151941, 333-169569, 333-174863, 333-196799, and 333-198794) and on Form S</w:t>
      </w:r>
      <w:r>
        <w:rPr>
          <w:rFonts w:ascii="MS PGothic" w:cs="MS PGothic" w:eastAsia="MS PGothic" w:hAnsi="MS PGothic"/>
          <w:sz w:val="16"/>
          <w:szCs w:val="16"/>
          <w:color w:val="auto"/>
        </w:rPr>
        <w:t>‑</w:t>
      </w:r>
      <w:r>
        <w:rPr>
          <w:rFonts w:ascii="Arial" w:cs="Arial" w:eastAsia="Arial" w:hAnsi="Arial"/>
          <w:sz w:val="16"/>
          <w:szCs w:val="16"/>
          <w:color w:val="auto"/>
        </w:rPr>
        <w:t>3 (No. 333-192091) of Regeneron Pharmaceuticals, Inc., of our report dated February 11, 2016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11, 2016</w:t>
      </w:r>
    </w:p>
    <w:p>
      <w:pPr>
        <w:sectPr>
          <w:pgSz w:w="11900" w:h="16838" w:orient="portrait"/>
          <w:cols w:equalWidth="0" w:num="1">
            <w:col w:w="11420"/>
          </w:cols>
          <w:pgMar w:left="240" w:top="58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171"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11, 2016</w:t>
      </w:r>
      <w:r>
        <w:rPr>
          <w:sz w:val="20"/>
          <w:szCs w:val="20"/>
          <w:color w:val="auto"/>
        </w:rPr>
        <w:tab/>
      </w:r>
      <w:r>
        <w:rPr>
          <w:rFonts w:ascii="Arial" w:cs="Arial" w:eastAsia="Arial" w:hAnsi="Arial"/>
          <w:sz w:val="16"/>
          <w:szCs w:val="16"/>
          <w:u w:val="single" w:color="auto"/>
          <w:color w:val="auto"/>
        </w:rPr>
        <w:t>/s/ Leonard S. Schleifer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17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Regeneron Pharmaceuticals,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264"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277" w:lineRule="auto"/>
        <w:tabs>
          <w:tab w:leader="none" w:pos="9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280"/>
        <w:spacing w:after="0"/>
        <w:tabs>
          <w:tab w:leader="none" w:pos="4360" w:val="left"/>
        </w:tabs>
        <w:rPr>
          <w:sz w:val="20"/>
          <w:szCs w:val="20"/>
          <w:color w:val="auto"/>
        </w:rPr>
      </w:pPr>
      <w:r>
        <w:rPr>
          <w:rFonts w:ascii="Arial" w:cs="Arial" w:eastAsia="Arial" w:hAnsi="Arial"/>
          <w:sz w:val="18"/>
          <w:szCs w:val="18"/>
          <w:color w:val="auto"/>
        </w:rPr>
        <w:t>Date: February 11, 2016</w:t>
      </w:r>
      <w:r>
        <w:rPr>
          <w:sz w:val="20"/>
          <w:szCs w:val="20"/>
          <w:color w:val="auto"/>
        </w:rPr>
        <w:tab/>
      </w:r>
      <w:r>
        <w:rPr>
          <w:rFonts w:ascii="Arial" w:cs="Arial" w:eastAsia="Arial" w:hAnsi="Arial"/>
          <w:sz w:val="16"/>
          <w:szCs w:val="16"/>
          <w:u w:val="single" w:color="auto"/>
          <w:color w:val="auto"/>
        </w:rPr>
        <w:t>/s/ 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9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2015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Leonard S. Schleifer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Leonard S. Schleifer, M.D., Ph.D.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11, 2016</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Financial Officer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11, 2016</w:t>
      </w:r>
    </w:p>
    <w:sectPr>
      <w:pgSz w:w="11900" w:h="16838" w:orient="portrait"/>
      <w:cols w:equalWidth="0" w:num="1">
        <w:col w:w="11420"/>
      </w:cols>
      <w:pgMar w:left="240" w:top="2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upperLetter"/>
      <w:start w:val="24"/>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1."/>
      <w:numFmt w:val="lowerLetter"/>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decimal"/>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1)"/>
      <w:numFmt w:val="lowerRoman"/>
      <w:start w:val="4"/>
    </w:lvl>
  </w:abstractNum>
  <w:abstractNum w:abstractNumId="20">
    <w:nsid w:val="520EEDD1"/>
    <w:multiLevelType w:val="hybridMultilevel"/>
    <w:lvl w:ilvl="0">
      <w:lvlJc w:val="left"/>
      <w:lvlText w:val="(%1)"/>
      <w:numFmt w:val="decimal"/>
      <w:start w:val="1"/>
    </w:lvl>
  </w:abstractNum>
  <w:abstractNum w:abstractNumId="21">
    <w:nsid w:val="374A3FE6"/>
    <w:multiLevelType w:val="hybridMultilevel"/>
    <w:lvl w:ilvl="0">
      <w:lvlJc w:val="left"/>
      <w:lvlText w:val="Ÿ"/>
      <w:numFmt w:val="bullet"/>
      <w:start w:val="1"/>
    </w:lvl>
  </w:abstractNum>
  <w:abstractNum w:abstractNumId="22">
    <w:nsid w:val="4F4EF005"/>
    <w:multiLevelType w:val="hybridMultilevel"/>
    <w:lvl w:ilvl="0">
      <w:lvlJc w:val="left"/>
      <w:lvlText w:val="Ÿ"/>
      <w:numFmt w:val="bullet"/>
      <w:start w:val="1"/>
    </w:lvl>
  </w:abstractNum>
  <w:abstractNum w:abstractNumId="23">
    <w:nsid w:val="23F9C13C"/>
    <w:multiLevelType w:val="hybridMultilevel"/>
    <w:lvl w:ilvl="0">
      <w:lvlJc w:val="left"/>
      <w:lvlText w:val="Ÿ"/>
      <w:numFmt w:val="bullet"/>
      <w:start w:val="1"/>
    </w:lvl>
  </w:abstractNum>
  <w:abstractNum w:abstractNumId="24">
    <w:nsid w:val="649BB77C"/>
    <w:multiLevelType w:val="hybridMultilevel"/>
    <w:lvl w:ilvl="0">
      <w:lvlJc w:val="left"/>
      <w:lvlText w:val="Ÿ"/>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1)"/>
      <w:numFmt w:val="decimal"/>
      <w:start w:val="1"/>
    </w:lvl>
  </w:abstractNum>
  <w:abstractNum w:abstractNumId="27">
    <w:nsid w:val="1CF10FD8"/>
    <w:multiLevelType w:val="hybridMultilevel"/>
    <w:lvl w:ilvl="0">
      <w:lvlJc w:val="left"/>
      <w:lvlText w:val="(%1)"/>
      <w:numFmt w:val="decimal"/>
      <w:start w:val="1"/>
    </w:lvl>
  </w:abstractNum>
  <w:abstractNum w:abstractNumId="28">
    <w:nsid w:val="180115BE"/>
    <w:multiLevelType w:val="hybridMultilevel"/>
    <w:lvl w:ilvl="0">
      <w:lvlJc w:val="left"/>
      <w:lvlText w:val="(%1)"/>
      <w:numFmt w:val="decimal"/>
      <w:start w:val="1"/>
    </w:lvl>
  </w:abstractNum>
  <w:abstractNum w:abstractNumId="29">
    <w:nsid w:val="235BA861"/>
    <w:multiLevelType w:val="hybridMultilevel"/>
    <w:lvl w:ilvl="0">
      <w:lvlJc w:val="left"/>
      <w:lvlText w:val="+"/>
      <w:numFmt w:val="bullet"/>
      <w:start w:val="1"/>
    </w:lvl>
    <w:lvl w:ilvl="1">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1."/>
      <w:numFmt w:val="lowerLetter"/>
      <w:start w:val="1"/>
    </w:lvl>
  </w:abstractNum>
  <w:abstractNum w:abstractNumId="33">
    <w:nsid w:val="741226BB"/>
    <w:multiLevelType w:val="hybridMultilevel"/>
    <w:lvl w:ilvl="0">
      <w:lvlJc w:val="left"/>
      <w:lvlText w:val="%1."/>
      <w:numFmt w:val="lowerLetter"/>
      <w:start w:val="1"/>
    </w:lvl>
  </w:abstractNum>
  <w:abstractNum w:abstractNumId="34">
    <w:nsid w:val="D34B6A8"/>
    <w:multiLevelType w:val="hybridMultilevel"/>
    <w:lvl w:ilvl="0">
      <w:lvlJc w:val="left"/>
      <w:lvlText w:val="%1."/>
      <w:numFmt w:val="lowerLetter"/>
      <w:start w:val="2"/>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1)"/>
      <w:numFmt w:val="decimal"/>
      <w:start w:val="1"/>
    </w:lvl>
  </w:abstractNum>
  <w:abstractNum w:abstractNumId="37">
    <w:nsid w:val="61574095"/>
    <w:multiLevelType w:val="hybridMultilevel"/>
    <w:lvl w:ilvl="0">
      <w:lvlJc w:val="left"/>
      <w:lvlText w:val="%1."/>
      <w:numFmt w:val="decimal"/>
      <w:start w:val="2"/>
    </w:lvl>
  </w:abstractNum>
  <w:abstractNum w:abstractNumId="38">
    <w:nsid w:val="7E0C57B1"/>
    <w:multiLevelType w:val="hybridMultilevel"/>
    <w:lvl w:ilvl="0">
      <w:lvlJc w:val="left"/>
      <w:lvlText w:val="(%1)"/>
      <w:numFmt w:val="lowerLetter"/>
      <w:start w:val="1"/>
    </w:lvl>
  </w:abstractNum>
  <w:abstractNum w:abstractNumId="39">
    <w:nsid w:val="77AE35EB"/>
    <w:multiLevelType w:val="hybridMultilevel"/>
    <w:lvl w:ilvl="0">
      <w:lvlJc w:val="left"/>
      <w:lvlText w:val="(%1)"/>
      <w:numFmt w:val="lowerLetter"/>
      <w:start w:val="1"/>
    </w:lvl>
  </w:abstractNum>
  <w:abstractNum w:abstractNumId="40">
    <w:nsid w:val="579BE4F1"/>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41">
    <w:nsid w:val="310C50B3"/>
    <w:multiLevelType w:val="hybridMultilevel"/>
    <w:lvl w:ilvl="0">
      <w:lvlJc w:val="left"/>
      <w:lvlText w:val="(%1)"/>
      <w:numFmt w:val="upperLetter"/>
      <w:start w:val="2"/>
    </w:lvl>
  </w:abstractNum>
  <w:abstractNum w:abstractNumId="42">
    <w:nsid w:val="5FF87E05"/>
    <w:multiLevelType w:val="hybridMultilevel"/>
    <w:lvl w:ilvl="0">
      <w:lvlJc w:val="left"/>
      <w:lvlText w:val="(%1)"/>
      <w:numFmt w:val="lowerLetter"/>
      <w:start w:val="3"/>
    </w:lvl>
  </w:abstractNum>
  <w:abstractNum w:abstractNumId="43">
    <w:nsid w:val="2F305DEF"/>
    <w:multiLevelType w:val="hybridMultilevel"/>
    <w:lvl w:ilvl="0">
      <w:lvlJc w:val="left"/>
      <w:lvlText w:val="(%1)"/>
      <w:numFmt w:val="lowerLetter"/>
      <w:start w:val="1"/>
    </w:lvl>
    <w:lvl w:ilvl="1">
      <w:lvlJc w:val="left"/>
      <w:lvlText w:val="(%2)"/>
      <w:numFmt w:val="decimal"/>
      <w:start w:val="1"/>
    </w:lvl>
  </w:abstractNum>
  <w:abstractNum w:abstractNumId="44">
    <w:nsid w:val="25A70BF7"/>
    <w:multiLevelType w:val="hybridMultilevel"/>
    <w:lvl w:ilvl="0">
      <w:lvlJc w:val="left"/>
      <w:lvlText w:val="(%1)"/>
      <w:numFmt w:val="lowerLetter"/>
      <w:start w:val="3"/>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1"/>
      <w:numFmt w:val="lowerLetter"/>
      <w:start w:val="1"/>
    </w:lvl>
    <w:lvl w:ilvl="1">
      <w:lvlJc w:val="left"/>
      <w:lvlText w:val="(%2)"/>
      <w:numFmt w:val="decimal"/>
      <w:start w:val="2"/>
    </w:lvl>
  </w:abstractNum>
  <w:abstractNum w:abstractNumId="47">
    <w:nsid w:val="1F48EAA1"/>
    <w:multiLevelType w:val="hybridMultilevel"/>
    <w:lvl w:ilvl="0">
      <w:lvlJc w:val="left"/>
      <w:lvlText w:val="(%1)"/>
      <w:numFmt w:val="lowerLetter"/>
      <w:start w:val="2"/>
    </w:lvl>
    <w:lvl w:ilvl="1">
      <w:lvlJc w:val="left"/>
      <w:lvlText w:val="(%2)"/>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1."/>
      <w:numFmt w:val="decimal"/>
      <w:start w:val="1"/>
    </w:lvl>
  </w:abstractNum>
  <w:abstractNum w:abstractNumId="50">
    <w:nsid w:val="100F8FCA"/>
    <w:multiLevelType w:val="hybridMultilevel"/>
    <w:lvl w:ilvl="0">
      <w:lvlJc w:val="left"/>
      <w:lvlText w:val="(%1)"/>
      <w:numFmt w:val="lowerLetter"/>
      <w:start w:val="2"/>
    </w:lvl>
    <w:lvl w:ilvl="1">
      <w:lvlJc w:val="left"/>
      <w:lvlText w:val="(%2)"/>
      <w:numFmt w:val="lowerLetter"/>
      <w:start w:val="3"/>
    </w:lvl>
  </w:abstractNum>
  <w:abstractNum w:abstractNumId="51">
    <w:nsid w:val="6590700B"/>
    <w:multiLevelType w:val="hybridMultilevel"/>
    <w:lvl w:ilvl="0">
      <w:lvlJc w:val="left"/>
      <w:lvlText w:val="%1."/>
      <w:numFmt w:val="decimal"/>
      <w:start w:val="3"/>
    </w:lvl>
  </w:abstractNum>
  <w:abstractNum w:abstractNumId="52">
    <w:nsid w:val="15014ACB"/>
    <w:multiLevelType w:val="hybridMultilevel"/>
    <w:lvl w:ilvl="0">
      <w:lvlJc w:val="left"/>
      <w:lvlText w:val="(%1)"/>
      <w:numFmt w:val="lowerLetter"/>
      <w:start w:val="2"/>
    </w:lvl>
  </w:abstractNum>
  <w:abstractNum w:abstractNumId="53">
    <w:nsid w:val="5F5E7FD0"/>
    <w:multiLevelType w:val="hybridMultilevel"/>
    <w:lvl w:ilvl="0">
      <w:lvlJc w:val="left"/>
      <w:lvlText w:val="%1."/>
      <w:numFmt w:val="decimal"/>
      <w:start w:val="4"/>
    </w:lvl>
  </w:abstractNum>
  <w:abstractNum w:abstractNumId="54">
    <w:nsid w:val="98A3148"/>
    <w:multiLevelType w:val="hybridMultilevel"/>
    <w:lvl w:ilvl="0">
      <w:lvlJc w:val="left"/>
      <w:lvlText w:val="%1."/>
      <w:numFmt w:val="decimal"/>
      <w:start w:val="6"/>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lowerLetter"/>
      <w:start w:val="2"/>
    </w:lvl>
  </w:abstractNum>
  <w:abstractNum w:abstractNumId="58">
    <w:nsid w:val="168E121F"/>
    <w:multiLevelType w:val="hybridMultilevel"/>
    <w:lvl w:ilvl="0">
      <w:lvlJc w:val="left"/>
      <w:lvlText w:val="(%1)"/>
      <w:numFmt w:val="lowerLetter"/>
      <w:start w:val="3"/>
    </w:lvl>
  </w:abstractNum>
  <w:abstractNum w:abstractNumId="59">
    <w:nsid w:val="1EBA5D23"/>
    <w:multiLevelType w:val="hybridMultilevel"/>
    <w:lvl w:ilvl="0">
      <w:lvlJc w:val="left"/>
      <w:lvlText w:val="%1."/>
      <w:numFmt w:val="decimal"/>
      <w:start w:val="3"/>
    </w:lvl>
  </w:abstractNum>
  <w:abstractNum w:abstractNumId="60">
    <w:nsid w:val="661E3F1E"/>
    <w:multiLevelType w:val="hybridMultilevel"/>
    <w:lvl w:ilvl="0">
      <w:lvlJc w:val="left"/>
      <w:lvlText w:val="(%1)"/>
      <w:numFmt w:val="lowerLetter"/>
      <w:start w:val="2"/>
    </w:lvl>
  </w:abstractNum>
  <w:abstractNum w:abstractNumId="61">
    <w:nsid w:val="5DC79EA8"/>
    <w:multiLevelType w:val="hybridMultilevel"/>
    <w:lvl w:ilvl="0">
      <w:lvlJc w:val="left"/>
      <w:lvlText w:val="%1."/>
      <w:numFmt w:val="decimal"/>
      <w:start w:val="4"/>
    </w:lvl>
  </w:abstractNum>
  <w:abstractNum w:abstractNumId="62">
    <w:nsid w:val="540A471C"/>
    <w:multiLevelType w:val="hybridMultilevel"/>
    <w:lvl w:ilvl="0">
      <w:lvlJc w:val="left"/>
      <w:lvlText w:val="%1."/>
      <w:numFmt w:val="decimal"/>
      <w:start w:val="5"/>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1."/>
      <w:numFmt w:val="decimal"/>
      <w:start w:val="1"/>
    </w:lvl>
  </w:abstractNum>
  <w:abstractNum w:abstractNumId="65">
    <w:nsid w:val="613EFDC5"/>
    <w:multiLevelType w:val="hybridMultilevel"/>
    <w:lvl w:ilvl="0">
      <w:lvlJc w:val="left"/>
      <w:lvlText w:val="(%1)"/>
      <w:numFmt w:val="lowerLetter"/>
      <w:start w:val="2"/>
    </w:lvl>
    <w:lvl w:ilvl="1">
      <w:lvlJc w:val="left"/>
      <w:lvlText w:val="(%2)"/>
      <w:numFmt w:val="lowerLetter"/>
      <w:start w:val="3"/>
    </w:lvl>
  </w:abstractNum>
  <w:abstractNum w:abstractNumId="66">
    <w:nsid w:val="BF72B14"/>
    <w:multiLevelType w:val="hybridMultilevel"/>
    <w:lvl w:ilvl="0">
      <w:lvlJc w:val="left"/>
      <w:lvlText w:val="%1."/>
      <w:numFmt w:val="decimal"/>
      <w:start w:val="3"/>
    </w:lvl>
  </w:abstractNum>
  <w:abstractNum w:abstractNumId="67">
    <w:nsid w:val="11447B73"/>
    <w:multiLevelType w:val="hybridMultilevel"/>
    <w:lvl w:ilvl="0">
      <w:lvlJc w:val="left"/>
      <w:lvlText w:val="%1."/>
      <w:numFmt w:val="decimal"/>
      <w:start w:val="8"/>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1."/>
      <w:numFmt w:val="decimal"/>
      <w:start w:val="2"/>
    </w:lvl>
  </w:abstractNum>
  <w:abstractNum w:abstractNumId="70">
    <w:nsid w:val="8F2B15E"/>
    <w:multiLevelType w:val="hybridMultilevel"/>
    <w:lvl w:ilvl="0">
      <w:lvlJc w:val="left"/>
      <w:lvlText w:val="%1."/>
      <w:numFmt w:val="decimal"/>
      <w:start w:val="3"/>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1)"/>
      <w:numFmt w:val="lowerRoman"/>
      <w:start w:val="1"/>
    </w:lvl>
  </w:abstractNum>
  <w:abstractNum w:abstractNumId="73">
    <w:nsid w:val="68EB2F63"/>
    <w:multiLevelType w:val="hybridMultilevel"/>
    <w:lvl w:ilvl="0">
      <w:lvlJc w:val="left"/>
      <w:lvlText w:val="(%1)"/>
      <w:numFmt w:val="lowerLetter"/>
      <w:start w:val="2"/>
    </w:lvl>
    <w:lvl w:ilvl="1">
      <w:lvlJc w:val="left"/>
      <w:lvlText w:val="(%2)"/>
      <w:numFmt w:val="lowerRoman"/>
      <w:start w:val="1"/>
    </w:lvl>
  </w:abstractNum>
  <w:abstractNum w:abstractNumId="74">
    <w:nsid w:val="4962813B"/>
    <w:multiLevelType w:val="hybridMultilevel"/>
    <w:lvl w:ilvl="0">
      <w:lvlJc w:val="left"/>
      <w:lvlText w:val="(%1)"/>
      <w:numFmt w:val="lowerRoman"/>
      <w:start w:val="3"/>
    </w:lvl>
  </w:abstractNum>
  <w:abstractNum w:abstractNumId="75">
    <w:nsid w:val="60B6DF70"/>
    <w:multiLevelType w:val="hybridMultilevel"/>
    <w:lvl w:ilvl="0">
      <w:lvlJc w:val="left"/>
      <w:lvlText w:val="%1"/>
      <w:numFmt w:val="decimal"/>
      <w:start w:val="1"/>
    </w:lvl>
    <w:lvl w:ilvl="1">
      <w:lvlJc w:val="left"/>
      <w:lvlText w:val="(%2)"/>
      <w:numFmt w:val="lowerRoman"/>
      <w:start w:val="5"/>
    </w:lvl>
    <w:lvl w:ilvl="2">
      <w:lvlJc w:val="left"/>
      <w:lvlText w:val="(%3)"/>
      <w:numFmt w:val="lowerRoman"/>
      <w:start w:val="6"/>
    </w:lvl>
  </w:abstractNum>
  <w:abstractNum w:abstractNumId="76">
    <w:nsid w:val="6A5EE64"/>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decimal"/>
      <w:start w:val="5"/>
    </w:lvl>
    <w:lvl w:ilvl="1">
      <w:lvlJc w:val="left"/>
      <w:lvlText w:val="(%2)"/>
      <w:numFmt w:val="lowerLetter"/>
      <w:start w:val="1"/>
    </w:lvl>
  </w:abstractNum>
  <w:abstractNum w:abstractNumId="79">
    <w:nsid w:val="1A27709E"/>
    <w:multiLevelType w:val="hybridMultilevel"/>
    <w:lvl w:ilvl="0">
      <w:lvlJc w:val="left"/>
      <w:lvlText w:val="%1."/>
      <w:numFmt w:val="decimal"/>
      <w:start w:val="1"/>
    </w:lvl>
    <w:lvl w:ilvl="1">
      <w:lvlJc w:val="left"/>
      <w:lvlText w:val="(%2)"/>
      <w:numFmt w:val="lowerLetter"/>
      <w:start w:val="1"/>
    </w:lvl>
  </w:abstractNum>
  <w:abstractNum w:abstractNumId="80">
    <w:nsid w:val="71EA1109"/>
    <w:multiLevelType w:val="hybridMultilevel"/>
    <w:lvl w:ilvl="0">
      <w:lvlJc w:val="left"/>
      <w:lvlText w:val="%1"/>
      <w:numFmt w:val="decimal"/>
      <w:start w:val="1"/>
    </w:lvl>
    <w:lvl w:ilvl="1">
      <w:lvlJc w:val="left"/>
      <w:lvlText w:val="(%2)"/>
      <w:numFmt w:val="lowerLetter"/>
      <w:start w:val="3"/>
    </w:lvl>
  </w:abstractNum>
  <w:abstractNum w:abstractNumId="81">
    <w:nsid w:val="100F59DC"/>
    <w:multiLevelType w:val="hybridMultilevel"/>
    <w:lvl w:ilvl="0">
      <w:lvlJc w:val="left"/>
      <w:lvlText w:val="%1."/>
      <w:numFmt w:val="decimal"/>
      <w:start w:val="4"/>
    </w:lvl>
    <w:lvl w:ilvl="1">
      <w:lvlJc w:val="left"/>
      <w:lvlText w:val="%2"/>
      <w:numFmt w:val="lowerLetter"/>
      <w:start w:val="1"/>
    </w:lvl>
  </w:abstractNum>
  <w:abstractNum w:abstractNumId="82">
    <w:nsid w:val="7FB7E0AA"/>
    <w:multiLevelType w:val="hybridMultilevel"/>
    <w:lvl w:ilvl="0">
      <w:lvlJc w:val="left"/>
      <w:lvlText w:val="%1."/>
      <w:numFmt w:val="decimal"/>
      <w:start w:val="6"/>
    </w:lvl>
  </w:abstractNum>
  <w:abstractNum w:abstractNumId="83">
    <w:nsid w:val="6EB5BD4"/>
    <w:multiLevelType w:val="hybridMultilevel"/>
    <w:lvl w:ilvl="0">
      <w:lvlJc w:val="left"/>
      <w:lvlText w:val="%1."/>
      <w:numFmt w:val="decimal"/>
      <w:start w:val="1"/>
    </w:lvl>
    <w:lvl w:ilvl="1">
      <w:lvlJc w:val="left"/>
      <w:lvlText w:val="%2)"/>
      <w:numFmt w:val="lowerLetter"/>
      <w:start w:val="1"/>
    </w:lvl>
  </w:abstractNum>
  <w:abstractNum w:abstractNumId="84">
    <w:nsid w:val="6F6DD9AC"/>
    <w:multiLevelType w:val="hybridMultilevel"/>
    <w:lvl w:ilvl="0">
      <w:lvlJc w:val="left"/>
      <w:lvlText w:val="%1."/>
      <w:numFmt w:val="decimal"/>
      <w:start w:val="1"/>
    </w:lvl>
    <w:lvl w:ilvl="1">
      <w:lvlJc w:val="left"/>
      <w:lvlText w:val="%2)"/>
      <w:numFmt w:val="lowerLetter"/>
      <w:start w:val="1"/>
    </w:lvl>
  </w:abstractNum>
  <w:abstractNum w:abstractNumId="85">
    <w:nsid w:val="94211F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2019-12-29T13:17:07Z</dcterms:created>
  <dcterms:modified xsi:type="dcterms:W3CDTF">2019-12-29T13:17:07Z</dcterms:modified>
</cp:coreProperties>
</file>