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30, 2026</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6"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20"/>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00" w:lineRule="exact"/>
        <w:rPr>
          <w:sz w:val="24"/>
          <w:szCs w:val="24"/>
          <w:color w:val="auto"/>
        </w:rPr>
      </w:pPr>
    </w:p>
    <w:p>
      <w:pPr>
        <w:spacing w:after="0" w:line="2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4"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4"/>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2"/>
                <w:szCs w:val="22"/>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On October 30, 2026, Regeneron Pharmaceuticals, Inc. issued a press release announcing its financial and operating results for the quarter ended September 30, 2026.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40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October 30, 2026, Reporting Third Quarter 2026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30" w:right="55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5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73"/>
        </w:trPr>
        <w:tc>
          <w:tcPr>
            <w:tcW w:w="2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63"/>
        </w:trPr>
        <w:tc>
          <w:tcPr>
            <w:tcW w:w="2020" w:type="dxa"/>
            <w:vAlign w:val="bottom"/>
          </w:tcPr>
          <w:p>
            <w:pPr>
              <w:spacing w:after="0"/>
              <w:rPr>
                <w:sz w:val="22"/>
                <w:szCs w:val="22"/>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J. LaRosa</w:t>
            </w:r>
          </w:p>
        </w:tc>
        <w:tc>
          <w:tcPr>
            <w:tcW w:w="2680" w:type="dxa"/>
            <w:vAlign w:val="bottom"/>
          </w:tcPr>
          <w:p>
            <w:pPr>
              <w:spacing w:after="0"/>
              <w:rPr>
                <w:sz w:val="22"/>
                <w:szCs w:val="22"/>
                <w:color w:val="auto"/>
              </w:rPr>
            </w:pPr>
          </w:p>
        </w:tc>
      </w:tr>
      <w:tr>
        <w:trPr>
          <w:trHeight w:val="243"/>
        </w:trPr>
        <w:tc>
          <w:tcPr>
            <w:tcW w:w="2020" w:type="dxa"/>
            <w:vAlign w:val="bottom"/>
          </w:tcPr>
          <w:p>
            <w:pPr>
              <w:spacing w:after="0"/>
              <w:rPr>
                <w:sz w:val="21"/>
                <w:szCs w:val="21"/>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2026 Financial and Operating Results</w:t>
      </w:r>
    </w:p>
    <w:p>
      <w:pPr>
        <w:spacing w:after="0" w:line="174"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2026 revenues increased 36% to $5.1 billion versus third quarter 2025</w:t>
      </w:r>
    </w:p>
    <w:p>
      <w:pPr>
        <w:spacing w:after="0" w:line="23"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35% to $6.5 billion</w:t>
      </w:r>
    </w:p>
    <w:p>
      <w:pPr>
        <w:spacing w:after="0" w:line="3"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EYLEA HD</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U.S. net sales increased 62% to $699 million</w:t>
      </w:r>
    </w:p>
    <w:p>
      <w:pPr>
        <w:spacing w:after="0" w:line="10"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Libtayo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increased 51% to $550 million</w:t>
      </w:r>
    </w:p>
    <w:p>
      <w:pPr>
        <w:spacing w:after="0" w:line="10"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GAAP EPS increased 35% to $18.45; non-GAAP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increased 70% to $20.07</w:t>
      </w:r>
    </w:p>
    <w:p>
      <w:pPr>
        <w:spacing w:after="0" w:line="3" w:lineRule="exact"/>
        <w:rPr>
          <w:rFonts w:ascii="Arial" w:cs="Arial" w:eastAsia="Arial" w:hAnsi="Arial"/>
          <w:sz w:val="22"/>
          <w:szCs w:val="22"/>
          <w:i w:val="1"/>
          <w:iCs w:val="1"/>
          <w:color w:val="auto"/>
        </w:rPr>
      </w:pPr>
    </w:p>
    <w:p>
      <w:pPr>
        <w:ind w:left="340" w:right="200" w:hanging="332"/>
        <w:spacing w:after="0" w:line="245"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Expanded collaboration with Sanofi, adding multiple next-generation, long-acting immunology antibodies; $1.0 billion up-front to be recognized as collaboration revenue in fourth quarter 2026 with potential to receive up to an additional $7.0 billion in future milestones</w:t>
      </w:r>
    </w:p>
    <w:p>
      <w:pPr>
        <w:spacing w:after="0" w:line="1"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Pasatru</w:t>
      </w:r>
      <w:r>
        <w:rPr>
          <w:rFonts w:ascii="Arial" w:cs="Arial" w:eastAsia="Arial" w:hAnsi="Arial"/>
          <w:sz w:val="17"/>
          <w:szCs w:val="17"/>
          <w:i w:val="1"/>
          <w:iCs w:val="1"/>
          <w:color w:val="auto"/>
        </w:rPr>
        <w:t>™</w:t>
      </w:r>
      <w:r>
        <w:rPr>
          <w:rFonts w:ascii="Arial" w:cs="Arial" w:eastAsia="Arial" w:hAnsi="Arial"/>
          <w:sz w:val="22"/>
          <w:szCs w:val="22"/>
          <w:i w:val="1"/>
          <w:iCs w:val="1"/>
          <w:color w:val="auto"/>
        </w:rPr>
        <w:t xml:space="preserve"> (garetosmab) approved by FDA for fibrodysplasia ossificans progressiva (FOP)</w:t>
      </w:r>
    </w:p>
    <w:p>
      <w:pPr>
        <w:spacing w:after="0" w:line="204" w:lineRule="exact"/>
        <w:rPr>
          <w:sz w:val="20"/>
          <w:szCs w:val="20"/>
          <w:color w:val="auto"/>
        </w:rPr>
      </w:pPr>
    </w:p>
    <w:p>
      <w:pPr>
        <w:ind w:right="320"/>
        <w:spacing w:after="0" w:line="274" w:lineRule="auto"/>
        <w:rPr>
          <w:sz w:val="20"/>
          <w:szCs w:val="20"/>
          <w:color w:val="auto"/>
        </w:rPr>
      </w:pPr>
      <w:r>
        <w:rPr>
          <w:rFonts w:ascii="Arial" w:cs="Arial" w:eastAsia="Arial" w:hAnsi="Arial"/>
          <w:sz w:val="22"/>
          <w:szCs w:val="22"/>
          <w:b w:val="1"/>
          <w:bCs w:val="1"/>
          <w:color w:val="auto"/>
        </w:rPr>
        <w:t xml:space="preserve">Tarrytown, New York (October 30, 2026)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2026 and provided a business update.</w:t>
      </w:r>
    </w:p>
    <w:p>
      <w:pPr>
        <w:spacing w:after="0" w:line="86"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"This was an outstanding quarter for Regeneron, with Dupixent, EYLEA HD, and Libtayo each achieving record net sales," said Leonard S. Schleifer, M.D., Ph.D., Board co-Chair, President and Chief Executive Officer of Regeneron. "Our pipeline of about 50 product candidates is rapidly advancing. We expect an FDA decision for cemdisiran in generalized myasthenia gravis next month; our Phase 3 programs in multiple myeloma, lymphoma, anticoagulation, and obesity continue to advance; and we have generated encouraging early data in MASH, POTS, and ovarian cancer. Finally, we expanded our alliance with Sanofi to include four Regeneron-invented, next-generation, long-acting antibodies designed to build on the success of Dupixent."</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2026</w:t>
            </w:r>
          </w:p>
        </w:tc>
        <w:tc>
          <w:tcPr>
            <w:tcW w:w="180" w:type="dxa"/>
            <w:vAlign w:val="bottom"/>
          </w:tcPr>
          <w:p>
            <w:pPr>
              <w:spacing w:after="0"/>
              <w:rPr>
                <w:sz w:val="23"/>
                <w:szCs w:val="23"/>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2025</w:t>
            </w:r>
          </w:p>
        </w:tc>
        <w:tc>
          <w:tcPr>
            <w:tcW w:w="1460" w:type="dxa"/>
            <w:vAlign w:val="bottom"/>
          </w:tcPr>
          <w:p>
            <w:pPr>
              <w:jc w:val="right"/>
              <w:ind w:right="141"/>
              <w:spacing w:after="0"/>
              <w:rPr>
                <w:sz w:val="20"/>
                <w:szCs w:val="20"/>
                <w:color w:val="auto"/>
              </w:rPr>
            </w:pPr>
            <w:r>
              <w:rPr>
                <w:rFonts w:ascii="Arial" w:cs="Arial" w:eastAsia="Arial" w:hAnsi="Arial"/>
                <w:sz w:val="20"/>
                <w:szCs w:val="20"/>
                <w:b w:val="1"/>
                <w:bCs w:val="1"/>
                <w:color w:val="auto"/>
              </w:rPr>
              <w:t>% Change</w:t>
            </w:r>
          </w:p>
        </w:tc>
      </w:tr>
      <w:tr>
        <w:trPr>
          <w:trHeight w:val="26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3,754</w:t>
            </w:r>
          </w:p>
        </w:tc>
        <w:tc>
          <w:tcPr>
            <w:tcW w:w="8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w:t>
            </w:r>
          </w:p>
        </w:tc>
      </w:tr>
      <w:tr>
        <w:trPr>
          <w:trHeight w:val="268"/>
        </w:trPr>
        <w:tc>
          <w:tcPr>
            <w:tcW w:w="498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1,949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1,460</w:t>
            </w:r>
          </w:p>
        </w:tc>
        <w:tc>
          <w:tcPr>
            <w:tcW w:w="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72"/>
        </w:trPr>
        <w:tc>
          <w:tcPr>
            <w:tcW w:w="4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13.62</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w:t>
            </w:r>
          </w:p>
        </w:tc>
      </w:tr>
      <w:tr>
        <w:trPr>
          <w:trHeight w:val="270"/>
        </w:trPr>
        <w:tc>
          <w:tcPr>
            <w:tcW w:w="4980" w:type="dxa"/>
            <w:vAlign w:val="bottom"/>
          </w:tcPr>
          <w:p>
            <w:pPr>
              <w:ind w:left="20"/>
              <w:spacing w:after="0" w:line="270"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2,150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1,287</w:t>
            </w:r>
          </w:p>
        </w:tc>
        <w:tc>
          <w:tcPr>
            <w:tcW w:w="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70"/>
        </w:trPr>
        <w:tc>
          <w:tcPr>
            <w:tcW w:w="498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11.83</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w:t>
            </w:r>
          </w:p>
        </w:tc>
      </w:tr>
    </w:tbl>
    <w:p>
      <w:pPr>
        <w:spacing w:after="0" w:line="217"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"We are pleased with our third quarter financial results, which marked our third consecutive quarter of double-digit growth in both revenue and non-GAAP EPS," said Christopher Fenimore, Executive Vice President, Finance and Chief Financial Officer of Regeneron. "Strong commercial execution across our portfolio, together with the anticipated step-up in Sanofi collaboration revenue in the first full quarter following repayment of the Development Balance, drove a 36% increase in total revenues and a 70% increase in non-GAAP EPS, positioning us to deliver one of our strongest years ever."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40"/>
        <w:spacing w:after="0" w:line="276" w:lineRule="auto"/>
        <w:rPr>
          <w:sz w:val="20"/>
          <w:szCs w:val="20"/>
          <w:color w:val="auto"/>
        </w:rPr>
      </w:pPr>
      <w:r>
        <w:rPr>
          <w:rFonts w:ascii="Arial" w:cs="Arial" w:eastAsia="Arial" w:hAnsi="Arial"/>
          <w:sz w:val="21"/>
          <w:szCs w:val="21"/>
          <w:color w:val="auto"/>
        </w:rPr>
        <w:t>Regeneron has approximately 50 product candidates in clinical development, including a number of marketed products for which it is investigating additional indications. Updates from the clinical pipeline include: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2"/>
          <w:szCs w:val="22"/>
          <w:color w:val="auto"/>
        </w:rPr>
        <w:t xml:space="preserve"> (cemiplimab)</w:t>
      </w:r>
    </w:p>
    <w:p>
      <w:pPr>
        <w:spacing w:after="0" w:line="24" w:lineRule="exact"/>
        <w:rPr>
          <w:sz w:val="20"/>
          <w:szCs w:val="20"/>
          <w:color w:val="auto"/>
        </w:rPr>
      </w:pPr>
    </w:p>
    <w:p>
      <w:pPr>
        <w:ind w:left="340" w:right="2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August 2026, the Ministry of Health, Labour and Welfare (MHLW) in Japan approved Libtayo as an adjuvant treatment for cutaneous squamous cell carcinoma (CSCC) and for the treatment of metastatic or locally advanced CSCC. These indications are already approved in the United States and European Union (EU).</w:t>
      </w:r>
    </w:p>
    <w:p>
      <w:pPr>
        <w:spacing w:after="0" w:line="1" w:lineRule="exact"/>
        <w:rPr>
          <w:rFonts w:ascii="Arial" w:cs="Arial" w:eastAsia="Arial" w:hAnsi="Arial"/>
          <w:sz w:val="22"/>
          <w:szCs w:val="22"/>
          <w:color w:val="auto"/>
        </w:rPr>
      </w:pPr>
    </w:p>
    <w:p>
      <w:pPr>
        <w:ind w:left="340" w:hanging="332"/>
        <w:spacing w:after="0" w:line="258"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October 2026, the European Medicines Agency’s (EMA) Committee for Medicinal Products for Human Use (CHMP) adopted a positive opinion recommending the approval of an alternative dosing schedule for Libtayo across all approved indications. The positive opinion supports reducing Libtayo dosing frequency from every three weeks to every six weeks after the first 12 weeks of treatment. The European Commission (EC) is expected to make a final decision in the coming months. There is also a supplemental Biologics License Application (sBLA) under review by the U.S. Food and Drug Administration (FDA), which has a target action date in March 2027.</w:t>
      </w:r>
    </w:p>
    <w:p>
      <w:pPr>
        <w:spacing w:after="0" w:line="1" w:lineRule="exact"/>
        <w:rPr>
          <w:rFonts w:ascii="Arial" w:cs="Arial" w:eastAsia="Arial" w:hAnsi="Arial"/>
          <w:sz w:val="21"/>
          <w:szCs w:val="21"/>
          <w:color w:val="auto"/>
        </w:rPr>
      </w:pPr>
    </w:p>
    <w:p>
      <w:pPr>
        <w:ind w:left="340" w:hanging="332"/>
        <w:spacing w:after="0" w:line="251"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2026, the Company announced longer-term data which showed increasing and clinically meaningful overall survival benefit for Libtayo as an adjuvant treatment for patients with CSCC. The results were presented at the European Society for Medical Oncology (ESMO) 2026 Meeting.</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Oncology Programs</w:t>
      </w:r>
    </w:p>
    <w:p>
      <w:pPr>
        <w:spacing w:after="0" w:line="11" w:lineRule="exact"/>
        <w:rPr>
          <w:sz w:val="20"/>
          <w:szCs w:val="20"/>
          <w:color w:val="auto"/>
        </w:rPr>
      </w:pPr>
    </w:p>
    <w:p>
      <w:pPr>
        <w:ind w:left="340" w:right="900" w:hanging="332"/>
        <w:spacing w:after="0" w:line="219"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FDA accepted for review the resubmission of the BLA for Ordspono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(odronextamab) in relapsed or refractory diffuse large B-cell lymphoma (DLBCL), which has a target action date in February 2027.</w:t>
      </w:r>
    </w:p>
    <w:p>
      <w:pPr>
        <w:ind w:left="340" w:hanging="332"/>
        <w:spacing w:after="0" w:line="263" w:lineRule="auto"/>
        <w:tabs>
          <w:tab w:leader="none" w:pos="335"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Company announced that ubamatamab (MUC16 and CD3 bispecific antibody) showed a high rate of durable responses in an initial study in patients with advanced low-grade serous ovarian cancer (LGSOC). The data are from an ongoing Phase 1/2 trial and were presented at the International Gynecologic Cancer Society (IGCS) 2026 Annual Global Meeting. Based on these preliminary trial results, the Company has been enrolling a single-arm, potentially registrational LGSOC trial and is planning to initiate a confirmatory Phase 3 trial in this setting.</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Pasatru</w:t>
      </w:r>
      <w:r>
        <w:rPr>
          <w:rFonts w:ascii="Arial" w:cs="Arial" w:eastAsia="Arial" w:hAnsi="Arial"/>
          <w:sz w:val="22"/>
          <w:szCs w:val="22"/>
          <w:color w:val="auto"/>
        </w:rPr>
        <w:t xml:space="preserve"> (garetosmab)</w:t>
      </w:r>
    </w:p>
    <w:p>
      <w:pPr>
        <w:spacing w:after="0" w:line="24" w:lineRule="exact"/>
        <w:rPr>
          <w:sz w:val="20"/>
          <w:szCs w:val="20"/>
          <w:color w:val="auto"/>
        </w:rPr>
      </w:pPr>
    </w:p>
    <w:p>
      <w:pPr>
        <w:ind w:left="340" w:right="720" w:hanging="332"/>
        <w:spacing w:after="0" w:line="258" w:lineRule="auto"/>
        <w:tabs>
          <w:tab w:leader="none" w:pos="335" w:val="left"/>
        </w:tabs>
        <w:numPr>
          <w:ilvl w:val="0"/>
          <w:numId w:val="5"/>
        </w:numPr>
        <w:rPr>
          <w:rFonts w:ascii="Arial" w:cs="Arial" w:eastAsia="Arial" w:hAnsi="Arial"/>
          <w:sz w:val="21"/>
          <w:szCs w:val="21"/>
          <w:color w:val="auto"/>
        </w:rPr>
      </w:pPr>
      <w:r>
        <w:rPr>
          <w:rFonts w:ascii="Arial" w:cs="Arial" w:eastAsia="Arial" w:hAnsi="Arial"/>
          <w:sz w:val="21"/>
          <w:szCs w:val="21"/>
          <w:color w:val="auto"/>
        </w:rPr>
        <w:t>In August 2026, the FDA approved Pasatru to reduce formation of new heterotopic ossification lesions and clinician-assessed flare-ups in adults with FOP. A regulatory application is also under review in the EU.</w:t>
      </w:r>
    </w:p>
    <w:p>
      <w:pPr>
        <w:ind w:left="340" w:right="280" w:hanging="332"/>
        <w:spacing w:after="0" w:line="248"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announced positive 84-week results from the Phase 3 trial for Pasatru in adults with FOP. These longer-term findings demonstrated sustained efficacy in halting new, rogue bone growth and in significantly reducing disease flare-ups, and were presented at the American Society for Bone and Mineral Research (ASBMR)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24" w:lineRule="exact"/>
        <w:rPr>
          <w:sz w:val="20"/>
          <w:szCs w:val="20"/>
          <w:color w:val="auto"/>
        </w:rPr>
      </w:pPr>
    </w:p>
    <w:p>
      <w:pPr>
        <w:ind w:left="340" w:right="460" w:hanging="332"/>
        <w:spacing w:after="0" w:line="254"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 three-arm, placebo-controlled Phase 3 study was initiated to evaluate cenvacibart (an antibody to Factor XI (catalytic domain)), and amrecibart (an antibody to Factor XI (A2 domain)), individually, for the prevention of venous thromboembolism in patients with a peripherally inserted central catheter (PICC).</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045" w:right="379" w:bottom="1440" w:gutter="0" w:footer="0" w:header="0"/>
        </w:sectPr>
      </w:pPr>
    </w:p>
    <w:bookmarkStart w:id="5" w:name="page6"/>
    <w:bookmarkEnd w:id="5"/>
    <w:p>
      <w:pPr>
        <w:ind w:left="340" w:right="140" w:hanging="332"/>
        <w:spacing w:after="0" w:line="247"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has an ongoing Phase 1/2 study for its RNAi therapy targeting CIDEB. Interim results from this randomized, placebo-controlled, first-in-human trial in adults with metabolic dysfunction-associated steatotic liver disease (MASLD) showed that a single dose was generally well tolerated and reduced liver fat by approximately 70% on average from baseline at 12 weeks, with effects sustained through 24 weeks of follow-up. The Company plans to present interim results at the American Association for the Study of Liver Diseases (AASLD) Meeting in November 2026 and to initiate a Phase 3 study in metabolic dysfunction-associated steatohepatitis (MASH)/MASLD in the fourth quarter of 2026.</w:t>
      </w:r>
    </w:p>
    <w:p>
      <w:pPr>
        <w:spacing w:after="0" w:line="6" w:lineRule="exact"/>
        <w:rPr>
          <w:rFonts w:ascii="Arial" w:cs="Arial" w:eastAsia="Arial" w:hAnsi="Arial"/>
          <w:sz w:val="22"/>
          <w:szCs w:val="22"/>
          <w:color w:val="auto"/>
        </w:rPr>
      </w:pPr>
    </w:p>
    <w:p>
      <w:pPr>
        <w:ind w:left="340" w:right="480" w:hanging="332"/>
        <w:spacing w:after="0" w:line="24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plans to report results from the Phase 2 study for baloncibart (NPR1 antagonist antibody) in postural orthostatic tachycardia syndrome (POTS) at the American Autonomic Society (AAS) Meeting in November 2026. Additionally, the Company plans to initiate a Phase 3 study in POTS in the first half of 2027, pending regulatory feedback.</w:t>
      </w:r>
    </w:p>
    <w:p>
      <w:pPr>
        <w:spacing w:after="0" w:line="2" w:lineRule="exact"/>
        <w:rPr>
          <w:rFonts w:ascii="Arial" w:cs="Arial" w:eastAsia="Arial" w:hAnsi="Arial"/>
          <w:sz w:val="22"/>
          <w:szCs w:val="22"/>
          <w:color w:val="auto"/>
        </w:rPr>
      </w:pPr>
    </w:p>
    <w:p>
      <w:pPr>
        <w:ind w:left="340" w:right="40" w:hanging="332"/>
        <w:spacing w:after="0" w:line="24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announced new results from the Phase 2 COURAGE trial evaluating trevogrumab (myostatin antibody) for its potential to prevent lean mass and muscle loss during GLP-1 receptor agonist-induced weight loss in people living with obesity. The results of the trial were presented at the European Association for the Study of Diabetes (EASD) Annual Meeting.</w:t>
      </w:r>
    </w:p>
    <w:p>
      <w:pPr>
        <w:spacing w:after="0" w:line="2" w:lineRule="exact"/>
        <w:rPr>
          <w:rFonts w:ascii="Arial" w:cs="Arial" w:eastAsia="Arial" w:hAnsi="Arial"/>
          <w:sz w:val="22"/>
          <w:szCs w:val="22"/>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second Phase 3 study was initiated for REGN1908-1909, an investigational treatment for cat allergy.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26" w:lineRule="exact"/>
        <w:rPr>
          <w:sz w:val="20"/>
          <w:szCs w:val="20"/>
          <w:color w:val="auto"/>
        </w:rPr>
      </w:pPr>
    </w:p>
    <w:p>
      <w:pPr>
        <w:ind w:left="340" w:hanging="332"/>
        <w:spacing w:after="0" w:line="245"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October 2026, the Company and Sanofi amended their antibody collaboration, adding multiple next-generation, long-acting Regeneron-invented antibodies to the alliance. Under the terms of the agreement, the Company received an up-front payment of $1.0 billion, and is entitled to receive up to an additional $7.0 billion in the aggregate upon the achievement of certain development, regulatory, and sales-based milestones. The companies will equally share development and commercialization costs for the new programs, and, if commercialized, share any future profits equally on a global basis.</w:t>
      </w:r>
    </w:p>
    <w:p>
      <w:pPr>
        <w:spacing w:after="0" w:line="3" w:lineRule="exact"/>
        <w:rPr>
          <w:rFonts w:ascii="Arial" w:cs="Arial" w:eastAsia="Arial" w:hAnsi="Arial"/>
          <w:sz w:val="22"/>
          <w:szCs w:val="22"/>
          <w:color w:val="auto"/>
        </w:rPr>
      </w:pPr>
    </w:p>
    <w:p>
      <w:pPr>
        <w:ind w:left="340" w:right="140" w:hanging="332"/>
        <w:spacing w:after="0" w:line="250"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October 2026, the Company announced an agreement with the Biomedical Advanced Research and Development Authority (BARDA) to provide additional supply of Inmazeb</w:t>
      </w:r>
      <w:r>
        <w:rPr>
          <w:rFonts w:ascii="Arial" w:cs="Arial" w:eastAsia="Arial" w:hAnsi="Arial"/>
          <w:sz w:val="11"/>
          <w:szCs w:val="11"/>
          <w:i w:val="1"/>
          <w:iCs w:val="1"/>
          <w:color w:val="auto"/>
        </w:rPr>
        <w:t>®</w:t>
      </w:r>
      <w:r>
        <w:rPr>
          <w:rFonts w:ascii="Arial" w:cs="Arial" w:eastAsia="Arial" w:hAnsi="Arial"/>
          <w:sz w:val="22"/>
          <w:szCs w:val="22"/>
          <w:color w:val="auto"/>
        </w:rPr>
        <w:t xml:space="preserve"> for U.S. preparedness against Ebola disease. Under the terms of the agreement, the Company expects to deliver a pre-specified number of treatment doses of Inmazeb each year to the U.S. government beginning in 2027 through 2031.</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96" w:right="3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Third Quarter 2026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2026</w:t>
            </w:r>
          </w:p>
        </w:tc>
        <w:tc>
          <w:tcPr>
            <w:tcW w:w="20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b w:val="1"/>
                <w:bCs w:val="1"/>
                <w:color w:val="auto"/>
              </w:rPr>
              <w:t>Q3 2025</w:t>
            </w:r>
          </w:p>
        </w:tc>
        <w:tc>
          <w:tcPr>
            <w:tcW w:w="100" w:type="dxa"/>
            <w:vAlign w:val="bottom"/>
          </w:tcPr>
          <w:p>
            <w:pPr>
              <w:spacing w:after="0"/>
              <w:rPr>
                <w:sz w:val="23"/>
                <w:szCs w:val="23"/>
                <w:color w:val="auto"/>
              </w:rPr>
            </w:pP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2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r>
      <w:tr>
        <w:trPr>
          <w:trHeight w:val="268"/>
        </w:trPr>
        <w:tc>
          <w:tcPr>
            <w:tcW w:w="494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699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431</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62%</w:t>
            </w:r>
          </w:p>
        </w:tc>
      </w:tr>
      <w:tr>
        <w:trPr>
          <w:trHeight w:val="272"/>
        </w:trPr>
        <w:tc>
          <w:tcPr>
            <w:tcW w:w="4940" w:type="dxa"/>
            <w:vAlign w:val="bottom"/>
            <w:shd w:val="clear" w:color="auto" w:fill="CCEEFF"/>
          </w:tcPr>
          <w:p>
            <w:pPr>
              <w:ind w:left="260"/>
              <w:spacing w:after="0" w:line="271" w:lineRule="exact"/>
              <w:rPr>
                <w:sz w:val="20"/>
                <w:szCs w:val="20"/>
                <w:color w:val="auto"/>
              </w:rPr>
            </w:pPr>
            <w:r>
              <w:rPr>
                <w:rFonts w:ascii="Arial" w:cs="Arial" w:eastAsia="Arial" w:hAnsi="Arial"/>
                <w:sz w:val="20"/>
                <w:szCs w:val="20"/>
                <w:color w:val="auto"/>
              </w:rPr>
              <w:t>EYLEA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(41%)</w:t>
            </w:r>
          </w:p>
        </w:tc>
      </w:tr>
      <w:tr>
        <w:trPr>
          <w:trHeight w:val="262"/>
        </w:trPr>
        <w:tc>
          <w:tcPr>
            <w:tcW w:w="4940" w:type="dxa"/>
            <w:vAlign w:val="bottom"/>
          </w:tcPr>
          <w:p>
            <w:pPr>
              <w:ind w:left="520"/>
              <w:spacing w:after="0"/>
              <w:rPr>
                <w:sz w:val="20"/>
                <w:szCs w:val="20"/>
                <w:color w:val="auto"/>
              </w:rPr>
            </w:pPr>
            <w:r>
              <w:rPr>
                <w:rFonts w:ascii="Arial" w:cs="Arial" w:eastAsia="Arial" w:hAnsi="Arial"/>
                <w:sz w:val="20"/>
                <w:szCs w:val="20"/>
                <w:color w:val="auto"/>
              </w:rPr>
              <w:t>Total EYLEA HD and EYLEA - U.S.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1,112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72"/>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Libtayo - U.S.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81%</w:t>
            </w:r>
          </w:p>
        </w:tc>
      </w:tr>
      <w:tr>
        <w:trPr>
          <w:trHeight w:val="268"/>
        </w:trPr>
        <w:tc>
          <w:tcPr>
            <w:tcW w:w="4940" w:type="dxa"/>
            <w:vAlign w:val="bottom"/>
            <w:tcBorders>
              <w:bottom w:val="single" w:sz="8" w:color="CCEEFF"/>
            </w:tcBorders>
          </w:tcPr>
          <w:p>
            <w:pPr>
              <w:ind w:left="260"/>
              <w:spacing w:after="0"/>
              <w:rPr>
                <w:sz w:val="20"/>
                <w:szCs w:val="20"/>
                <w:color w:val="auto"/>
              </w:rPr>
            </w:pPr>
            <w:r>
              <w:rPr>
                <w:rFonts w:ascii="Arial" w:cs="Arial" w:eastAsia="Arial" w:hAnsi="Arial"/>
                <w:sz w:val="20"/>
                <w:szCs w:val="20"/>
                <w:color w:val="auto"/>
              </w:rPr>
              <w:t>Libtayo - ROW*</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w:t>
            </w:r>
          </w:p>
        </w:tc>
        <w:tc>
          <w:tcPr>
            <w:tcW w:w="16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5%</w:t>
            </w:r>
          </w:p>
        </w:tc>
      </w:tr>
      <w:tr>
        <w:trPr>
          <w:trHeight w:val="265"/>
        </w:trPr>
        <w:tc>
          <w:tcPr>
            <w:tcW w:w="494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Libtayo - Global</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365</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51%</w:t>
            </w:r>
          </w:p>
        </w:tc>
      </w:tr>
      <w:tr>
        <w:trPr>
          <w:trHeight w:val="270"/>
        </w:trPr>
        <w:tc>
          <w:tcPr>
            <w:tcW w:w="4940" w:type="dxa"/>
            <w:vAlign w:val="bottom"/>
          </w:tcPr>
          <w:p>
            <w:pPr>
              <w:ind w:left="260"/>
              <w:spacing w:after="0" w:line="270"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67</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21%</w:t>
            </w:r>
          </w:p>
        </w:tc>
      </w:tr>
      <w:tr>
        <w:trPr>
          <w:trHeight w:val="270"/>
        </w:trPr>
        <w:tc>
          <w:tcPr>
            <w:tcW w:w="4940" w:type="dxa"/>
            <w:vAlign w:val="bottom"/>
            <w:shd w:val="clear" w:color="auto" w:fill="CCEEFF"/>
          </w:tcPr>
          <w:p>
            <w:pPr>
              <w:ind w:left="260"/>
              <w:spacing w:after="0" w:line="270"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28%</w:t>
            </w:r>
          </w:p>
        </w:tc>
      </w:tr>
      <w:tr>
        <w:trPr>
          <w:trHeight w:val="270"/>
        </w:trPr>
        <w:tc>
          <w:tcPr>
            <w:tcW w:w="4940" w:type="dxa"/>
            <w:vAlign w:val="bottom"/>
          </w:tcPr>
          <w:p>
            <w:pPr>
              <w:ind w:left="260"/>
              <w:spacing w:after="0" w:line="270" w:lineRule="exact"/>
              <w:rPr>
                <w:sz w:val="20"/>
                <w:szCs w:val="20"/>
                <w:color w:val="auto"/>
              </w:rPr>
            </w:pPr>
            <w:r>
              <w:rPr>
                <w:rFonts w:ascii="Arial" w:cs="Arial" w:eastAsia="Arial" w:hAnsi="Arial"/>
                <w:sz w:val="20"/>
                <w:szCs w:val="20"/>
                <w:color w:val="auto"/>
              </w:rPr>
              <w:t>Lynozyfic</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Global</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w:t>
            </w:r>
          </w:p>
        </w:tc>
        <w:tc>
          <w:tcPr>
            <w:tcW w:w="16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r>
      <w:tr>
        <w:trPr>
          <w:trHeight w:val="270"/>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Other products - Global</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w:t>
            </w:r>
          </w:p>
        </w:tc>
      </w:tr>
      <w:tr>
        <w:trPr>
          <w:trHeight w:val="262"/>
        </w:trPr>
        <w:tc>
          <w:tcPr>
            <w:tcW w:w="4940" w:type="dxa"/>
            <w:vAlign w:val="bottom"/>
          </w:tcPr>
          <w:p>
            <w:pPr>
              <w:ind w:left="20"/>
              <w:spacing w:after="0"/>
              <w:rPr>
                <w:sz w:val="20"/>
                <w:szCs w:val="20"/>
                <w:color w:val="auto"/>
              </w:rPr>
            </w:pPr>
            <w:r>
              <w:rPr>
                <w:rFonts w:ascii="Arial" w:cs="Arial" w:eastAsia="Arial" w:hAnsi="Arial"/>
                <w:sz w:val="20"/>
                <w:szCs w:val="20"/>
                <w:color w:val="auto"/>
              </w:rPr>
              <w:t>Total net product sales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1,588</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14%</w:t>
            </w:r>
          </w:p>
        </w:tc>
      </w:tr>
      <w:tr>
        <w:trPr>
          <w:trHeight w:val="272"/>
        </w:trPr>
        <w:tc>
          <w:tcPr>
            <w:tcW w:w="4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8"/>
        </w:trPr>
        <w:tc>
          <w:tcPr>
            <w:tcW w:w="4940" w:type="dxa"/>
            <w:vAlign w:val="bottom"/>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2"/>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Sanofi</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1,617</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68%</w:t>
            </w:r>
          </w:p>
        </w:tc>
      </w:tr>
      <w:tr>
        <w:trPr>
          <w:trHeight w:val="268"/>
        </w:trPr>
        <w:tc>
          <w:tcPr>
            <w:tcW w:w="4940" w:type="dxa"/>
            <w:vAlign w:val="bottom"/>
          </w:tcPr>
          <w:p>
            <w:pPr>
              <w:ind w:left="260"/>
              <w:spacing w:after="0"/>
              <w:rPr>
                <w:sz w:val="20"/>
                <w:szCs w:val="20"/>
                <w:color w:val="auto"/>
              </w:rPr>
            </w:pPr>
            <w:r>
              <w:rPr>
                <w:rFonts w:ascii="Arial" w:cs="Arial" w:eastAsia="Arial" w:hAnsi="Arial"/>
                <w:sz w:val="20"/>
                <w:szCs w:val="20"/>
                <w:color w:val="auto"/>
              </w:rPr>
              <w:t>Bayer</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345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(23%)</w:t>
            </w:r>
          </w:p>
        </w:tc>
      </w:tr>
      <w:tr>
        <w:trPr>
          <w:trHeight w:val="272"/>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Other</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67%</w:t>
            </w:r>
          </w:p>
        </w:tc>
      </w:tr>
      <w:tr>
        <w:trPr>
          <w:trHeight w:val="26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w:t>
            </w:r>
          </w:p>
        </w:tc>
        <w:tc>
          <w:tcPr>
            <w:tcW w:w="16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57%</w:t>
            </w:r>
          </w:p>
        </w:tc>
      </w:tr>
      <w:tr>
        <w:trPr>
          <w:trHeight w:val="29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5,116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3,754</w:t>
            </w:r>
          </w:p>
        </w:tc>
        <w:tc>
          <w:tcPr>
            <w:tcW w:w="16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20"/>
                <w:szCs w:val="20"/>
                <w:color w:val="auto"/>
              </w:rPr>
              <w:t>36%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53" w:lineRule="exact"/>
        <w:rPr>
          <w:sz w:val="20"/>
          <w:szCs w:val="20"/>
          <w:color w:val="auto"/>
        </w:rPr>
      </w:pPr>
    </w:p>
    <w:p>
      <w:pPr>
        <w:ind w:left="360" w:hanging="11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6"/>
          <w:szCs w:val="16"/>
          <w:color w:val="auto"/>
        </w:rPr>
        <w:t>Rest of world (ROW)</w:t>
      </w:r>
    </w:p>
    <w:p>
      <w:pPr>
        <w:spacing w:after="0" w:line="77" w:lineRule="exact"/>
        <w:rPr>
          <w:sz w:val="20"/>
          <w:szCs w:val="20"/>
          <w:color w:val="auto"/>
        </w:rPr>
      </w:pPr>
    </w:p>
    <w:p>
      <w:pPr>
        <w:ind w:left="420" w:hanging="178"/>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Percentage not meaningful or greater than 100%</w:t>
      </w:r>
    </w:p>
    <w:p>
      <w:pPr>
        <w:spacing w:after="0" w:line="280" w:lineRule="exact"/>
        <w:rPr>
          <w:sz w:val="20"/>
          <w:szCs w:val="20"/>
          <w:color w:val="auto"/>
        </w:rPr>
      </w:pPr>
    </w:p>
    <w:p>
      <w:pPr>
        <w:ind w:right="640"/>
        <w:spacing w:after="0" w:line="296" w:lineRule="auto"/>
        <w:rPr>
          <w:sz w:val="20"/>
          <w:szCs w:val="20"/>
          <w:color w:val="auto"/>
        </w:rPr>
      </w:pPr>
      <w:r>
        <w:rPr>
          <w:rFonts w:ascii="Arial" w:cs="Arial" w:eastAsia="Arial" w:hAnsi="Arial"/>
          <w:sz w:val="21"/>
          <w:szCs w:val="21"/>
          <w:color w:val="auto"/>
        </w:rPr>
        <w:t>EYLEA HD U.S. net product sales increased in the third quarter of 2026, compared to the third quarter of 2025, primarily due to higher sales volumes driven by increased demand, partly offset by a lower net selling price.</w:t>
      </w:r>
    </w:p>
    <w:p>
      <w:pPr>
        <w:spacing w:after="0" w:line="66" w:lineRule="exact"/>
        <w:rPr>
          <w:sz w:val="20"/>
          <w:szCs w:val="20"/>
          <w:color w:val="auto"/>
        </w:rPr>
      </w:pPr>
    </w:p>
    <w:p>
      <w:pPr>
        <w:ind w:right="60"/>
        <w:spacing w:after="0" w:line="257" w:lineRule="auto"/>
        <w:rPr>
          <w:sz w:val="20"/>
          <w:szCs w:val="20"/>
          <w:color w:val="auto"/>
        </w:rPr>
      </w:pPr>
      <w:r>
        <w:rPr>
          <w:rFonts w:ascii="Arial" w:cs="Arial" w:eastAsia="Arial" w:hAnsi="Arial"/>
          <w:sz w:val="22"/>
          <w:szCs w:val="22"/>
          <w:color w:val="auto"/>
        </w:rPr>
        <w:t>EYLEA U.S. net product sales decreased in the third quarter of 2026, compared to the third quarter of 2025, primarily due to lower sales volumes as a result of continued competitive pressures and the continued transition of patients to EYLEA HD.</w:t>
      </w:r>
    </w:p>
    <w:p>
      <w:pPr>
        <w:spacing w:after="0" w:line="105"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Libtayo U.S. net product sales increased in the third quarter of 2026, compared to the third quarter of 2025, primarily due to higher sales volumes driven by increased demand.</w:t>
      </w:r>
    </w:p>
    <w:p>
      <w:pPr>
        <w:spacing w:after="0" w:line="88"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Sanofi collaboration revenue increased in the third quarter of 2026, compared to the third quarter of 2025, due to an increase in the Company's share of profits from the commercialization of antibodies, which were $2.575 billion and $1.456 billion in the third quarter of 2026 and 2025, respectively. The increase in the Company's share of profits from the commercialization of antibodies was driven by higher profits primarily associated with an increase in Dupixent sales. In addition, the Sanofi Development Balance was fully repaid as of the end of the second quarter of 2026 and no longer reduced Sanofi collaboration revenue beginning in the third quarter of 2026.</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6"/>
              </w:rPr>
              <w:t>Q3 2026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Q3 2025</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Q3 2026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6"/>
              </w:rPr>
              <w:t>Q3 2025</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1,475</w:t>
            </w:r>
          </w:p>
        </w:tc>
        <w:tc>
          <w:tcPr>
            <w:tcW w:w="138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Arial" w:cs="Arial" w:eastAsia="Arial" w:hAnsi="Arial"/>
                <w:sz w:val="20"/>
                <w:szCs w:val="20"/>
                <w:color w:val="auto"/>
              </w:rPr>
              <w:t>Acquired in-process research and</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22</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83</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390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Selling, general, and administrative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678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658</w:t>
            </w:r>
          </w:p>
        </w:tc>
        <w:tc>
          <w:tcPr>
            <w:tcW w:w="13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588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541</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6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90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322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281</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auto"/>
              </w:rPr>
              <w:t>15%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227</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72"/>
        </w:trPr>
        <w:tc>
          <w:tcPr>
            <w:tcW w:w="3900" w:type="dxa"/>
            <w:vAlign w:val="bottom"/>
            <w:shd w:val="clear" w:color="auto" w:fill="CCEEFF"/>
          </w:tcPr>
          <w:p>
            <w:pPr>
              <w:ind w:left="20"/>
              <w:spacing w:after="0" w:line="271"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(b)</w:t>
            </w: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86%</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252</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241</w:t>
            </w:r>
          </w:p>
        </w:tc>
        <w:tc>
          <w:tcPr>
            <w:tcW w:w="138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line="257" w:lineRule="exact"/>
              <w:rPr>
                <w:sz w:val="20"/>
                <w:szCs w:val="20"/>
                <w:color w:val="auto"/>
              </w:rPr>
            </w:pPr>
            <w:r>
              <w:rPr>
                <w:rFonts w:ascii="Arial" w:cs="Arial" w:eastAsia="Arial" w:hAnsi="Arial"/>
                <w:sz w:val="20"/>
                <w:szCs w:val="20"/>
                <w:color w:val="auto"/>
              </w:rPr>
              <w:t>manufacturing (COCM)</w:t>
            </w:r>
            <w:r>
              <w:rPr>
                <w:rFonts w:ascii="Arial" w:cs="Arial" w:eastAsia="Arial" w:hAnsi="Arial"/>
                <w:sz w:val="25"/>
                <w:szCs w:val="25"/>
                <w:color w:val="auto"/>
                <w:vertAlign w:val="superscript"/>
              </w:rPr>
              <w:t>(c)</w:t>
            </w: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00" w:hanging="11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26" w:lineRule="exact"/>
        <w:rPr>
          <w:sz w:val="20"/>
          <w:szCs w:val="20"/>
          <w:color w:val="auto"/>
        </w:rPr>
      </w:pPr>
    </w:p>
    <w:p>
      <w:pPr>
        <w:jc w:val="both"/>
        <w:ind w:right="280"/>
        <w:spacing w:after="0" w:line="257" w:lineRule="auto"/>
        <w:rPr>
          <w:sz w:val="20"/>
          <w:szCs w:val="20"/>
          <w:color w:val="auto"/>
        </w:rPr>
      </w:pPr>
      <w:r>
        <w:rPr>
          <w:rFonts w:ascii="Arial" w:cs="Arial" w:eastAsia="Arial" w:hAnsi="Arial"/>
          <w:sz w:val="22"/>
          <w:szCs w:val="22"/>
          <w:color w:val="auto"/>
        </w:rPr>
        <w:t>GAAP and non-GAAP R&amp;D expenses increased in the third quarter of 2026, compared to the third quarter of 2025, driven by the advancement of the Company's clinical pipeline and increased manufacturing activity associated with the Company's product candidates.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480"/>
        <w:spacing w:after="0" w:line="272" w:lineRule="auto"/>
        <w:rPr>
          <w:sz w:val="20"/>
          <w:szCs w:val="20"/>
          <w:color w:val="auto"/>
        </w:rPr>
      </w:pPr>
      <w:r>
        <w:rPr>
          <w:rFonts w:ascii="Arial" w:cs="Arial" w:eastAsia="Arial" w:hAnsi="Arial"/>
          <w:sz w:val="22"/>
          <w:szCs w:val="22"/>
          <w:color w:val="auto"/>
        </w:rPr>
        <w:t>GAAP other income (expense), net decreased in the third quarter of 2026, compared to the third quarter of 2025, primarily due to lower net gains on marketable and other securities.</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In the third quarter of 2026, the Company's GAAP effective tax rate (ETR) was 14.7%, compared to 17.2% in the third quarter of 2025. The GAAP ETR for the third quarter of 2025 was negatively impacted by the enactment of the "One Big Beautiful Bill Act" or "OBBBA," including a $45 million charge related to the re-measurement of the Company's U.S. net deferred tax assets. In the third quarter of 2026, the non-GAAP ETR was 15.0%, compared to 13.1% in the third quarter of 2025.</w:t>
      </w:r>
    </w:p>
    <w:p>
      <w:pPr>
        <w:spacing w:after="0" w:line="111" w:lineRule="exact"/>
        <w:rPr>
          <w:sz w:val="20"/>
          <w:szCs w:val="20"/>
          <w:color w:val="auto"/>
        </w:rPr>
      </w:pPr>
    </w:p>
    <w:p>
      <w:pPr>
        <w:ind w:right="1220"/>
        <w:spacing w:after="0" w:line="377" w:lineRule="auto"/>
        <w:rPr>
          <w:sz w:val="20"/>
          <w:szCs w:val="20"/>
          <w:color w:val="auto"/>
        </w:rPr>
      </w:pPr>
      <w:r>
        <w:rPr>
          <w:rFonts w:ascii="Arial" w:cs="Arial" w:eastAsia="Arial" w:hAnsi="Arial"/>
          <w:sz w:val="22"/>
          <w:szCs w:val="22"/>
          <w:color w:val="auto"/>
        </w:rPr>
        <w:t xml:space="preserve">A reconciliation of the Company's GAAP to non-GAAP results is included in Table 3 of this press release. </w:t>
      </w:r>
      <w:r>
        <w:rPr>
          <w:rFonts w:ascii="Arial" w:cs="Arial" w:eastAsia="Arial" w:hAnsi="Arial"/>
          <w:sz w:val="22"/>
          <w:szCs w:val="22"/>
          <w:b w:val="1"/>
          <w:bCs w:val="1"/>
          <w:i w:val="1"/>
          <w:iCs w:val="1"/>
          <w:color w:val="auto"/>
        </w:rPr>
        <w:t>Capital Allocation</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22"/>
          <w:szCs w:val="22"/>
          <w:color w:val="auto"/>
        </w:rPr>
        <w:t>During the nine months ended September 30, 2026, the Company repurchased $2.3 billion of its common stock. As of September 30, 2026, $2.2 billion remained available for share repurchases under the Company's share repurchase programs.</w:t>
      </w:r>
    </w:p>
    <w:p>
      <w:pPr>
        <w:spacing w:after="0" w:line="83" w:lineRule="exact"/>
        <w:rPr>
          <w:sz w:val="20"/>
          <w:szCs w:val="20"/>
          <w:color w:val="auto"/>
        </w:rPr>
      </w:pPr>
    </w:p>
    <w:p>
      <w:pPr>
        <w:ind w:right="340"/>
        <w:spacing w:after="0" w:line="285" w:lineRule="auto"/>
        <w:rPr>
          <w:sz w:val="20"/>
          <w:szCs w:val="20"/>
          <w:color w:val="auto"/>
        </w:rPr>
      </w:pPr>
      <w:r>
        <w:rPr>
          <w:rFonts w:ascii="Arial" w:cs="Arial" w:eastAsia="Arial" w:hAnsi="Arial"/>
          <w:sz w:val="22"/>
          <w:szCs w:val="22"/>
          <w:color w:val="auto"/>
        </w:rPr>
        <w:t>In October 2026, the Company declared a cash dividend of $0.94 per share on the Company's common stock and Class A stock, payable on December 3, 2026 to shareholders of record as of November 20, 2026.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5"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2026 Financial Guidance*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2026 financial guidance consists of the following components: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5240" w:type="dxa"/>
            <w:vAlign w:val="bottom"/>
          </w:tcPr>
          <w:p>
            <w:pPr>
              <w:spacing w:after="0"/>
              <w:rPr>
                <w:sz w:val="23"/>
                <w:szCs w:val="23"/>
                <w:color w:val="auto"/>
              </w:rPr>
            </w:pPr>
          </w:p>
        </w:tc>
        <w:tc>
          <w:tcPr>
            <w:tcW w:w="5980" w:type="dxa"/>
            <w:vAlign w:val="bottom"/>
            <w:tcBorders>
              <w:bottom w:val="single" w:sz="8" w:color="auto"/>
            </w:tcBorders>
            <w:gridSpan w:val="3"/>
          </w:tcPr>
          <w:p>
            <w:pPr>
              <w:ind w:left="2280"/>
              <w:spacing w:after="0"/>
              <w:rPr>
                <w:sz w:val="20"/>
                <w:szCs w:val="20"/>
                <w:color w:val="auto"/>
              </w:rPr>
            </w:pPr>
            <w:r>
              <w:rPr>
                <w:rFonts w:ascii="Arial" w:cs="Arial" w:eastAsia="Arial" w:hAnsi="Arial"/>
                <w:sz w:val="20"/>
                <w:szCs w:val="20"/>
                <w:b w:val="1"/>
                <w:bCs w:val="1"/>
                <w:color w:val="auto"/>
              </w:rPr>
              <w:t>2026 Guidance</w:t>
            </w:r>
          </w:p>
        </w:tc>
      </w:tr>
      <w:tr>
        <w:trPr>
          <w:trHeight w:val="263"/>
        </w:trPr>
        <w:tc>
          <w:tcPr>
            <w:tcW w:w="5240" w:type="dxa"/>
            <w:vAlign w:val="bottom"/>
            <w:tcBorders>
              <w:bottom w:val="single" w:sz="8" w:color="CCEEFF"/>
            </w:tcBorders>
          </w:tcPr>
          <w:p>
            <w:pPr>
              <w:spacing w:after="0"/>
              <w:rPr>
                <w:sz w:val="22"/>
                <w:szCs w:val="22"/>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Prior</w:t>
            </w:r>
          </w:p>
        </w:tc>
        <w:tc>
          <w:tcPr>
            <w:tcW w:w="120" w:type="dxa"/>
            <w:vAlign w:val="bottom"/>
            <w:tcBorders>
              <w:bottom w:val="single" w:sz="8" w:color="CCEEFF"/>
            </w:tcBorders>
          </w:tcPr>
          <w:p>
            <w:pPr>
              <w:spacing w:after="0"/>
              <w:rPr>
                <w:sz w:val="22"/>
                <w:szCs w:val="22"/>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Updated</w:t>
            </w:r>
          </w:p>
        </w:tc>
      </w:tr>
      <w:tr>
        <w:trPr>
          <w:trHeight w:val="264"/>
        </w:trPr>
        <w:tc>
          <w:tcPr>
            <w:tcW w:w="5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306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$6.500–$6.635 billion</w:t>
            </w:r>
          </w:p>
        </w:tc>
        <w:tc>
          <w:tcPr>
            <w:tcW w:w="2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$6.600–$6.735 billion</w:t>
            </w:r>
          </w:p>
        </w:tc>
      </w:tr>
      <w:tr>
        <w:trPr>
          <w:trHeight w:val="270"/>
        </w:trPr>
        <w:tc>
          <w:tcPr>
            <w:tcW w:w="524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306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$5.950–$6.050 billion</w:t>
            </w:r>
          </w:p>
        </w:tc>
        <w:tc>
          <w:tcPr>
            <w:tcW w:w="2920" w:type="dxa"/>
            <w:vAlign w:val="bottom"/>
          </w:tcPr>
          <w:p>
            <w:pPr>
              <w:jc w:val="center"/>
              <w:spacing w:after="0"/>
              <w:rPr>
                <w:sz w:val="20"/>
                <w:szCs w:val="20"/>
                <w:color w:val="auto"/>
              </w:rPr>
            </w:pPr>
            <w:r>
              <w:rPr>
                <w:rFonts w:ascii="Arial" w:cs="Arial" w:eastAsia="Arial" w:hAnsi="Arial"/>
                <w:sz w:val="20"/>
                <w:szCs w:val="20"/>
                <w:color w:val="auto"/>
                <w:w w:val="98"/>
              </w:rPr>
              <w:t>$6.050–$6.150 billion</w:t>
            </w:r>
          </w:p>
        </w:tc>
      </w:tr>
      <w:tr>
        <w:trPr>
          <w:trHeight w:val="270"/>
        </w:trPr>
        <w:tc>
          <w:tcPr>
            <w:tcW w:w="5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306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$2.830–$2.960 billion</w:t>
            </w:r>
          </w:p>
        </w:tc>
        <w:tc>
          <w:tcPr>
            <w:tcW w:w="2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$2.730–$2.860 billion</w:t>
            </w:r>
          </w:p>
        </w:tc>
      </w:tr>
      <w:tr>
        <w:trPr>
          <w:trHeight w:val="270"/>
        </w:trPr>
        <w:tc>
          <w:tcPr>
            <w:tcW w:w="524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306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$2.500–$2.600 billion</w:t>
            </w:r>
          </w:p>
        </w:tc>
        <w:tc>
          <w:tcPr>
            <w:tcW w:w="2920" w:type="dxa"/>
            <w:vAlign w:val="bottom"/>
          </w:tcPr>
          <w:p>
            <w:pPr>
              <w:jc w:val="center"/>
              <w:spacing w:after="0"/>
              <w:rPr>
                <w:sz w:val="20"/>
                <w:szCs w:val="20"/>
                <w:color w:val="auto"/>
              </w:rPr>
            </w:pPr>
            <w:r>
              <w:rPr>
                <w:rFonts w:ascii="Arial" w:cs="Arial" w:eastAsia="Arial" w:hAnsi="Arial"/>
                <w:sz w:val="20"/>
                <w:szCs w:val="20"/>
                <w:color w:val="auto"/>
                <w:w w:val="98"/>
              </w:rPr>
              <w:t>$2.400–$2.500 billion</w:t>
            </w:r>
          </w:p>
        </w:tc>
      </w:tr>
      <w:tr>
        <w:trPr>
          <w:trHeight w:val="270"/>
        </w:trPr>
        <w:tc>
          <w:tcPr>
            <w:tcW w:w="5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8"/>
              </w:rPr>
              <w:t>78%–79%</w:t>
            </w:r>
          </w:p>
        </w:tc>
        <w:tc>
          <w:tcPr>
            <w:tcW w:w="2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Approximately 80%</w:t>
            </w:r>
          </w:p>
        </w:tc>
      </w:tr>
      <w:tr>
        <w:trPr>
          <w:trHeight w:val="270"/>
        </w:trPr>
        <w:tc>
          <w:tcPr>
            <w:tcW w:w="524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w:t>
            </w:r>
          </w:p>
        </w:tc>
        <w:tc>
          <w:tcPr>
            <w:tcW w:w="3060" w:type="dxa"/>
            <w:vAlign w:val="bottom"/>
            <w:gridSpan w:val="2"/>
          </w:tcPr>
          <w:p>
            <w:pPr>
              <w:jc w:val="center"/>
              <w:ind w:right="120"/>
              <w:spacing w:after="0"/>
              <w:rPr>
                <w:sz w:val="20"/>
                <w:szCs w:val="20"/>
                <w:color w:val="auto"/>
              </w:rPr>
            </w:pPr>
            <w:r>
              <w:rPr>
                <w:rFonts w:ascii="Arial" w:cs="Arial" w:eastAsia="Arial" w:hAnsi="Arial"/>
                <w:sz w:val="20"/>
                <w:szCs w:val="20"/>
                <w:color w:val="auto"/>
                <w:w w:val="98"/>
              </w:rPr>
              <w:t>84%–85%</w:t>
            </w:r>
          </w:p>
        </w:tc>
        <w:tc>
          <w:tcPr>
            <w:tcW w:w="2920" w:type="dxa"/>
            <w:vAlign w:val="bottom"/>
          </w:tcPr>
          <w:p>
            <w:pPr>
              <w:jc w:val="center"/>
              <w:spacing w:after="0"/>
              <w:rPr>
                <w:sz w:val="20"/>
                <w:szCs w:val="20"/>
                <w:color w:val="auto"/>
              </w:rPr>
            </w:pPr>
            <w:r>
              <w:rPr>
                <w:rFonts w:ascii="Arial" w:cs="Arial" w:eastAsia="Arial" w:hAnsi="Arial"/>
                <w:sz w:val="20"/>
                <w:szCs w:val="20"/>
                <w:color w:val="auto"/>
                <w:w w:val="98"/>
              </w:rPr>
              <w:t>Approximately 86%</w:t>
            </w:r>
          </w:p>
        </w:tc>
      </w:tr>
      <w:tr>
        <w:trPr>
          <w:trHeight w:val="270"/>
        </w:trPr>
        <w:tc>
          <w:tcPr>
            <w:tcW w:w="5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COCM</w:t>
            </w: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9"/>
              </w:rPr>
              <w:t>$985 million–$1.035 billion</w:t>
            </w:r>
          </w:p>
        </w:tc>
        <w:tc>
          <w:tcPr>
            <w:tcW w:w="2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5240" w:type="dxa"/>
            <w:vAlign w:val="bottom"/>
          </w:tcPr>
          <w:p>
            <w:pPr>
              <w:ind w:left="20"/>
              <w:spacing w:after="0" w:line="270" w:lineRule="exact"/>
              <w:rPr>
                <w:sz w:val="20"/>
                <w:szCs w:val="20"/>
                <w:color w:val="auto"/>
              </w:rPr>
            </w:pPr>
            <w:r>
              <w:rPr>
                <w:rFonts w:ascii="Arial" w:cs="Arial" w:eastAsia="Arial" w:hAnsi="Arial"/>
                <w:sz w:val="20"/>
                <w:szCs w:val="20"/>
                <w:color w:val="auto"/>
              </w:rPr>
              <w:t>Non-GAAP COCM</w:t>
            </w:r>
            <w:r>
              <w:rPr>
                <w:rFonts w:ascii="Arial" w:cs="Arial" w:eastAsia="Arial" w:hAnsi="Arial"/>
                <w:sz w:val="25"/>
                <w:szCs w:val="25"/>
                <w:color w:val="auto"/>
                <w:vertAlign w:val="superscript"/>
              </w:rPr>
              <w:t>(a)</w:t>
            </w:r>
          </w:p>
        </w:tc>
        <w:tc>
          <w:tcPr>
            <w:tcW w:w="3060" w:type="dxa"/>
            <w:vAlign w:val="bottom"/>
            <w:gridSpan w:val="2"/>
          </w:tcPr>
          <w:p>
            <w:pPr>
              <w:jc w:val="center"/>
              <w:ind w:right="120"/>
              <w:spacing w:after="0"/>
              <w:rPr>
                <w:sz w:val="20"/>
                <w:szCs w:val="20"/>
                <w:color w:val="auto"/>
              </w:rPr>
            </w:pPr>
            <w:r>
              <w:rPr>
                <w:rFonts w:ascii="Arial" w:cs="Arial" w:eastAsia="Arial" w:hAnsi="Arial"/>
                <w:sz w:val="20"/>
                <w:szCs w:val="20"/>
                <w:color w:val="auto"/>
                <w:w w:val="99"/>
              </w:rPr>
              <w:t>$970 million–$1.020 billion</w:t>
            </w:r>
          </w:p>
        </w:tc>
        <w:tc>
          <w:tcPr>
            <w:tcW w:w="292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5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306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$1.030–$1.100 billion</w:t>
            </w:r>
          </w:p>
        </w:tc>
        <w:tc>
          <w:tcPr>
            <w:tcW w:w="2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$1.050–$1.100 billion</w:t>
            </w:r>
          </w:p>
        </w:tc>
      </w:tr>
      <w:tr>
        <w:trPr>
          <w:trHeight w:val="268"/>
        </w:trPr>
        <w:tc>
          <w:tcPr>
            <w:tcW w:w="5240" w:type="dxa"/>
            <w:vAlign w:val="bottom"/>
          </w:tcPr>
          <w:p>
            <w:pPr>
              <w:ind w:left="20"/>
              <w:spacing w:after="0"/>
              <w:rPr>
                <w:sz w:val="20"/>
                <w:szCs w:val="20"/>
                <w:color w:val="auto"/>
              </w:rPr>
            </w:pPr>
            <w:r>
              <w:rPr>
                <w:rFonts w:ascii="Arial" w:cs="Arial" w:eastAsia="Arial" w:hAnsi="Arial"/>
                <w:sz w:val="20"/>
                <w:szCs w:val="20"/>
                <w:color w:val="auto"/>
              </w:rPr>
              <w:t>GAAP effective tax rate</w:t>
            </w:r>
          </w:p>
        </w:tc>
        <w:tc>
          <w:tcPr>
            <w:tcW w:w="3060" w:type="dxa"/>
            <w:vAlign w:val="bottom"/>
            <w:gridSpan w:val="2"/>
          </w:tcPr>
          <w:p>
            <w:pPr>
              <w:jc w:val="center"/>
              <w:ind w:right="120"/>
              <w:spacing w:after="0"/>
              <w:rPr>
                <w:sz w:val="20"/>
                <w:szCs w:val="20"/>
                <w:color w:val="auto"/>
              </w:rPr>
            </w:pPr>
            <w:r>
              <w:rPr>
                <w:rFonts w:ascii="Arial" w:cs="Arial" w:eastAsia="Arial" w:hAnsi="Arial"/>
                <w:sz w:val="20"/>
                <w:szCs w:val="20"/>
                <w:color w:val="auto"/>
                <w:w w:val="98"/>
              </w:rPr>
              <w:t>13%–14%</w:t>
            </w:r>
          </w:p>
        </w:tc>
        <w:tc>
          <w:tcPr>
            <w:tcW w:w="2920" w:type="dxa"/>
            <w:vAlign w:val="bottom"/>
          </w:tcPr>
          <w:p>
            <w:pPr>
              <w:jc w:val="center"/>
              <w:spacing w:after="0"/>
              <w:rPr>
                <w:sz w:val="20"/>
                <w:szCs w:val="20"/>
                <w:color w:val="auto"/>
              </w:rPr>
            </w:pPr>
            <w:r>
              <w:rPr>
                <w:rFonts w:ascii="Arial" w:cs="Arial" w:eastAsia="Arial" w:hAnsi="Arial"/>
                <w:sz w:val="20"/>
                <w:szCs w:val="20"/>
                <w:color w:val="auto"/>
                <w:w w:val="98"/>
              </w:rPr>
              <w:t>Approximately 14%</w:t>
            </w:r>
          </w:p>
        </w:tc>
      </w:tr>
      <w:tr>
        <w:trPr>
          <w:trHeight w:val="272"/>
        </w:trPr>
        <w:tc>
          <w:tcPr>
            <w:tcW w:w="5240" w:type="dxa"/>
            <w:vAlign w:val="bottom"/>
            <w:shd w:val="clear" w:color="auto" w:fill="CCEEFF"/>
          </w:tcPr>
          <w:p>
            <w:pPr>
              <w:ind w:left="20"/>
              <w:spacing w:after="0" w:line="271" w:lineRule="exact"/>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8"/>
              </w:rPr>
              <w:t>14%–15%</w:t>
            </w:r>
          </w:p>
        </w:tc>
        <w:tc>
          <w:tcPr>
            <w:tcW w:w="2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Approximately 15%</w:t>
            </w:r>
          </w:p>
        </w:tc>
      </w:tr>
    </w:tbl>
    <w:p>
      <w:pPr>
        <w:spacing w:after="0" w:line="121" w:lineRule="exact"/>
        <w:rPr>
          <w:sz w:val="20"/>
          <w:szCs w:val="20"/>
          <w:color w:val="auto"/>
        </w:rPr>
      </w:pPr>
    </w:p>
    <w:p>
      <w:pPr>
        <w:ind w:left="200" w:right="40" w:hanging="5"/>
        <w:spacing w:after="0" w:line="239"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6"/>
          <w:szCs w:val="16"/>
          <w:color w:val="auto"/>
        </w:rPr>
        <w:t>The Company's 2026 financial guidance does not assume the completion of any business development transactions not completed as of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5"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2026 GAAP to non-GAAP financial guidance is included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Projected Range</w:t>
            </w:r>
          </w:p>
        </w:tc>
        <w:tc>
          <w:tcPr>
            <w:tcW w:w="1300" w:type="dxa"/>
            <w:vAlign w:val="bottom"/>
            <w:tcBorders>
              <w:bottom w:val="single" w:sz="8" w:color="auto"/>
            </w:tcBorders>
          </w:tcPr>
          <w:p>
            <w:pPr>
              <w:spacing w:after="0"/>
              <w:rPr>
                <w:sz w:val="23"/>
                <w:szCs w:val="23"/>
                <w:color w:val="auto"/>
              </w:rPr>
            </w:pPr>
          </w:p>
        </w:tc>
      </w:tr>
      <w:tr>
        <w:trPr>
          <w:trHeight w:val="264"/>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480" w:type="dxa"/>
            <w:vAlign w:val="bottom"/>
          </w:tcPr>
          <w:p>
            <w:pPr>
              <w:spacing w:after="0"/>
              <w:rPr>
                <w:sz w:val="22"/>
                <w:szCs w:val="22"/>
                <w:color w:val="auto"/>
              </w:rPr>
            </w:pPr>
          </w:p>
        </w:tc>
        <w:tc>
          <w:tcPr>
            <w:tcW w:w="1700" w:type="dxa"/>
            <w:vAlign w:val="bottom"/>
            <w:gridSpan w:val="2"/>
          </w:tcPr>
          <w:p>
            <w:pPr>
              <w:ind w:left="360"/>
              <w:spacing w:after="0"/>
              <w:rPr>
                <w:sz w:val="20"/>
                <w:szCs w:val="20"/>
                <w:color w:val="auto"/>
              </w:rPr>
            </w:pPr>
            <w:r>
              <w:rPr>
                <w:rFonts w:ascii="Arial" w:cs="Arial" w:eastAsia="Arial" w:hAnsi="Arial"/>
                <w:sz w:val="20"/>
                <w:szCs w:val="20"/>
                <w:b w:val="1"/>
                <w:bCs w:val="1"/>
                <w:color w:val="auto"/>
              </w:rPr>
              <w:t>Low</w:t>
            </w:r>
          </w:p>
        </w:tc>
        <w:tc>
          <w:tcPr>
            <w:tcW w:w="780" w:type="dxa"/>
            <w:vAlign w:val="bottom"/>
          </w:tcPr>
          <w:p>
            <w:pPr>
              <w:spacing w:after="0"/>
              <w:rPr>
                <w:sz w:val="22"/>
                <w:szCs w:val="22"/>
                <w:color w:val="auto"/>
              </w:rPr>
            </w:pPr>
          </w:p>
        </w:tc>
        <w:tc>
          <w:tcPr>
            <w:tcW w:w="1300" w:type="dxa"/>
            <w:vAlign w:val="bottom"/>
          </w:tcPr>
          <w:p>
            <w:pPr>
              <w:jc w:val="right"/>
              <w:ind w:right="721"/>
              <w:spacing w:after="0"/>
              <w:rPr>
                <w:sz w:val="20"/>
                <w:szCs w:val="20"/>
                <w:color w:val="auto"/>
              </w:rPr>
            </w:pPr>
            <w:r>
              <w:rPr>
                <w:rFonts w:ascii="Arial" w:cs="Arial" w:eastAsia="Arial" w:hAnsi="Arial"/>
                <w:sz w:val="20"/>
                <w:szCs w:val="20"/>
                <w:b w:val="1"/>
                <w:bCs w:val="1"/>
                <w:color w:val="auto"/>
              </w:rPr>
              <w:t>High</w:t>
            </w:r>
          </w:p>
        </w:tc>
      </w:tr>
      <w:tr>
        <w:trPr>
          <w:trHeight w:val="26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48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6,600</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6,735</w:t>
            </w:r>
          </w:p>
        </w:tc>
      </w:tr>
      <w:tr>
        <w:trPr>
          <w:trHeight w:val="268"/>
        </w:trPr>
        <w:tc>
          <w:tcPr>
            <w:tcW w:w="698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(550)</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(580)</w:t>
            </w:r>
          </w:p>
        </w:tc>
      </w:tr>
      <w:tr>
        <w:trPr>
          <w:trHeight w:val="272"/>
        </w:trPr>
        <w:tc>
          <w:tcPr>
            <w:tcW w:w="69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Other</w:t>
            </w:r>
          </w:p>
        </w:tc>
        <w:tc>
          <w:tcPr>
            <w:tcW w:w="4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w:t>
            </w:r>
          </w:p>
        </w:tc>
      </w:tr>
      <w:tr>
        <w:trPr>
          <w:trHeight w:val="263"/>
        </w:trPr>
        <w:tc>
          <w:tcPr>
            <w:tcW w:w="6980" w:type="dxa"/>
            <w:vAlign w:val="bottom"/>
            <w:tcBorders>
              <w:bottom w:val="single" w:sz="8" w:color="CCEEFF"/>
            </w:tcBorders>
          </w:tcPr>
          <w:p>
            <w:pPr>
              <w:ind w:left="20"/>
              <w:spacing w:after="0" w:line="263"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4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6,050</w:t>
            </w:r>
          </w:p>
        </w:tc>
        <w:tc>
          <w:tcPr>
            <w:tcW w:w="10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6,150</w:t>
            </w:r>
          </w:p>
        </w:tc>
      </w:tr>
      <w:tr>
        <w:trPr>
          <w:trHeight w:val="250"/>
        </w:trPr>
        <w:tc>
          <w:tcPr>
            <w:tcW w:w="69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68"/>
        </w:trPr>
        <w:tc>
          <w:tcPr>
            <w:tcW w:w="698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2,730</w:t>
            </w:r>
          </w:p>
        </w:tc>
        <w:tc>
          <w:tcPr>
            <w:tcW w:w="100" w:type="dxa"/>
            <w:vAlign w:val="bottom"/>
          </w:tcPr>
          <w:p>
            <w:pPr>
              <w:spacing w:after="0"/>
              <w:rPr>
                <w:sz w:val="23"/>
                <w:szCs w:val="23"/>
                <w:color w:val="auto"/>
              </w:rPr>
            </w:pPr>
          </w:p>
        </w:tc>
        <w:tc>
          <w:tcPr>
            <w:tcW w:w="780" w:type="dxa"/>
            <w:vAlign w:val="bottom"/>
          </w:tcPr>
          <w:p>
            <w:pPr>
              <w:jc w:val="right"/>
              <w:ind w:right="56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2,860</w:t>
            </w:r>
          </w:p>
        </w:tc>
      </w:tr>
      <w:tr>
        <w:trPr>
          <w:trHeight w:val="272"/>
        </w:trPr>
        <w:tc>
          <w:tcPr>
            <w:tcW w:w="69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w:t>
            </w:r>
          </w:p>
        </w:tc>
      </w:tr>
      <w:tr>
        <w:trPr>
          <w:trHeight w:val="268"/>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Other*</w:t>
            </w: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r>
      <w:tr>
        <w:trPr>
          <w:trHeight w:val="265"/>
        </w:trPr>
        <w:tc>
          <w:tcPr>
            <w:tcW w:w="6980" w:type="dxa"/>
            <w:vAlign w:val="bottom"/>
            <w:shd w:val="clear" w:color="auto" w:fill="CCEEFF"/>
          </w:tcPr>
          <w:p>
            <w:pPr>
              <w:ind w:left="20"/>
              <w:spacing w:after="0" w:line="265"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2,400</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2,500</w:t>
            </w:r>
          </w:p>
        </w:tc>
      </w:tr>
      <w:tr>
        <w:trPr>
          <w:trHeight w:val="250"/>
        </w:trPr>
        <w:tc>
          <w:tcPr>
            <w:tcW w:w="6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80%</w:t>
            </w:r>
          </w:p>
        </w:tc>
      </w:tr>
      <w:tr>
        <w:trPr>
          <w:trHeight w:val="268"/>
        </w:trPr>
        <w:tc>
          <w:tcPr>
            <w:tcW w:w="698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480" w:type="dxa"/>
            <w:vAlign w:val="bottom"/>
          </w:tcPr>
          <w:p>
            <w:pPr>
              <w:spacing w:after="0"/>
              <w:rPr>
                <w:sz w:val="23"/>
                <w:szCs w:val="23"/>
                <w:color w:val="auto"/>
              </w:rPr>
            </w:pPr>
          </w:p>
        </w:tc>
        <w:tc>
          <w:tcPr>
            <w:tcW w:w="1600" w:type="dxa"/>
            <w:vAlign w:val="bottom"/>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1%</w:t>
            </w:r>
          </w:p>
        </w:tc>
      </w:tr>
      <w:tr>
        <w:trPr>
          <w:trHeight w:val="272"/>
        </w:trPr>
        <w:tc>
          <w:tcPr>
            <w:tcW w:w="69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Other**</w:t>
            </w:r>
          </w:p>
        </w:tc>
        <w:tc>
          <w:tcPr>
            <w:tcW w:w="4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5%</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5%</w:t>
            </w:r>
          </w:p>
        </w:tc>
      </w:tr>
      <w:tr>
        <w:trPr>
          <w:trHeight w:val="263"/>
        </w:trPr>
        <w:tc>
          <w:tcPr>
            <w:tcW w:w="6980" w:type="dxa"/>
            <w:vAlign w:val="bottom"/>
            <w:tcBorders>
              <w:bottom w:val="single" w:sz="8" w:color="CCEEFF"/>
            </w:tcBorders>
          </w:tcPr>
          <w:p>
            <w:pPr>
              <w:ind w:left="20"/>
              <w:spacing w:after="0" w:line="263"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w:t>
            </w: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86%</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86%</w:t>
            </w:r>
          </w:p>
        </w:tc>
      </w:tr>
      <w:tr>
        <w:trPr>
          <w:trHeight w:val="250"/>
        </w:trPr>
        <w:tc>
          <w:tcPr>
            <w:tcW w:w="69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68"/>
        </w:trPr>
        <w:tc>
          <w:tcPr>
            <w:tcW w:w="6980" w:type="dxa"/>
            <w:vAlign w:val="bottom"/>
          </w:tcPr>
          <w:p>
            <w:pPr>
              <w:ind w:left="20"/>
              <w:spacing w:after="0"/>
              <w:rPr>
                <w:sz w:val="20"/>
                <w:szCs w:val="20"/>
                <w:color w:val="auto"/>
              </w:rPr>
            </w:pPr>
            <w:r>
              <w:rPr>
                <w:rFonts w:ascii="Arial" w:cs="Arial" w:eastAsia="Arial" w:hAnsi="Arial"/>
                <w:sz w:val="20"/>
                <w:szCs w:val="20"/>
                <w:color w:val="auto"/>
              </w:rPr>
              <w:t>GAAP COCM</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ind w:right="41"/>
              <w:spacing w:after="0"/>
              <w:rPr>
                <w:sz w:val="20"/>
                <w:szCs w:val="20"/>
                <w:color w:val="auto"/>
              </w:rPr>
            </w:pPr>
            <w:r>
              <w:rPr>
                <w:rFonts w:ascii="Arial" w:cs="Arial" w:eastAsia="Arial" w:hAnsi="Arial"/>
                <w:sz w:val="20"/>
                <w:szCs w:val="20"/>
                <w:color w:val="auto"/>
              </w:rPr>
              <w:t>985</w:t>
            </w:r>
          </w:p>
        </w:tc>
        <w:tc>
          <w:tcPr>
            <w:tcW w:w="100" w:type="dxa"/>
            <w:vAlign w:val="bottom"/>
          </w:tcPr>
          <w:p>
            <w:pPr>
              <w:spacing w:after="0"/>
              <w:rPr>
                <w:sz w:val="23"/>
                <w:szCs w:val="23"/>
                <w:color w:val="auto"/>
              </w:rPr>
            </w:pPr>
          </w:p>
        </w:tc>
        <w:tc>
          <w:tcPr>
            <w:tcW w:w="780" w:type="dxa"/>
            <w:vAlign w:val="bottom"/>
          </w:tcPr>
          <w:p>
            <w:pPr>
              <w:jc w:val="right"/>
              <w:ind w:right="56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1,035</w:t>
            </w:r>
          </w:p>
        </w:tc>
      </w:tr>
      <w:tr>
        <w:trPr>
          <w:trHeight w:val="272"/>
        </w:trPr>
        <w:tc>
          <w:tcPr>
            <w:tcW w:w="69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Temporary manufacturing interruption-related costs</w:t>
            </w:r>
          </w:p>
        </w:tc>
        <w:tc>
          <w:tcPr>
            <w:tcW w:w="4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(15)</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r>
      <w:tr>
        <w:trPr>
          <w:trHeight w:val="263"/>
        </w:trPr>
        <w:tc>
          <w:tcPr>
            <w:tcW w:w="6980" w:type="dxa"/>
            <w:vAlign w:val="bottom"/>
            <w:tcBorders>
              <w:bottom w:val="single" w:sz="8" w:color="CCEEFF"/>
            </w:tcBorders>
          </w:tcPr>
          <w:p>
            <w:pPr>
              <w:ind w:left="20"/>
              <w:spacing w:after="0" w:line="263" w:lineRule="exact"/>
              <w:rPr>
                <w:sz w:val="20"/>
                <w:szCs w:val="20"/>
                <w:color w:val="auto"/>
              </w:rPr>
            </w:pPr>
            <w:r>
              <w:rPr>
                <w:rFonts w:ascii="Arial" w:cs="Arial" w:eastAsia="Arial" w:hAnsi="Arial"/>
                <w:sz w:val="20"/>
                <w:szCs w:val="20"/>
                <w:color w:val="auto"/>
              </w:rPr>
              <w:t>Non-GAAP COCM</w:t>
            </w:r>
            <w:r>
              <w:rPr>
                <w:rFonts w:ascii="Arial" w:cs="Arial" w:eastAsia="Arial" w:hAnsi="Arial"/>
                <w:sz w:val="25"/>
                <w:szCs w:val="25"/>
                <w:color w:val="auto"/>
                <w:vertAlign w:val="superscript"/>
              </w:rPr>
              <w:t>(a)</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970</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1,020</w:t>
            </w:r>
          </w:p>
        </w:tc>
      </w:tr>
      <w:tr>
        <w:trPr>
          <w:trHeight w:val="250"/>
        </w:trPr>
        <w:tc>
          <w:tcPr>
            <w:tcW w:w="69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68"/>
        </w:trPr>
        <w:tc>
          <w:tcPr>
            <w:tcW w:w="6980" w:type="dxa"/>
            <w:vAlign w:val="bottom"/>
          </w:tcPr>
          <w:p>
            <w:pPr>
              <w:ind w:left="20"/>
              <w:spacing w:after="0"/>
              <w:rPr>
                <w:sz w:val="20"/>
                <w:szCs w:val="20"/>
                <w:color w:val="auto"/>
              </w:rPr>
            </w:pPr>
            <w:r>
              <w:rPr>
                <w:rFonts w:ascii="Arial" w:cs="Arial" w:eastAsia="Arial" w:hAnsi="Arial"/>
                <w:sz w:val="20"/>
                <w:szCs w:val="20"/>
                <w:color w:val="auto"/>
              </w:rPr>
              <w:t>GAAP ETR</w:t>
            </w:r>
          </w:p>
        </w:tc>
        <w:tc>
          <w:tcPr>
            <w:tcW w:w="480" w:type="dxa"/>
            <w:vAlign w:val="bottom"/>
          </w:tcPr>
          <w:p>
            <w:pPr>
              <w:spacing w:after="0"/>
              <w:rPr>
                <w:sz w:val="23"/>
                <w:szCs w:val="23"/>
                <w:color w:val="auto"/>
              </w:rPr>
            </w:pPr>
          </w:p>
        </w:tc>
        <w:tc>
          <w:tcPr>
            <w:tcW w:w="1600" w:type="dxa"/>
            <w:vAlign w:val="bottom"/>
          </w:tcPr>
          <w:p>
            <w:pPr>
              <w:jc w:val="right"/>
              <w:ind w:right="41"/>
              <w:spacing w:after="0"/>
              <w:rPr>
                <w:sz w:val="20"/>
                <w:szCs w:val="20"/>
                <w:color w:val="auto"/>
              </w:rPr>
            </w:pPr>
            <w:r>
              <w:rPr>
                <w:rFonts w:ascii="Arial" w:cs="Arial" w:eastAsia="Arial" w:hAnsi="Arial"/>
                <w:sz w:val="20"/>
                <w:szCs w:val="20"/>
                <w:color w:val="auto"/>
              </w:rPr>
              <w:t>14%</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14%</w:t>
            </w:r>
          </w:p>
        </w:tc>
      </w:tr>
      <w:tr>
        <w:trPr>
          <w:trHeight w:val="272"/>
        </w:trPr>
        <w:tc>
          <w:tcPr>
            <w:tcW w:w="69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Income tax effect of GAAP to non-GAAP reconciling items</w:t>
            </w: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r>
      <w:tr>
        <w:trPr>
          <w:trHeight w:val="268"/>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Income tax expense: Shortfall from stock-based compensation</w:t>
            </w: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(&lt;1%)</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(&lt;1%)</w:t>
            </w:r>
          </w:p>
        </w:tc>
      </w:tr>
      <w:tr>
        <w:trPr>
          <w:trHeight w:val="265"/>
        </w:trPr>
        <w:tc>
          <w:tcPr>
            <w:tcW w:w="6980" w:type="dxa"/>
            <w:vAlign w:val="bottom"/>
            <w:shd w:val="clear" w:color="auto" w:fill="CCEEFF"/>
          </w:tcPr>
          <w:p>
            <w:pPr>
              <w:ind w:left="20"/>
              <w:spacing w:after="0" w:line="265" w:lineRule="exact"/>
              <w:rPr>
                <w:sz w:val="20"/>
                <w:szCs w:val="20"/>
                <w:color w:val="auto"/>
              </w:rPr>
            </w:pPr>
            <w:r>
              <w:rPr>
                <w:rFonts w:ascii="Arial" w:cs="Arial" w:eastAsia="Arial" w:hAnsi="Arial"/>
                <w:sz w:val="20"/>
                <w:szCs w:val="20"/>
                <w:color w:val="auto"/>
              </w:rPr>
              <w:t>Non-GAAP ETR</w:t>
            </w:r>
            <w:r>
              <w:rPr>
                <w:rFonts w:ascii="Arial" w:cs="Arial" w:eastAsia="Arial" w:hAnsi="Arial"/>
                <w:sz w:val="25"/>
                <w:szCs w:val="25"/>
                <w:color w:val="auto"/>
                <w:vertAlign w:val="superscript"/>
              </w:rPr>
              <w:t>(a)</w:t>
            </w:r>
          </w:p>
        </w:tc>
        <w:tc>
          <w:tcPr>
            <w:tcW w:w="4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15%</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r>
    </w:tbl>
    <w:p>
      <w:pPr>
        <w:spacing w:after="0" w:line="107" w:lineRule="exact"/>
        <w:rPr>
          <w:sz w:val="20"/>
          <w:szCs w:val="20"/>
          <w:color w:val="auto"/>
        </w:rPr>
      </w:pPr>
    </w:p>
    <w:p>
      <w:pPr>
        <w:ind w:left="300" w:hanging="11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Includes litigation settlements and other costs</w:t>
      </w:r>
    </w:p>
    <w:p>
      <w:pPr>
        <w:spacing w:after="0" w:line="36" w:lineRule="exact"/>
        <w:rPr>
          <w:sz w:val="20"/>
          <w:szCs w:val="20"/>
          <w:color w:val="auto"/>
        </w:rPr>
      </w:pPr>
    </w:p>
    <w:p>
      <w:pPr>
        <w:ind w:left="380" w:hanging="19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6"/>
          <w:szCs w:val="16"/>
          <w:color w:val="auto"/>
        </w:rPr>
        <w:t>Includes intangible asset amortization and temporary manufacturing interruption-related costs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45" w:right="339" w:bottom="1440" w:gutter="0" w:footer="0" w:header="0"/>
        </w:sectPr>
      </w:pPr>
    </w:p>
    <w:bookmarkStart w:id="10" w:name="page11"/>
    <w:bookmarkEnd w:id="10"/>
    <w:p>
      <w:pPr>
        <w:ind w:left="394" w:right="40" w:hanging="394"/>
        <w:spacing w:after="0" w:line="216"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This press release uses non-GAAP R&amp;D, non-GAAP SG&amp;A, non-GAAP COGS, non-GAAP gross margin on net product sales, non-GAAP COCM, non-GAAP other income (expense), net, non-GAAP ETR,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6" w:lineRule="exact"/>
        <w:rPr>
          <w:rFonts w:ascii="Arial" w:cs="Arial" w:eastAsia="Arial" w:hAnsi="Arial"/>
          <w:sz w:val="16"/>
          <w:szCs w:val="16"/>
          <w:color w:val="auto"/>
        </w:rPr>
      </w:pPr>
    </w:p>
    <w:p>
      <w:pPr>
        <w:ind w:left="394"/>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 the Company believes that this non-GAAP measure provides a further measure of the Company's ability to generate cash flows from its operations. Additionally, the non-GAAP measures presented are intended to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26" w:lineRule="exact"/>
        <w:rPr>
          <w:rFonts w:ascii="Arial" w:cs="Arial" w:eastAsia="Arial" w:hAnsi="Arial"/>
          <w:sz w:val="16"/>
          <w:szCs w:val="16"/>
          <w:color w:val="auto"/>
        </w:rPr>
      </w:pPr>
    </w:p>
    <w:p>
      <w:pPr>
        <w:ind w:left="394" w:right="220" w:hanging="394"/>
        <w:spacing w:after="0" w:line="234"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105" w:lineRule="exact"/>
        <w:rPr>
          <w:rFonts w:ascii="Arial" w:cs="Arial" w:eastAsia="Arial" w:hAnsi="Arial"/>
          <w:sz w:val="16"/>
          <w:szCs w:val="16"/>
          <w:color w:val="auto"/>
        </w:rPr>
      </w:pPr>
    </w:p>
    <w:p>
      <w:pPr>
        <w:ind w:left="394" w:hanging="394"/>
        <w:spacing w:after="0"/>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product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54"/>
          </w:cols>
          <w:pgMar w:left="346" w:top="1103" w:right="39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third quarter 2026 financial and operating results on Friday, October 30, 2026,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and transcript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01"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 xml:space="preserve">Regeneron pushes the boundaries of scientific discovery and accelerates drug development using its proprietary technologies, such as </w:t>
      </w:r>
      <w:r>
        <w:rPr>
          <w:rFonts w:ascii="Arial" w:cs="Arial" w:eastAsia="Arial" w:hAnsi="Arial"/>
          <w:sz w:val="22"/>
          <w:szCs w:val="22"/>
          <w:i w:val="1"/>
          <w:iCs w:val="1"/>
          <w:color w:val="auto"/>
        </w:rPr>
        <w:t>VelociSuite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which produces optimized fully human antibodies and new classes of bispecific antibodies. Regeneron is shaping the next frontier of medicine with data-powered insights from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and pioneering genetic medicine platforms, enabling Regeneron to identify innovative targets and complementary approaches to potentially treat or cure diseases.</w:t>
      </w:r>
    </w:p>
    <w:p>
      <w:pPr>
        <w:spacing w:after="0" w:line="123" w:lineRule="exact"/>
        <w:rPr>
          <w:sz w:val="20"/>
          <w:szCs w:val="20"/>
          <w:color w:val="auto"/>
        </w:rPr>
      </w:pPr>
    </w:p>
    <w:p>
      <w:pPr>
        <w:ind w:right="100"/>
        <w:spacing w:after="0" w:line="377" w:lineRule="auto"/>
        <w:rPr>
          <w:sz w:val="20"/>
          <w:szCs w:val="20"/>
          <w:color w:val="auto"/>
        </w:rPr>
      </w:pPr>
      <w:r>
        <w:rPr>
          <w:rFonts w:ascii="Arial" w:cs="Arial" w:eastAsia="Arial" w:hAnsi="Arial"/>
          <w:sz w:val="22"/>
          <w:szCs w:val="22"/>
          <w:color w:val="auto"/>
        </w:rPr>
        <w:t xml:space="preserve">For more information, please visit www.regeneron.com or follow Regeneron on LinkedIn, Instagram, Facebook, or X.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competing products and product candidates (including biosimilar products)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 the nature, timing, and possible success and therapeutic applications of Regeneron's Products and Regeneron's Product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043" w:right="359" w:bottom="1440" w:gutter="0" w:footer="0" w:header="0"/>
        </w:sectPr>
      </w:pPr>
    </w:p>
    <w:bookmarkStart w:id="12" w:name="page13"/>
    <w:bookmarkEnd w:id="12"/>
    <w:p>
      <w:pPr>
        <w:spacing w:after="0" w:line="251" w:lineRule="auto"/>
        <w:rPr>
          <w:sz w:val="20"/>
          <w:szCs w:val="20"/>
          <w:color w:val="auto"/>
        </w:rPr>
      </w:pPr>
      <w:r>
        <w:rPr>
          <w:rFonts w:ascii="Arial" w:cs="Arial" w:eastAsia="Arial" w:hAnsi="Arial"/>
          <w:sz w:val="21"/>
          <w:szCs w:val="21"/>
          <w:color w:val="auto"/>
        </w:rPr>
        <w:t>Candidates and research and clinical programs now underway or planned, including without limitation EYLEA HD</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(aflibercept) Injection 8 mg,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Libtayo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(cemiplimab), Praluent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(alirocumab),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Evkeeza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(evinacumab), Veopoz</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(pozelimab), Ordspono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(odronextamab), Lynozyfic</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(linvoseltamab), Otarmeni</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(lunsotogene parvec), Pasatru</w:t>
      </w:r>
      <w:r>
        <w:rPr>
          <w:rFonts w:ascii="Arial" w:cs="Arial" w:eastAsia="Arial" w:hAnsi="Arial"/>
          <w:sz w:val="27"/>
          <w:szCs w:val="27"/>
          <w:color w:val="auto"/>
          <w:vertAlign w:val="superscript"/>
        </w:rPr>
        <w:t>™</w:t>
      </w:r>
      <w:r>
        <w:rPr>
          <w:rFonts w:ascii="Arial" w:cs="Arial" w:eastAsia="Arial" w:hAnsi="Arial"/>
          <w:sz w:val="21"/>
          <w:szCs w:val="21"/>
          <w:color w:val="auto"/>
        </w:rPr>
        <w:t xml:space="preserve"> (garetosmab), other clinical programs discussed in this press release,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the ability of Regeneron to manufacture and manage supply chains for multiple products and product candidates and risks associated with tariffs and other trade restrictions;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 coverage and reimbursement determinations by such payors and other third parties and new policies and procedures adopted by such payors and other third parties; changes to drug pricing regulations and requirements and Regeneron's drug pricing strategy, including in connection with Regeneron's April 2026 agreements with the U.S. government; other changes in laws, regulations, and policies affecting the healthcare industry;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GAAP and non-GAAP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on Regeneron's business; and 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the Company or other parties and pending or future litigation or patent office proceedings relating thereto (including without limitation patent litigation and other related proceedings relating to Regeneron's Products), the ultimate outcome of any such proceedings and investigations, and the impact any of the foregoing may have on Regeneron’s business,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889" w:right="359" w:bottom="1440" w:gutter="0" w:footer="0" w:header="0"/>
        </w:sectPr>
      </w:pPr>
    </w:p>
    <w:bookmarkStart w:id="13" w:name="page14"/>
    <w:bookmarkEnd w:id="13"/>
    <w:p>
      <w:pPr>
        <w:spacing w:after="0" w:line="250" w:lineRule="auto"/>
        <w:rPr>
          <w:sz w:val="20"/>
          <w:szCs w:val="20"/>
          <w:color w:val="auto"/>
        </w:rPr>
      </w:pPr>
      <w:r>
        <w:rPr>
          <w:rFonts w:ascii="Arial" w:cs="Arial" w:eastAsia="Arial" w:hAnsi="Arial"/>
          <w:sz w:val="22"/>
          <w:szCs w:val="22"/>
          <w:color w:val="auto"/>
        </w:rPr>
        <w:t>prospects, operating results, and financial condition. A more complete description of these and other material risks can be found in Regeneron's filings with the U.S. Securities and Exchange Commission, including its Form 10-K for the fiscal year ended December 31, 2025 and its Form 10-Q for the quarterly period ended September 30, 2026.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160"/>
          </w:cols>
          <w:pgMar w:left="320" w:top="896" w:right="419" w:bottom="1440" w:gutter="0" w:footer="0" w:header="0"/>
        </w:sectPr>
      </w:pP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340"/>
          </w:cols>
          <w:pgMar w:left="320" w:top="89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896" w:right="4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00" w:right="236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61" w:lineRule="exact"/>
        <w:rPr>
          <w:sz w:val="20"/>
          <w:szCs w:val="20"/>
          <w:color w:val="auto"/>
        </w:rPr>
      </w:pPr>
    </w:p>
    <w:tbl>
      <w:tblPr>
        <w:tblLayout w:type="fixed"/>
        <w:tblInd w:w="560" w:type="dxa"/>
        <w:tblCellMar>
          <w:top w:w="0" w:type="dxa"/>
          <w:left w:w="0" w:type="dxa"/>
          <w:bottom w:w="0" w:type="dxa"/>
          <w:right w:w="0" w:type="dxa"/>
        </w:tblCellMar>
      </w:tblPr>
      <w:tr>
        <w:trPr>
          <w:trHeight w:val="243"/>
        </w:trPr>
        <w:tc>
          <w:tcPr>
            <w:tcW w:w="48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18,858.5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18,865.8</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5,741.1</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2,894.6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3,200.8</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5,120.4</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4,077.2</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8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2,296.0</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40,558.7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7,229.7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5,834.2</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8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33,498.5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31,256.9</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40,558.7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890" w:right="8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2</w:t>
      </w:r>
    </w:p>
    <w:p>
      <w:pPr>
        <w:spacing w:after="0" w:line="252" w:lineRule="exact"/>
        <w:rPr>
          <w:sz w:val="20"/>
          <w:szCs w:val="20"/>
          <w:color w:val="auto"/>
        </w:rPr>
      </w:pPr>
    </w:p>
    <w:p>
      <w:pPr>
        <w:jc w:val="center"/>
        <w:ind w:left="940" w:right="1780"/>
        <w:spacing w:after="0" w:line="273"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118"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7"/>
                <w:szCs w:val="17"/>
                <w:color w:val="auto"/>
              </w:rPr>
            </w:pPr>
          </w:p>
        </w:tc>
        <w:tc>
          <w:tcPr>
            <w:tcW w:w="2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220" w:type="dxa"/>
            <w:vAlign w:val="bottom"/>
          </w:tcPr>
          <w:p>
            <w:pPr>
              <w:spacing w:after="0"/>
              <w:rPr>
                <w:sz w:val="21"/>
                <w:szCs w:val="21"/>
                <w:color w:val="auto"/>
              </w:rPr>
            </w:pPr>
          </w:p>
        </w:tc>
        <w:tc>
          <w:tcPr>
            <w:tcW w:w="21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0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1,587.7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4,982.2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4,634.3</w:t>
            </w:r>
          </w:p>
        </w:tc>
      </w:tr>
      <w:tr>
        <w:trPr>
          <w:trHeight w:val="24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5,360.3</w:t>
            </w:r>
          </w:p>
        </w:tc>
      </w:tr>
      <w:tr>
        <w:trPr>
          <w:trHeight w:val="24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r>
      <w:tr>
        <w:trPr>
          <w:trHeight w:val="237"/>
        </w:trPr>
        <w:tc>
          <w:tcPr>
            <w:tcW w:w="50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13,011.9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10,458.6</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4,224.1</w:t>
            </w: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4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w:t>
            </w: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822.1</w:t>
            </w:r>
          </w:p>
        </w:tc>
      </w:tr>
      <w:tr>
        <w:trPr>
          <w:trHeight w:val="24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50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3,067.6</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2,727.5</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9,027.3</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7,760.6</w:t>
            </w:r>
          </w:p>
        </w:tc>
      </w:tr>
      <w:tr>
        <w:trPr>
          <w:trHeight w:val="250"/>
        </w:trPr>
        <w:tc>
          <w:tcPr>
            <w:tcW w:w="5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w:t>
            </w:r>
          </w:p>
        </w:tc>
      </w:tr>
      <w:tr>
        <w:trPr>
          <w:trHeight w:val="270"/>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1,520.6</w:t>
            </w:r>
          </w:p>
        </w:tc>
      </w:tr>
      <w:tr>
        <w:trPr>
          <w:trHeight w:val="24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7"/>
        </w:trPr>
        <w:tc>
          <w:tcPr>
            <w:tcW w:w="50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1,489.0</w:t>
            </w:r>
          </w:p>
        </w:tc>
      </w:tr>
      <w:tr>
        <w:trPr>
          <w:trHeight w:val="250"/>
        </w:trPr>
        <w:tc>
          <w:tcPr>
            <w:tcW w:w="5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4,187.0</w:t>
            </w:r>
          </w:p>
        </w:tc>
      </w:tr>
      <w:tr>
        <w:trPr>
          <w:trHeight w:val="270"/>
        </w:trPr>
        <w:tc>
          <w:tcPr>
            <w:tcW w:w="5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w:t>
            </w:r>
          </w:p>
        </w:tc>
      </w:tr>
      <w:tr>
        <w:trPr>
          <w:trHeight w:val="250"/>
        </w:trPr>
        <w:tc>
          <w:tcPr>
            <w:tcW w:w="5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3,660.3</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34.83</w:t>
            </w: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r>
      <w:tr>
        <w:trPr>
          <w:trHeight w:val="270"/>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47"/>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20"/>
          </w:cols>
          <w:pgMar w:left="320" w:top="890" w:right="9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9"/>
        </w:trPr>
        <w:tc>
          <w:tcPr>
            <w:tcW w:w="538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6"/>
        </w:trPr>
        <w:tc>
          <w:tcPr>
            <w:tcW w:w="40" w:type="dxa"/>
            <w:vAlign w:val="bottom"/>
          </w:tcPr>
          <w:p>
            <w:pPr>
              <w:spacing w:after="0"/>
              <w:rPr>
                <w:sz w:val="24"/>
                <w:szCs w:val="24"/>
                <w:color w:val="auto"/>
              </w:rPr>
            </w:pPr>
          </w:p>
        </w:tc>
        <w:tc>
          <w:tcPr>
            <w:tcW w:w="7520" w:type="dxa"/>
            <w:vAlign w:val="bottom"/>
            <w:gridSpan w:val="5"/>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1002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RECONCILIATION OF GAAP TO NON-GAAP FINANCIAL INFORMATION (Unaudited)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5"/>
        </w:trPr>
        <w:tc>
          <w:tcPr>
            <w:tcW w:w="40" w:type="dxa"/>
            <w:vAlign w:val="bottom"/>
          </w:tcPr>
          <w:p>
            <w:pPr>
              <w:spacing w:after="0"/>
              <w:rPr>
                <w:sz w:val="21"/>
                <w:szCs w:val="21"/>
                <w:color w:val="auto"/>
              </w:rPr>
            </w:pPr>
          </w:p>
        </w:tc>
        <w:tc>
          <w:tcPr>
            <w:tcW w:w="7520" w:type="dxa"/>
            <w:vAlign w:val="bottom"/>
            <w:gridSpan w:val="5"/>
          </w:tcPr>
          <w:p>
            <w:pPr>
              <w:jc w:val="center"/>
              <w:ind w:left="3550"/>
              <w:spacing w:after="0"/>
              <w:rPr>
                <w:sz w:val="20"/>
                <w:szCs w:val="20"/>
                <w:color w:val="auto"/>
              </w:rPr>
            </w:pPr>
            <w:r>
              <w:rPr>
                <w:rFonts w:ascii="Arial" w:cs="Arial" w:eastAsia="Arial" w:hAnsi="Arial"/>
                <w:sz w:val="18"/>
                <w:szCs w:val="18"/>
                <w:b w:val="1"/>
                <w:bCs w:val="1"/>
                <w:i w:val="1"/>
                <w:iCs w:val="1"/>
                <w:color w:val="auto"/>
                <w:w w:val="99"/>
              </w:rPr>
              <w:t>(In millions, except per share data)</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53"/>
        </w:trPr>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1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21"/>
                <w:szCs w:val="21"/>
                <w:color w:val="auto"/>
              </w:rPr>
            </w:pPr>
          </w:p>
        </w:tc>
        <w:tc>
          <w:tcPr>
            <w:tcW w:w="21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40" w:type="dxa"/>
            <w:vAlign w:val="bottom"/>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r>
      <w:tr>
        <w:trPr>
          <w:trHeight w:val="237"/>
        </w:trPr>
        <w:tc>
          <w:tcPr>
            <w:tcW w:w="40" w:type="dxa"/>
            <w:vAlign w:val="bottom"/>
          </w:tcPr>
          <w:p>
            <w:pPr>
              <w:spacing w:after="0"/>
              <w:rPr>
                <w:sz w:val="20"/>
                <w:szCs w:val="20"/>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4,224.1</w:t>
            </w:r>
          </w:p>
        </w:tc>
      </w:tr>
      <w:tr>
        <w:trPr>
          <w:trHeight w:val="243"/>
        </w:trPr>
        <w:tc>
          <w:tcPr>
            <w:tcW w:w="4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costs</w:t>
            </w:r>
          </w:p>
        </w:tc>
        <w:tc>
          <w:tcPr>
            <w:tcW w:w="9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1,653.8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1,349.9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4,562.4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3,819.0</w:t>
            </w:r>
          </w:p>
        </w:tc>
      </w:tr>
      <w:tr>
        <w:trPr>
          <w:trHeight w:val="20"/>
        </w:trPr>
        <w:tc>
          <w:tcPr>
            <w:tcW w:w="40" w:type="dxa"/>
            <w:vAlign w:val="bottom"/>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40" w:type="dxa"/>
            <w:vAlign w:val="bottom"/>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677.8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1,925.0</w:t>
            </w: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r>
      <w:tr>
        <w:trPr>
          <w:trHeight w:val="243"/>
        </w:trPr>
        <w:tc>
          <w:tcPr>
            <w:tcW w:w="4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Litigation settlements</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costs</w:t>
            </w:r>
          </w:p>
        </w:tc>
        <w:tc>
          <w:tcPr>
            <w:tcW w:w="9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6"/>
        </w:trPr>
        <w:tc>
          <w:tcPr>
            <w:tcW w:w="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Non-GAAP SG&amp;A</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588.3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1,722.5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1,620.2</w:t>
            </w:r>
          </w:p>
        </w:tc>
      </w:tr>
      <w:tr>
        <w:trPr>
          <w:trHeight w:val="20"/>
        </w:trPr>
        <w:tc>
          <w:tcPr>
            <w:tcW w:w="40" w:type="dxa"/>
            <w:vAlign w:val="bottom"/>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GAAP COGS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822.1</w:t>
            </w: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43"/>
        </w:trPr>
        <w:tc>
          <w:tcPr>
            <w:tcW w:w="4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Temporary manufacturing interruption-related costs</w:t>
            </w:r>
          </w:p>
        </w:tc>
        <w:tc>
          <w:tcPr>
            <w:tcW w:w="9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675.5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667.0</w:t>
            </w:r>
          </w:p>
        </w:tc>
      </w:tr>
      <w:tr>
        <w:trPr>
          <w:trHeight w:val="20"/>
        </w:trPr>
        <w:tc>
          <w:tcPr>
            <w:tcW w:w="40" w:type="dxa"/>
            <w:vAlign w:val="bottom"/>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40" w:type="dxa"/>
            <w:vAlign w:val="bottom"/>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GAAP COCM</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694.0</w:t>
            </w: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Temporary manufacturing interruption-related costs</w:t>
            </w:r>
          </w:p>
        </w:tc>
        <w:tc>
          <w:tcPr>
            <w:tcW w:w="9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Non-GAAP COCM</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748.9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694.0</w:t>
            </w:r>
          </w:p>
        </w:tc>
      </w:tr>
      <w:tr>
        <w:trPr>
          <w:trHeight w:val="20"/>
        </w:trPr>
        <w:tc>
          <w:tcPr>
            <w:tcW w:w="40" w:type="dxa"/>
            <w:vAlign w:val="bottom"/>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40" w:type="dxa"/>
            <w:vAlign w:val="bottom"/>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1,489.0</w:t>
            </w: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on marketable and other securities, net</w:t>
            </w:r>
          </w:p>
        </w:tc>
        <w:tc>
          <w:tcPr>
            <w:tcW w:w="9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(967.6)</w:t>
            </w:r>
          </w:p>
        </w:tc>
      </w:tr>
      <w:tr>
        <w:trPr>
          <w:trHeight w:val="237"/>
        </w:trPr>
        <w:tc>
          <w:tcPr>
            <w:tcW w:w="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521.4</w:t>
            </w:r>
          </w:p>
        </w:tc>
      </w:tr>
      <w:tr>
        <w:trPr>
          <w:trHeight w:val="20"/>
        </w:trPr>
        <w:tc>
          <w:tcPr>
            <w:tcW w:w="40" w:type="dxa"/>
            <w:vAlign w:val="bottom"/>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40" w:type="dxa"/>
            <w:vAlign w:val="bottom"/>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1,948.7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3,972.8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3,660.3</w:t>
            </w: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43"/>
        </w:trPr>
        <w:tc>
          <w:tcPr>
            <w:tcW w:w="4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Shortfall from stock-based compensation</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 Charge related to enactment of OBBBA</w:t>
            </w:r>
          </w:p>
        </w:tc>
        <w:tc>
          <w:tcPr>
            <w:tcW w:w="9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w:t>
            </w:r>
          </w:p>
        </w:tc>
      </w:tr>
      <w:tr>
        <w:trPr>
          <w:trHeight w:val="256"/>
        </w:trPr>
        <w:tc>
          <w:tcPr>
            <w:tcW w:w="40" w:type="dxa"/>
            <w:vAlign w:val="bottom"/>
          </w:tcPr>
          <w:p>
            <w:pPr>
              <w:spacing w:after="0"/>
              <w:rPr>
                <w:sz w:val="22"/>
                <w:szCs w:val="22"/>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3,639.2</w:t>
            </w: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40" w:type="dxa"/>
            <w:vAlign w:val="bottom"/>
          </w:tcPr>
          <w:p>
            <w:pPr>
              <w:spacing w:after="0"/>
              <w:rPr>
                <w:sz w:val="8"/>
                <w:szCs w:val="8"/>
                <w:color w:val="auto"/>
              </w:rPr>
            </w:pPr>
          </w:p>
        </w:tc>
        <w:tc>
          <w:tcPr>
            <w:tcW w:w="5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34.63</w:t>
            </w: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32.87</w:t>
            </w:r>
          </w:p>
        </w:tc>
      </w:tr>
      <w:tr>
        <w:trPr>
          <w:trHeight w:val="148"/>
        </w:trPr>
        <w:tc>
          <w:tcPr>
            <w:tcW w:w="40" w:type="dxa"/>
            <w:vAlign w:val="bottom"/>
          </w:tcPr>
          <w:p>
            <w:pPr>
              <w:spacing w:after="0"/>
              <w:rPr>
                <w:sz w:val="12"/>
                <w:szCs w:val="12"/>
                <w:color w:val="auto"/>
              </w:rPr>
            </w:pPr>
          </w:p>
        </w:tc>
        <w:tc>
          <w:tcPr>
            <w:tcW w:w="5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47"/>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110.7</w:t>
            </w:r>
          </w:p>
        </w:tc>
      </w:tr>
      <w:tr>
        <w:trPr>
          <w:trHeight w:val="846"/>
        </w:trPr>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20"/>
          </w:cols>
          <w:pgMar w:left="320" w:top="890" w:right="3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960" w:type="dxa"/>
            <w:vAlign w:val="bottom"/>
            <w:gridSpan w:val="9"/>
          </w:tcPr>
          <w:p>
            <w:pPr>
              <w:jc w:val="center"/>
              <w:ind w:left="1210"/>
              <w:spacing w:after="0"/>
              <w:rPr>
                <w:sz w:val="20"/>
                <w:szCs w:val="20"/>
                <w:color w:val="auto"/>
              </w:rPr>
            </w:pPr>
            <w:r>
              <w:rPr>
                <w:rFonts w:ascii="Arial" w:cs="Arial" w:eastAsia="Arial" w:hAnsi="Arial"/>
                <w:sz w:val="18"/>
                <w:szCs w:val="18"/>
                <w:b w:val="1"/>
                <w:bCs w:val="1"/>
                <w:color w:val="auto"/>
                <w:w w:val="99"/>
              </w:rPr>
              <w:t xml:space="preserve">RECONCILIATION OF GAAP TO NON-GAAP FINANCIAL INFORMATION (Unaudited) </w:t>
            </w:r>
            <w:r>
              <w:rPr>
                <w:rFonts w:ascii="Arial" w:cs="Arial" w:eastAsia="Arial" w:hAnsi="Arial"/>
                <w:sz w:val="18"/>
                <w:szCs w:val="18"/>
                <w:b w:val="1"/>
                <w:bCs w:val="1"/>
                <w:i w:val="1"/>
                <w:iCs w:val="1"/>
                <w:color w:val="auto"/>
                <w:w w:val="99"/>
              </w:rPr>
              <w:t>(continued)</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5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2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0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2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8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GAAP ETR</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Income tax expense: Shortfall from stock-based compensation</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Charge related to enactment of OBBBA</w:t>
            </w:r>
          </w:p>
        </w:tc>
        <w:tc>
          <w:tcPr>
            <w:tcW w:w="84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Non-GAAP ETR</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Gross margin on net product sales reconciliation:</w:t>
            </w: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margin on net product sales</w:t>
            </w:r>
          </w:p>
        </w:tc>
        <w:tc>
          <w:tcPr>
            <w:tcW w:w="2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 amortization expense</w:t>
            </w:r>
          </w:p>
        </w:tc>
        <w:tc>
          <w:tcPr>
            <w:tcW w:w="2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Temporary manufacturing interruption-related costs</w:t>
            </w:r>
          </w:p>
        </w:tc>
        <w:tc>
          <w:tcPr>
            <w:tcW w:w="8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margin on net product sales</w:t>
            </w:r>
          </w:p>
        </w:tc>
        <w:tc>
          <w:tcPr>
            <w:tcW w:w="8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3,808.2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8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3,158.5</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3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3"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8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120" w:type="dxa"/>
            <w:vAlign w:val="bottom"/>
          </w:tcPr>
          <w:p>
            <w:pPr>
              <w:spacing w:after="0"/>
              <w:rPr>
                <w:sz w:val="24"/>
                <w:szCs w:val="24"/>
                <w:color w:val="auto"/>
              </w:rPr>
            </w:pPr>
          </w:p>
        </w:tc>
        <w:tc>
          <w:tcPr>
            <w:tcW w:w="7400" w:type="dxa"/>
            <w:vAlign w:val="bottom"/>
            <w:gridSpan w:val="4"/>
          </w:tcPr>
          <w:p>
            <w:pPr>
              <w:jc w:val="center"/>
              <w:ind w:left="351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400" w:type="dxa"/>
            <w:vAlign w:val="bottom"/>
            <w:gridSpan w:val="4"/>
          </w:tcPr>
          <w:p>
            <w:pPr>
              <w:jc w:val="center"/>
              <w:ind w:left="3530"/>
              <w:spacing w:after="0"/>
              <w:rPr>
                <w:sz w:val="20"/>
                <w:szCs w:val="20"/>
                <w:color w:val="auto"/>
              </w:rPr>
            </w:pPr>
            <w:r>
              <w:rPr>
                <w:rFonts w:ascii="Arial" w:cs="Arial" w:eastAsia="Arial" w:hAnsi="Arial"/>
                <w:sz w:val="18"/>
                <w:szCs w:val="18"/>
                <w:b w:val="1"/>
                <w:bCs w:val="1"/>
                <w:color w:val="auto"/>
                <w:w w:val="99"/>
              </w:rPr>
              <w:t>COLLABORATION REVENUE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6160" w:type="dxa"/>
            <w:vAlign w:val="bottom"/>
          </w:tcPr>
          <w:p>
            <w:pPr>
              <w:jc w:val="center"/>
              <w:ind w:left="4750"/>
              <w:spacing w:after="0"/>
              <w:rPr>
                <w:sz w:val="20"/>
                <w:szCs w:val="20"/>
                <w:color w:val="auto"/>
              </w:rPr>
            </w:pPr>
            <w:r>
              <w:rPr>
                <w:rFonts w:ascii="Arial" w:cs="Arial" w:eastAsia="Arial" w:hAnsi="Arial"/>
                <w:sz w:val="18"/>
                <w:szCs w:val="18"/>
                <w:b w:val="1"/>
                <w:bCs w:val="1"/>
                <w:i w:val="1"/>
                <w:iCs w:val="1"/>
                <w:color w:val="auto"/>
                <w:w w:val="98"/>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24"/>
                <w:szCs w:val="24"/>
                <w:color w:val="auto"/>
              </w:rPr>
            </w:pPr>
          </w:p>
        </w:tc>
        <w:tc>
          <w:tcPr>
            <w:tcW w:w="21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22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6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Sanofi collaboration revenue: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160" w:type="dxa"/>
            <w:vAlign w:val="bottom"/>
          </w:tcPr>
          <w:p>
            <w:pPr>
              <w:ind w:left="160"/>
              <w:spacing w:after="0" w:line="189"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2,574.9</w:t>
            </w:r>
          </w:p>
        </w:tc>
        <w:tc>
          <w:tcPr>
            <w:tcW w:w="10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1,455.5</w:t>
            </w:r>
          </w:p>
        </w:tc>
        <w:tc>
          <w:tcPr>
            <w:tcW w:w="10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6,058.3</w:t>
            </w:r>
          </w:p>
        </w:tc>
        <w:tc>
          <w:tcPr>
            <w:tcW w:w="120" w:type="dxa"/>
            <w:vAlign w:val="bottom"/>
          </w:tcPr>
          <w:p>
            <w:pPr>
              <w:spacing w:after="0"/>
              <w:rPr>
                <w:sz w:val="16"/>
                <w:szCs w:val="16"/>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3,755.7</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2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Reimbursement for manufacturing of commercial supplies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Sanofi collaboration revenue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i w:val="1"/>
                <w:iCs w:val="1"/>
                <w:color w:val="auto"/>
              </w:rPr>
              <w:t>Bayer collaboration revenue:</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1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EYLEA 8 mg and EYLEA outside the United States</w:t>
            </w: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Reimbursement for manufacturing of commercial supplies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Bayer collaboration revenue</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collaboration revenue</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1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2"/>
                <w:szCs w:val="22"/>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collaboration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r>
              <w:rPr>
                <w:rFonts w:ascii="Arial" w:cs="Arial" w:eastAsia="Arial" w:hAnsi="Arial"/>
                <w:sz w:val="18"/>
                <w:szCs w:val="18"/>
                <w:u w:val="single" w:color="auto"/>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r>
              <w:rPr>
                <w:rFonts w:ascii="Arial" w:cs="Arial" w:eastAsia="Arial" w:hAnsi="Arial"/>
                <w:sz w:val="18"/>
                <w:szCs w:val="18"/>
                <w:u w:val="single" w:color="auto"/>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r>
              <w:rPr>
                <w:rFonts w:ascii="Arial" w:cs="Arial" w:eastAsia="Arial" w:hAnsi="Arial"/>
                <w:sz w:val="18"/>
                <w:szCs w:val="18"/>
                <w:u w:val="single" w:color="auto"/>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890"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40" w:right="220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2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Three Months Ended</w:t>
      </w:r>
    </w:p>
    <w:p>
      <w:pPr>
        <w:ind w:left="56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6350</wp:posOffset>
            </wp:positionV>
            <wp:extent cx="4277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rPr>
              <w:t>% Change</w:t>
            </w:r>
          </w:p>
        </w:tc>
      </w:tr>
      <w:tr>
        <w:trPr>
          <w:trHeight w:val="237"/>
        </w:trPr>
        <w:tc>
          <w:tcPr>
            <w:tcW w:w="28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ROW</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ROW</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(Total Sales)</w:t>
            </w:r>
          </w:p>
        </w:tc>
      </w:tr>
      <w:tr>
        <w:trPr>
          <w:trHeight w:val="236"/>
        </w:trPr>
        <w:tc>
          <w:tcPr>
            <w:tcW w:w="28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2880" w:type="dxa"/>
            <w:vAlign w:val="bottom"/>
          </w:tcPr>
          <w:p>
            <w:pPr>
              <w:ind w:left="20"/>
              <w:spacing w:after="0" w:line="243"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698.8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1,082.8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(b)</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6"/>
        </w:trPr>
        <w:tc>
          <w:tcPr>
            <w:tcW w:w="2880" w:type="dxa"/>
            <w:vAlign w:val="bottom"/>
          </w:tcPr>
          <w:p>
            <w:pPr>
              <w:ind w:left="140"/>
              <w:spacing w:after="0"/>
              <w:rPr>
                <w:sz w:val="20"/>
                <w:szCs w:val="20"/>
                <w:color w:val="auto"/>
              </w:rPr>
            </w:pPr>
            <w:r>
              <w:rPr>
                <w:rFonts w:ascii="Arial" w:cs="Arial" w:eastAsia="Arial" w:hAnsi="Arial"/>
                <w:sz w:val="18"/>
                <w:szCs w:val="18"/>
                <w:color w:val="auto"/>
              </w:rPr>
              <w:t>Total EYLEA HD and EYLEA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1,098.5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1,741.2</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1,965.0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2880" w:type="dxa"/>
            <w:vAlign w:val="bottom"/>
          </w:tcPr>
          <w:p>
            <w:pPr>
              <w:ind w:left="20"/>
              <w:spacing w:after="0" w:line="243"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Lynozyfic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346"/>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Nine Months Ended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5"/>
        </w:trPr>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7"/>
        </w:trPr>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rPr>
              <w:t>% Change</w:t>
            </w:r>
          </w:p>
        </w:tc>
      </w:tr>
      <w:tr>
        <w:trPr>
          <w:trHeight w:val="236"/>
        </w:trPr>
        <w:tc>
          <w:tcPr>
            <w:tcW w:w="28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ROW</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ROW</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(Total Sales)</w:t>
            </w:r>
          </w:p>
        </w:tc>
      </w:tr>
      <w:tr>
        <w:trPr>
          <w:trHeight w:val="237"/>
        </w:trPr>
        <w:tc>
          <w:tcPr>
            <w:tcW w:w="28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2880" w:type="dxa"/>
            <w:vAlign w:val="bottom"/>
          </w:tcPr>
          <w:p>
            <w:pPr>
              <w:ind w:left="20"/>
              <w:spacing w:after="0" w:line="243"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1,763.5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2,846.3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(b)</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2880" w:type="dxa"/>
            <w:vAlign w:val="bottom"/>
          </w:tcPr>
          <w:p>
            <w:pPr>
              <w:ind w:left="140"/>
              <w:spacing w:after="0"/>
              <w:rPr>
                <w:sz w:val="20"/>
                <w:szCs w:val="20"/>
                <w:color w:val="auto"/>
              </w:rPr>
            </w:pPr>
            <w:r>
              <w:rPr>
                <w:rFonts w:ascii="Arial" w:cs="Arial" w:eastAsia="Arial" w:hAnsi="Arial"/>
                <w:sz w:val="18"/>
                <w:szCs w:val="18"/>
                <w:color w:val="auto"/>
              </w:rPr>
              <w:t>Total EYLEA HD and EYLEA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3,048.5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5,086.4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3,301.5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2,689.3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5,990.8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2880" w:type="dxa"/>
            <w:vAlign w:val="bottom"/>
          </w:tcPr>
          <w:p>
            <w:pPr>
              <w:ind w:left="20"/>
              <w:spacing w:after="0" w:line="243"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631.0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Lynozyfic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bl>
    <w:p>
      <w:pPr>
        <w:spacing w:after="0" w:line="161" w:lineRule="exact"/>
        <w:rPr>
          <w:sz w:val="20"/>
          <w:szCs w:val="20"/>
          <w:color w:val="auto"/>
        </w:rPr>
      </w:pPr>
    </w:p>
    <w:p>
      <w:pPr>
        <w:ind w:left="240" w:right="80"/>
        <w:spacing w:after="0" w:line="251" w:lineRule="auto"/>
        <w:rPr>
          <w:sz w:val="20"/>
          <w:szCs w:val="20"/>
          <w:color w:val="auto"/>
        </w:rPr>
      </w:pPr>
      <w:r>
        <w:rPr>
          <w:rFonts w:ascii="Arial" w:cs="Arial" w:eastAsia="Arial" w:hAnsi="Arial"/>
          <w:sz w:val="16"/>
          <w:szCs w:val="16"/>
          <w:color w:val="auto"/>
        </w:rPr>
        <w:t>Note: The table above includes net product sales of Regeneron-discovered products. Such net product sales are recorded by the Company or others, as further described in the footnotes below.</w:t>
      </w:r>
    </w:p>
    <w:p>
      <w:pPr>
        <w:spacing w:after="0" w:line="20" w:lineRule="exact"/>
        <w:rPr>
          <w:sz w:val="20"/>
          <w:szCs w:val="20"/>
          <w:color w:val="auto"/>
        </w:rPr>
      </w:pPr>
    </w:p>
    <w:p>
      <w:pPr>
        <w:ind w:left="360" w:hanging="118"/>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Percentage not meaningful or greater than 100%</w:t>
      </w:r>
    </w:p>
    <w:p>
      <w:pPr>
        <w:spacing w:after="0" w:line="63" w:lineRule="exact"/>
        <w:rPr>
          <w:sz w:val="20"/>
          <w:szCs w:val="20"/>
          <w:color w:val="auto"/>
        </w:rPr>
      </w:pPr>
    </w:p>
    <w:p>
      <w:pPr>
        <w:ind w:left="240" w:right="120" w:firstLine="2"/>
        <w:spacing w:after="0" w:line="206" w:lineRule="auto"/>
        <w:tabs>
          <w:tab w:leader="none" w:pos="428"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and the Company records its share of profits in connection with global sales of such products within Collaboration revenue</w:t>
      </w:r>
    </w:p>
    <w:p>
      <w:pPr>
        <w:spacing w:after="0" w:line="16" w:lineRule="exact"/>
        <w:rPr>
          <w:rFonts w:ascii="Arial" w:cs="Arial" w:eastAsia="Arial" w:hAnsi="Arial"/>
          <w:sz w:val="22"/>
          <w:szCs w:val="22"/>
          <w:color w:val="auto"/>
          <w:vertAlign w:val="superscript"/>
        </w:rPr>
      </w:pPr>
    </w:p>
    <w:p>
      <w:pPr>
        <w:ind w:left="240" w:right="520" w:firstLine="2"/>
        <w:spacing w:after="0" w:line="206" w:lineRule="auto"/>
        <w:tabs>
          <w:tab w:leader="none" w:pos="428"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p>
      <w:pPr>
        <w:spacing w:after="0" w:line="1" w:lineRule="exact"/>
        <w:rPr>
          <w:rFonts w:ascii="Arial" w:cs="Arial" w:eastAsia="Arial" w:hAnsi="Arial"/>
          <w:sz w:val="22"/>
          <w:szCs w:val="22"/>
          <w:color w:val="auto"/>
          <w:vertAlign w:val="superscript"/>
        </w:rPr>
      </w:pPr>
    </w:p>
    <w:p>
      <w:pPr>
        <w:ind w:left="420" w:hanging="178"/>
        <w:spacing w:after="0" w:line="217" w:lineRule="auto"/>
        <w:tabs>
          <w:tab w:leader="none" w:pos="4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Company records global net product sales of Libtayo and pays Sanofi a royalty on such sales</w:t>
      </w:r>
    </w:p>
    <w:p>
      <w:pPr>
        <w:spacing w:after="0" w:line="31" w:lineRule="exact"/>
        <w:rPr>
          <w:rFonts w:ascii="Arial" w:cs="Arial" w:eastAsia="Arial" w:hAnsi="Arial"/>
          <w:sz w:val="22"/>
          <w:szCs w:val="22"/>
          <w:color w:val="auto"/>
          <w:vertAlign w:val="superscript"/>
        </w:rPr>
      </w:pPr>
    </w:p>
    <w:p>
      <w:pPr>
        <w:ind w:left="240" w:right="220" w:firstLine="2"/>
        <w:spacing w:after="0" w:line="198" w:lineRule="auto"/>
        <w:tabs>
          <w:tab w:leader="none" w:pos="428"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Praluent in the United States. Sanofi records net product sales of Praluent outside the United States and pays the Company a royalty on such sales, which is recorded within Other revenue.</w:t>
      </w:r>
    </w:p>
    <w:p>
      <w:pPr>
        <w:spacing w:after="0" w:line="15" w:lineRule="exact"/>
        <w:rPr>
          <w:rFonts w:ascii="Arial" w:cs="Arial" w:eastAsia="Arial" w:hAnsi="Arial"/>
          <w:sz w:val="22"/>
          <w:szCs w:val="22"/>
          <w:color w:val="auto"/>
          <w:vertAlign w:val="superscript"/>
        </w:rPr>
      </w:pPr>
    </w:p>
    <w:p>
      <w:pPr>
        <w:jc w:val="both"/>
        <w:ind w:left="240" w:right="120" w:firstLine="2"/>
        <w:spacing w:after="0" w:line="246" w:lineRule="auto"/>
        <w:tabs>
          <w:tab w:leader="none" w:pos="412"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Included in this line item are products which are sold by the Company and others. Refer to "Third Quarter 2026 Financial Results" section above for a listing of net product sales recorded by the Company. Not included in this line item are net product sales of ARCALYST</w:t>
      </w:r>
      <w:r>
        <w:rPr>
          <w:rFonts w:ascii="Times New Roman" w:cs="Times New Roman" w:eastAsia="Times New Roman" w:hAnsi="Times New Roman"/>
          <w:sz w:val="18"/>
          <w:szCs w:val="18"/>
          <w:color w:val="auto"/>
          <w:vertAlign w:val="superscript"/>
        </w:rPr>
        <w:t>®</w:t>
      </w:r>
      <w:r>
        <w:rPr>
          <w:rFonts w:ascii="Arial" w:cs="Arial" w:eastAsia="Arial" w:hAnsi="Arial"/>
          <w:sz w:val="14"/>
          <w:szCs w:val="14"/>
          <w:color w:val="auto"/>
        </w:rPr>
        <w:t>, which are recorded by Kiniksa.</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2026-10-30T06:10:24Z</dcterms:created>
  <dcterms:modified xsi:type="dcterms:W3CDTF">2026-10-30T06:10:24Z</dcterms:modified>
</cp:coreProperties>
</file>