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FORM 10-Q</w:t>
      </w:r>
    </w:p>
    <w:p>
      <w:pPr>
        <w:spacing w:after="0" w:line="148" w:lineRule="exact"/>
        <w:rPr>
          <w:sz w:val="24"/>
          <w:szCs w:val="24"/>
          <w:color w:val="auto"/>
        </w:rPr>
      </w:pPr>
    </w:p>
    <w:p>
      <w:pPr>
        <w:ind w:left="40"/>
        <w:spacing w:after="0"/>
        <w:rPr>
          <w:sz w:val="20"/>
          <w:szCs w:val="20"/>
          <w:color w:val="auto"/>
        </w:rPr>
      </w:pPr>
      <w:r>
        <w:rPr>
          <w:rFonts w:ascii="Arial" w:cs="Arial" w:eastAsia="Arial" w:hAnsi="Arial"/>
          <w:sz w:val="18"/>
          <w:szCs w:val="18"/>
          <w:color w:val="auto"/>
        </w:rPr>
        <w:t>(Mark One)</w:t>
      </w:r>
    </w:p>
    <w:p>
      <w:pPr>
        <w:spacing w:after="0" w:line="69" w:lineRule="exact"/>
        <w:rPr>
          <w:sz w:val="24"/>
          <w:szCs w:val="24"/>
          <w:color w:val="auto"/>
        </w:rPr>
      </w:pPr>
    </w:p>
    <w:p>
      <w:pPr>
        <w:ind w:left="260" w:right="2160" w:hanging="225"/>
        <w:spacing w:after="0" w:line="331" w:lineRule="auto"/>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QUARTERLY REPORT PURSUANT TO SECTION 13 OR 15(d) OF THE SECURITIES EXCHANGE ACT OF 1934 For the quarterly period ended March 31, 2020</w:t>
      </w:r>
    </w:p>
    <w:p>
      <w:pPr>
        <w:ind w:left="1300"/>
        <w:spacing w:after="0"/>
        <w:rPr>
          <w:rFonts w:ascii="MS PGothic" w:cs="MS PGothic" w:eastAsia="MS PGothic" w:hAnsi="MS PGothic"/>
          <w:sz w:val="18"/>
          <w:szCs w:val="18"/>
          <w:color w:val="auto"/>
        </w:rPr>
      </w:pPr>
      <w:r>
        <w:rPr>
          <w:rFonts w:ascii="Arial" w:cs="Arial" w:eastAsia="Arial" w:hAnsi="Arial"/>
          <w:sz w:val="17"/>
          <w:szCs w:val="17"/>
          <w:b w:val="1"/>
          <w:bCs w:val="1"/>
          <w:color w:val="auto"/>
        </w:rPr>
        <w:t>OR</w:t>
      </w:r>
    </w:p>
    <w:p>
      <w:pPr>
        <w:spacing w:after="0" w:line="75" w:lineRule="exact"/>
        <w:rPr>
          <w:sz w:val="24"/>
          <w:szCs w:val="24"/>
          <w:color w:val="auto"/>
        </w:rPr>
      </w:pPr>
    </w:p>
    <w:p>
      <w:pPr>
        <w:ind w:left="260" w:right="2140" w:hanging="225"/>
        <w:spacing w:after="0" w:line="361" w:lineRule="auto"/>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w:t>
      </w:r>
    </w:p>
    <w:p>
      <w:pPr>
        <w:spacing w:after="0" w:line="1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0-19034</w:t>
      </w:r>
    </w:p>
    <w:p>
      <w:pPr>
        <w:spacing w:after="0" w:line="299"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REGENERON PHARMACEUTICALS, INC.</w:t>
      </w:r>
    </w:p>
    <w:p>
      <w:pPr>
        <w:spacing w:after="0" w:line="45" w:lineRule="exact"/>
        <w:rPr>
          <w:sz w:val="24"/>
          <w:szCs w:val="24"/>
          <w:color w:val="auto"/>
        </w:rPr>
      </w:pPr>
    </w:p>
    <w:p>
      <w:pPr>
        <w:jc w:val="center"/>
        <w:ind w:right="-1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367"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2940" w:type="dxa"/>
            <w:vAlign w:val="bottom"/>
            <w:gridSpan w:val="2"/>
          </w:tcPr>
          <w:p>
            <w:pPr>
              <w:jc w:val="center"/>
              <w:ind w:right="1410"/>
              <w:spacing w:after="0"/>
              <w:rPr>
                <w:sz w:val="20"/>
                <w:szCs w:val="20"/>
                <w:color w:val="auto"/>
              </w:rPr>
            </w:pPr>
            <w:r>
              <w:rPr>
                <w:rFonts w:ascii="Arial" w:cs="Arial" w:eastAsia="Arial" w:hAnsi="Arial"/>
                <w:sz w:val="18"/>
                <w:szCs w:val="18"/>
                <w:b w:val="1"/>
                <w:bCs w:val="1"/>
                <w:color w:val="auto"/>
                <w:w w:val="92"/>
              </w:rPr>
              <w:t>New York</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2"/>
          </w:tcPr>
          <w:p>
            <w:pPr>
              <w:jc w:val="right"/>
              <w:ind w:right="1144"/>
              <w:spacing w:after="0"/>
              <w:rPr>
                <w:sz w:val="20"/>
                <w:szCs w:val="20"/>
                <w:color w:val="auto"/>
              </w:rPr>
            </w:pPr>
            <w:r>
              <w:rPr>
                <w:rFonts w:ascii="Arial" w:cs="Arial" w:eastAsia="Arial" w:hAnsi="Arial"/>
                <w:sz w:val="18"/>
                <w:szCs w:val="18"/>
                <w:b w:val="1"/>
                <w:bCs w:val="1"/>
                <w:color w:val="auto"/>
              </w:rPr>
              <w:t>13-3444607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70"/>
        </w:trPr>
        <w:tc>
          <w:tcPr>
            <w:tcW w:w="5000" w:type="dxa"/>
            <w:vAlign w:val="bottom"/>
            <w:gridSpan w:val="3"/>
          </w:tcPr>
          <w:p>
            <w:pPr>
              <w:jc w:val="center"/>
              <w:ind w:left="497"/>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8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3"/>
              </w:rPr>
              <w:t>(I.R.S. Employer Identification No.)</w:t>
            </w:r>
          </w:p>
        </w:tc>
        <w:tc>
          <w:tcPr>
            <w:tcW w:w="460" w:type="dxa"/>
            <w:vAlign w:val="bottom"/>
          </w:tcPr>
          <w:p>
            <w:pPr>
              <w:spacing w:after="0"/>
              <w:rPr>
                <w:sz w:val="23"/>
                <w:szCs w:val="23"/>
                <w:color w:val="auto"/>
              </w:rPr>
            </w:pPr>
          </w:p>
        </w:tc>
      </w:tr>
      <w:tr>
        <w:trPr>
          <w:trHeight w:val="405"/>
        </w:trPr>
        <w:tc>
          <w:tcPr>
            <w:tcW w:w="2060" w:type="dxa"/>
            <w:vAlign w:val="bottom"/>
          </w:tcPr>
          <w:p>
            <w:pPr>
              <w:spacing w:after="0"/>
              <w:rPr>
                <w:sz w:val="24"/>
                <w:szCs w:val="24"/>
                <w:color w:val="auto"/>
              </w:rPr>
            </w:pPr>
          </w:p>
        </w:tc>
        <w:tc>
          <w:tcPr>
            <w:tcW w:w="4280" w:type="dxa"/>
            <w:vAlign w:val="bottom"/>
            <w:gridSpan w:val="5"/>
          </w:tcPr>
          <w:p>
            <w:pPr>
              <w:ind w:left="960"/>
              <w:spacing w:after="0"/>
              <w:rPr>
                <w:sz w:val="20"/>
                <w:szCs w:val="20"/>
                <w:color w:val="auto"/>
              </w:rPr>
            </w:pPr>
            <w:r>
              <w:rPr>
                <w:rFonts w:ascii="Arial" w:cs="Arial" w:eastAsia="Arial" w:hAnsi="Arial"/>
                <w:sz w:val="18"/>
                <w:szCs w:val="18"/>
                <w:b w:val="1"/>
                <w:bCs w:val="1"/>
                <w:color w:val="auto"/>
                <w:w w:val="97"/>
              </w:rPr>
              <w:t>777 Old Saw Mill River Road Tarrytown,</w:t>
            </w:r>
          </w:p>
        </w:tc>
        <w:tc>
          <w:tcPr>
            <w:tcW w:w="3860" w:type="dxa"/>
            <w:vAlign w:val="bottom"/>
            <w:gridSpan w:val="3"/>
          </w:tcPr>
          <w:p>
            <w:pPr>
              <w:ind w:left="40"/>
              <w:spacing w:after="0"/>
              <w:rPr>
                <w:sz w:val="20"/>
                <w:szCs w:val="20"/>
                <w:color w:val="auto"/>
              </w:rPr>
            </w:pPr>
            <w:r>
              <w:rPr>
                <w:rFonts w:ascii="Arial" w:cs="Arial" w:eastAsia="Arial" w:hAnsi="Arial"/>
                <w:sz w:val="18"/>
                <w:szCs w:val="18"/>
                <w:b w:val="1"/>
                <w:bCs w:val="1"/>
                <w:color w:val="auto"/>
              </w:rPr>
              <w:t>New York 10591-6707</w:t>
            </w:r>
          </w:p>
        </w:tc>
        <w:tc>
          <w:tcPr>
            <w:tcW w:w="460" w:type="dxa"/>
            <w:vAlign w:val="bottom"/>
          </w:tcPr>
          <w:p>
            <w:pPr>
              <w:spacing w:after="0"/>
              <w:rPr>
                <w:sz w:val="24"/>
                <w:szCs w:val="24"/>
                <w:color w:val="auto"/>
              </w:rPr>
            </w:pPr>
          </w:p>
        </w:tc>
      </w:tr>
      <w:tr>
        <w:trPr>
          <w:trHeight w:val="270"/>
        </w:trPr>
        <w:tc>
          <w:tcPr>
            <w:tcW w:w="20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840" w:type="dxa"/>
            <w:vAlign w:val="bottom"/>
            <w:gridSpan w:val="7"/>
          </w:tcPr>
          <w:p>
            <w:pPr>
              <w:jc w:val="center"/>
              <w:ind w:right="2380"/>
              <w:spacing w:after="0"/>
              <w:rPr>
                <w:sz w:val="20"/>
                <w:szCs w:val="20"/>
                <w:color w:val="auto"/>
              </w:rPr>
            </w:pPr>
            <w:r>
              <w:rPr>
                <w:rFonts w:ascii="Arial" w:cs="Arial" w:eastAsia="Arial" w:hAnsi="Arial"/>
                <w:sz w:val="18"/>
                <w:szCs w:val="18"/>
                <w:i w:val="1"/>
                <w:iCs w:val="1"/>
                <w:color w:val="auto"/>
                <w:w w:val="91"/>
              </w:rPr>
              <w:t>(Address of principal executive offices, including zip code)</w:t>
            </w:r>
          </w:p>
        </w:tc>
        <w:tc>
          <w:tcPr>
            <w:tcW w:w="460" w:type="dxa"/>
            <w:vAlign w:val="bottom"/>
          </w:tcPr>
          <w:p>
            <w:pPr>
              <w:spacing w:after="0"/>
              <w:rPr>
                <w:sz w:val="23"/>
                <w:szCs w:val="23"/>
                <w:color w:val="auto"/>
              </w:rPr>
            </w:pPr>
          </w:p>
        </w:tc>
      </w:tr>
      <w:tr>
        <w:trPr>
          <w:trHeight w:val="445"/>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(914) 847-7000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7"/>
          </w:tcPr>
          <w:p>
            <w:pPr>
              <w:jc w:val="center"/>
              <w:ind w:right="238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460" w:type="dxa"/>
            <w:vAlign w:val="bottom"/>
          </w:tcPr>
          <w:p>
            <w:pPr>
              <w:spacing w:after="0"/>
              <w:rPr>
                <w:sz w:val="20"/>
                <w:szCs w:val="20"/>
                <w:color w:val="auto"/>
              </w:rPr>
            </w:pPr>
          </w:p>
        </w:tc>
      </w:tr>
      <w:tr>
        <w:trPr>
          <w:trHeight w:val="432"/>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gridSpan w:val="7"/>
          </w:tcPr>
          <w:p>
            <w:pPr>
              <w:jc w:val="center"/>
              <w:ind w:right="238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460" w:type="dxa"/>
            <w:vAlign w:val="bottom"/>
          </w:tcPr>
          <w:p>
            <w:pPr>
              <w:spacing w:after="0"/>
              <w:rPr>
                <w:sz w:val="24"/>
                <w:szCs w:val="24"/>
                <w:color w:val="auto"/>
              </w:rPr>
            </w:pPr>
          </w:p>
        </w:tc>
      </w:tr>
      <w:tr>
        <w:trPr>
          <w:trHeight w:val="338"/>
        </w:trPr>
        <w:tc>
          <w:tcPr>
            <w:tcW w:w="2060" w:type="dxa"/>
            <w:vAlign w:val="bottom"/>
          </w:tcPr>
          <w:p>
            <w:pPr>
              <w:spacing w:after="0"/>
              <w:rPr>
                <w:sz w:val="24"/>
                <w:szCs w:val="24"/>
                <w:color w:val="auto"/>
              </w:rPr>
            </w:pPr>
          </w:p>
        </w:tc>
        <w:tc>
          <w:tcPr>
            <w:tcW w:w="2940" w:type="dxa"/>
            <w:vAlign w:val="bottom"/>
            <w:gridSpan w:val="2"/>
          </w:tcPr>
          <w:p>
            <w:pPr>
              <w:jc w:val="center"/>
              <w:ind w:right="1550"/>
              <w:spacing w:after="0"/>
              <w:rPr>
                <w:sz w:val="20"/>
                <w:szCs w:val="20"/>
                <w:color w:val="auto"/>
              </w:rPr>
            </w:pPr>
            <w:r>
              <w:rPr>
                <w:rFonts w:ascii="Arial" w:cs="Arial" w:eastAsia="Arial" w:hAnsi="Arial"/>
                <w:sz w:val="18"/>
                <w:szCs w:val="18"/>
                <w:i w:val="1"/>
                <w:iCs w:val="1"/>
                <w:color w:val="auto"/>
                <w:w w:val="90"/>
              </w:rPr>
              <w:t>Title of each class</w:t>
            </w:r>
          </w:p>
        </w:tc>
        <w:tc>
          <w:tcPr>
            <w:tcW w:w="60" w:type="dxa"/>
            <w:vAlign w:val="bottom"/>
          </w:tcPr>
          <w:p>
            <w:pPr>
              <w:spacing w:after="0"/>
              <w:rPr>
                <w:sz w:val="24"/>
                <w:szCs w:val="2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1"/>
              </w:rPr>
              <w:t>Trading Symbol</w:t>
            </w:r>
          </w:p>
        </w:tc>
        <w:tc>
          <w:tcPr>
            <w:tcW w:w="3860" w:type="dxa"/>
            <w:vAlign w:val="bottom"/>
            <w:gridSpan w:val="3"/>
          </w:tcPr>
          <w:p>
            <w:pPr>
              <w:jc w:val="center"/>
              <w:ind w:left="390"/>
              <w:spacing w:after="0"/>
              <w:rPr>
                <w:sz w:val="20"/>
                <w:szCs w:val="20"/>
                <w:color w:val="auto"/>
              </w:rPr>
            </w:pPr>
            <w:r>
              <w:rPr>
                <w:rFonts w:ascii="Arial" w:cs="Arial" w:eastAsia="Arial" w:hAnsi="Arial"/>
                <w:sz w:val="18"/>
                <w:szCs w:val="18"/>
                <w:i w:val="1"/>
                <w:iCs w:val="1"/>
                <w:color w:val="auto"/>
                <w:w w:val="89"/>
              </w:rPr>
              <w:t>Name of each exchange on which registered</w:t>
            </w:r>
          </w:p>
        </w:tc>
        <w:tc>
          <w:tcPr>
            <w:tcW w:w="460" w:type="dxa"/>
            <w:vAlign w:val="bottom"/>
          </w:tcPr>
          <w:p>
            <w:pPr>
              <w:spacing w:after="0"/>
              <w:rPr>
                <w:sz w:val="24"/>
                <w:szCs w:val="24"/>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0"/>
        </w:trPr>
        <w:tc>
          <w:tcPr>
            <w:tcW w:w="5000" w:type="dxa"/>
            <w:vAlign w:val="bottom"/>
            <w:gridSpan w:val="3"/>
          </w:tcPr>
          <w:p>
            <w:pPr>
              <w:jc w:val="center"/>
              <w:ind w:left="357"/>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60" w:type="dxa"/>
            <w:vAlign w:val="bottom"/>
          </w:tcPr>
          <w:p>
            <w:pPr>
              <w:spacing w:after="0"/>
              <w:rPr>
                <w:sz w:val="24"/>
                <w:szCs w:val="2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REGN</w:t>
            </w:r>
          </w:p>
        </w:tc>
        <w:tc>
          <w:tcPr>
            <w:tcW w:w="580" w:type="dxa"/>
            <w:vAlign w:val="bottom"/>
          </w:tcPr>
          <w:p>
            <w:pPr>
              <w:spacing w:after="0"/>
              <w:rPr>
                <w:sz w:val="24"/>
                <w:szCs w:val="24"/>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NASDAQ Global Select Market</w:t>
            </w:r>
          </w:p>
        </w:tc>
        <w:tc>
          <w:tcPr>
            <w:tcW w:w="460" w:type="dxa"/>
            <w:vAlign w:val="bottom"/>
          </w:tcPr>
          <w:p>
            <w:pPr>
              <w:spacing w:after="0"/>
              <w:rPr>
                <w:sz w:val="24"/>
                <w:szCs w:val="24"/>
                <w:color w:val="auto"/>
              </w:rPr>
            </w:pPr>
          </w:p>
        </w:tc>
      </w:tr>
      <w:tr>
        <w:trPr>
          <w:trHeight w:val="598"/>
        </w:trPr>
        <w:tc>
          <w:tcPr>
            <w:tcW w:w="10200" w:type="dxa"/>
            <w:vAlign w:val="bottom"/>
            <w:gridSpan w:val="9"/>
          </w:tcPr>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w:t>
            </w:r>
          </w:p>
        </w:tc>
        <w:tc>
          <w:tcPr>
            <w:tcW w:w="460" w:type="dxa"/>
            <w:vAlign w:val="bottom"/>
          </w:tcPr>
          <w:p>
            <w:pPr>
              <w:spacing w:after="0"/>
              <w:rPr>
                <w:sz w:val="24"/>
                <w:szCs w:val="24"/>
                <w:color w:val="auto"/>
              </w:rPr>
            </w:pPr>
          </w:p>
        </w:tc>
      </w:tr>
      <w:tr>
        <w:trPr>
          <w:trHeight w:val="158"/>
        </w:trPr>
        <w:tc>
          <w:tcPr>
            <w:tcW w:w="10200" w:type="dxa"/>
            <w:vAlign w:val="bottom"/>
            <w:gridSpan w:val="9"/>
          </w:tcPr>
          <w:p>
            <w:pPr>
              <w:spacing w:after="0" w:line="158" w:lineRule="exact"/>
              <w:rPr>
                <w:sz w:val="20"/>
                <w:szCs w:val="20"/>
                <w:color w:val="auto"/>
              </w:rPr>
            </w:pPr>
            <w:r>
              <w:rPr>
                <w:rFonts w:ascii="Arial" w:cs="Arial" w:eastAsia="Arial" w:hAnsi="Arial"/>
                <w:sz w:val="16"/>
                <w:szCs w:val="16"/>
                <w:color w:val="auto"/>
                <w:w w:val="99"/>
              </w:rPr>
              <w:t>of 1934 during the preceding 12 months (or for such shorter period that the registrant was required to file such reports), and (2) has been subject</w:t>
            </w:r>
          </w:p>
        </w:tc>
        <w:tc>
          <w:tcPr>
            <w:tcW w:w="460" w:type="dxa"/>
            <w:vAlign w:val="bottom"/>
          </w:tcPr>
          <w:p>
            <w:pPr>
              <w:spacing w:after="0"/>
              <w:rPr>
                <w:sz w:val="13"/>
                <w:szCs w:val="13"/>
                <w:color w:val="auto"/>
              </w:rPr>
            </w:pPr>
          </w:p>
        </w:tc>
      </w:tr>
      <w:tr>
        <w:trPr>
          <w:trHeight w:val="283"/>
        </w:trPr>
        <w:tc>
          <w:tcPr>
            <w:tcW w:w="5000" w:type="dxa"/>
            <w:vAlign w:val="bottom"/>
            <w:gridSpan w:val="3"/>
          </w:tcPr>
          <w:p>
            <w:pPr>
              <w:spacing w:after="0"/>
              <w:rPr>
                <w:sz w:val="20"/>
                <w:szCs w:val="20"/>
                <w:color w:val="auto"/>
              </w:rPr>
            </w:pPr>
            <w:r>
              <w:rPr>
                <w:rFonts w:ascii="Arial" w:cs="Arial" w:eastAsia="Arial" w:hAnsi="Arial"/>
                <w:sz w:val="16"/>
                <w:szCs w:val="16"/>
                <w:color w:val="auto"/>
              </w:rPr>
              <w:t>to such filing requirements for the past 90 days.</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gridSpan w:val="2"/>
          </w:tcPr>
          <w:p>
            <w:pPr>
              <w:ind w:left="2700"/>
              <w:spacing w:after="0" w:line="196"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7"/>
                <w:szCs w:val="17"/>
                <w:color w:val="auto"/>
              </w:rPr>
              <w:t>☒</w:t>
            </w:r>
          </w:p>
        </w:tc>
        <w:tc>
          <w:tcPr>
            <w:tcW w:w="460" w:type="dxa"/>
            <w:vAlign w:val="bottom"/>
          </w:tcPr>
          <w:p>
            <w:pPr>
              <w:ind w:left="100"/>
              <w:spacing w:after="0" w:line="196" w:lineRule="exact"/>
              <w:rPr>
                <w:sz w:val="20"/>
                <w:szCs w:val="20"/>
                <w:color w:val="auto"/>
              </w:rPr>
            </w:pPr>
            <w:r>
              <w:rPr>
                <w:rFonts w:ascii="Arial" w:cs="Arial" w:eastAsia="Arial" w:hAnsi="Arial"/>
                <w:sz w:val="13"/>
                <w:szCs w:val="13"/>
                <w:color w:val="auto"/>
                <w:w w:val="91"/>
              </w:rPr>
              <w:t xml:space="preserve">No </w:t>
            </w:r>
            <w:r>
              <w:rPr>
                <w:rFonts w:ascii="MS PGothic" w:cs="MS PGothic" w:eastAsia="MS PGothic" w:hAnsi="MS PGothic"/>
                <w:sz w:val="17"/>
                <w:szCs w:val="17"/>
                <w:color w:val="auto"/>
                <w:w w:val="91"/>
              </w:rPr>
              <w:t>☐</w:t>
            </w:r>
          </w:p>
        </w:tc>
      </w:tr>
      <w:tr>
        <w:trPr>
          <w:trHeight w:val="342"/>
        </w:trPr>
        <w:tc>
          <w:tcPr>
            <w:tcW w:w="10200" w:type="dxa"/>
            <w:vAlign w:val="bottom"/>
            <w:gridSpan w:val="9"/>
          </w:tcPr>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w:t>
            </w:r>
          </w:p>
        </w:tc>
        <w:tc>
          <w:tcPr>
            <w:tcW w:w="460" w:type="dxa"/>
            <w:vAlign w:val="bottom"/>
          </w:tcPr>
          <w:p>
            <w:pPr>
              <w:spacing w:after="0"/>
              <w:rPr>
                <w:sz w:val="24"/>
                <w:szCs w:val="24"/>
                <w:color w:val="auto"/>
              </w:rPr>
            </w:pPr>
          </w:p>
        </w:tc>
      </w:tr>
      <w:tr>
        <w:trPr>
          <w:trHeight w:val="158"/>
        </w:trPr>
        <w:tc>
          <w:tcPr>
            <w:tcW w:w="10200" w:type="dxa"/>
            <w:vAlign w:val="bottom"/>
            <w:gridSpan w:val="9"/>
          </w:tcPr>
          <w:p>
            <w:pPr>
              <w:spacing w:after="0" w:line="158" w:lineRule="exact"/>
              <w:rPr>
                <w:sz w:val="20"/>
                <w:szCs w:val="20"/>
                <w:color w:val="auto"/>
              </w:rPr>
            </w:pPr>
            <w:r>
              <w:rPr>
                <w:rFonts w:ascii="Arial" w:cs="Arial" w:eastAsia="Arial" w:hAnsi="Arial"/>
                <w:sz w:val="16"/>
                <w:szCs w:val="16"/>
                <w:color w:val="auto"/>
              </w:rPr>
              <w:t>405 of Regulation S-T (§232.405 of this chapter) during the preceding 12 months (or for such shorter period that the registrant was required to</w:t>
            </w:r>
          </w:p>
        </w:tc>
        <w:tc>
          <w:tcPr>
            <w:tcW w:w="460" w:type="dxa"/>
            <w:vAlign w:val="bottom"/>
          </w:tcPr>
          <w:p>
            <w:pPr>
              <w:spacing w:after="0"/>
              <w:rPr>
                <w:sz w:val="13"/>
                <w:szCs w:val="13"/>
                <w:color w:val="auto"/>
              </w:rPr>
            </w:pPr>
          </w:p>
        </w:tc>
      </w:tr>
      <w:tr>
        <w:trPr>
          <w:trHeight w:val="283"/>
        </w:trPr>
        <w:tc>
          <w:tcPr>
            <w:tcW w:w="5000" w:type="dxa"/>
            <w:vAlign w:val="bottom"/>
            <w:gridSpan w:val="3"/>
          </w:tcPr>
          <w:p>
            <w:pPr>
              <w:spacing w:after="0"/>
              <w:rPr>
                <w:sz w:val="20"/>
                <w:szCs w:val="20"/>
                <w:color w:val="auto"/>
              </w:rPr>
            </w:pPr>
            <w:r>
              <w:rPr>
                <w:rFonts w:ascii="Arial" w:cs="Arial" w:eastAsia="Arial" w:hAnsi="Arial"/>
                <w:sz w:val="16"/>
                <w:szCs w:val="16"/>
                <w:color w:val="auto"/>
              </w:rPr>
              <w:t>submit such files).</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gridSpan w:val="2"/>
          </w:tcPr>
          <w:p>
            <w:pPr>
              <w:ind w:left="2700"/>
              <w:spacing w:after="0" w:line="196"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7"/>
                <w:szCs w:val="17"/>
                <w:color w:val="auto"/>
              </w:rPr>
              <w:t>☒</w:t>
            </w:r>
          </w:p>
        </w:tc>
        <w:tc>
          <w:tcPr>
            <w:tcW w:w="460" w:type="dxa"/>
            <w:vAlign w:val="bottom"/>
          </w:tcPr>
          <w:p>
            <w:pPr>
              <w:ind w:left="100"/>
              <w:spacing w:after="0" w:line="196" w:lineRule="exact"/>
              <w:rPr>
                <w:sz w:val="20"/>
                <w:szCs w:val="20"/>
                <w:color w:val="auto"/>
              </w:rPr>
            </w:pPr>
            <w:r>
              <w:rPr>
                <w:rFonts w:ascii="Arial" w:cs="Arial" w:eastAsia="Arial" w:hAnsi="Arial"/>
                <w:sz w:val="13"/>
                <w:szCs w:val="13"/>
                <w:color w:val="auto"/>
                <w:w w:val="91"/>
              </w:rPr>
              <w:t xml:space="preserve">No </w:t>
            </w:r>
            <w:r>
              <w:rPr>
                <w:rFonts w:ascii="MS PGothic" w:cs="MS PGothic" w:eastAsia="MS PGothic" w:hAnsi="MS PGothic"/>
                <w:sz w:val="17"/>
                <w:szCs w:val="17"/>
                <w:color w:val="auto"/>
                <w:w w:val="91"/>
              </w:rPr>
              <w:t>☐</w:t>
            </w:r>
          </w:p>
        </w:tc>
      </w:tr>
    </w:tbl>
    <w:p>
      <w:pPr>
        <w:spacing w:after="0" w:line="153" w:lineRule="exact"/>
        <w:rPr>
          <w:sz w:val="24"/>
          <w:szCs w:val="24"/>
          <w:color w:val="auto"/>
        </w:rPr>
      </w:pPr>
    </w:p>
    <w:p>
      <w:pPr>
        <w:jc w:val="both"/>
        <w:ind w:lef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300" w:type="dxa"/>
            <w:vAlign w:val="bottom"/>
            <w:gridSpan w:val="2"/>
          </w:tcPr>
          <w:p>
            <w:pPr>
              <w:ind w:left="260"/>
              <w:spacing w:after="0"/>
              <w:rPr>
                <w:sz w:val="20"/>
                <w:szCs w:val="20"/>
                <w:color w:val="auto"/>
              </w:rPr>
            </w:pPr>
            <w:r>
              <w:rPr>
                <w:rFonts w:ascii="Arial" w:cs="Arial" w:eastAsia="Arial" w:hAnsi="Arial"/>
                <w:sz w:val="16"/>
                <w:szCs w:val="16"/>
                <w:color w:val="auto"/>
              </w:rPr>
              <w:t>Large accelerated</w:t>
            </w:r>
          </w:p>
        </w:tc>
        <w:tc>
          <w:tcPr>
            <w:tcW w:w="2540" w:type="dxa"/>
            <w:vAlign w:val="bottom"/>
            <w:gridSpan w:val="2"/>
            <w:vMerge w:val="restart"/>
          </w:tcPr>
          <w:p>
            <w:pPr>
              <w:ind w:left="180"/>
              <w:spacing w:after="0" w:line="196"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7"/>
                <w:szCs w:val="17"/>
                <w:color w:val="auto"/>
              </w:rPr>
              <w:t>☐</w:t>
            </w:r>
          </w:p>
        </w:tc>
        <w:tc>
          <w:tcPr>
            <w:tcW w:w="2080" w:type="dxa"/>
            <w:vAlign w:val="bottom"/>
          </w:tcPr>
          <w:p>
            <w:pPr>
              <w:ind w:left="20"/>
              <w:spacing w:after="0"/>
              <w:rPr>
                <w:sz w:val="20"/>
                <w:szCs w:val="20"/>
                <w:color w:val="auto"/>
              </w:rPr>
            </w:pPr>
            <w:r>
              <w:rPr>
                <w:rFonts w:ascii="Arial" w:cs="Arial" w:eastAsia="Arial" w:hAnsi="Arial"/>
                <w:sz w:val="16"/>
                <w:szCs w:val="16"/>
                <w:color w:val="auto"/>
              </w:rPr>
              <w:t>Smaller reporting</w:t>
            </w:r>
          </w:p>
        </w:tc>
        <w:tc>
          <w:tcPr>
            <w:tcW w:w="2280" w:type="dxa"/>
            <w:vAlign w:val="bottom"/>
            <w:gridSpan w:val="2"/>
          </w:tcPr>
          <w:p>
            <w:pPr>
              <w:jc w:val="right"/>
              <w:ind w:right="984"/>
              <w:spacing w:after="0"/>
              <w:rPr>
                <w:sz w:val="20"/>
                <w:szCs w:val="20"/>
                <w:color w:val="auto"/>
              </w:rPr>
            </w:pPr>
            <w:r>
              <w:rPr>
                <w:rFonts w:ascii="Arial" w:cs="Arial" w:eastAsia="Arial" w:hAnsi="Arial"/>
                <w:sz w:val="16"/>
                <w:szCs w:val="16"/>
                <w:color w:val="auto"/>
                <w:w w:val="99"/>
              </w:rPr>
              <w:t>Emerging growth</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3300" w:type="dxa"/>
            <w:vAlign w:val="bottom"/>
            <w:gridSpan w:val="2"/>
          </w:tcPr>
          <w:p>
            <w:pPr>
              <w:ind w:left="1120"/>
              <w:spacing w:after="0" w:line="196" w:lineRule="exact"/>
              <w:rPr>
                <w:sz w:val="20"/>
                <w:szCs w:val="20"/>
                <w:color w:val="auto"/>
              </w:rPr>
            </w:pPr>
            <w:r>
              <w:rPr>
                <w:rFonts w:ascii="Arial" w:cs="Arial" w:eastAsia="Arial" w:hAnsi="Arial"/>
                <w:sz w:val="16"/>
                <w:szCs w:val="16"/>
                <w:color w:val="auto"/>
              </w:rPr>
              <w:t xml:space="preserve">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p>
        </w:tc>
        <w:tc>
          <w:tcPr>
            <w:tcW w:w="2540" w:type="dxa"/>
            <w:vAlign w:val="bottom"/>
            <w:gridSpan w:val="2"/>
            <w:vMerge w:val="continue"/>
          </w:tcPr>
          <w:p>
            <w:pPr>
              <w:spacing w:after="0"/>
              <w:rPr>
                <w:sz w:val="24"/>
                <w:szCs w:val="24"/>
                <w:color w:val="auto"/>
              </w:rPr>
            </w:pPr>
          </w:p>
        </w:tc>
        <w:tc>
          <w:tcPr>
            <w:tcW w:w="2080" w:type="dxa"/>
            <w:vAlign w:val="bottom"/>
          </w:tcPr>
          <w:p>
            <w:pPr>
              <w:ind w:left="560"/>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2280" w:type="dxa"/>
            <w:vAlign w:val="bottom"/>
            <w:gridSpan w:val="2"/>
          </w:tcPr>
          <w:p>
            <w:pPr>
              <w:jc w:val="right"/>
              <w:ind w:right="764"/>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200" w:type="dxa"/>
            <w:vAlign w:val="bottom"/>
            <w:gridSpan w:val="7"/>
          </w:tcPr>
          <w:p>
            <w:pPr>
              <w:ind w:left="40"/>
              <w:spacing w:after="0"/>
              <w:rPr>
                <w:sz w:val="20"/>
                <w:szCs w:val="20"/>
                <w:color w:val="auto"/>
              </w:rPr>
            </w:pPr>
            <w:r>
              <w:rPr>
                <w:rFonts w:ascii="Arial" w:cs="Arial" w:eastAsia="Arial" w:hAnsi="Arial"/>
                <w:sz w:val="16"/>
                <w:szCs w:val="16"/>
                <w:color w:val="auto"/>
                <w:w w:val="99"/>
              </w:rPr>
              <w:t>If an emerging growth company, indicate by check mark if the registrant has elected not to use the extended transition period for complying with</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920" w:type="dxa"/>
            <w:vAlign w:val="bottom"/>
            <w:gridSpan w:val="5"/>
          </w:tcPr>
          <w:p>
            <w:pPr>
              <w:ind w:left="40"/>
              <w:spacing w:after="0"/>
              <w:rPr>
                <w:sz w:val="20"/>
                <w:szCs w:val="20"/>
                <w:color w:val="auto"/>
              </w:rPr>
            </w:pPr>
            <w:r>
              <w:rPr>
                <w:rFonts w:ascii="Arial" w:cs="Arial" w:eastAsia="Arial" w:hAnsi="Arial"/>
                <w:sz w:val="16"/>
                <w:szCs w:val="16"/>
                <w:color w:val="auto"/>
              </w:rPr>
              <w:t>any new or revised financial accounting standards provided pursuant to Section 13(a) of the Exchange Act.</w:t>
            </w:r>
          </w:p>
        </w:tc>
        <w:tc>
          <w:tcPr>
            <w:tcW w:w="1100" w:type="dxa"/>
            <w:vAlign w:val="bottom"/>
          </w:tcPr>
          <w:p>
            <w:pPr>
              <w:spacing w:after="0"/>
              <w:rPr>
                <w:sz w:val="24"/>
                <w:szCs w:val="24"/>
                <w:color w:val="auto"/>
              </w:rPr>
            </w:pPr>
          </w:p>
        </w:tc>
        <w:tc>
          <w:tcPr>
            <w:tcW w:w="1180" w:type="dxa"/>
            <w:vAlign w:val="bottom"/>
          </w:tcPr>
          <w:p>
            <w:pPr>
              <w:jc w:val="right"/>
              <w:ind w:right="64"/>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920" w:type="dxa"/>
            <w:vAlign w:val="bottom"/>
            <w:gridSpan w:val="5"/>
          </w:tcPr>
          <w:p>
            <w:pPr>
              <w:ind w:left="40"/>
              <w:spacing w:after="0"/>
              <w:rPr>
                <w:sz w:val="20"/>
                <w:szCs w:val="20"/>
                <w:color w:val="auto"/>
              </w:rPr>
            </w:pPr>
            <w:r>
              <w:rPr>
                <w:rFonts w:ascii="Arial" w:cs="Arial" w:eastAsia="Arial" w:hAnsi="Arial"/>
                <w:sz w:val="16"/>
                <w:szCs w:val="16"/>
                <w:color w:val="auto"/>
                <w:w w:val="98"/>
              </w:rPr>
              <w:t>Indicate by check mark whether the registrant is a shell company (as defined in Rule 12b-2 of the Exchange Act).</w:t>
            </w:r>
          </w:p>
        </w:tc>
        <w:tc>
          <w:tcPr>
            <w:tcW w:w="1100" w:type="dxa"/>
            <w:vAlign w:val="bottom"/>
          </w:tcPr>
          <w:p>
            <w:pPr>
              <w:spacing w:after="0"/>
              <w:rPr>
                <w:sz w:val="24"/>
                <w:szCs w:val="24"/>
                <w:color w:val="auto"/>
              </w:rPr>
            </w:pPr>
          </w:p>
        </w:tc>
        <w:tc>
          <w:tcPr>
            <w:tcW w:w="1180" w:type="dxa"/>
            <w:vAlign w:val="bottom"/>
          </w:tcPr>
          <w:p>
            <w:pPr>
              <w:jc w:val="right"/>
              <w:ind w:right="64"/>
              <w:spacing w:after="0" w:line="196"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7"/>
                <w:szCs w:val="17"/>
                <w:color w:val="auto"/>
              </w:rPr>
              <w:t>☐</w:t>
            </w:r>
          </w:p>
        </w:tc>
        <w:tc>
          <w:tcPr>
            <w:tcW w:w="500" w:type="dxa"/>
            <w:vAlign w:val="bottom"/>
          </w:tcPr>
          <w:p>
            <w:pPr>
              <w:ind w:left="140"/>
              <w:spacing w:after="0" w:line="196" w:lineRule="exact"/>
              <w:rPr>
                <w:sz w:val="20"/>
                <w:szCs w:val="20"/>
                <w:color w:val="auto"/>
              </w:rPr>
            </w:pPr>
            <w:r>
              <w:rPr>
                <w:rFonts w:ascii="Arial" w:cs="Arial" w:eastAsia="Arial" w:hAnsi="Arial"/>
                <w:sz w:val="13"/>
                <w:szCs w:val="13"/>
                <w:color w:val="auto"/>
                <w:w w:val="91"/>
              </w:rPr>
              <w:t xml:space="preserve">No </w:t>
            </w:r>
            <w:r>
              <w:rPr>
                <w:rFonts w:ascii="MS PGothic" w:cs="MS PGothic" w:eastAsia="MS PGothic" w:hAnsi="MS PGothic"/>
                <w:sz w:val="17"/>
                <w:szCs w:val="17"/>
                <w:color w:val="auto"/>
                <w:w w:val="91"/>
              </w:rPr>
              <w:t>☒</w:t>
            </w:r>
          </w:p>
        </w:tc>
        <w:tc>
          <w:tcPr>
            <w:tcW w:w="0" w:type="dxa"/>
            <w:vAlign w:val="bottom"/>
          </w:tcPr>
          <w:p>
            <w:pPr>
              <w:spacing w:after="0"/>
              <w:rPr>
                <w:sz w:val="1"/>
                <w:szCs w:val="1"/>
                <w:color w:val="auto"/>
              </w:rPr>
            </w:pPr>
          </w:p>
        </w:tc>
      </w:tr>
      <w:tr>
        <w:trPr>
          <w:trHeight w:val="420"/>
        </w:trPr>
        <w:tc>
          <w:tcPr>
            <w:tcW w:w="7920" w:type="dxa"/>
            <w:vAlign w:val="bottom"/>
            <w:gridSpan w:val="5"/>
          </w:tcPr>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April 14, 2020:</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240" w:type="dxa"/>
            <w:vAlign w:val="bottom"/>
          </w:tcPr>
          <w:p>
            <w:pPr>
              <w:spacing w:after="0"/>
              <w:rPr>
                <w:sz w:val="24"/>
                <w:szCs w:val="24"/>
                <w:color w:val="auto"/>
              </w:rPr>
            </w:pPr>
          </w:p>
        </w:tc>
        <w:tc>
          <w:tcPr>
            <w:tcW w:w="360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Class of Common Stock</w:t>
            </w:r>
          </w:p>
        </w:tc>
        <w:tc>
          <w:tcPr>
            <w:tcW w:w="4360" w:type="dxa"/>
            <w:vAlign w:val="bottom"/>
            <w:gridSpan w:val="3"/>
          </w:tcPr>
          <w:p>
            <w:pPr>
              <w:jc w:val="right"/>
              <w:ind w:right="2104"/>
              <w:spacing w:after="0"/>
              <w:rPr>
                <w:sz w:val="20"/>
                <w:szCs w:val="20"/>
                <w:color w:val="auto"/>
              </w:rPr>
            </w:pPr>
            <w:r>
              <w:rPr>
                <w:rFonts w:ascii="Arial" w:cs="Arial" w:eastAsia="Arial" w:hAnsi="Arial"/>
                <w:sz w:val="16"/>
                <w:szCs w:val="16"/>
                <w:color w:val="auto"/>
              </w:rPr>
              <w:t>Number of Shares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3240" w:type="dxa"/>
            <w:vAlign w:val="bottom"/>
            <w:tcBorders>
              <w:bottom w:val="single" w:sz="8" w:color="auto"/>
            </w:tcBorders>
            <w:gridSpan w:val="2"/>
          </w:tcPr>
          <w:p>
            <w:pPr>
              <w:spacing w:after="0"/>
              <w:rPr>
                <w:sz w:val="2"/>
                <w:szCs w:val="2"/>
                <w:color w:val="auto"/>
              </w:rPr>
            </w:pPr>
          </w:p>
        </w:tc>
        <w:tc>
          <w:tcPr>
            <w:tcW w:w="3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3600" w:type="dxa"/>
            <w:vAlign w:val="bottom"/>
            <w:gridSpan w:val="3"/>
          </w:tcPr>
          <w:p>
            <w:pPr>
              <w:jc w:val="center"/>
              <w:ind w:right="360"/>
              <w:spacing w:after="0"/>
              <w:rPr>
                <w:sz w:val="20"/>
                <w:szCs w:val="20"/>
                <w:color w:val="auto"/>
              </w:rPr>
            </w:pPr>
            <w:r>
              <w:rPr>
                <w:rFonts w:ascii="Arial" w:cs="Arial" w:eastAsia="Arial" w:hAnsi="Arial"/>
                <w:sz w:val="16"/>
                <w:szCs w:val="16"/>
                <w:color w:val="auto"/>
                <w:w w:val="91"/>
              </w:rPr>
              <w:t>Class A Stock, $.001 par value</w:t>
            </w:r>
          </w:p>
        </w:tc>
        <w:tc>
          <w:tcPr>
            <w:tcW w:w="2080" w:type="dxa"/>
            <w:vAlign w:val="bottom"/>
          </w:tcPr>
          <w:p>
            <w:pPr>
              <w:jc w:val="right"/>
              <w:ind w:right="79"/>
              <w:spacing w:after="0"/>
              <w:rPr>
                <w:sz w:val="20"/>
                <w:szCs w:val="20"/>
                <w:color w:val="auto"/>
              </w:rPr>
            </w:pPr>
            <w:r>
              <w:rPr>
                <w:rFonts w:ascii="Arial" w:cs="Arial" w:eastAsia="Arial" w:hAnsi="Arial"/>
                <w:sz w:val="16"/>
                <w:szCs w:val="16"/>
                <w:color w:val="auto"/>
              </w:rPr>
              <w:t>1,848,970</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3600" w:type="dxa"/>
            <w:vAlign w:val="bottom"/>
            <w:gridSpan w:val="3"/>
          </w:tcPr>
          <w:p>
            <w:pPr>
              <w:jc w:val="center"/>
              <w:ind w:right="340"/>
              <w:spacing w:after="0"/>
              <w:rPr>
                <w:sz w:val="20"/>
                <w:szCs w:val="20"/>
                <w:color w:val="auto"/>
              </w:rPr>
            </w:pPr>
            <w:r>
              <w:rPr>
                <w:rFonts w:ascii="Arial" w:cs="Arial" w:eastAsia="Arial" w:hAnsi="Arial"/>
                <w:sz w:val="16"/>
                <w:szCs w:val="16"/>
                <w:color w:val="auto"/>
                <w:w w:val="91"/>
              </w:rPr>
              <w:t>Common Stock, $.001 par value</w:t>
            </w:r>
          </w:p>
        </w:tc>
        <w:tc>
          <w:tcPr>
            <w:tcW w:w="2080" w:type="dxa"/>
            <w:vAlign w:val="bottom"/>
          </w:tcPr>
          <w:p>
            <w:pPr>
              <w:jc w:val="right"/>
              <w:ind w:right="19"/>
              <w:spacing w:after="0"/>
              <w:rPr>
                <w:sz w:val="20"/>
                <w:szCs w:val="20"/>
                <w:color w:val="auto"/>
              </w:rPr>
            </w:pPr>
            <w:r>
              <w:rPr>
                <w:rFonts w:ascii="Arial" w:cs="Arial" w:eastAsia="Arial" w:hAnsi="Arial"/>
                <w:sz w:val="16"/>
                <w:szCs w:val="16"/>
                <w:color w:val="auto"/>
              </w:rPr>
              <w:t>110,673,311</w:t>
            </w:r>
          </w:p>
        </w:tc>
        <w:tc>
          <w:tcPr>
            <w:tcW w:w="1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229" w:right="4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12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2</w:t>
              </w:r>
            </w:hyperlink>
          </w:p>
        </w:tc>
        <w:tc>
          <w:tcPr>
            <w:tcW w:w="200" w:type="dxa"/>
            <w:vAlign w:val="bottom"/>
            <w:tcBorders>
              <w:bottom w:val="single" w:sz="8" w:color="CCEEFF"/>
            </w:tcBorders>
            <w:shd w:val="clear" w:color="auto" w:fill="CCEEFF"/>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w:t>
              </w:r>
            </w:hyperlink>
          </w:p>
        </w:tc>
        <w:tc>
          <w:tcPr>
            <w:tcW w:w="112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2</w:t>
              </w:r>
            </w:hyperlink>
          </w:p>
        </w:tc>
        <w:tc>
          <w:tcPr>
            <w:tcW w:w="200" w:type="dxa"/>
            <w:vAlign w:val="bottom"/>
            <w:tcBorders>
              <w:bottom w:val="single" w:sz="8" w:color="CCEEFF"/>
            </w:tcBorders>
            <w:shd w:val="clear" w:color="auto" w:fill="CCEEFF"/>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3"/>
        </w:trPr>
        <w:tc>
          <w:tcPr>
            <w:tcW w:w="1160" w:type="dxa"/>
            <w:vAlign w:val="bottom"/>
            <w:shd w:val="clear" w:color="auto" w:fill="CCEEFF"/>
          </w:tcPr>
          <w:p>
            <w:pPr>
              <w:spacing w:after="0"/>
              <w:rPr>
                <w:sz w:val="17"/>
                <w:szCs w:val="17"/>
                <w:color w:val="auto"/>
              </w:rPr>
            </w:pPr>
          </w:p>
        </w:tc>
        <w:tc>
          <w:tcPr>
            <w:tcW w:w="7700" w:type="dxa"/>
            <w:vAlign w:val="bottom"/>
            <w:gridSpan w:val="7"/>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 for the Three</w:t>
              </w:r>
            </w:hyperlink>
          </w:p>
        </w:tc>
        <w:tc>
          <w:tcPr>
            <w:tcW w:w="1120" w:type="dxa"/>
            <w:vAlign w:val="bottom"/>
            <w:shd w:val="clear" w:color="auto" w:fill="CCEEFF"/>
          </w:tcPr>
          <w:p>
            <w:pPr>
              <w:jc w:val="center"/>
              <w:spacing w:after="0" w:line="202" w:lineRule="exact"/>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3</w:t>
              </w:r>
            </w:hyperlink>
          </w:p>
        </w:tc>
        <w:tc>
          <w:tcPr>
            <w:tcW w:w="200" w:type="dxa"/>
            <w:vAlign w:val="bottom"/>
            <w:shd w:val="clear" w:color="auto" w:fill="CCEEFF"/>
          </w:tcPr>
          <w:p>
            <w:pPr>
              <w:spacing w:after="0"/>
              <w:rPr>
                <w:sz w:val="17"/>
                <w:szCs w:val="17"/>
                <w:color w:val="auto"/>
              </w:rPr>
            </w:pPr>
          </w:p>
        </w:tc>
      </w:tr>
      <w:tr>
        <w:trPr>
          <w:trHeight w:val="243"/>
        </w:trPr>
        <w:tc>
          <w:tcPr>
            <w:tcW w:w="1160" w:type="dxa"/>
            <w:vAlign w:val="bottom"/>
            <w:tcBorders>
              <w:top w:val="single" w:sz="8" w:color="CCEEFF"/>
            </w:tcBorders>
            <w:shd w:val="clear" w:color="auto" w:fill="CCEEFF"/>
          </w:tcPr>
          <w:p>
            <w:pPr>
              <w:spacing w:after="0"/>
              <w:rPr>
                <w:sz w:val="21"/>
                <w:szCs w:val="21"/>
                <w:color w:val="auto"/>
              </w:rPr>
            </w:pPr>
          </w:p>
        </w:tc>
        <w:tc>
          <w:tcPr>
            <w:tcW w:w="670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Months Ended March 31, 2020 and 2019</w:t>
              </w:r>
            </w:hyperlink>
          </w:p>
        </w:tc>
        <w:tc>
          <w:tcPr>
            <w:tcW w:w="1000" w:type="dxa"/>
            <w:vAlign w:val="bottom"/>
            <w:tcBorders>
              <w:top w:val="single" w:sz="8" w:color="CCEEFF"/>
            </w:tcBorders>
            <w:gridSpan w:val="2"/>
            <w:shd w:val="clear" w:color="auto" w:fill="CCEEFF"/>
          </w:tcPr>
          <w:p>
            <w:pPr>
              <w:spacing w:after="0"/>
              <w:rPr>
                <w:sz w:val="21"/>
                <w:szCs w:val="21"/>
                <w:color w:val="auto"/>
              </w:rPr>
            </w:pPr>
          </w:p>
        </w:tc>
        <w:tc>
          <w:tcPr>
            <w:tcW w:w="1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1160" w:type="dxa"/>
            <w:vAlign w:val="bottom"/>
            <w:tcBorders>
              <w:top w:val="single" w:sz="8" w:color="CCEEFF"/>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620" w:type="dxa"/>
            <w:vAlign w:val="bottom"/>
            <w:tcBorders>
              <w:top w:val="single" w:sz="8" w:color="0000EE"/>
            </w:tcBorders>
          </w:tcPr>
          <w:p>
            <w:pPr>
              <w:spacing w:after="0"/>
              <w:rPr>
                <w:sz w:val="19"/>
                <w:szCs w:val="19"/>
                <w:color w:val="auto"/>
              </w:rPr>
            </w:pPr>
          </w:p>
        </w:tc>
        <w:tc>
          <w:tcPr>
            <w:tcW w:w="3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1160" w:type="dxa"/>
            <w:vAlign w:val="bottom"/>
            <w:shd w:val="clear" w:color="auto" w:fill="CCEEFF"/>
          </w:tcPr>
          <w:p>
            <w:pPr>
              <w:spacing w:after="0"/>
              <w:rPr>
                <w:sz w:val="17"/>
                <w:szCs w:val="17"/>
                <w:color w:val="auto"/>
              </w:rPr>
            </w:pPr>
          </w:p>
        </w:tc>
        <w:tc>
          <w:tcPr>
            <w:tcW w:w="7700" w:type="dxa"/>
            <w:vAlign w:val="bottom"/>
            <w:gridSpan w:val="7"/>
            <w:shd w:val="clear" w:color="auto" w:fill="CCEEFF"/>
          </w:tcPr>
          <w:p>
            <w:pPr>
              <w:spacing w:after="0" w:line="20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Stockholders' Equity for the Three Months Ended March</w:t>
              </w:r>
            </w:hyperlink>
          </w:p>
        </w:tc>
        <w:tc>
          <w:tcPr>
            <w:tcW w:w="1120" w:type="dxa"/>
            <w:vAlign w:val="bottom"/>
            <w:shd w:val="clear" w:color="auto" w:fill="CCEEFF"/>
          </w:tcPr>
          <w:p>
            <w:pPr>
              <w:jc w:val="center"/>
              <w:spacing w:after="0" w:line="202" w:lineRule="exact"/>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4</w:t>
              </w:r>
            </w:hyperlink>
          </w:p>
        </w:tc>
        <w:tc>
          <w:tcPr>
            <w:tcW w:w="200" w:type="dxa"/>
            <w:vAlign w:val="bottom"/>
            <w:shd w:val="clear" w:color="auto" w:fill="CCEEFF"/>
          </w:tcPr>
          <w:p>
            <w:pPr>
              <w:spacing w:after="0"/>
              <w:rPr>
                <w:sz w:val="17"/>
                <w:szCs w:val="17"/>
                <w:color w:val="auto"/>
              </w:rPr>
            </w:pPr>
          </w:p>
        </w:tc>
      </w:tr>
      <w:tr>
        <w:trPr>
          <w:trHeight w:val="243"/>
        </w:trPr>
        <w:tc>
          <w:tcPr>
            <w:tcW w:w="1160" w:type="dxa"/>
            <w:vAlign w:val="bottom"/>
            <w:tcBorders>
              <w:top w:val="single" w:sz="8" w:color="CCEEFF"/>
            </w:tcBorders>
            <w:shd w:val="clear" w:color="auto" w:fill="CCEEFF"/>
          </w:tcPr>
          <w:p>
            <w:pPr>
              <w:spacing w:after="0"/>
              <w:rPr>
                <w:sz w:val="21"/>
                <w:szCs w:val="21"/>
                <w:color w:val="auto"/>
              </w:rPr>
            </w:pPr>
          </w:p>
        </w:tc>
        <w:tc>
          <w:tcPr>
            <w:tcW w:w="696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31, 2020 and 2019</w:t>
              </w:r>
            </w:hyperlink>
          </w:p>
        </w:tc>
        <w:tc>
          <w:tcPr>
            <w:tcW w:w="74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29"/>
        </w:trPr>
        <w:tc>
          <w:tcPr>
            <w:tcW w:w="1160" w:type="dxa"/>
            <w:vAlign w:val="bottom"/>
            <w:tcBorders>
              <w:top w:val="single" w:sz="8" w:color="CCEEFF"/>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3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1160" w:type="dxa"/>
            <w:vAlign w:val="bottom"/>
            <w:shd w:val="clear" w:color="auto" w:fill="CCEEFF"/>
          </w:tcPr>
          <w:p>
            <w:pPr>
              <w:spacing w:after="0"/>
              <w:rPr>
                <w:sz w:val="17"/>
                <w:szCs w:val="17"/>
                <w:color w:val="auto"/>
              </w:rPr>
            </w:pPr>
          </w:p>
        </w:tc>
        <w:tc>
          <w:tcPr>
            <w:tcW w:w="7700" w:type="dxa"/>
            <w:vAlign w:val="bottom"/>
            <w:gridSpan w:val="7"/>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w:t>
              </w:r>
            </w:hyperlink>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1160" w:type="dxa"/>
            <w:vAlign w:val="bottom"/>
            <w:tcBorders>
              <w:top w:val="single" w:sz="8" w:color="CCEEFF"/>
            </w:tcBorders>
            <w:shd w:val="clear" w:color="auto" w:fill="CCEEFF"/>
          </w:tcPr>
          <w:p>
            <w:pPr>
              <w:spacing w:after="0"/>
              <w:rPr>
                <w:sz w:val="21"/>
                <w:szCs w:val="21"/>
                <w:color w:val="auto"/>
              </w:rPr>
            </w:pPr>
          </w:p>
        </w:tc>
        <w:tc>
          <w:tcPr>
            <w:tcW w:w="658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2020 and 2019</w:t>
              </w:r>
            </w:hyperlink>
          </w:p>
        </w:tc>
        <w:tc>
          <w:tcPr>
            <w:tcW w:w="1120" w:type="dxa"/>
            <w:vAlign w:val="bottom"/>
            <w:tcBorders>
              <w:top w:val="single" w:sz="8" w:color="CCEEFF"/>
            </w:tcBorders>
            <w:gridSpan w:val="3"/>
            <w:shd w:val="clear" w:color="auto" w:fill="CCEEFF"/>
          </w:tcPr>
          <w:p>
            <w:pPr>
              <w:spacing w:after="0"/>
              <w:rPr>
                <w:sz w:val="21"/>
                <w:szCs w:val="21"/>
                <w:color w:val="auto"/>
              </w:rPr>
            </w:pPr>
          </w:p>
        </w:tc>
        <w:tc>
          <w:tcPr>
            <w:tcW w:w="1120" w:type="dxa"/>
            <w:vAlign w:val="bottom"/>
            <w:tcBorders>
              <w:top w:val="single" w:sz="8" w:color="CCEEFF"/>
            </w:tcBorders>
            <w:shd w:val="clear" w:color="auto" w:fill="CCEEFF"/>
          </w:tcPr>
          <w:p>
            <w:pPr>
              <w:jc w:val="center"/>
              <w:spacing w:after="0" w:line="196" w:lineRule="exact"/>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5</w:t>
              </w:r>
            </w:hyperlink>
          </w:p>
        </w:tc>
        <w:tc>
          <w:tcPr>
            <w:tcW w:w="200" w:type="dxa"/>
            <w:vAlign w:val="bottom"/>
            <w:tcBorders>
              <w:top w:val="single" w:sz="8" w:color="CCEEFF"/>
            </w:tcBorders>
            <w:shd w:val="clear" w:color="auto" w:fill="CCEEFF"/>
          </w:tcPr>
          <w:p>
            <w:pPr>
              <w:spacing w:after="0"/>
              <w:rPr>
                <w:sz w:val="21"/>
                <w:szCs w:val="21"/>
                <w:color w:val="auto"/>
              </w:rPr>
            </w:pPr>
          </w:p>
        </w:tc>
      </w:tr>
      <w:tr>
        <w:trPr>
          <w:trHeight w:val="229"/>
        </w:trPr>
        <w:tc>
          <w:tcPr>
            <w:tcW w:w="1160" w:type="dxa"/>
            <w:vAlign w:val="bottom"/>
            <w:tcBorders>
              <w:top w:val="single" w:sz="8" w:color="CCEEFF"/>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620" w:type="dxa"/>
            <w:vAlign w:val="bottom"/>
            <w:tcBorders>
              <w:top w:val="single" w:sz="8" w:color="CCEEFF"/>
            </w:tcBorders>
          </w:tcPr>
          <w:p>
            <w:pPr>
              <w:spacing w:after="0"/>
              <w:rPr>
                <w:sz w:val="19"/>
                <w:szCs w:val="19"/>
                <w:color w:val="auto"/>
              </w:rPr>
            </w:pPr>
          </w:p>
        </w:tc>
        <w:tc>
          <w:tcPr>
            <w:tcW w:w="36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112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79"/>
              </w:rPr>
            </w:pPr>
            <w:hyperlink w:anchor="page7">
              <w:r>
                <w:rPr>
                  <w:rFonts w:ascii="Arial" w:cs="Arial" w:eastAsia="Arial" w:hAnsi="Arial"/>
                  <w:sz w:val="18"/>
                  <w:szCs w:val="18"/>
                  <w:u w:val="single" w:color="auto"/>
                  <w:color w:val="0000EE"/>
                  <w:w w:val="79"/>
                </w:rPr>
                <w:t>6</w:t>
              </w:r>
            </w:hyperlink>
          </w:p>
        </w:tc>
        <w:tc>
          <w:tcPr>
            <w:tcW w:w="200" w:type="dxa"/>
            <w:vAlign w:val="bottom"/>
            <w:tcBorders>
              <w:bottom w:val="single" w:sz="8" w:color="CCEEFF"/>
            </w:tcBorders>
            <w:shd w:val="clear" w:color="auto" w:fill="CCEEFF"/>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w:t>
              </w:r>
            </w:hyperlink>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24">
              <w:r>
                <w:rPr>
                  <w:rFonts w:ascii="Arial" w:cs="Arial" w:eastAsia="Arial" w:hAnsi="Arial"/>
                  <w:sz w:val="18"/>
                  <w:szCs w:val="18"/>
                  <w:u w:val="single" w:color="auto"/>
                  <w:color w:val="0000EE"/>
                  <w:w w:val="89"/>
                </w:rPr>
                <w:t>23</w:t>
              </w:r>
            </w:hyperlink>
          </w:p>
        </w:tc>
        <w:tc>
          <w:tcPr>
            <w:tcW w:w="200" w:type="dxa"/>
            <w:vAlign w:val="bottom"/>
            <w:tcBorders>
              <w:bottom w:val="single" w:sz="8" w:color="CCEEFF"/>
            </w:tcBorders>
            <w:shd w:val="clear" w:color="auto" w:fill="CCEEFF"/>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3.</w:t>
              </w:r>
            </w:hyperlink>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Quantitative and Qualitative Disclosures About Market Risk</w:t>
              </w:r>
            </w:hyperlink>
          </w:p>
        </w:tc>
        <w:tc>
          <w:tcPr>
            <w:tcW w:w="112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43</w:t>
              </w:r>
            </w:hyperlink>
          </w:p>
        </w:tc>
        <w:tc>
          <w:tcPr>
            <w:tcW w:w="200" w:type="dxa"/>
            <w:vAlign w:val="bottom"/>
            <w:tcBorders>
              <w:bottom w:val="single" w:sz="8" w:color="CCEEFF"/>
            </w:tcBorders>
            <w:shd w:val="clear" w:color="auto" w:fill="CCEEFF"/>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4.</w:t>
              </w:r>
            </w:hyperlink>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Controls and Procedures</w:t>
              </w:r>
            </w:hyperlink>
          </w:p>
        </w:tc>
        <w:tc>
          <w:tcPr>
            <w:tcW w:w="112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43</w:t>
              </w:r>
            </w:hyperlink>
          </w:p>
        </w:tc>
        <w:tc>
          <w:tcPr>
            <w:tcW w:w="200" w:type="dxa"/>
            <w:vAlign w:val="bottom"/>
            <w:tcBorders>
              <w:bottom w:val="single" w:sz="8" w:color="CCEEFF"/>
            </w:tcBorders>
            <w:shd w:val="clear" w:color="auto" w:fill="CCEEFF"/>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60" w:type="dxa"/>
            <w:vAlign w:val="bottom"/>
            <w:tcBorders>
              <w:bottom w:val="single" w:sz="8" w:color="CCEEFF"/>
            </w:tcBorders>
            <w:shd w:val="clear" w:color="auto" w:fill="CCEEFF"/>
          </w:tcPr>
          <w:p>
            <w:pPr>
              <w:ind w:left="2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PART II</w:t>
              </w:r>
            </w:hyperlink>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OTHER INFORMATION</w:t>
              </w:r>
            </w:hyperlink>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w:t>
              </w:r>
            </w:hyperlink>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Legal Proceedings</w:t>
              </w:r>
            </w:hyperlink>
          </w:p>
        </w:tc>
        <w:tc>
          <w:tcPr>
            <w:tcW w:w="112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43</w:t>
              </w:r>
            </w:hyperlink>
          </w:p>
        </w:tc>
        <w:tc>
          <w:tcPr>
            <w:tcW w:w="200" w:type="dxa"/>
            <w:vAlign w:val="bottom"/>
            <w:tcBorders>
              <w:bottom w:val="single" w:sz="8" w:color="CCEEFF"/>
            </w:tcBorders>
            <w:shd w:val="clear" w:color="auto" w:fill="CCEEFF"/>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1A.</w:t>
              </w:r>
            </w:hyperlink>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112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43</w:t>
              </w:r>
            </w:hyperlink>
          </w:p>
        </w:tc>
        <w:tc>
          <w:tcPr>
            <w:tcW w:w="200" w:type="dxa"/>
            <w:vAlign w:val="bottom"/>
            <w:tcBorders>
              <w:bottom w:val="single" w:sz="8" w:color="CCEEFF"/>
            </w:tcBorders>
            <w:shd w:val="clear" w:color="auto" w:fill="CCEEFF"/>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2.</w:t>
              </w:r>
            </w:hyperlink>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Unregistered Sales of Equity Securities and Use of Proceeds</w:t>
              </w:r>
            </w:hyperlink>
          </w:p>
        </w:tc>
        <w:tc>
          <w:tcPr>
            <w:tcW w:w="112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74">
              <w:r>
                <w:rPr>
                  <w:rFonts w:ascii="Arial" w:cs="Arial" w:eastAsia="Arial" w:hAnsi="Arial"/>
                  <w:sz w:val="18"/>
                  <w:szCs w:val="18"/>
                  <w:u w:val="single" w:color="auto"/>
                  <w:color w:val="0000EE"/>
                  <w:w w:val="89"/>
                </w:rPr>
                <w:t>73</w:t>
              </w:r>
            </w:hyperlink>
          </w:p>
        </w:tc>
        <w:tc>
          <w:tcPr>
            <w:tcW w:w="200" w:type="dxa"/>
            <w:vAlign w:val="bottom"/>
            <w:tcBorders>
              <w:bottom w:val="single" w:sz="8" w:color="CCEEFF"/>
            </w:tcBorders>
            <w:shd w:val="clear" w:color="auto" w:fill="CCEEFF"/>
          </w:tcPr>
          <w:p>
            <w:pPr>
              <w:spacing w:after="0"/>
              <w:rPr>
                <w:sz w:val="21"/>
                <w:szCs w:val="21"/>
                <w:color w:val="auto"/>
              </w:rPr>
            </w:pPr>
          </w:p>
        </w:tc>
      </w:tr>
      <w:tr>
        <w:trPr>
          <w:trHeight w:val="229"/>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116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6.</w:t>
              </w:r>
            </w:hyperlink>
          </w:p>
        </w:tc>
        <w:tc>
          <w:tcPr>
            <w:tcW w:w="770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Exhibits</w:t>
              </w:r>
            </w:hyperlink>
          </w:p>
        </w:tc>
        <w:tc>
          <w:tcPr>
            <w:tcW w:w="112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75">
              <w:r>
                <w:rPr>
                  <w:rFonts w:ascii="Arial" w:cs="Arial" w:eastAsia="Arial" w:hAnsi="Arial"/>
                  <w:sz w:val="18"/>
                  <w:szCs w:val="18"/>
                  <w:u w:val="single" w:color="auto"/>
                  <w:color w:val="0000EE"/>
                  <w:w w:val="89"/>
                </w:rPr>
                <w:t>74</w:t>
              </w:r>
            </w:hyperlink>
          </w:p>
        </w:tc>
        <w:tc>
          <w:tcPr>
            <w:tcW w:w="200" w:type="dxa"/>
            <w:vAlign w:val="bottom"/>
            <w:tcBorders>
              <w:bottom w:val="single" w:sz="8" w:color="CCEEFF"/>
            </w:tcBorders>
            <w:shd w:val="clear" w:color="auto" w:fill="CCEEFF"/>
          </w:tcPr>
          <w:p>
            <w:pPr>
              <w:spacing w:after="0"/>
              <w:rPr>
                <w:sz w:val="21"/>
                <w:szCs w:val="21"/>
                <w:color w:val="auto"/>
              </w:rPr>
            </w:pPr>
          </w:p>
        </w:tc>
      </w:tr>
      <w:tr>
        <w:trPr>
          <w:trHeight w:val="230"/>
        </w:trPr>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8860" w:type="dxa"/>
            <w:vAlign w:val="bottom"/>
            <w:gridSpan w:val="8"/>
            <w:shd w:val="clear" w:color="auto" w:fill="CCEEFF"/>
          </w:tcPr>
          <w:p>
            <w:pPr>
              <w:ind w:left="20"/>
              <w:spacing w:after="0"/>
              <w:rPr>
                <w:rFonts w:ascii="Arial" w:cs="Arial" w:eastAsia="Arial" w:hAnsi="Arial"/>
                <w:sz w:val="18"/>
                <w:szCs w:val="18"/>
                <w:b w:val="1"/>
                <w:bCs w:val="1"/>
                <w:u w:val="single" w:color="auto"/>
                <w:color w:val="0000EE"/>
              </w:rPr>
            </w:pPr>
            <w:hyperlink w:anchor="page76">
              <w:r>
                <w:rPr>
                  <w:rFonts w:ascii="Arial" w:cs="Arial" w:eastAsia="Arial" w:hAnsi="Arial"/>
                  <w:sz w:val="18"/>
                  <w:szCs w:val="18"/>
                  <w:b w:val="1"/>
                  <w:bCs w:val="1"/>
                  <w:u w:val="single" w:color="auto"/>
                  <w:color w:val="0000EE"/>
                </w:rPr>
                <w:t>SIGNATURE PAGE</w:t>
              </w:r>
            </w:hyperlink>
          </w:p>
        </w:tc>
        <w:tc>
          <w:tcPr>
            <w:tcW w:w="112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76">
              <w:r>
                <w:rPr>
                  <w:rFonts w:ascii="Arial" w:cs="Arial" w:eastAsia="Arial" w:hAnsi="Arial"/>
                  <w:sz w:val="18"/>
                  <w:szCs w:val="18"/>
                  <w:u w:val="single" w:color="auto"/>
                  <w:color w:val="0000EE"/>
                  <w:w w:val="89"/>
                </w:rPr>
                <w:t>75</w:t>
              </w:r>
            </w:hyperlink>
          </w:p>
        </w:tc>
        <w:tc>
          <w:tcPr>
            <w:tcW w:w="200" w:type="dxa"/>
            <w:vAlign w:val="bottom"/>
            <w:shd w:val="clear" w:color="auto" w:fill="CCEEFF"/>
          </w:tcPr>
          <w:p>
            <w:pPr>
              <w:spacing w:after="0"/>
              <w:rPr>
                <w:sz w:val="21"/>
                <w:szCs w:val="21"/>
                <w:color w:val="auto"/>
              </w:rPr>
            </w:pPr>
          </w:p>
        </w:tc>
      </w:tr>
      <w:tr>
        <w:trPr>
          <w:trHeight w:val="27"/>
        </w:trPr>
        <w:tc>
          <w:tcPr>
            <w:tcW w:w="1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"Libtayo</w:t>
      </w:r>
      <w:r>
        <w:rPr>
          <w:rFonts w:ascii="Arial" w:cs="Arial" w:eastAsia="Arial" w:hAnsi="Arial"/>
          <w:sz w:val="25"/>
          <w:szCs w:val="25"/>
          <w:color w:val="auto"/>
          <w:vertAlign w:val="superscript"/>
        </w:rPr>
        <w:t>®</w:t>
      </w:r>
      <w:r>
        <w:rPr>
          <w:rFonts w:ascii="Arial" w:cs="Arial" w:eastAsia="Arial" w:hAnsi="Arial"/>
          <w:sz w:val="18"/>
          <w:szCs w:val="18"/>
          <w:color w:val="auto"/>
        </w:rPr>
        <w:t>" (in the United States), "Praluent</w:t>
      </w:r>
      <w:r>
        <w:rPr>
          <w:rFonts w:ascii="Arial" w:cs="Arial" w:eastAsia="Arial" w:hAnsi="Arial"/>
          <w:sz w:val="25"/>
          <w:szCs w:val="25"/>
          <w:color w:val="auto"/>
          <w:vertAlign w:val="superscript"/>
        </w:rPr>
        <w:t>®</w:t>
      </w:r>
      <w:r>
        <w:rPr>
          <w:rFonts w:ascii="Arial" w:cs="Arial" w:eastAsia="Arial" w:hAnsi="Arial"/>
          <w:sz w:val="18"/>
          <w:szCs w:val="18"/>
          <w:color w:val="auto"/>
        </w:rPr>
        <w:t>" (in the United States), "Regeneron</w:t>
      </w:r>
      <w:r>
        <w:rPr>
          <w:rFonts w:ascii="Arial" w:cs="Arial" w:eastAsia="Arial" w:hAnsi="Arial"/>
          <w:sz w:val="25"/>
          <w:szCs w:val="25"/>
          <w:color w:val="auto"/>
          <w:vertAlign w:val="superscript"/>
        </w:rPr>
        <w:t>®</w:t>
      </w:r>
      <w:r>
        <w:rPr>
          <w:rFonts w:ascii="Arial" w:cs="Arial" w:eastAsia="Arial" w:hAnsi="Arial"/>
          <w:sz w:val="18"/>
          <w:szCs w:val="18"/>
          <w:color w:val="auto"/>
        </w:rPr>
        <w:t>," "Regeneron Genetics Center</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Veloci-Bi</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VelociT</w:t>
      </w:r>
      <w:r>
        <w:rPr>
          <w:rFonts w:ascii="Arial" w:cs="Arial" w:eastAsia="Arial" w:hAnsi="Arial"/>
          <w:sz w:val="18"/>
          <w:szCs w:val="18"/>
          <w:color w:val="auto"/>
        </w:rPr>
        <w:t>™," and "ZALTRAP</w:t>
      </w:r>
      <w:r>
        <w:rPr>
          <w:rFonts w:ascii="Arial" w:cs="Arial" w:eastAsia="Arial" w:hAnsi="Arial"/>
          <w:sz w:val="25"/>
          <w:szCs w:val="25"/>
          <w:color w:val="auto"/>
          <w:vertAlign w:val="superscript"/>
        </w:rPr>
        <w:t>®</w:t>
      </w:r>
      <w:r>
        <w:rPr>
          <w:rFonts w:ascii="Arial" w:cs="Arial" w:eastAsia="Arial" w:hAnsi="Arial"/>
          <w:sz w:val="18"/>
          <w:szCs w:val="18"/>
          <w:color w:val="auto"/>
        </w:rPr>
        <w:t>" are trademarks of Regeneron</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180"/>
          </w:cols>
          <w:pgMar w:left="360" w:top="337" w:right="3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8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1,617.8</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1,795.2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1,596.5</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2,100.0</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Accounts receivable - Sanofi</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260.6</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other</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1,480.9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1,415.5</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273.7</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8,644.1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7,689.1</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3,256.8</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2,890.4</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824.2</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15,757.5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14,805.2</w:t>
            </w:r>
          </w:p>
        </w:tc>
      </w:tr>
      <w:tr>
        <w:trPr>
          <w:trHeight w:val="67"/>
        </w:trPr>
        <w:tc>
          <w:tcPr>
            <w:tcW w:w="8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23"/>
        </w:trPr>
        <w:tc>
          <w:tcPr>
            <w:tcW w:w="8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3"/>
        </w:trPr>
        <w:tc>
          <w:tcPr>
            <w:tcW w:w="8220" w:type="dxa"/>
            <w:vAlign w:val="bottom"/>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418.1</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1,211.4</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Deferred revenue - Sanofi</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310.5</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 other</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 liabilities - Sanofi</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2,096.6</w:t>
            </w:r>
          </w:p>
        </w:tc>
      </w:tr>
      <w:tr>
        <w:trPr>
          <w:trHeight w:val="243"/>
        </w:trPr>
        <w:tc>
          <w:tcPr>
            <w:tcW w:w="8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Finance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713.9</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Deferred revenue - Sanofi</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 other</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Other liabilities - Sanofi</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482.0</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317.7</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3,624.5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3,715.5</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280"/>
              <w:spacing w:after="0"/>
              <w:rPr>
                <w:sz w:val="20"/>
                <w:szCs w:val="20"/>
                <w:color w:val="auto"/>
              </w:rPr>
            </w:pPr>
            <w:r>
              <w:rPr>
                <w:rFonts w:ascii="Arial" w:cs="Arial" w:eastAsia="Arial" w:hAnsi="Arial"/>
                <w:sz w:val="18"/>
                <w:szCs w:val="18"/>
                <w:color w:val="auto"/>
                <w:w w:val="92"/>
              </w:rPr>
              <w:t>Class A Stock, convertible, $.001 par value; 40,000,000 shares authorized; shares issued and outstanding -</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20" w:type="dxa"/>
            <w:vAlign w:val="bottom"/>
          </w:tcPr>
          <w:p>
            <w:pPr>
              <w:ind w:left="440"/>
              <w:spacing w:after="0"/>
              <w:rPr>
                <w:sz w:val="20"/>
                <w:szCs w:val="20"/>
                <w:color w:val="auto"/>
              </w:rPr>
            </w:pPr>
            <w:r>
              <w:rPr>
                <w:rFonts w:ascii="Arial" w:cs="Arial" w:eastAsia="Arial" w:hAnsi="Arial"/>
                <w:sz w:val="18"/>
                <w:szCs w:val="18"/>
                <w:color w:val="auto"/>
              </w:rPr>
              <w:t>1,848,970 in 2020 and 2019</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2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Common Stock, $.001 par value; 320,000,000 shares authorized; shares issued - 116,025,758 in 2020 and</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113,288,103 in 2019</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4,428.6</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7,379.8</w:t>
            </w:r>
          </w:p>
        </w:tc>
      </w:tr>
      <w:tr>
        <w:trPr>
          <w:trHeight w:val="243"/>
        </w:trPr>
        <w:tc>
          <w:tcPr>
            <w:tcW w:w="8220" w:type="dxa"/>
            <w:vAlign w:val="bottom"/>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5,683,562 shares in 2020 and 4,860,123 shares in 2019</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(739.9)</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12,133.0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11,089.7</w:t>
            </w:r>
          </w:p>
        </w:tc>
      </w:tr>
      <w:tr>
        <w:trPr>
          <w:trHeight w:val="27"/>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14,805.2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 w:right="339" w:bottom="46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30" w:right="339" w:bottom="46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6"/>
        </w:trPr>
        <w:tc>
          <w:tcPr>
            <w:tcW w:w="3840" w:type="dxa"/>
            <w:vAlign w:val="bottom"/>
          </w:tcPr>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tc>
        <w:tc>
          <w:tcPr>
            <w:tcW w:w="4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595"/>
        </w:trPr>
        <w:tc>
          <w:tcPr>
            <w:tcW w:w="3840" w:type="dxa"/>
            <w:vAlign w:val="bottom"/>
          </w:tcPr>
          <w:p>
            <w:pPr>
              <w:spacing w:after="0"/>
              <w:rPr>
                <w:sz w:val="24"/>
                <w:szCs w:val="24"/>
                <w:color w:val="auto"/>
              </w:rPr>
            </w:pPr>
          </w:p>
        </w:tc>
        <w:tc>
          <w:tcPr>
            <w:tcW w:w="45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rPr>
              <w:t>REGENERON PHARMACEUTICALS, INC.</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0160" w:type="dxa"/>
            <w:vAlign w:val="bottom"/>
            <w:gridSpan w:val="6"/>
          </w:tcPr>
          <w:p>
            <w:pPr>
              <w:jc w:val="center"/>
              <w:ind w:left="99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1080" w:type="dxa"/>
            <w:vAlign w:val="bottom"/>
          </w:tcPr>
          <w:p>
            <w:pPr>
              <w:spacing w:after="0"/>
              <w:rPr>
                <w:sz w:val="18"/>
                <w:szCs w:val="18"/>
                <w:color w:val="auto"/>
              </w:rPr>
            </w:pPr>
          </w:p>
        </w:tc>
      </w:tr>
      <w:tr>
        <w:trPr>
          <w:trHeight w:val="220"/>
        </w:trPr>
        <w:tc>
          <w:tcPr>
            <w:tcW w:w="3840" w:type="dxa"/>
            <w:vAlign w:val="bottom"/>
          </w:tcPr>
          <w:p>
            <w:pPr>
              <w:spacing w:after="0"/>
              <w:rPr>
                <w:sz w:val="19"/>
                <w:szCs w:val="19"/>
                <w:color w:val="auto"/>
              </w:rPr>
            </w:pPr>
          </w:p>
        </w:tc>
        <w:tc>
          <w:tcPr>
            <w:tcW w:w="45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1"/>
              </w:rPr>
              <w:t>(Unaudited)</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840" w:type="dxa"/>
            <w:vAlign w:val="bottom"/>
          </w:tcPr>
          <w:p>
            <w:pPr>
              <w:spacing w:after="0"/>
              <w:rPr>
                <w:sz w:val="20"/>
                <w:szCs w:val="20"/>
                <w:color w:val="auto"/>
              </w:rPr>
            </w:pPr>
          </w:p>
        </w:tc>
        <w:tc>
          <w:tcPr>
            <w:tcW w:w="4520" w:type="dxa"/>
            <w:vAlign w:val="bottom"/>
            <w:gridSpan w:val="2"/>
          </w:tcPr>
          <w:p>
            <w:pPr>
              <w:jc w:val="center"/>
              <w:ind w:right="96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0"/>
        </w:trPr>
        <w:tc>
          <w:tcPr>
            <w:tcW w:w="38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38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8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384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Revenues:</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4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1,104.4</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Sanofi collaboration revenue</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3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264.0</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Other revenue</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384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384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1,372.6</w:t>
            </w:r>
          </w:p>
        </w:tc>
      </w:tr>
      <w:tr>
        <w:trPr>
          <w:trHeight w:val="277"/>
        </w:trPr>
        <w:tc>
          <w:tcPr>
            <w:tcW w:w="38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583.9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486.1</w:t>
            </w:r>
          </w:p>
        </w:tc>
      </w:tr>
      <w:tr>
        <w:trPr>
          <w:trHeight w:val="27"/>
        </w:trPr>
        <w:tc>
          <w:tcPr>
            <w:tcW w:w="3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Cost of goods sold</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70.9</w:t>
            </w:r>
          </w:p>
        </w:tc>
      </w:tr>
      <w:tr>
        <w:trPr>
          <w:trHeight w:val="27"/>
        </w:trPr>
        <w:tc>
          <w:tcPr>
            <w:tcW w:w="3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Cost of collaboration and contract manufacturing</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Other operating (income) expense, net</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7"/>
        </w:trPr>
        <w:tc>
          <w:tcPr>
            <w:tcW w:w="384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384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892.6</w:t>
            </w:r>
          </w:p>
        </w:tc>
      </w:tr>
      <w:tr>
        <w:trPr>
          <w:trHeight w:val="277"/>
        </w:trPr>
        <w:tc>
          <w:tcPr>
            <w:tcW w:w="38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w:t>
            </w:r>
          </w:p>
        </w:tc>
      </w:tr>
      <w:tr>
        <w:trPr>
          <w:trHeight w:val="277"/>
        </w:trPr>
        <w:tc>
          <w:tcPr>
            <w:tcW w:w="38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7"/>
        </w:trPr>
        <w:tc>
          <w:tcPr>
            <w:tcW w:w="3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1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38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r>
      <w:tr>
        <w:trPr>
          <w:trHeight w:val="27"/>
        </w:trPr>
        <w:tc>
          <w:tcPr>
            <w:tcW w:w="384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3840" w:type="dxa"/>
            <w:vAlign w:val="bottom"/>
            <w:shd w:val="clear" w:color="auto" w:fill="CCEEFF"/>
          </w:tcPr>
          <w:p>
            <w:pPr>
              <w:spacing w:after="0"/>
              <w:rPr>
                <w:sz w:val="24"/>
                <w:szCs w:val="24"/>
                <w:color w:val="auto"/>
              </w:rPr>
            </w:pPr>
          </w:p>
        </w:tc>
        <w:tc>
          <w:tcPr>
            <w:tcW w:w="4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546.1</w:t>
            </w:r>
          </w:p>
        </w:tc>
      </w:tr>
      <w:tr>
        <w:trPr>
          <w:trHeight w:val="27"/>
        </w:trPr>
        <w:tc>
          <w:tcPr>
            <w:tcW w:w="3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3"/>
        </w:trPr>
        <w:tc>
          <w:tcPr>
            <w:tcW w:w="3840" w:type="dxa"/>
            <w:vAlign w:val="bottom"/>
            <w:shd w:val="clear" w:color="auto" w:fill="CCEEFF"/>
          </w:tcPr>
          <w:p>
            <w:pPr>
              <w:spacing w:after="0"/>
              <w:rPr>
                <w:sz w:val="24"/>
                <w:szCs w:val="24"/>
                <w:color w:val="auto"/>
              </w:rPr>
            </w:pPr>
          </w:p>
        </w:tc>
        <w:tc>
          <w:tcPr>
            <w:tcW w:w="4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
        </w:trPr>
        <w:tc>
          <w:tcPr>
            <w:tcW w:w="384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3840" w:type="dxa"/>
            <w:vAlign w:val="bottom"/>
            <w:shd w:val="clear" w:color="auto" w:fill="CCEEFF"/>
          </w:tcPr>
          <w:p>
            <w:pPr>
              <w:spacing w:after="0"/>
              <w:rPr>
                <w:sz w:val="24"/>
                <w:szCs w:val="24"/>
                <w:color w:val="auto"/>
              </w:rPr>
            </w:pPr>
          </w:p>
        </w:tc>
        <w:tc>
          <w:tcPr>
            <w:tcW w:w="4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3"/>
        </w:trPr>
        <w:tc>
          <w:tcPr>
            <w:tcW w:w="3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624.6</w:t>
            </w:r>
          </w:p>
        </w:tc>
        <w:tc>
          <w:tcPr>
            <w:tcW w:w="1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461.1</w:t>
            </w:r>
          </w:p>
        </w:tc>
      </w:tr>
      <w:tr>
        <w:trPr>
          <w:trHeight w:val="270"/>
        </w:trPr>
        <w:tc>
          <w:tcPr>
            <w:tcW w:w="3840" w:type="dxa"/>
            <w:vAlign w:val="bottom"/>
            <w:tcBorders>
              <w:top w:val="single" w:sz="8" w:color="CCEEFF"/>
            </w:tcBorders>
            <w:shd w:val="clear" w:color="auto" w:fill="CCEEFF"/>
          </w:tcPr>
          <w:p>
            <w:pPr>
              <w:spacing w:after="0"/>
              <w:rPr>
                <w:sz w:val="23"/>
                <w:szCs w:val="23"/>
                <w:color w:val="auto"/>
              </w:rPr>
            </w:pPr>
          </w:p>
        </w:tc>
        <w:tc>
          <w:tcPr>
            <w:tcW w:w="416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4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3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4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84"/>
        </w:trPr>
        <w:tc>
          <w:tcPr>
            <w:tcW w:w="38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115.5</w:t>
            </w:r>
          </w:p>
        </w:tc>
      </w:tr>
      <w:tr>
        <w:trPr>
          <w:trHeight w:val="27"/>
        </w:trPr>
        <w:tc>
          <w:tcPr>
            <w:tcW w:w="3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3840" w:type="dxa"/>
            <w:vAlign w:val="bottom"/>
            <w:shd w:val="clear" w:color="auto" w:fill="CCEEFF"/>
          </w:tcPr>
          <w:p>
            <w:pPr>
              <w:spacing w:after="0"/>
              <w:rPr>
                <w:sz w:val="24"/>
                <w:szCs w:val="24"/>
                <w:color w:val="auto"/>
              </w:rPr>
            </w:pPr>
          </w:p>
        </w:tc>
        <w:tc>
          <w:tcPr>
            <w:tcW w:w="4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461.1</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debt securities</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Unrealized loss on cash flow hedges</w:t>
            </w:r>
          </w:p>
        </w:tc>
        <w:tc>
          <w:tcPr>
            <w:tcW w:w="4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84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476.2</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149"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30" w:right="339" w:bottom="1149" w:gutter="0" w:footer="0" w:header="0"/>
          <w:type w:val="continuous"/>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(In millions)</w:t>
      </w:r>
    </w:p>
    <w:p>
      <w:pPr>
        <w:spacing w:after="0" w:line="157"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360" w:type="dxa"/>
            <w:vAlign w:val="bottom"/>
            <w:gridSpan w:val="4"/>
            <w:vMerge w:val="restart"/>
          </w:tcPr>
          <w:p>
            <w:pPr>
              <w:ind w:left="160"/>
              <w:spacing w:after="0"/>
              <w:rPr>
                <w:sz w:val="20"/>
                <w:szCs w:val="20"/>
                <w:color w:val="auto"/>
              </w:rPr>
            </w:pPr>
            <w:r>
              <w:rPr>
                <w:rFonts w:ascii="Arial" w:cs="Arial" w:eastAsia="Arial" w:hAnsi="Arial"/>
                <w:sz w:val="16"/>
                <w:szCs w:val="16"/>
                <w:b w:val="1"/>
                <w:bCs w:val="1"/>
                <w:color w:val="auto"/>
              </w:rPr>
              <w:t>Class A Stock</w:t>
            </w:r>
          </w:p>
        </w:tc>
        <w:tc>
          <w:tcPr>
            <w:tcW w:w="134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1520" w:type="dxa"/>
            <w:vAlign w:val="bottom"/>
            <w:gridSpan w:val="5"/>
            <w:vMerge w:val="restart"/>
          </w:tcPr>
          <w:p>
            <w:pPr>
              <w:jc w:val="center"/>
              <w:ind w:right="100"/>
              <w:spacing w:after="0"/>
              <w:rPr>
                <w:sz w:val="20"/>
                <w:szCs w:val="20"/>
                <w:color w:val="auto"/>
              </w:rPr>
            </w:pPr>
            <w:r>
              <w:rPr>
                <w:rFonts w:ascii="Arial" w:cs="Arial" w:eastAsia="Arial" w:hAnsi="Arial"/>
                <w:sz w:val="16"/>
                <w:szCs w:val="16"/>
                <w:b w:val="1"/>
                <w:bCs w:val="1"/>
                <w:color w:val="auto"/>
                <w:w w:val="91"/>
              </w:rPr>
              <w:t>Treasury Stock</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360" w:type="dxa"/>
            <w:vAlign w:val="bottom"/>
            <w:gridSpan w:val="4"/>
            <w:vMerge w:val="continue"/>
          </w:tcPr>
          <w:p>
            <w:pPr>
              <w:spacing w:after="0"/>
              <w:rPr>
                <w:sz w:val="17"/>
                <w:szCs w:val="17"/>
                <w:color w:val="auto"/>
              </w:rPr>
            </w:pPr>
          </w:p>
        </w:tc>
        <w:tc>
          <w:tcPr>
            <w:tcW w:w="1340" w:type="dxa"/>
            <w:vAlign w:val="bottom"/>
            <w:gridSpan w:val="5"/>
            <w:vMerge w:val="continue"/>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152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28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3"/>
              </w:rPr>
              <w:t>Paid-in</w:t>
            </w:r>
          </w:p>
        </w:tc>
        <w:tc>
          <w:tcPr>
            <w:tcW w:w="820" w:type="dxa"/>
            <w:vAlign w:val="bottom"/>
            <w:gridSpan w:val="2"/>
          </w:tcPr>
          <w:p>
            <w:pPr>
              <w:ind w:left="40"/>
              <w:spacing w:after="0" w:line="182" w:lineRule="exact"/>
              <w:rPr>
                <w:sz w:val="20"/>
                <w:szCs w:val="20"/>
                <w:color w:val="auto"/>
              </w:rPr>
            </w:pPr>
            <w:r>
              <w:rPr>
                <w:rFonts w:ascii="Arial" w:cs="Arial" w:eastAsia="Arial" w:hAnsi="Arial"/>
                <w:sz w:val="16"/>
                <w:szCs w:val="16"/>
                <w:b w:val="1"/>
                <w:bCs w:val="1"/>
                <w:color w:val="auto"/>
              </w:rPr>
              <w:t>Retained</w:t>
            </w:r>
          </w:p>
        </w:tc>
        <w:tc>
          <w:tcPr>
            <w:tcW w:w="122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w w:val="98"/>
              </w:rPr>
              <w:t>Comprehensive</w:t>
            </w: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72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Capital</w:t>
            </w: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 (Loss)</w:t>
            </w:r>
          </w:p>
        </w:tc>
        <w:tc>
          <w:tcPr>
            <w:tcW w:w="640" w:type="dxa"/>
            <w:vAlign w:val="bottom"/>
            <w:gridSpan w:val="2"/>
          </w:tcPr>
          <w:p>
            <w:pPr>
              <w:ind w:left="40"/>
              <w:spacing w:after="0"/>
              <w:rPr>
                <w:sz w:val="20"/>
                <w:szCs w:val="20"/>
                <w:color w:val="auto"/>
              </w:rPr>
            </w:pPr>
            <w:r>
              <w:rPr>
                <w:rFonts w:ascii="Arial" w:cs="Arial" w:eastAsia="Arial" w:hAnsi="Arial"/>
                <w:sz w:val="16"/>
                <w:szCs w:val="16"/>
                <w:b w:val="1"/>
                <w:bCs w:val="1"/>
                <w:color w:val="auto"/>
              </w:rPr>
              <w:t>Shares</w:t>
            </w:r>
          </w:p>
        </w:tc>
        <w:tc>
          <w:tcPr>
            <w:tcW w:w="8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8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2019</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$ 4,428.6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$7,379.8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11,089.7</w:t>
            </w:r>
          </w:p>
        </w:tc>
        <w:tc>
          <w:tcPr>
            <w:tcW w:w="0" w:type="dxa"/>
            <w:vAlign w:val="bottom"/>
          </w:tcPr>
          <w:p>
            <w:pPr>
              <w:spacing w:after="0"/>
              <w:rPr>
                <w:sz w:val="1"/>
                <w:szCs w:val="1"/>
                <w:color w:val="auto"/>
              </w:rPr>
            </w:pPr>
          </w:p>
        </w:tc>
      </w:tr>
      <w:tr>
        <w:trPr>
          <w:trHeight w:val="220"/>
        </w:trPr>
        <w:tc>
          <w:tcPr>
            <w:tcW w:w="2800" w:type="dxa"/>
            <w:vAlign w:val="bottom"/>
          </w:tcPr>
          <w:p>
            <w:pPr>
              <w:ind w:left="40"/>
              <w:spacing w:after="0"/>
              <w:rPr>
                <w:sz w:val="20"/>
                <w:szCs w:val="20"/>
                <w:color w:val="auto"/>
              </w:rPr>
            </w:pPr>
            <w:r>
              <w:rPr>
                <w:rFonts w:ascii="Arial" w:cs="Arial" w:eastAsia="Arial" w:hAnsi="Arial"/>
                <w:sz w:val="16"/>
                <w:szCs w:val="16"/>
                <w:color w:val="auto"/>
              </w:rPr>
              <w:t>Issuance of Common Stock for equity</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200"/>
              <w:spacing w:after="0"/>
              <w:rPr>
                <w:sz w:val="20"/>
                <w:szCs w:val="20"/>
                <w:color w:val="auto"/>
              </w:rPr>
            </w:pPr>
            <w:r>
              <w:rPr>
                <w:rFonts w:ascii="Arial" w:cs="Arial" w:eastAsia="Arial" w:hAnsi="Arial"/>
                <w:sz w:val="16"/>
                <w:szCs w:val="16"/>
                <w:color w:val="auto"/>
              </w:rPr>
              <w:t>awards granted under long-term</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tcPr>
          <w:p>
            <w:pPr>
              <w:ind w:left="200"/>
              <w:spacing w:after="0"/>
              <w:rPr>
                <w:sz w:val="20"/>
                <w:szCs w:val="20"/>
                <w:color w:val="auto"/>
              </w:rPr>
            </w:pPr>
            <w:r>
              <w:rPr>
                <w:rFonts w:ascii="Arial" w:cs="Arial" w:eastAsia="Arial" w:hAnsi="Arial"/>
                <w:sz w:val="16"/>
                <w:szCs w:val="16"/>
                <w:color w:val="auto"/>
              </w:rPr>
              <w:t>incentive plans</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817.4</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817.4</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Common Stock tendered upon exercise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stock options and vesting of</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stock for employee tax</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obligations</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20"/>
        </w:trPr>
        <w:tc>
          <w:tcPr>
            <w:tcW w:w="2800" w:type="dxa"/>
            <w:vAlign w:val="bottom"/>
          </w:tcPr>
          <w:p>
            <w:pPr>
              <w:ind w:left="40"/>
              <w:spacing w:after="0"/>
              <w:rPr>
                <w:sz w:val="20"/>
                <w:szCs w:val="20"/>
                <w:color w:val="auto"/>
              </w:rPr>
            </w:pPr>
            <w:r>
              <w:rPr>
                <w:rFonts w:ascii="Arial" w:cs="Arial" w:eastAsia="Arial" w:hAnsi="Arial"/>
                <w:sz w:val="16"/>
                <w:szCs w:val="16"/>
                <w:color w:val="auto"/>
                <w:w w:val="98"/>
              </w:rPr>
              <w:t>Issuance/distribution of Common Stock</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00" w:type="dxa"/>
            <w:vAlign w:val="bottom"/>
          </w:tcPr>
          <w:p>
            <w:pPr>
              <w:ind w:left="200"/>
              <w:spacing w:after="0"/>
              <w:rPr>
                <w:sz w:val="20"/>
                <w:szCs w:val="20"/>
                <w:color w:val="auto"/>
              </w:rPr>
            </w:pPr>
            <w:r>
              <w:rPr>
                <w:rFonts w:ascii="Arial" w:cs="Arial" w:eastAsia="Arial" w:hAnsi="Arial"/>
                <w:sz w:val="16"/>
                <w:szCs w:val="16"/>
                <w:color w:val="auto"/>
              </w:rPr>
              <w:t>for 401(k) Savings Plan</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Common Stock</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Stock-based compensation charges</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624.6</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33"/>
        </w:trPr>
        <w:tc>
          <w:tcPr>
            <w:tcW w:w="28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2020</w:t>
            </w:r>
          </w:p>
        </w:tc>
        <w:tc>
          <w:tcPr>
            <w:tcW w:w="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116.0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2"/>
              </w:rPr>
              <w:t>$ 5,211.4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$8,004.4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(1,073.8)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12,133.0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2018</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$ 3,911.6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$5,254.3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8,757.3</w:t>
            </w:r>
          </w:p>
        </w:tc>
        <w:tc>
          <w:tcPr>
            <w:tcW w:w="0" w:type="dxa"/>
            <w:vAlign w:val="bottom"/>
          </w:tcPr>
          <w:p>
            <w:pPr>
              <w:spacing w:after="0"/>
              <w:rPr>
                <w:sz w:val="1"/>
                <w:szCs w:val="1"/>
                <w:color w:val="auto"/>
              </w:rPr>
            </w:pPr>
          </w:p>
        </w:tc>
      </w:tr>
      <w:tr>
        <w:trPr>
          <w:trHeight w:val="220"/>
        </w:trPr>
        <w:tc>
          <w:tcPr>
            <w:tcW w:w="2800" w:type="dxa"/>
            <w:vAlign w:val="bottom"/>
          </w:tcPr>
          <w:p>
            <w:pPr>
              <w:ind w:left="40"/>
              <w:spacing w:after="0"/>
              <w:rPr>
                <w:sz w:val="20"/>
                <w:szCs w:val="20"/>
                <w:color w:val="auto"/>
              </w:rPr>
            </w:pPr>
            <w:r>
              <w:rPr>
                <w:rFonts w:ascii="Arial" w:cs="Arial" w:eastAsia="Arial" w:hAnsi="Arial"/>
                <w:sz w:val="16"/>
                <w:szCs w:val="16"/>
                <w:color w:val="auto"/>
              </w:rPr>
              <w:t>Issuance of Common Stock for equity</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200"/>
              <w:spacing w:after="0"/>
              <w:rPr>
                <w:sz w:val="20"/>
                <w:szCs w:val="20"/>
                <w:color w:val="auto"/>
              </w:rPr>
            </w:pPr>
            <w:r>
              <w:rPr>
                <w:rFonts w:ascii="Arial" w:cs="Arial" w:eastAsia="Arial" w:hAnsi="Arial"/>
                <w:sz w:val="16"/>
                <w:szCs w:val="16"/>
                <w:color w:val="auto"/>
              </w:rPr>
              <w:t>awards granted under long-term</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0" w:type="dxa"/>
            <w:vAlign w:val="bottom"/>
          </w:tcPr>
          <w:p>
            <w:pPr>
              <w:ind w:left="200"/>
              <w:spacing w:after="0"/>
              <w:rPr>
                <w:sz w:val="20"/>
                <w:szCs w:val="20"/>
                <w:color w:val="auto"/>
              </w:rPr>
            </w:pPr>
            <w:r>
              <w:rPr>
                <w:rFonts w:ascii="Arial" w:cs="Arial" w:eastAsia="Arial" w:hAnsi="Arial"/>
                <w:sz w:val="16"/>
                <w:szCs w:val="16"/>
                <w:color w:val="auto"/>
              </w:rPr>
              <w:t>incentive plans</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140.9</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Common Stock tendered upon exercise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stock options and vesting of</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stock for employee tax</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obligations</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20"/>
        </w:trPr>
        <w:tc>
          <w:tcPr>
            <w:tcW w:w="2800" w:type="dxa"/>
            <w:vAlign w:val="bottom"/>
          </w:tcPr>
          <w:p>
            <w:pPr>
              <w:ind w:left="40"/>
              <w:spacing w:after="0"/>
              <w:rPr>
                <w:sz w:val="20"/>
                <w:szCs w:val="20"/>
                <w:color w:val="auto"/>
              </w:rPr>
            </w:pPr>
            <w:r>
              <w:rPr>
                <w:rFonts w:ascii="Arial" w:cs="Arial" w:eastAsia="Arial" w:hAnsi="Arial"/>
                <w:sz w:val="16"/>
                <w:szCs w:val="16"/>
                <w:color w:val="auto"/>
              </w:rPr>
              <w:t>Issuance of Common Stock for 401(k)</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00" w:type="dxa"/>
            <w:vAlign w:val="bottom"/>
          </w:tcPr>
          <w:p>
            <w:pPr>
              <w:ind w:left="200"/>
              <w:spacing w:after="0"/>
              <w:rPr>
                <w:sz w:val="20"/>
                <w:szCs w:val="20"/>
                <w:color w:val="auto"/>
              </w:rPr>
            </w:pPr>
            <w:r>
              <w:rPr>
                <w:rFonts w:ascii="Arial" w:cs="Arial" w:eastAsia="Arial" w:hAnsi="Arial"/>
                <w:sz w:val="16"/>
                <w:szCs w:val="16"/>
                <w:color w:val="auto"/>
              </w:rPr>
              <w:t>Savings Plan</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Common Stock</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Stock-based compensation charges</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 upon adoption of new</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accounting standard</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7"/>
        </w:trPr>
        <w:tc>
          <w:tcPr>
            <w:tcW w:w="28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461.1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461.1</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Other comprehensive income, net of tax</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43"/>
        </w:trPr>
        <w:tc>
          <w:tcPr>
            <w:tcW w:w="2800" w:type="dxa"/>
            <w:vAlign w:val="bottom"/>
          </w:tcPr>
          <w:p>
            <w:pPr>
              <w:ind w:left="40"/>
              <w:spacing w:after="0"/>
              <w:rPr>
                <w:sz w:val="20"/>
                <w:szCs w:val="20"/>
                <w:color w:val="auto"/>
              </w:rPr>
            </w:pPr>
            <w:r>
              <w:rPr>
                <w:rFonts w:ascii="Arial" w:cs="Arial" w:eastAsia="Arial" w:hAnsi="Arial"/>
                <w:sz w:val="16"/>
                <w:szCs w:val="16"/>
                <w:b w:val="1"/>
                <w:bCs w:val="1"/>
                <w:color w:val="auto"/>
              </w:rPr>
              <w:t>Balance, March 31, 2019</w:t>
            </w:r>
          </w:p>
        </w:tc>
        <w:tc>
          <w:tcPr>
            <w:tcW w:w="5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111.7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92"/>
              </w:rPr>
              <w:t>$ 4,160.9</w:t>
            </w:r>
          </w:p>
        </w:tc>
        <w:tc>
          <w:tcPr>
            <w:tcW w:w="10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$5,725.1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9,444.7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37465</wp:posOffset>
            </wp:positionV>
            <wp:extent cx="6934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54610</wp:posOffset>
            </wp:positionV>
            <wp:extent cx="6934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130" w:right="4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6"/>
        </w:trPr>
        <w:tc>
          <w:tcPr>
            <w:tcW w:w="8100" w:type="dxa"/>
            <w:vAlign w:val="bottom"/>
          </w:tcPr>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595"/>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0"/>
        </w:trPr>
        <w:tc>
          <w:tcPr>
            <w:tcW w:w="9660" w:type="dxa"/>
            <w:vAlign w:val="bottom"/>
            <w:gridSpan w:val="4"/>
          </w:tcPr>
          <w:p>
            <w:pPr>
              <w:jc w:val="center"/>
              <w:ind w:left="151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00" w:type="dxa"/>
            <w:vAlign w:val="bottom"/>
          </w:tcPr>
          <w:p>
            <w:pPr>
              <w:jc w:val="center"/>
              <w:ind w:left="3070"/>
              <w:spacing w:after="0"/>
              <w:rPr>
                <w:sz w:val="20"/>
                <w:szCs w:val="20"/>
                <w:color w:val="auto"/>
              </w:rPr>
            </w:pPr>
            <w:r>
              <w:rPr>
                <w:rFonts w:ascii="Arial" w:cs="Arial" w:eastAsia="Arial" w:hAnsi="Arial"/>
                <w:sz w:val="18"/>
                <w:szCs w:val="18"/>
                <w:b w:val="1"/>
                <w:bCs w:val="1"/>
                <w:i w:val="1"/>
                <w:iCs w:val="1"/>
                <w:color w:val="auto"/>
                <w:w w:val="93"/>
              </w:rPr>
              <w:t>(In millions)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0"/>
        </w:trPr>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624.6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461.1</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Other non-cash items,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Sanofi, trade, and other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r>
      <w:tr>
        <w:trPr>
          <w:trHeight w:val="243"/>
        </w:trPr>
        <w:tc>
          <w:tcPr>
            <w:tcW w:w="8100" w:type="dxa"/>
            <w:vAlign w:val="bottom"/>
          </w:tcPr>
          <w:p>
            <w:pPr>
              <w:ind w:left="72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43"/>
        </w:trPr>
        <w:tc>
          <w:tcPr>
            <w:tcW w:w="8100" w:type="dxa"/>
            <w:vAlign w:val="bottom"/>
          </w:tcPr>
          <w:p>
            <w:pPr>
              <w:ind w:left="720"/>
              <w:spacing w:after="0"/>
              <w:rPr>
                <w:sz w:val="20"/>
                <w:szCs w:val="20"/>
                <w:color w:val="auto"/>
              </w:rPr>
            </w:pPr>
            <w:r>
              <w:rPr>
                <w:rFonts w:ascii="Arial" w:cs="Arial" w:eastAsia="Arial" w:hAnsi="Arial"/>
                <w:sz w:val="18"/>
                <w:szCs w:val="18"/>
                <w:color w:val="auto"/>
              </w:rPr>
              <w:t>Increase in deferred revenue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81.1</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325.8</w:t>
            </w:r>
          </w:p>
        </w:tc>
      </w:tr>
      <w:tr>
        <w:trPr>
          <w:trHeight w:val="237"/>
        </w:trPr>
        <w:tc>
          <w:tcPr>
            <w:tcW w:w="8100" w:type="dxa"/>
            <w:vAlign w:val="bottom"/>
          </w:tcPr>
          <w:p>
            <w:pPr>
              <w:ind w:left="28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435.9</w:t>
            </w:r>
          </w:p>
        </w:tc>
      </w:tr>
      <w:tr>
        <w:trPr>
          <w:trHeight w:val="27"/>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897.0</w:t>
            </w:r>
          </w:p>
        </w:tc>
      </w:tr>
      <w:tr>
        <w:trPr>
          <w:trHeight w:val="277"/>
        </w:trPr>
        <w:tc>
          <w:tcPr>
            <w:tcW w:w="8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Purchases of marketable and other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(1,040.2)</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338.4</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7"/>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r>
      <w:tr>
        <w:trPr>
          <w:trHeight w:val="277"/>
        </w:trPr>
        <w:tc>
          <w:tcPr>
            <w:tcW w:w="8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140.6</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r>
      <w:tr>
        <w:trPr>
          <w:trHeight w:val="277"/>
        </w:trPr>
        <w:tc>
          <w:tcPr>
            <w:tcW w:w="8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240.8</w:t>
            </w:r>
          </w:p>
        </w:tc>
      </w:tr>
      <w:tr>
        <w:trPr>
          <w:trHeight w:val="283"/>
        </w:trPr>
        <w:tc>
          <w:tcPr>
            <w:tcW w:w="8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1,480.2</w:t>
            </w:r>
          </w:p>
        </w:tc>
      </w:tr>
      <w:tr>
        <w:trPr>
          <w:trHeight w:val="277"/>
        </w:trPr>
        <w:tc>
          <w:tcPr>
            <w:tcW w:w="8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1,721.0</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46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65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046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130" w:right="47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2019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2020, we changed the presentation of cost reimbursements from collaborators who are not deemed to be our customers from collaboration revenue to a reduction of the corresponding operating expense (</w:t>
      </w:r>
      <w:r>
        <w:rPr>
          <w:rFonts w:ascii="Arial" w:cs="Arial" w:eastAsia="Arial" w:hAnsi="Arial"/>
          <w:sz w:val="18"/>
          <w:szCs w:val="18"/>
          <w:i w:val="1"/>
          <w:iCs w:val="1"/>
          <w:color w:val="auto"/>
        </w:rPr>
        <w:t>i.e.</w:t>
      </w:r>
      <w:r>
        <w:rPr>
          <w:rFonts w:ascii="Arial" w:cs="Arial" w:eastAsia="Arial" w:hAnsi="Arial"/>
          <w:sz w:val="18"/>
          <w:szCs w:val="18"/>
          <w:color w:val="auto"/>
        </w:rPr>
        <w:t>, either Research and development or Selling, general, and administrative) incurred by us. We also changed the presentation of amounts recognized in connection with up-front and development milestone payments received from collaboration revenue to Other operating income. We made these changes in presentation because we believe the new presentation is preferable, as it better reflects the nature of the Company’s costs incurred and revenues earned pursuant to arrangements with collaborators and enhances the comparability of our financial statements with industry peers.</w:t>
      </w:r>
    </w:p>
    <w:p>
      <w:pPr>
        <w:spacing w:after="0" w:line="2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change in presentation has been applied retrospectively. The tables below present the impact of the change on the Company’s previously-filed Consolidated Balance Sheet as of December 31, 2019, and the Condensed Consolidated Statement of Operations and Condensed Consolidated Statement of Cash Flows as of and for the three months ended March 31, 2019. The Company’s previously-filed balance sheet has been updated to reflect the addition of the caption Other liabilities for the presentation of up-front and development milestones paid by collaborators that are deferred. There was no impact on the Company’s previously-filed Consolidated Statements of Stockholders’ Equity.</w:t>
      </w:r>
    </w:p>
    <w:p>
      <w:pPr>
        <w:spacing w:after="0" w:line="388"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As Previously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4"/>
        </w:trPr>
        <w:tc>
          <w:tcPr>
            <w:tcW w:w="424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Balance Sheet Data:</w:t>
            </w:r>
          </w:p>
        </w:tc>
        <w:tc>
          <w:tcPr>
            <w:tcW w:w="180" w:type="dxa"/>
            <w:vAlign w:val="bottom"/>
          </w:tcPr>
          <w:p>
            <w:pPr>
              <w:spacing w:after="0"/>
              <w:rPr>
                <w:sz w:val="16"/>
                <w:szCs w:val="16"/>
                <w:color w:val="auto"/>
              </w:rPr>
            </w:pPr>
          </w:p>
        </w:tc>
        <w:tc>
          <w:tcPr>
            <w:tcW w:w="1500" w:type="dxa"/>
            <w:vAlign w:val="bottom"/>
            <w:gridSpan w:val="2"/>
          </w:tcPr>
          <w:p>
            <w:pPr>
              <w:jc w:val="center"/>
              <w:ind w:right="300"/>
              <w:spacing w:after="0" w:line="194" w:lineRule="exact"/>
              <w:rPr>
                <w:sz w:val="20"/>
                <w:szCs w:val="20"/>
                <w:color w:val="auto"/>
              </w:rPr>
            </w:pPr>
            <w:r>
              <w:rPr>
                <w:rFonts w:ascii="Arial" w:cs="Arial" w:eastAsia="Arial" w:hAnsi="Arial"/>
                <w:sz w:val="18"/>
                <w:szCs w:val="18"/>
                <w:b w:val="1"/>
                <w:bCs w:val="1"/>
                <w:color w:val="auto"/>
                <w:w w:val="91"/>
              </w:rPr>
              <w:t>Reported</w:t>
            </w:r>
          </w:p>
        </w:tc>
        <w:tc>
          <w:tcPr>
            <w:tcW w:w="200" w:type="dxa"/>
            <w:vAlign w:val="bottom"/>
          </w:tcPr>
          <w:p>
            <w:pPr>
              <w:spacing w:after="0"/>
              <w:rPr>
                <w:sz w:val="16"/>
                <w:szCs w:val="16"/>
                <w:color w:val="auto"/>
              </w:rPr>
            </w:pPr>
          </w:p>
        </w:tc>
        <w:tc>
          <w:tcPr>
            <w:tcW w:w="150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16"/>
                <w:szCs w:val="16"/>
                <w:color w:val="auto"/>
              </w:rPr>
            </w:pPr>
          </w:p>
        </w:tc>
        <w:tc>
          <w:tcPr>
            <w:tcW w:w="132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w w:val="96"/>
              </w:rPr>
              <w:t>As Revised</w:t>
            </w:r>
          </w:p>
        </w:tc>
      </w:tr>
      <w:tr>
        <w:trPr>
          <w:trHeight w:val="48"/>
        </w:trPr>
        <w:tc>
          <w:tcPr>
            <w:tcW w:w="20" w:type="dxa"/>
            <w:vAlign w:val="bottom"/>
            <w:tcBorders>
              <w:bottom w:val="single" w:sz="8" w:color="CCEEFF"/>
            </w:tcBorders>
          </w:tcPr>
          <w:p>
            <w:pPr>
              <w:spacing w:after="0"/>
              <w:rPr>
                <w:sz w:val="4"/>
                <w:szCs w:val="4"/>
                <w:color w:val="auto"/>
              </w:rPr>
            </w:pPr>
          </w:p>
        </w:tc>
        <w:tc>
          <w:tcPr>
            <w:tcW w:w="1540" w:type="dxa"/>
            <w:vAlign w:val="bottom"/>
            <w:tcBorders>
              <w:top w:val="single" w:sz="8" w:color="auto"/>
              <w:bottom w:val="single" w:sz="8" w:color="CCEEFF"/>
            </w:tcBorders>
          </w:tcPr>
          <w:p>
            <w:pPr>
              <w:spacing w:after="0"/>
              <w:rPr>
                <w:sz w:val="4"/>
                <w:szCs w:val="4"/>
                <w:color w:val="auto"/>
              </w:rPr>
            </w:pPr>
          </w:p>
        </w:tc>
        <w:tc>
          <w:tcPr>
            <w:tcW w:w="26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3"/>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1,211.4</w:t>
            </w:r>
          </w:p>
        </w:tc>
      </w:tr>
      <w:tr>
        <w:trPr>
          <w:trHeight w:val="243"/>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Deferred revenue - Sanofi (current)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310.5</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 - other (current)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43"/>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Other liabilities - Sanofi (current)</w:t>
            </w:r>
          </w:p>
        </w:tc>
        <w:tc>
          <w:tcPr>
            <w:tcW w:w="18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Deferred revenue - Sanofi (noncurrent)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43"/>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Deferred revenue - other (noncurrent)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7"/>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liabilities - Sanofi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r>
      <w:tr>
        <w:trPr>
          <w:trHeight w:val="243"/>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317.7</w:t>
            </w:r>
          </w:p>
        </w:tc>
      </w:tr>
      <w:tr>
        <w:trPr>
          <w:trHeight w:val="594"/>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2019</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As Previously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4"/>
        </w:trPr>
        <w:tc>
          <w:tcPr>
            <w:tcW w:w="424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Statement of Operations Data:</w:t>
            </w:r>
          </w:p>
        </w:tc>
        <w:tc>
          <w:tcPr>
            <w:tcW w:w="180" w:type="dxa"/>
            <w:vAlign w:val="bottom"/>
          </w:tcPr>
          <w:p>
            <w:pPr>
              <w:spacing w:after="0"/>
              <w:rPr>
                <w:sz w:val="16"/>
                <w:szCs w:val="16"/>
                <w:color w:val="auto"/>
              </w:rPr>
            </w:pPr>
          </w:p>
        </w:tc>
        <w:tc>
          <w:tcPr>
            <w:tcW w:w="138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Reported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16"/>
                <w:szCs w:val="16"/>
                <w:color w:val="auto"/>
              </w:rPr>
            </w:pPr>
          </w:p>
        </w:tc>
        <w:tc>
          <w:tcPr>
            <w:tcW w:w="134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w w:val="98"/>
              </w:rPr>
              <w:t>As Revised</w:t>
            </w:r>
          </w:p>
        </w:tc>
      </w:tr>
      <w:tr>
        <w:trPr>
          <w:trHeight w:val="48"/>
        </w:trPr>
        <w:tc>
          <w:tcPr>
            <w:tcW w:w="20" w:type="dxa"/>
            <w:vAlign w:val="bottom"/>
            <w:tcBorders>
              <w:bottom w:val="single" w:sz="8" w:color="CCEEFF"/>
            </w:tcBorders>
          </w:tcPr>
          <w:p>
            <w:pPr>
              <w:spacing w:after="0"/>
              <w:rPr>
                <w:sz w:val="4"/>
                <w:szCs w:val="4"/>
                <w:color w:val="auto"/>
              </w:rPr>
            </w:pPr>
          </w:p>
        </w:tc>
        <w:tc>
          <w:tcPr>
            <w:tcW w:w="2340" w:type="dxa"/>
            <w:vAlign w:val="bottom"/>
            <w:tcBorders>
              <w:top w:val="single" w:sz="8" w:color="auto"/>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Sanofi collaboration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Bayer collaboration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276.2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264.0</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43"/>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1,711.8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1,372.6</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641.8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486.1</w:t>
            </w: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r>
      <w:tr>
        <w:trPr>
          <w:trHeight w:val="270"/>
        </w:trPr>
        <w:tc>
          <w:tcPr>
            <w:tcW w:w="424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Cost of collaboration and contract manufacturing</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101.2</w:t>
            </w:r>
          </w:p>
        </w:tc>
      </w:tr>
      <w:tr>
        <w:trPr>
          <w:trHeight w:val="250"/>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43"/>
        </w:trPr>
        <w:tc>
          <w:tcPr>
            <w:tcW w:w="4240" w:type="dxa"/>
            <w:vAlign w:val="bottom"/>
            <w:gridSpan w:val="3"/>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1,231.8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892.6</w:t>
            </w:r>
          </w:p>
        </w:tc>
      </w:tr>
    </w:tbl>
    <w:p>
      <w:pPr>
        <w:spacing w:after="0" w:line="170" w:lineRule="exact"/>
        <w:rPr>
          <w:sz w:val="20"/>
          <w:szCs w:val="20"/>
          <w:color w:val="auto"/>
        </w:rPr>
      </w:pPr>
    </w:p>
    <w:p>
      <w:pPr>
        <w:ind w:left="1380" w:right="1320" w:hanging="2"/>
        <w:spacing w:after="0" w:line="238" w:lineRule="auto"/>
        <w:tabs>
          <w:tab w:leader="none" w:pos="1521" w:val="left"/>
        </w:tabs>
        <w:numPr>
          <w:ilvl w:val="0"/>
          <w:numId w:val="3"/>
        </w:numPr>
        <w:rPr>
          <w:rFonts w:ascii="Arial" w:cs="Arial" w:eastAsia="Arial" w:hAnsi="Arial"/>
          <w:sz w:val="9"/>
          <w:szCs w:val="9"/>
          <w:color w:val="auto"/>
        </w:rPr>
      </w:pPr>
      <w:r>
        <w:rPr>
          <w:rFonts w:ascii="Arial" w:cs="Arial" w:eastAsia="Arial" w:hAnsi="Arial"/>
          <w:sz w:val="14"/>
          <w:szCs w:val="14"/>
          <w:color w:val="auto"/>
        </w:rPr>
        <w:t>In addition to the reclassification of certain amounts in connection with the change in accounting presentation described above, the Company also reclassified certain immaterial reimbursements that were previously classified as collaboration revenue to Cost of collaboration and contract manufacturing.</w:t>
      </w:r>
    </w:p>
    <w:p>
      <w:pPr>
        <w:spacing w:after="0" w:line="200" w:lineRule="exact"/>
        <w:rPr>
          <w:sz w:val="20"/>
          <w:szCs w:val="20"/>
          <w:color w:val="auto"/>
        </w:rPr>
      </w:pPr>
    </w:p>
    <w:p>
      <w:pPr>
        <w:spacing w:after="0" w:line="226"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 2019</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As Previously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4"/>
        </w:trPr>
        <w:tc>
          <w:tcPr>
            <w:tcW w:w="424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Cash Flows Data:</w:t>
            </w:r>
          </w:p>
        </w:tc>
        <w:tc>
          <w:tcPr>
            <w:tcW w:w="180" w:type="dxa"/>
            <w:vAlign w:val="bottom"/>
          </w:tcPr>
          <w:p>
            <w:pPr>
              <w:spacing w:after="0"/>
              <w:rPr>
                <w:sz w:val="16"/>
                <w:szCs w:val="16"/>
                <w:color w:val="auto"/>
              </w:rPr>
            </w:pPr>
          </w:p>
        </w:tc>
        <w:tc>
          <w:tcPr>
            <w:tcW w:w="14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Reported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9"/>
              </w:rPr>
              <w:t>Adjustments</w:t>
            </w:r>
          </w:p>
        </w:tc>
        <w:tc>
          <w:tcPr>
            <w:tcW w:w="240" w:type="dxa"/>
            <w:vAlign w:val="bottom"/>
          </w:tcPr>
          <w:p>
            <w:pPr>
              <w:spacing w:after="0"/>
              <w:rPr>
                <w:sz w:val="16"/>
                <w:szCs w:val="16"/>
                <w:color w:val="auto"/>
              </w:rPr>
            </w:pPr>
          </w:p>
        </w:tc>
        <w:tc>
          <w:tcPr>
            <w:tcW w:w="132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w w:val="96"/>
              </w:rPr>
              <w:t>As Revised</w:t>
            </w:r>
          </w:p>
        </w:tc>
      </w:tr>
      <w:tr>
        <w:trPr>
          <w:trHeight w:val="48"/>
        </w:trPr>
        <w:tc>
          <w:tcPr>
            <w:tcW w:w="20" w:type="dxa"/>
            <w:vAlign w:val="bottom"/>
            <w:tcBorders>
              <w:bottom w:val="single" w:sz="8" w:color="CCEEFF"/>
            </w:tcBorders>
          </w:tcPr>
          <w:p>
            <w:pPr>
              <w:spacing w:after="0"/>
              <w:rPr>
                <w:sz w:val="4"/>
                <w:szCs w:val="4"/>
                <w:color w:val="auto"/>
              </w:rPr>
            </w:pPr>
          </w:p>
        </w:tc>
        <w:tc>
          <w:tcPr>
            <w:tcW w:w="1360" w:type="dxa"/>
            <w:vAlign w:val="bottom"/>
            <w:tcBorders>
              <w:top w:val="single" w:sz="8" w:color="auto"/>
              <w:bottom w:val="single" w:sz="8" w:color="CCEEFF"/>
            </w:tcBorders>
          </w:tcPr>
          <w:p>
            <w:pPr>
              <w:spacing w:after="0"/>
              <w:rPr>
                <w:sz w:val="4"/>
                <w:szCs w:val="4"/>
                <w:color w:val="auto"/>
              </w:rPr>
            </w:pPr>
          </w:p>
        </w:tc>
        <w:tc>
          <w:tcPr>
            <w:tcW w:w="2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3"/>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Increase in 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(Decrease) increase in accounts payable, accrued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2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expenses, and other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r>
      <w:tr>
        <w:trPr>
          <w:trHeight w:val="27"/>
        </w:trPr>
        <w:tc>
          <w:tcPr>
            <w:tcW w:w="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may directly or indirectly impact our business, financial condition, and results of operations is highly uncertain and subject to change. We considered the potential impact of the COVID-19 pandemic on our estimates and assumptions and there was not a material impact to our condensed consolidated financial statements as of and for the three months ended March 31, 2020; however, actual results could differ from those estimates and there may be changes to our estimates in future periods.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adopted Accounting Standards Update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("ASU 2016-13"), as of January 1, 2020. ASU 2016-13 requires an entity to measure and recognize expected credit losses for certain financial instruments, including trade receivables, as an allowance that reflects the entity's current estimate of credit losses expected to be incurred. For available-for-sale debt securities with unrealized losses, the standard requires allowances to be recorded through net income instead of directly reducing the amortized cost of the investment under the previous other-than-temporary impairment model. The adoption of this standard did not have a material impact on our financial statements or a significant impact on our internal controls.</w:t>
      </w:r>
    </w:p>
    <w:p>
      <w:pPr>
        <w:sectPr>
          <w:pgSz w:w="11900" w:h="16838" w:orient="portrait"/>
          <w:cols w:equalWidth="0" w:num="1">
            <w:col w:w="11240"/>
          </w:cols>
          <w:pgMar w:left="320" w:top="130" w:right="3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4"/>
          </w:tcPr>
          <w:p>
            <w:pPr>
              <w:spacing w:after="0"/>
              <w:rPr>
                <w:sz w:val="20"/>
                <w:szCs w:val="20"/>
                <w:color w:val="auto"/>
              </w:rPr>
            </w:pPr>
            <w:r>
              <w:rPr>
                <w:rFonts w:ascii="Arial" w:cs="Arial" w:eastAsia="Arial" w:hAnsi="Arial"/>
                <w:sz w:val="18"/>
                <w:szCs w:val="18"/>
                <w:b w:val="1"/>
                <w:bCs w:val="1"/>
                <w:color w:val="auto"/>
              </w:rPr>
              <w:t>2. Product Sales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86"/>
        </w:trPr>
        <w:tc>
          <w:tcPr>
            <w:tcW w:w="6320" w:type="dxa"/>
            <w:vAlign w:val="bottom"/>
            <w:gridSpan w:val="4"/>
          </w:tcPr>
          <w:p>
            <w:pPr>
              <w:spacing w:after="0"/>
              <w:rPr>
                <w:sz w:val="20"/>
                <w:szCs w:val="20"/>
                <w:color w:val="auto"/>
              </w:rPr>
            </w:pPr>
            <w:r>
              <w:rPr>
                <w:rFonts w:ascii="Arial" w:cs="Arial" w:eastAsia="Arial" w:hAnsi="Arial"/>
                <w:sz w:val="18"/>
                <w:szCs w:val="18"/>
                <w:color w:val="auto"/>
              </w:rPr>
              <w:t>Net product sales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30"/>
        </w:trPr>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7"/>
              </w:rPr>
              <w:t>Three Months Ended</w:t>
            </w:r>
          </w:p>
        </w:tc>
      </w:tr>
      <w:tr>
        <w:trPr>
          <w:trHeight w:val="234"/>
        </w:trPr>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2540" w:type="dxa"/>
            <w:vAlign w:val="bottom"/>
          </w:tcPr>
          <w:p>
            <w:pPr>
              <w:spacing w:after="0"/>
              <w:rPr>
                <w:sz w:val="17"/>
                <w:szCs w:val="17"/>
                <w:color w:val="auto"/>
              </w:rPr>
            </w:pPr>
          </w:p>
        </w:tc>
        <w:tc>
          <w:tcPr>
            <w:tcW w:w="37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Net Product Sales in the United States</w:t>
            </w:r>
          </w:p>
        </w:tc>
        <w:tc>
          <w:tcPr>
            <w:tcW w:w="24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w w:val="89"/>
              </w:rPr>
              <w:t>2019</w:t>
            </w:r>
          </w:p>
        </w:tc>
      </w:tr>
      <w:tr>
        <w:trPr>
          <w:trHeight w:val="48"/>
        </w:trPr>
        <w:tc>
          <w:tcPr>
            <w:tcW w:w="254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920" w:type="dxa"/>
            <w:vAlign w:val="bottom"/>
            <w:tcBorders>
              <w:top w:val="single" w:sz="8" w:color="auto"/>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63"/>
        </w:trPr>
        <w:tc>
          <w:tcPr>
            <w:tcW w:w="2540" w:type="dxa"/>
            <w:vAlign w:val="bottom"/>
          </w:tcPr>
          <w:p>
            <w:pPr>
              <w:spacing w:after="0"/>
              <w:rPr>
                <w:sz w:val="22"/>
                <w:szCs w:val="22"/>
                <w:color w:val="auto"/>
              </w:rPr>
            </w:pPr>
          </w:p>
        </w:tc>
        <w:tc>
          <w:tcPr>
            <w:tcW w:w="3780" w:type="dxa"/>
            <w:vAlign w:val="bottom"/>
            <w:gridSpan w:val="3"/>
            <w:shd w:val="clear" w:color="auto" w:fill="CCEEFF"/>
          </w:tcPr>
          <w:p>
            <w:pPr>
              <w:ind w:left="20"/>
              <w:spacing w:after="0" w:line="263"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r>
      <w:tr>
        <w:trPr>
          <w:trHeight w:val="270"/>
        </w:trPr>
        <w:tc>
          <w:tcPr>
            <w:tcW w:w="2540" w:type="dxa"/>
            <w:vAlign w:val="bottom"/>
          </w:tcPr>
          <w:p>
            <w:pPr>
              <w:spacing w:after="0"/>
              <w:rPr>
                <w:sz w:val="23"/>
                <w:szCs w:val="23"/>
                <w:color w:val="auto"/>
              </w:rPr>
            </w:pPr>
          </w:p>
        </w:tc>
        <w:tc>
          <w:tcPr>
            <w:tcW w:w="378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Libtayo</w:t>
            </w:r>
            <w:r>
              <w:rPr>
                <w:rFonts w:ascii="Arial" w:cs="Arial" w:eastAsia="Arial" w:hAnsi="Arial"/>
                <w:sz w:val="25"/>
                <w:szCs w:val="25"/>
                <w:color w:val="auto"/>
                <w:vertAlign w:val="superscript"/>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0"/>
        </w:trPr>
        <w:tc>
          <w:tcPr>
            <w:tcW w:w="2540" w:type="dxa"/>
            <w:vAlign w:val="bottom"/>
          </w:tcPr>
          <w:p>
            <w:pPr>
              <w:spacing w:after="0"/>
              <w:rPr>
                <w:sz w:val="23"/>
                <w:szCs w:val="23"/>
                <w:color w:val="auto"/>
              </w:rPr>
            </w:pPr>
          </w:p>
        </w:tc>
        <w:tc>
          <w:tcPr>
            <w:tcW w:w="378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1,236.7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1,104.4</w:t>
            </w: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Effective April 1, 2020, the Company is solely responsible for the development and commercialization of Praluent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the United States and will record net product sales of Praluent in the United States. See Note 3 for further details.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product sales to certain customers that accounted for more than 10% of total gross product revenue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 Sales to each of these customers as a percentage of the Company's total gross product revenue are as follows:</w:t>
      </w:r>
    </w:p>
    <w:p>
      <w:pPr>
        <w:spacing w:after="0" w:line="200" w:lineRule="exact"/>
        <w:rPr>
          <w:sz w:val="20"/>
          <w:szCs w:val="20"/>
          <w:color w:val="auto"/>
        </w:rPr>
      </w:pPr>
    </w:p>
    <w:p>
      <w:pPr>
        <w:spacing w:after="0" w:line="223"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22860</wp:posOffset>
            </wp:positionV>
            <wp:extent cx="15944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8" w:lineRule="exact"/>
        <w:rPr>
          <w:sz w:val="20"/>
          <w:szCs w:val="20"/>
          <w:color w:val="auto"/>
        </w:rPr>
      </w:pPr>
    </w:p>
    <w:tbl>
      <w:tblPr>
        <w:tblLayout w:type="fixed"/>
        <w:tblInd w:w="2280" w:type="dxa"/>
        <w:tblCellMar>
          <w:top w:w="0" w:type="dxa"/>
          <w:left w:w="0" w:type="dxa"/>
          <w:bottom w:w="0" w:type="dxa"/>
          <w:right w:w="0" w:type="dxa"/>
        </w:tblCellMar>
      </w:tblPr>
      <w:tr>
        <w:trPr>
          <w:trHeight w:val="234"/>
        </w:trPr>
        <w:tc>
          <w:tcPr>
            <w:tcW w:w="4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7"/>
        </w:trPr>
        <w:tc>
          <w:tcPr>
            <w:tcW w:w="41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Besse Medical, a subsidiary of AmerisourceBergen</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4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McKesson Corporation</w:t>
            </w:r>
          </w:p>
        </w:tc>
        <w:tc>
          <w:tcPr>
            <w:tcW w:w="380" w:type="dxa"/>
            <w:vAlign w:val="bottom"/>
          </w:tcPr>
          <w:p>
            <w:pPr>
              <w:jc w:val="right"/>
              <w:spacing w:after="0"/>
              <w:rPr>
                <w:sz w:val="20"/>
                <w:szCs w:val="20"/>
                <w:color w:val="auto"/>
              </w:rPr>
            </w:pPr>
            <w:r>
              <w:rPr>
                <w:rFonts w:ascii="Arial" w:cs="Arial" w:eastAsia="Arial" w:hAnsi="Arial"/>
                <w:sz w:val="18"/>
                <w:szCs w:val="18"/>
                <w:color w:val="auto"/>
                <w:w w:val="94"/>
              </w:rPr>
              <w:t>36%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entered into various collaborative arrangements to research, develop, manufacture, and commercialize product candidates and utilize our technology platforms. Although each of these arrangements is unique in nature, such arrangements involve a joint operating activity where both parties are active participants in the activities of the collaboration and exposed to significant risks and rewards dependent on the commercial success of the activities.</w:t>
      </w:r>
    </w:p>
    <w:p>
      <w:pPr>
        <w:spacing w:after="0" w:line="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arrangements where we do not deem our collaborator to be our customer, payments to and from our collaborator are presented in our statement of operations based on the nature of our business operations, the nature of the arrangement, including the contractual terms, and the nature of the payments, as summarized in the table and further described below.</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ind w:left="1880"/>
              <w:spacing w:after="0"/>
              <w:rPr>
                <w:sz w:val="20"/>
                <w:szCs w:val="20"/>
                <w:color w:val="auto"/>
              </w:rPr>
            </w:pPr>
            <w:r>
              <w:rPr>
                <w:rFonts w:ascii="Arial" w:cs="Arial" w:eastAsia="Arial" w:hAnsi="Arial"/>
                <w:sz w:val="18"/>
                <w:szCs w:val="18"/>
                <w:b w:val="1"/>
                <w:bCs w:val="1"/>
                <w:color w:val="auto"/>
              </w:rPr>
              <w:t>Nature/Type of Payment</w:t>
            </w:r>
          </w:p>
        </w:tc>
        <w:tc>
          <w:tcPr>
            <w:tcW w:w="5380" w:type="dxa"/>
            <w:vAlign w:val="bottom"/>
          </w:tcPr>
          <w:p>
            <w:pPr>
              <w:ind w:left="1240"/>
              <w:spacing w:after="0"/>
              <w:rPr>
                <w:sz w:val="20"/>
                <w:szCs w:val="20"/>
                <w:color w:val="auto"/>
              </w:rPr>
            </w:pPr>
            <w:r>
              <w:rPr>
                <w:rFonts w:ascii="Arial" w:cs="Arial" w:eastAsia="Arial" w:hAnsi="Arial"/>
                <w:sz w:val="18"/>
                <w:szCs w:val="18"/>
                <w:b w:val="1"/>
                <w:bCs w:val="1"/>
                <w:color w:val="auto"/>
              </w:rPr>
              <w:t>Statement of Operations Presentation</w:t>
            </w:r>
          </w:p>
        </w:tc>
      </w:tr>
      <w:tr>
        <w:trPr>
          <w:trHeight w:val="27"/>
        </w:trPr>
        <w:tc>
          <w:tcPr>
            <w:tcW w:w="5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22"/>
        </w:trPr>
        <w:tc>
          <w:tcPr>
            <w:tcW w:w="5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Regeneron's share of profits or losses in connection with commercialization</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r>
      <w:tr>
        <w:trPr>
          <w:trHeight w:val="237"/>
        </w:trPr>
        <w:tc>
          <w:tcPr>
            <w:tcW w:w="5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of products</w:t>
            </w:r>
          </w:p>
        </w:tc>
        <w:tc>
          <w:tcPr>
            <w:tcW w:w="5380" w:type="dxa"/>
            <w:vAlign w:val="bottom"/>
            <w:tcBorders>
              <w:bottom w:val="single" w:sz="8" w:color="CCEEFF"/>
            </w:tcBorders>
            <w:shd w:val="clear" w:color="auto" w:fill="CCEEFF"/>
          </w:tcPr>
          <w:p>
            <w:pPr>
              <w:spacing w:after="0"/>
              <w:rPr>
                <w:sz w:val="20"/>
                <w:szCs w:val="20"/>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Reimbursement for manufacturing of commercial supplies</w:t>
            </w:r>
          </w:p>
        </w:tc>
        <w:tc>
          <w:tcPr>
            <w:tcW w:w="5380" w:type="dxa"/>
            <w:vAlign w:val="bottom"/>
          </w:tcPr>
          <w:p>
            <w:pPr>
              <w:ind w:left="20"/>
              <w:spacing w:after="0"/>
              <w:rPr>
                <w:sz w:val="20"/>
                <w:szCs w:val="20"/>
                <w:color w:val="auto"/>
              </w:rPr>
            </w:pPr>
            <w:r>
              <w:rPr>
                <w:rFonts w:ascii="Arial" w:cs="Arial" w:eastAsia="Arial" w:hAnsi="Arial"/>
                <w:sz w:val="18"/>
                <w:szCs w:val="18"/>
                <w:color w:val="auto"/>
              </w:rPr>
              <w:t>Collaboration revenue</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Royalties and/or sales-based milestones earned</w:t>
            </w: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w:t>
            </w: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Reimbursement of Regeneron's research and development expenses</w:t>
            </w:r>
          </w:p>
        </w:tc>
        <w:tc>
          <w:tcPr>
            <w:tcW w:w="5380" w:type="dxa"/>
            <w:vAlign w:val="bottom"/>
          </w:tcPr>
          <w:p>
            <w:pPr>
              <w:ind w:left="20"/>
              <w:spacing w:after="0"/>
              <w:rPr>
                <w:sz w:val="20"/>
                <w:szCs w:val="20"/>
                <w:color w:val="auto"/>
              </w:rPr>
            </w:pPr>
            <w:r>
              <w:rPr>
                <w:rFonts w:ascii="Arial" w:cs="Arial" w:eastAsia="Arial" w:hAnsi="Arial"/>
                <w:sz w:val="18"/>
                <w:szCs w:val="18"/>
                <w:color w:val="auto"/>
              </w:rPr>
              <w:t>Reduction to Research and development expenses</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29"/>
        </w:trPr>
        <w:tc>
          <w:tcPr>
            <w:tcW w:w="5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Regeneron's obligation for its share of collaborator's research and</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r>
      <w:tr>
        <w:trPr>
          <w:trHeight w:val="237"/>
        </w:trPr>
        <w:tc>
          <w:tcPr>
            <w:tcW w:w="5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development expenses</w:t>
            </w:r>
          </w:p>
        </w:tc>
        <w:tc>
          <w:tcPr>
            <w:tcW w:w="5380" w:type="dxa"/>
            <w:vAlign w:val="bottom"/>
            <w:tcBorders>
              <w:bottom w:val="single" w:sz="8" w:color="CCEEFF"/>
            </w:tcBorders>
            <w:shd w:val="clear" w:color="auto" w:fill="CCEEFF"/>
          </w:tcPr>
          <w:p>
            <w:pPr>
              <w:spacing w:after="0"/>
              <w:rPr>
                <w:sz w:val="20"/>
                <w:szCs w:val="20"/>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Up-front and development milestone payments to collaborator</w:t>
            </w:r>
          </w:p>
        </w:tc>
        <w:tc>
          <w:tcPr>
            <w:tcW w:w="5380" w:type="dxa"/>
            <w:vAlign w:val="bottom"/>
          </w:tcPr>
          <w:p>
            <w:pPr>
              <w:ind w:left="20"/>
              <w:spacing w:after="0"/>
              <w:rPr>
                <w:sz w:val="20"/>
                <w:szCs w:val="20"/>
                <w:color w:val="auto"/>
              </w:rPr>
            </w:pPr>
            <w:r>
              <w:rPr>
                <w:rFonts w:ascii="Arial" w:cs="Arial" w:eastAsia="Arial" w:hAnsi="Arial"/>
                <w:sz w:val="18"/>
                <w:szCs w:val="18"/>
                <w:color w:val="auto"/>
              </w:rPr>
              <w:t>Research and development expense</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Reimbursement of Regeneron's commercialization-related expenses</w:t>
            </w: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Reduction to Selling, general, and administrative expense</w:t>
            </w:r>
          </w:p>
        </w:tc>
      </w:tr>
      <w:tr>
        <w:trPr>
          <w:trHeight w:val="229"/>
        </w:trPr>
        <w:tc>
          <w:tcPr>
            <w:tcW w:w="5860" w:type="dxa"/>
            <w:vAlign w:val="bottom"/>
            <w:gridSpan w:val="2"/>
          </w:tcPr>
          <w:p>
            <w:pPr>
              <w:ind w:left="40"/>
              <w:spacing w:after="0"/>
              <w:rPr>
                <w:sz w:val="20"/>
                <w:szCs w:val="20"/>
                <w:color w:val="auto"/>
              </w:rPr>
            </w:pPr>
            <w:r>
              <w:rPr>
                <w:rFonts w:ascii="Arial" w:cs="Arial" w:eastAsia="Arial" w:hAnsi="Arial"/>
                <w:sz w:val="18"/>
                <w:szCs w:val="18"/>
                <w:color w:val="auto"/>
                <w:w w:val="95"/>
              </w:rPr>
              <w:t>Regeneron's obligation to pay collaborator for its share of gross profits when</w:t>
            </w:r>
          </w:p>
        </w:tc>
        <w:tc>
          <w:tcPr>
            <w:tcW w:w="5380" w:type="dxa"/>
            <w:vAlign w:val="bottom"/>
          </w:tcPr>
          <w:p>
            <w:pPr>
              <w:ind w:left="20"/>
              <w:spacing w:after="0"/>
              <w:rPr>
                <w:sz w:val="20"/>
                <w:szCs w:val="20"/>
                <w:color w:val="auto"/>
              </w:rPr>
            </w:pPr>
            <w:r>
              <w:rPr>
                <w:rFonts w:ascii="Arial" w:cs="Arial" w:eastAsia="Arial" w:hAnsi="Arial"/>
                <w:sz w:val="18"/>
                <w:szCs w:val="18"/>
                <w:color w:val="auto"/>
              </w:rPr>
              <w:t>Cost of goods sold</w:t>
            </w:r>
          </w:p>
        </w:tc>
      </w:tr>
      <w:tr>
        <w:trPr>
          <w:trHeight w:val="230"/>
        </w:trPr>
        <w:tc>
          <w:tcPr>
            <w:tcW w:w="5860" w:type="dxa"/>
            <w:vAlign w:val="bottom"/>
            <w:gridSpan w:val="2"/>
          </w:tcPr>
          <w:p>
            <w:pPr>
              <w:ind w:left="200"/>
              <w:spacing w:after="0"/>
              <w:rPr>
                <w:sz w:val="20"/>
                <w:szCs w:val="20"/>
                <w:color w:val="auto"/>
              </w:rPr>
            </w:pPr>
            <w:r>
              <w:rPr>
                <w:rFonts w:ascii="Arial" w:cs="Arial" w:eastAsia="Arial" w:hAnsi="Arial"/>
                <w:sz w:val="18"/>
                <w:szCs w:val="18"/>
                <w:color w:val="auto"/>
              </w:rPr>
              <w:t>Regeneron is deemed to be the principal</w:t>
            </w:r>
          </w:p>
        </w:tc>
        <w:tc>
          <w:tcPr>
            <w:tcW w:w="538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380" w:type="dxa"/>
            <w:vAlign w:val="bottom"/>
          </w:tcPr>
          <w:p>
            <w:pPr>
              <w:spacing w:after="0"/>
              <w:rPr>
                <w:sz w:val="2"/>
                <w:szCs w:val="2"/>
                <w:color w:val="auto"/>
              </w:rPr>
            </w:pPr>
          </w:p>
        </w:tc>
      </w:tr>
      <w:tr>
        <w:trPr>
          <w:trHeight w:val="229"/>
        </w:trPr>
        <w:tc>
          <w:tcPr>
            <w:tcW w:w="5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Up-front and development milestones earned (when we have a combined</w:t>
            </w:r>
          </w:p>
        </w:tc>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w:t>
            </w:r>
          </w:p>
        </w:tc>
      </w:tr>
      <w:tr>
        <w:trPr>
          <w:trHeight w:val="216"/>
        </w:trPr>
        <w:tc>
          <w:tcPr>
            <w:tcW w:w="5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unit of account which includes a license and providing research and</w:t>
            </w:r>
          </w:p>
        </w:tc>
        <w:tc>
          <w:tcPr>
            <w:tcW w:w="5380" w:type="dxa"/>
            <w:vAlign w:val="bottom"/>
            <w:shd w:val="clear" w:color="auto" w:fill="CCEEFF"/>
          </w:tcPr>
          <w:p>
            <w:pPr>
              <w:spacing w:after="0"/>
              <w:rPr>
                <w:sz w:val="18"/>
                <w:szCs w:val="18"/>
                <w:color w:val="auto"/>
              </w:rPr>
            </w:pPr>
          </w:p>
        </w:tc>
      </w:tr>
      <w:tr>
        <w:trPr>
          <w:trHeight w:val="230"/>
        </w:trPr>
        <w:tc>
          <w:tcPr>
            <w:tcW w:w="5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development services)</w:t>
            </w:r>
          </w:p>
        </w:tc>
        <w:tc>
          <w:tcPr>
            <w:tcW w:w="5380" w:type="dxa"/>
            <w:vAlign w:val="bottom"/>
            <w:shd w:val="clear" w:color="auto" w:fill="CCEEFF"/>
          </w:tcPr>
          <w:p>
            <w:pPr>
              <w:spacing w:after="0"/>
              <w:rPr>
                <w:sz w:val="20"/>
                <w:szCs w:val="20"/>
                <w:color w:val="auto"/>
              </w:rPr>
            </w:pPr>
          </w:p>
        </w:tc>
      </w:tr>
      <w:tr>
        <w:trPr>
          <w:trHeight w:val="27"/>
        </w:trPr>
        <w:tc>
          <w:tcPr>
            <w:tcW w:w="5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agreements involving multiple goods or services promised to be transferred to our collaborator, we must assess, at the inception of the contract, whether each promise represents a separate obligation (</w:t>
      </w:r>
      <w:r>
        <w:rPr>
          <w:rFonts w:ascii="Arial" w:cs="Arial" w:eastAsia="Arial" w:hAnsi="Arial"/>
          <w:sz w:val="16"/>
          <w:szCs w:val="16"/>
          <w:i w:val="1"/>
          <w:iCs w:val="1"/>
          <w:color w:val="auto"/>
        </w:rPr>
        <w:t>i.e.</w:t>
      </w:r>
      <w:r>
        <w:rPr>
          <w:rFonts w:ascii="Arial" w:cs="Arial" w:eastAsia="Arial" w:hAnsi="Arial"/>
          <w:sz w:val="16"/>
          <w:szCs w:val="16"/>
          <w:color w:val="auto"/>
        </w:rPr>
        <w:t>,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w:t>
      </w:r>
      <w:r>
        <w:rPr>
          <w:rFonts w:ascii="Arial" w:cs="Arial" w:eastAsia="Arial" w:hAnsi="Arial"/>
          <w:sz w:val="16"/>
          <w:szCs w:val="16"/>
          <w:i w:val="1"/>
          <w:iCs w:val="1"/>
          <w:color w:val="auto"/>
        </w:rPr>
        <w:t>i.e.</w:t>
      </w:r>
      <w:r>
        <w:rPr>
          <w:rFonts w:ascii="Arial" w:cs="Arial" w:eastAsia="Arial" w:hAnsi="Arial"/>
          <w:sz w:val="16"/>
          <w:szCs w:val="16"/>
          <w:color w:val="auto"/>
        </w:rPr>
        <w:t>, over time). In arrangements where we satisfy our obligation(s) during the development phase over time, we recognize amounts initially deferred over time typically using an input method on the basis of our research and development costs incurred relative to the total expected cost which determines the extent of our progress toward completion. We review our estimates each period and make revisions to such estimates as necessary.</w:t>
      </w:r>
    </w:p>
    <w:p>
      <w:pPr>
        <w:spacing w:after="0" w:line="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When we are entitled to reimbursement of all or a portion of the research and development expenses that we incur under a collaboration, we record those reimbursable amounts in the period in which such costs are incurred. In connection with the commercialization phase of our collaborative arrangements, we may be obligated to perform commercialization-related activities on behalf of the collaboration. If we are reimbursed for all or a portion of costs incurred for the commercialization-related activities, we record those reimbursable amounts in the period in which such costs are incurred.</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89"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obligated to use commercially reasonable efforts to supply commercial product to our collaborator, we may be reimbursed for our manufacturing costs as commercial product is shipped to the collaborator; however, recognition of such cost reimbursements is deferred until the product is sold by our collaborator to third-party customers;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 royalties and/or sales-based milestone payments from our collaborator, we recognize such amounts in the period earned.</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collaborators provide us with estimates of product sales and our share of profits or losses, as applicable, for such quarter. These estimates are reconciled to actual results in the subsequent fiscal quarter, and collaboration revenue is adjusted accordingly, as necessary.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collaborations with Sanofi are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7"/>
              </w:rPr>
              <w:t>Three Months Ended</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288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Statement of Operations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8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880" w:type="dxa"/>
            <w:vAlign w:val="bottom"/>
            <w:gridSpan w:val="2"/>
          </w:tcPr>
          <w:p>
            <w:pPr>
              <w:ind w:left="860"/>
              <w:spacing w:after="0"/>
              <w:rPr>
                <w:sz w:val="20"/>
                <w:szCs w:val="20"/>
                <w:color w:val="auto"/>
              </w:rPr>
            </w:pPr>
            <w:r>
              <w:rPr>
                <w:rFonts w:ascii="Arial" w:cs="Arial" w:eastAsia="Arial" w:hAnsi="Arial"/>
                <w:sz w:val="18"/>
                <w:szCs w:val="18"/>
                <w:b w:val="1"/>
                <w:bCs w:val="1"/>
                <w:color w:val="auto"/>
              </w:rPr>
              <w:t>Classification</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60"/>
              <w:spacing w:after="0"/>
              <w:rPr>
                <w:sz w:val="20"/>
                <w:szCs w:val="20"/>
                <w:color w:val="auto"/>
              </w:rPr>
            </w:pPr>
            <w:r>
              <w:rPr>
                <w:rFonts w:ascii="Arial" w:cs="Arial" w:eastAsia="Arial" w:hAnsi="Arial"/>
                <w:sz w:val="18"/>
                <w:szCs w:val="18"/>
                <w:color w:val="auto"/>
                <w:w w:val="93"/>
              </w:rPr>
              <w:t>Regeneron's share of profits (losses) in connection</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Sanofi collaboration revenue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440"/>
              <w:spacing w:after="0"/>
              <w:rPr>
                <w:sz w:val="20"/>
                <w:szCs w:val="20"/>
                <w:color w:val="auto"/>
              </w:rPr>
            </w:pPr>
            <w:r>
              <w:rPr>
                <w:rFonts w:ascii="Arial" w:cs="Arial" w:eastAsia="Arial" w:hAnsi="Arial"/>
                <w:sz w:val="18"/>
                <w:szCs w:val="18"/>
                <w:color w:val="auto"/>
              </w:rPr>
              <w:t>with commercialization of antibodies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Reimbursement for manufacturing of commercial</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Sanofi collaboration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supplies</w:t>
            </w:r>
          </w:p>
        </w:tc>
        <w:tc>
          <w:tcPr>
            <w:tcW w:w="2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4080" w:type="dxa"/>
            <w:vAlign w:val="bottom"/>
          </w:tcPr>
          <w:p>
            <w:pPr>
              <w:ind w:left="260"/>
              <w:spacing w:after="0"/>
              <w:rPr>
                <w:sz w:val="20"/>
                <w:szCs w:val="20"/>
                <w:color w:val="auto"/>
              </w:rPr>
            </w:pPr>
            <w:r>
              <w:rPr>
                <w:rFonts w:ascii="Arial" w:cs="Arial" w:eastAsia="Arial" w:hAnsi="Arial"/>
                <w:sz w:val="18"/>
                <w:szCs w:val="18"/>
                <w:color w:val="auto"/>
              </w:rPr>
              <w:t>Reimbursement of research and development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Reduction of Research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440"/>
              <w:spacing w:after="0"/>
              <w:rPr>
                <w:sz w:val="20"/>
                <w:szCs w:val="20"/>
                <w:color w:val="auto"/>
              </w:rPr>
            </w:pPr>
            <w:r>
              <w:rPr>
                <w:rFonts w:ascii="Arial" w:cs="Arial" w:eastAsia="Arial" w:hAnsi="Arial"/>
                <w:sz w:val="18"/>
                <w:szCs w:val="18"/>
                <w:color w:val="auto"/>
              </w:rPr>
              <w:t>expenses</w:t>
            </w:r>
          </w:p>
        </w:tc>
        <w:tc>
          <w:tcPr>
            <w:tcW w:w="288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Regeneron's obligation for its share of Sanofi</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Research and development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research and development expenses</w:t>
            </w:r>
          </w:p>
        </w:tc>
        <w:tc>
          <w:tcPr>
            <w:tcW w:w="2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4080" w:type="dxa"/>
            <w:vAlign w:val="bottom"/>
          </w:tcPr>
          <w:p>
            <w:pPr>
              <w:ind w:left="260"/>
              <w:spacing w:after="0"/>
              <w:rPr>
                <w:sz w:val="20"/>
                <w:szCs w:val="20"/>
                <w:color w:val="auto"/>
              </w:rPr>
            </w:pPr>
            <w:r>
              <w:rPr>
                <w:rFonts w:ascii="Arial" w:cs="Arial" w:eastAsia="Arial" w:hAnsi="Arial"/>
                <w:sz w:val="18"/>
                <w:szCs w:val="18"/>
                <w:color w:val="auto"/>
              </w:rPr>
              <w:t>Reimbursement of commercialization-related</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Reduction of Selling, general,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440"/>
              <w:spacing w:after="0"/>
              <w:rPr>
                <w:sz w:val="20"/>
                <w:szCs w:val="20"/>
                <w:color w:val="auto"/>
              </w:rPr>
            </w:pPr>
            <w:r>
              <w:rPr>
                <w:rFonts w:ascii="Arial" w:cs="Arial" w:eastAsia="Arial" w:hAnsi="Arial"/>
                <w:sz w:val="18"/>
                <w:szCs w:val="18"/>
                <w:color w:val="auto"/>
              </w:rPr>
              <w:t>expenses</w:t>
            </w:r>
          </w:p>
        </w:tc>
        <w:tc>
          <w:tcPr>
            <w:tcW w:w="2880" w:type="dxa"/>
            <w:vAlign w:val="bottom"/>
            <w:gridSpan w:val="2"/>
          </w:tcPr>
          <w:p>
            <w:pPr>
              <w:ind w:left="180"/>
              <w:spacing w:after="0"/>
              <w:rPr>
                <w:sz w:val="20"/>
                <w:szCs w:val="20"/>
                <w:color w:val="auto"/>
              </w:rPr>
            </w:pPr>
            <w:r>
              <w:rPr>
                <w:rFonts w:ascii="Arial" w:cs="Arial" w:eastAsia="Arial" w:hAnsi="Arial"/>
                <w:sz w:val="18"/>
                <w:szCs w:val="18"/>
                <w:color w:val="auto"/>
              </w:rPr>
              <w:t>administrative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shd w:val="clear" w:color="auto" w:fill="CCEEFF"/>
          </w:tcPr>
          <w:p>
            <w:pPr>
              <w:spacing w:after="0"/>
              <w:rPr>
                <w:sz w:val="23"/>
                <w:szCs w:val="23"/>
                <w:color w:val="auto"/>
              </w:rPr>
            </w:pPr>
          </w:p>
        </w:tc>
        <w:tc>
          <w:tcPr>
            <w:tcW w:w="2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Immuno-oncology:</w:t>
            </w:r>
          </w:p>
        </w:tc>
        <w:tc>
          <w:tcPr>
            <w:tcW w:w="2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Regeneron's share of losses in connection with</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Sanofi collaboration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commercialization of Libtayo outside the United</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States</w:t>
            </w:r>
          </w:p>
        </w:tc>
        <w:tc>
          <w:tcPr>
            <w:tcW w:w="2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080" w:type="dxa"/>
            <w:vAlign w:val="bottom"/>
          </w:tcPr>
          <w:p>
            <w:pPr>
              <w:ind w:left="260"/>
              <w:spacing w:after="0"/>
              <w:rPr>
                <w:sz w:val="20"/>
                <w:szCs w:val="20"/>
                <w:color w:val="auto"/>
              </w:rPr>
            </w:pPr>
            <w:r>
              <w:rPr>
                <w:rFonts w:ascii="Arial" w:cs="Arial" w:eastAsia="Arial" w:hAnsi="Arial"/>
                <w:sz w:val="18"/>
                <w:szCs w:val="18"/>
                <w:color w:val="auto"/>
                <w:w w:val="97"/>
              </w:rPr>
              <w:t>Reimbursement for manufacturing of commercial</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Sanofi collaboration revenue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440"/>
              <w:spacing w:after="0"/>
              <w:rPr>
                <w:sz w:val="20"/>
                <w:szCs w:val="20"/>
                <w:color w:val="auto"/>
              </w:rPr>
            </w:pPr>
            <w:r>
              <w:rPr>
                <w:rFonts w:ascii="Arial" w:cs="Arial" w:eastAsia="Arial" w:hAnsi="Arial"/>
                <w:sz w:val="18"/>
                <w:szCs w:val="18"/>
                <w:color w:val="auto"/>
              </w:rPr>
              <w:t>supplies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Reimbursement of research and development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 of Research and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expenses</w:t>
            </w:r>
          </w:p>
        </w:tc>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9"/>
        </w:trPr>
        <w:tc>
          <w:tcPr>
            <w:tcW w:w="4080" w:type="dxa"/>
            <w:vAlign w:val="bottom"/>
          </w:tcPr>
          <w:p>
            <w:pPr>
              <w:ind w:left="260"/>
              <w:spacing w:after="0"/>
              <w:rPr>
                <w:sz w:val="20"/>
                <w:szCs w:val="20"/>
                <w:color w:val="auto"/>
              </w:rPr>
            </w:pPr>
            <w:r>
              <w:rPr>
                <w:rFonts w:ascii="Arial" w:cs="Arial" w:eastAsia="Arial" w:hAnsi="Arial"/>
                <w:sz w:val="18"/>
                <w:szCs w:val="18"/>
                <w:color w:val="auto"/>
              </w:rPr>
              <w:t>Reimbursement of commercialization-related</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Reduction of Selling, general,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440"/>
              <w:spacing w:after="0"/>
              <w:rPr>
                <w:sz w:val="20"/>
                <w:szCs w:val="20"/>
                <w:color w:val="auto"/>
              </w:rPr>
            </w:pPr>
            <w:r>
              <w:rPr>
                <w:rFonts w:ascii="Arial" w:cs="Arial" w:eastAsia="Arial" w:hAnsi="Arial"/>
                <w:sz w:val="18"/>
                <w:szCs w:val="18"/>
                <w:color w:val="auto"/>
              </w:rPr>
              <w:t>expenses</w:t>
            </w:r>
          </w:p>
        </w:tc>
        <w:tc>
          <w:tcPr>
            <w:tcW w:w="2880" w:type="dxa"/>
            <w:vAlign w:val="bottom"/>
            <w:gridSpan w:val="2"/>
          </w:tcPr>
          <w:p>
            <w:pPr>
              <w:ind w:left="180"/>
              <w:spacing w:after="0"/>
              <w:rPr>
                <w:sz w:val="20"/>
                <w:szCs w:val="20"/>
                <w:color w:val="auto"/>
              </w:rPr>
            </w:pPr>
            <w:r>
              <w:rPr>
                <w:rFonts w:ascii="Arial" w:cs="Arial" w:eastAsia="Arial" w:hAnsi="Arial"/>
                <w:sz w:val="18"/>
                <w:szCs w:val="18"/>
                <w:color w:val="auto"/>
              </w:rPr>
              <w:t>administrative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Regeneron's obligation for Sanofi's share of</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Libtayo U.S. gross profits</w:t>
            </w:r>
          </w:p>
        </w:tc>
        <w:tc>
          <w:tcPr>
            <w:tcW w:w="2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4080" w:type="dxa"/>
            <w:vAlign w:val="bottom"/>
          </w:tcPr>
          <w:p>
            <w:pPr>
              <w:ind w:left="260"/>
              <w:spacing w:after="0"/>
              <w:rPr>
                <w:sz w:val="20"/>
                <w:szCs w:val="20"/>
                <w:color w:val="auto"/>
              </w:rPr>
            </w:pPr>
            <w:r>
              <w:rPr>
                <w:rFonts w:ascii="Arial" w:cs="Arial" w:eastAsia="Arial" w:hAnsi="Arial"/>
                <w:sz w:val="18"/>
                <w:szCs w:val="18"/>
                <w:color w:val="auto"/>
              </w:rPr>
              <w:t>Amounts recognized in connection with up-front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Other operating income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440"/>
              <w:spacing w:after="0"/>
              <w:rPr>
                <w:sz w:val="20"/>
                <w:szCs w:val="20"/>
                <w:color w:val="auto"/>
              </w:rPr>
            </w:pPr>
            <w:r>
              <w:rPr>
                <w:rFonts w:ascii="Arial" w:cs="Arial" w:eastAsia="Arial" w:hAnsi="Arial"/>
                <w:sz w:val="18"/>
                <w:szCs w:val="18"/>
                <w:color w:val="auto"/>
              </w:rPr>
              <w:t>payments received</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2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party to a global, strategic collaboration with Sanofi to discover, develop, and commercialize fully human monoclonal antibodies (the "Antibody Collaboration")</w:t>
      </w:r>
      <w:r>
        <w:rPr>
          <w:rFonts w:ascii="Arial" w:cs="Arial" w:eastAsia="Arial" w:hAnsi="Arial"/>
          <w:sz w:val="16"/>
          <w:szCs w:val="16"/>
          <w:i w:val="1"/>
          <w:iCs w:val="1"/>
          <w:color w:val="auto"/>
        </w:rPr>
        <w:t>.</w:t>
      </w:r>
      <w:r>
        <w:rPr>
          <w:rFonts w:ascii="Arial" w:cs="Arial" w:eastAsia="Arial" w:hAnsi="Arial"/>
          <w:sz w:val="16"/>
          <w:szCs w:val="16"/>
          <w:color w:val="auto"/>
        </w:rPr>
        <w:t xml:space="preserve"> Under the companies' Antibody License and Collaboration Agreement (the "LCA"), following receipt of the first positive Phase 3 trial results for a co-developed drug candidate, subsequent Phase 3 trial-related costs for that drug candidate ("Shared Phase 3 Trial Costs") are generally shared 80% by Sanofi and 20% by Regeneron. All other agreed-upon worldwide development expenses incurred by both companies are funded by Sanofi.</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2018, the Company and Sanofi entered into a letter agreement (the "Letter Agreement") in connection with, among other matters, the allocation of additional funds to certain activities relating to dupilumab and REGN3500 (collectively, the "Dupilumab/REGN3500 Eligible Investments"). Refer to the "</w:t>
      </w:r>
      <w:r>
        <w:rPr>
          <w:rFonts w:ascii="Arial" w:cs="Arial" w:eastAsia="Arial" w:hAnsi="Arial"/>
          <w:sz w:val="18"/>
          <w:szCs w:val="18"/>
          <w:i w:val="1"/>
          <w:iCs w:val="1"/>
          <w:color w:val="auto"/>
        </w:rPr>
        <w:t>Immuno-Oncology</w:t>
      </w:r>
      <w:r>
        <w:rPr>
          <w:rFonts w:ascii="Arial" w:cs="Arial" w:eastAsia="Arial" w:hAnsi="Arial"/>
          <w:sz w:val="18"/>
          <w:szCs w:val="18"/>
          <w:color w:val="auto"/>
        </w:rPr>
        <w:t>" section below for further details regarding the Letter Agreement and Note 9 for additional information regarding shares purchased by us from Sanofi during the three months ended March 31, 2020 and 2019.</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Sanofi leads commercialization activities for products developed under the Antibody Collaboration, subject to the Company's right to co-commercialize such products. See discussion below related to the development and commercialization of Praluent effective April 1, 2020. In addition to profit and loss sharing, the Company is entitled to receive up to $250.0 million in sales milestone</w:t>
      </w:r>
    </w:p>
    <w:p>
      <w:pPr>
        <w:sectPr>
          <w:pgSz w:w="11900" w:h="16838" w:orient="portrait"/>
          <w:cols w:equalWidth="0" w:num="1">
            <w:col w:w="11240"/>
          </w:cols>
          <w:pgMar w:left="320" w:top="130"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payments, with milestone payments commencing after aggregate annual sales of antibodies outside the United States (including Praluent) exceed $1.0 billion on a rolling twelve-month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Antibody Collaboration with Sanofi:</w:t>
      </w:r>
    </w:p>
    <w:p>
      <w:pPr>
        <w:spacing w:after="0" w:line="302"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328.8</w:t>
            </w:r>
          </w:p>
        </w:tc>
      </w:tr>
    </w:tbl>
    <w:p>
      <w:pPr>
        <w:spacing w:after="0" w:line="3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is the last quarter for which Sanofi and the Company will share profits and losses for Praluent under the LCA. The parties also entered into a Praluent Cross License &amp; Commercialization Agreement (the "Praluent Agreement") pursuant to which, effective April 1, 2020, the Company, at its sole cost, is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 See Note 11 for discussion of legal proceedings related to Praluent.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the Company and Sanofi entered into a collaboration to discover,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proof-of-concept. If Sanofi exercises its option to license rights to a BCMAxCD3 Program antibody or MUC16xCD3 Program antibody thereunder, it will co-develop these drug candidates with the Company through product approval.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w:t>
      </w:r>
    </w:p>
    <w:p>
      <w:pPr>
        <w:spacing w:after="0" w:line="2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terms of the IO License and Collaboration Agreement, the parties are co-developing and co-commercializing Libtayo (cemiplimab), an antibody targeting the receptor known as programmed cell death protein 1 (PD-1). The parties share equally, on an ongoing basis, agreed-upon development and commercialization expenses for Libtayo. Pursuant to the Letter Agreement, the Libtayo development budget was increased and the Company has agreed to allow Sanofi to satisfy in whole or in part its funding obligations with respect to the Libtayo development and Dupilumab/REGN3500 Eligible Investments by selling up to an aggregate of 1,400,000 shares (of which 740,914 currently remains available) of our Common Stock directly or indirectly owned by Sanofi through September 30, 2020. If Sanofi desires to sell shares of our Common Stock during the term of the Letter Agreement to satisfy a portion or all of its funding obligations for the Libtayo development and/or Dupilumab/REGN3500 Eligible Investments,</w:t>
      </w:r>
    </w:p>
    <w:p>
      <w:pPr>
        <w:sectPr>
          <w:pgSz w:w="11900" w:h="16838" w:orient="portrait"/>
          <w:cols w:equalWidth="0" w:num="1">
            <w:col w:w="11240"/>
          </w:cols>
          <w:pgMar w:left="320" w:top="130" w:right="3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30" w:right="3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elect to purchase, in whole or in part, such shares from Sanofi. See Note 9 for additional information regarding shares purchased by us from Sanofi during the three months ended March 31, 2020 and 2019.</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principal control over the development of Libtayo and leads commercialization activities in the United States (see Note 2 for related product sales information), while Sanofi leads commercialization activities outside of the United States and the parties equally share profits and losses from worldwide sales.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Company's IO Collaboration with Sanofi:</w:t>
      </w:r>
    </w:p>
    <w:p>
      <w:pPr>
        <w:spacing w:after="0" w:line="302"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3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3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r>
      <w:tr>
        <w:trPr>
          <w:trHeight w:val="27"/>
        </w:trPr>
        <w:tc>
          <w:tcPr>
            <w:tcW w:w="3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payments received from Sanofi for which recognition has been deferred.</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the estimated consideration under the IO Collaboration related to the Company's obligation that was unsatisfied (or partially unsatisfied) as of March 31, 2020 was $1.087 billion. This amount is expected to be recognized over the remaining period in which the Company is obligated to satisfy its obligation in connection with performing development activities.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our Bayer EYLEA collaboration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256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Statement of Operations</w:t>
            </w:r>
          </w:p>
        </w:tc>
        <w:tc>
          <w:tcPr>
            <w:tcW w:w="24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56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560" w:type="dxa"/>
            <w:vAlign w:val="bottom"/>
            <w:gridSpan w:val="2"/>
          </w:tcPr>
          <w:p>
            <w:pPr>
              <w:ind w:left="700"/>
              <w:spacing w:after="0"/>
              <w:rPr>
                <w:sz w:val="20"/>
                <w:szCs w:val="20"/>
                <w:color w:val="auto"/>
              </w:rPr>
            </w:pPr>
            <w:r>
              <w:rPr>
                <w:rFonts w:ascii="Arial" w:cs="Arial" w:eastAsia="Arial" w:hAnsi="Arial"/>
                <w:sz w:val="18"/>
                <w:szCs w:val="18"/>
                <w:b w:val="1"/>
                <w:bCs w:val="1"/>
                <w:color w:val="auto"/>
              </w:rPr>
              <w:t>Classification</w:t>
            </w: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Bayer collaboration revenue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commercialization of EYLEA outside the United</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States</w:t>
            </w:r>
          </w:p>
        </w:tc>
        <w:tc>
          <w:tcPr>
            <w:tcW w:w="2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w:t>
            </w:r>
          </w:p>
        </w:tc>
        <w:tc>
          <w:tcPr>
            <w:tcW w:w="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Reimbursement for manufacturing of commercial</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Bayer collaboration revenue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supplies</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3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Reimbursement of development expenses</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Reduction of Research 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development expense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Regeneron's obligation for its share of Bayer</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research and development expenses</w:t>
            </w:r>
          </w:p>
        </w:tc>
        <w:tc>
          <w:tcPr>
            <w:tcW w:w="256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Reimbursement of other expenses</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collaboration and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manufacturing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party to a license and collaboration agreement with Bayer for the global development and commercialization of EYLEA outside the United States. Bayer markets EYLEA outside the United States, where, for countries other than Japan, the companies share equally in profits and losses from sales of EYLEA. In Japan, the Company is currently entitled to receive a tiered percentage of between 33.5% and 40.0% of EYLEA net product sales through 2021, and thereafter, the companies will share equally in profits and losses from sales of EYLEA. In addition, the Company and Bayer share the funding of agreed-upon EYLEA development costs.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our Bayer EYLEA collaboration:</w:t>
      </w:r>
    </w:p>
    <w:p>
      <w:pPr>
        <w:spacing w:after="0" w:line="302"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 other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123.0</w:t>
            </w:r>
          </w:p>
        </w:tc>
      </w:tr>
    </w:tbl>
    <w:p>
      <w:pPr>
        <w:spacing w:after="0" w:line="200" w:lineRule="exact"/>
        <w:rPr>
          <w:sz w:val="20"/>
          <w:szCs w:val="20"/>
          <w:color w:val="auto"/>
        </w:rPr>
      </w:pPr>
    </w:p>
    <w:p>
      <w:pPr>
        <w:sectPr>
          <w:pgSz w:w="11900" w:h="16838" w:orient="portrait"/>
          <w:cols w:equalWidth="0" w:num="1">
            <w:col w:w="11240"/>
          </w:cols>
          <w:pgMar w:left="320" w:top="130" w:right="339" w:bottom="777"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30" w:right="339" w:bottom="777"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Teva</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2016, the Company and Teva entered into a collaboration agreement (the "Teva Collaboration Agreement") to develop and commercialize fasinumab globally, excluding certain Asian countries that are subject to our collaboration agreement with Mitsubishi Tanabe Pharma Corporation. The Company leads global development activities, and the parties share development costs equally, on an ongoing basis, under a global development plan. The Company is also responsible for the manufacture and supply of fasinumab globally.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our Statements of Operations in connection with the Teva Collaboration Agreement is as follows: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0" w:right="280" w:hanging="161"/>
        <w:spacing w:after="0" w:line="277" w:lineRule="auto"/>
        <w:rPr>
          <w:sz w:val="20"/>
          <w:szCs w:val="20"/>
          <w:color w:val="auto"/>
        </w:rPr>
      </w:pPr>
      <w:r>
        <w:rPr>
          <w:rFonts w:ascii="Arial" w:cs="Arial" w:eastAsia="Arial" w:hAnsi="Arial"/>
          <w:sz w:val="18"/>
          <w:szCs w:val="18"/>
          <w:color w:val="auto"/>
        </w:rPr>
        <w:t>Reimbursement of research and development expenses</w:t>
      </w:r>
    </w:p>
    <w:p>
      <w:pPr>
        <w:spacing w:after="0" w:line="22" w:lineRule="exact"/>
        <w:rPr>
          <w:sz w:val="20"/>
          <w:szCs w:val="20"/>
          <w:color w:val="auto"/>
        </w:rPr>
      </w:pPr>
    </w:p>
    <w:p>
      <w:pPr>
        <w:jc w:val="right"/>
        <w:ind w:left="1240"/>
        <w:spacing w:after="0" w:line="342" w:lineRule="auto"/>
        <w:rPr>
          <w:sz w:val="20"/>
          <w:szCs w:val="20"/>
          <w:color w:val="auto"/>
        </w:rPr>
      </w:pPr>
      <w:r>
        <w:rPr>
          <w:rFonts w:ascii="Arial" w:cs="Arial" w:eastAsia="Arial" w:hAnsi="Arial"/>
          <w:sz w:val="16"/>
          <w:szCs w:val="16"/>
          <w:color w:val="auto"/>
        </w:rPr>
        <w:t>Amounts recognized in connection with up-front and development milestone payments received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7"/>
              </w:rPr>
              <w:t>Three Months Ended</w:t>
            </w:r>
          </w:p>
        </w:tc>
        <w:tc>
          <w:tcPr>
            <w:tcW w:w="0" w:type="dxa"/>
            <w:vAlign w:val="bottom"/>
          </w:tcPr>
          <w:p>
            <w:pPr>
              <w:spacing w:after="0"/>
              <w:rPr>
                <w:sz w:val="1"/>
                <w:szCs w:val="1"/>
                <w:color w:val="auto"/>
              </w:rPr>
            </w:pPr>
          </w:p>
        </w:tc>
      </w:tr>
      <w:tr>
        <w:trPr>
          <w:trHeight w:val="234"/>
        </w:trPr>
        <w:tc>
          <w:tcPr>
            <w:tcW w:w="26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Statement of Operations</w:t>
            </w:r>
          </w:p>
        </w:tc>
        <w:tc>
          <w:tcPr>
            <w:tcW w:w="2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Classification</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Reduction of Research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development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operating income</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3"/>
                <w:szCs w:val="2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-608330</wp:posOffset>
            </wp:positionV>
            <wp:extent cx="559752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7525" cy="31750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780" w:space="200"/>
            <w:col w:w="6260"/>
          </w:cols>
          <w:pgMar w:left="320" w:top="13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balances in connection with the Teva Collaboration Agreement:</w:t>
      </w:r>
    </w:p>
    <w:p>
      <w:pPr>
        <w:spacing w:after="0" w:line="302" w:lineRule="exact"/>
        <w:rPr>
          <w:sz w:val="20"/>
          <w:szCs w:val="20"/>
          <w:color w:val="auto"/>
        </w:rPr>
      </w:pPr>
    </w:p>
    <w:tbl>
      <w:tblPr>
        <w:tblLayout w:type="fixed"/>
        <w:tblInd w:w="19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4140" w:type="dxa"/>
            <w:vAlign w:val="bottom"/>
          </w:tcPr>
          <w:p>
            <w:pPr>
              <w:spacing w:after="0"/>
              <w:rPr>
                <w:sz w:val="23"/>
                <w:szCs w:val="23"/>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4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 other</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97.9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114.4</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include up-front and development milestone payments received from Teva for which recognition has been deferred.</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estimated consideration under the Teva Collaboration Agreement related to the Company's obligation that was unsatisfied (or partially unsatisfied) as of March 31, 2020 was $225.1 million. This amount is expected to be recognized over the remaining period in which the Company is obligated to satisfy its obligation in connection with performing development activities.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7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22860</wp:posOffset>
            </wp:positionV>
            <wp:extent cx="1517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8" w:lineRule="exact"/>
        <w:rPr>
          <w:sz w:val="20"/>
          <w:szCs w:val="20"/>
          <w:color w:val="auto"/>
        </w:rPr>
      </w:pPr>
    </w:p>
    <w:tbl>
      <w:tblPr>
        <w:tblLayout w:type="fixed"/>
        <w:tblInd w:w="25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7"/>
        </w:trPr>
        <w:tc>
          <w:tcPr>
            <w:tcW w:w="3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 and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r>
      <w:tr>
        <w:trPr>
          <w:trHeight w:val="270"/>
        </w:trPr>
        <w:tc>
          <w:tcPr>
            <w:tcW w:w="3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108.9</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9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w:t>
            </w:r>
          </w:p>
        </w:tc>
      </w:tr>
      <w:tr>
        <w:trPr>
          <w:trHeight w:val="257"/>
        </w:trPr>
        <w:tc>
          <w:tcPr>
            <w:tcW w:w="38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3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332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1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r>
      <w:tr>
        <w:trPr>
          <w:trHeight w:val="27"/>
        </w:trPr>
        <w:tc>
          <w:tcPr>
            <w:tcW w:w="1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27"/>
        </w:trPr>
        <w:tc>
          <w:tcPr>
            <w:tcW w:w="18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783"/>
        </w:trPr>
        <w:tc>
          <w:tcPr>
            <w:tcW w:w="182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as of March 31, 2020 and December 31, 2019 consist of both available-for-sale debt securities of investment grade issuers (see below and Note 6) as well as equity securities of publicly traded companies (see Note 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investments in available-for-sale debt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6"/>
        </w:trPr>
        <w:tc>
          <w:tcPr>
            <w:tcW w:w="524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March 31, 2020</w:t>
            </w:r>
          </w:p>
        </w:tc>
        <w:tc>
          <w:tcPr>
            <w:tcW w:w="180" w:type="dxa"/>
            <w:vAlign w:val="bottom"/>
          </w:tcPr>
          <w:p>
            <w:pPr>
              <w:spacing w:after="0"/>
              <w:rPr>
                <w:sz w:val="17"/>
                <w:szCs w:val="17"/>
                <w:color w:val="auto"/>
              </w:rPr>
            </w:pPr>
          </w:p>
        </w:tc>
        <w:tc>
          <w:tcPr>
            <w:tcW w:w="122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2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360" w:type="dxa"/>
            <w:vAlign w:val="bottom"/>
          </w:tcPr>
          <w:p>
            <w:pPr>
              <w:spacing w:after="0"/>
              <w:rPr>
                <w:sz w:val="17"/>
                <w:szCs w:val="17"/>
                <w:color w:val="auto"/>
              </w:rPr>
            </w:pPr>
          </w:p>
        </w:tc>
        <w:tc>
          <w:tcPr>
            <w:tcW w:w="10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10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3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3"/>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4,117.4</w:t>
            </w:r>
          </w:p>
        </w:tc>
      </w:tr>
      <w:tr>
        <w:trPr>
          <w:trHeight w:val="243"/>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Sovereign bonds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43"/>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162.7</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4,478.0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4,469.6</w:t>
            </w:r>
          </w:p>
        </w:tc>
      </w:tr>
      <w:tr>
        <w:trPr>
          <w:trHeight w:val="67"/>
        </w:trPr>
        <w:tc>
          <w:tcPr>
            <w:tcW w:w="2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33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304"/>
        </w:trPr>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03"/>
        </w:trPr>
        <w:tc>
          <w:tcPr>
            <w:tcW w:w="524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As of December 31, 2019</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3,988.1</w:t>
            </w:r>
          </w:p>
        </w:tc>
      </w:tr>
      <w:tr>
        <w:trPr>
          <w:trHeight w:val="243"/>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U.S. government and government agency obligations</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Sovereign bonds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5240" w:type="dxa"/>
            <w:vAlign w:val="bottom"/>
            <w:gridSpan w:val="4"/>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92.3</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4,206.3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4,234.5</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its investments in available-for-sale debt securities based on their contractual maturity dates. The available-for-sale debt securities listed as of March 31, 2020 mature at various dates through March 2025. The fair values of available-for-sale debt security investments by contractual maturity consist of the following:</w:t>
      </w:r>
    </w:p>
    <w:p>
      <w:pPr>
        <w:spacing w:after="0" w:line="396"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4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1,596.5</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Maturities after one year through five years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2,638.0</w:t>
            </w:r>
          </w:p>
        </w:tc>
      </w:tr>
      <w:tr>
        <w:trPr>
          <w:trHeight w:val="27"/>
        </w:trPr>
        <w:tc>
          <w:tcPr>
            <w:tcW w:w="4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4,469.6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4,234.5</w:t>
            </w:r>
          </w:p>
        </w:tc>
      </w:tr>
      <w:tr>
        <w:trPr>
          <w:trHeight w:val="27"/>
        </w:trPr>
        <w:tc>
          <w:tcPr>
            <w:tcW w:w="4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ind w:left="320"/>
              <w:spacing w:after="0"/>
              <w:rPr>
                <w:sz w:val="20"/>
                <w:szCs w:val="20"/>
                <w:color w:val="auto"/>
              </w:rPr>
            </w:pPr>
            <w:r>
              <w:rPr>
                <w:rFonts w:ascii="Arial" w:cs="Arial" w:eastAsia="Arial" w:hAnsi="Arial"/>
                <w:sz w:val="18"/>
                <w:szCs w:val="18"/>
                <w:b w:val="1"/>
                <w:bCs w:val="1"/>
                <w:color w:val="auto"/>
              </w:rPr>
              <w:t>Less than 12 Months</w:t>
            </w:r>
          </w:p>
        </w:tc>
        <w:tc>
          <w:tcPr>
            <w:tcW w:w="2620" w:type="dxa"/>
            <w:vAlign w:val="bottom"/>
            <w:gridSpan w:val="4"/>
          </w:tcPr>
          <w:p>
            <w:pPr>
              <w:ind w:left="44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Unrealized</w:t>
            </w:r>
          </w:p>
        </w:tc>
      </w:tr>
      <w:tr>
        <w:trPr>
          <w:trHeight w:val="194"/>
        </w:trPr>
        <w:tc>
          <w:tcPr>
            <w:tcW w:w="3200" w:type="dxa"/>
            <w:vAlign w:val="bottom"/>
            <w:gridSpan w:val="4"/>
          </w:tcPr>
          <w:p>
            <w:pPr>
              <w:ind w:left="20"/>
              <w:spacing w:after="0" w:line="194" w:lineRule="exact"/>
              <w:rPr>
                <w:sz w:val="20"/>
                <w:szCs w:val="20"/>
                <w:color w:val="auto"/>
              </w:rPr>
            </w:pPr>
            <w:r>
              <w:rPr>
                <w:rFonts w:ascii="Arial" w:cs="Arial" w:eastAsia="Arial" w:hAnsi="Arial"/>
                <w:sz w:val="18"/>
                <w:szCs w:val="18"/>
                <w:b w:val="1"/>
                <w:bCs w:val="1"/>
                <w:color w:val="auto"/>
              </w:rPr>
              <w:t>As of March 31, 2020</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80"/>
              </w:rPr>
              <w:t>Loss</w:t>
            </w:r>
          </w:p>
        </w:tc>
        <w:tc>
          <w:tcPr>
            <w:tcW w:w="132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Fair Value</w:t>
            </w:r>
          </w:p>
        </w:tc>
        <w:tc>
          <w:tcPr>
            <w:tcW w:w="1300" w:type="dxa"/>
            <w:vAlign w:val="bottom"/>
            <w:gridSpan w:val="2"/>
          </w:tcPr>
          <w:p>
            <w:pPr>
              <w:ind w:left="42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04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43"/>
        </w:trPr>
        <w:tc>
          <w:tcPr>
            <w:tcW w:w="3200" w:type="dxa"/>
            <w:vAlign w:val="bottom"/>
            <w:gridSpan w:val="4"/>
          </w:tcPr>
          <w:p>
            <w:pPr>
              <w:ind w:left="2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32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As of December 31, 2019</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3200" w:type="dxa"/>
            <w:vAlign w:val="bottom"/>
            <w:gridSpan w:val="4"/>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3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4"/>
              </w:rPr>
              <w:t>U.S. government and government agency</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realized losses on sales of marketable securities, and realized gains were not material, for the three months ended March 31, 2020 and 2019.</w:t>
      </w:r>
    </w:p>
    <w:p>
      <w:pPr>
        <w:spacing w:after="0" w:line="3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With respect to marketable securities, for the three months ended March 31, 2020 and 2019, amounts reclassified from Accumulated other comprehensive (loss) income into Other (expense) income, net were related to realized gains on sales of available-for-sale debt securities (as described above).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the Company's assets which are measured at fair value on a recurring basis. The following fair value hierarchy is used to classify assets, based on inputs to valuation techniques utilized to measure fair value:</w:t>
      </w:r>
    </w:p>
    <w:p>
      <w:pPr>
        <w:spacing w:after="0" w:line="8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w:t>
      </w:r>
    </w:p>
    <w:p>
      <w:pPr>
        <w:spacing w:after="0" w:line="23"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Significant other unobservable inputs</w:t>
      </w:r>
    </w:p>
    <w:p>
      <w:pPr>
        <w:spacing w:after="0" w:line="15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Fair Value Measurements at Reporting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34290</wp:posOffset>
            </wp:positionV>
            <wp:extent cx="2211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43"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As of March 31, 2020</w:t>
            </w:r>
          </w:p>
        </w:tc>
        <w:tc>
          <w:tcPr>
            <w:tcW w:w="260" w:type="dxa"/>
            <w:vAlign w:val="bottom"/>
          </w:tcPr>
          <w:p>
            <w:pPr>
              <w:spacing w:after="0"/>
              <w:rPr>
                <w:sz w:val="17"/>
                <w:szCs w:val="17"/>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 Value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3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Available-for-sale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4,117.4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4,117.4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43"/>
        </w:trPr>
        <w:tc>
          <w:tcPr>
            <w:tcW w:w="20" w:type="dxa"/>
            <w:vAlign w:val="bottom"/>
          </w:tcPr>
          <w:p>
            <w:pPr>
              <w:spacing w:after="0"/>
              <w:rPr>
                <w:sz w:val="21"/>
                <w:szCs w:val="21"/>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Sovereign bonds</w:t>
            </w: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43"/>
        </w:trPr>
        <w:tc>
          <w:tcPr>
            <w:tcW w:w="20" w:type="dxa"/>
            <w:vAlign w:val="bottom"/>
          </w:tcPr>
          <w:p>
            <w:pPr>
              <w:spacing w:after="0"/>
              <w:rPr>
                <w:sz w:val="21"/>
                <w:szCs w:val="21"/>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Equity securities (unrestricted)</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Equity securities (restricted)</w:t>
            </w: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5,031.6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562.0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2019</w:t>
            </w:r>
          </w:p>
        </w:tc>
        <w:tc>
          <w:tcPr>
            <w:tcW w:w="3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Available-for-sale debt securities: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3,988.1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3,988.1</w:t>
            </w:r>
          </w:p>
        </w:tc>
      </w:tr>
      <w:tr>
        <w:trPr>
          <w:trHeight w:val="243"/>
        </w:trPr>
        <w:tc>
          <w:tcPr>
            <w:tcW w:w="20" w:type="dxa"/>
            <w:vAlign w:val="bottom"/>
          </w:tcPr>
          <w:p>
            <w:pPr>
              <w:spacing w:after="0"/>
              <w:rPr>
                <w:sz w:val="21"/>
                <w:szCs w:val="21"/>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Sovereign bonds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20" w:type="dxa"/>
            <w:vAlign w:val="bottom"/>
          </w:tcPr>
          <w:p>
            <w:pPr>
              <w:spacing w:after="0"/>
              <w:rPr>
                <w:sz w:val="21"/>
                <w:szCs w:val="21"/>
                <w:color w:val="auto"/>
              </w:rPr>
            </w:pPr>
          </w:p>
        </w:tc>
        <w:tc>
          <w:tcPr>
            <w:tcW w:w="524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43"/>
        </w:trPr>
        <w:tc>
          <w:tcPr>
            <w:tcW w:w="20" w:type="dxa"/>
            <w:vAlign w:val="bottom"/>
          </w:tcPr>
          <w:p>
            <w:pPr>
              <w:spacing w:after="0"/>
              <w:rPr>
                <w:sz w:val="21"/>
                <w:szCs w:val="21"/>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Equity securities (unrestricted)</w:t>
            </w: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Equity securities (restricted)</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557.2</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557.2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4,853.3</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618.8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4,234.5</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held certain restricted equity securities as of March 31, 2020 which are subject to transfer restrictions that expire at various dates through 2023.</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March 31, 2020 and 2019, we recorded $56.8 million of net unrealized losses and $42.8 million of net unrealized gains, respectively, on equity securities in Other (expense) income, net.</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investments summarized in the table above, as of March 31, 2020 and December 31, 2019, the Company had $55.6 million in equity investments that do not have a readily determinable fair value. These investments are recorded within Other noncurrent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46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5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25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250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250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r>
      <w:tr>
        <w:trPr>
          <w:trHeight w:val="243"/>
        </w:trPr>
        <w:tc>
          <w:tcPr>
            <w:tcW w:w="2500" w:type="dxa"/>
            <w:vAlign w:val="bottom"/>
          </w:tcPr>
          <w:p>
            <w:pPr>
              <w:spacing w:after="0"/>
              <w:rPr>
                <w:sz w:val="21"/>
                <w:szCs w:val="21"/>
                <w:color w:val="auto"/>
              </w:rPr>
            </w:pPr>
          </w:p>
        </w:tc>
        <w:tc>
          <w:tcPr>
            <w:tcW w:w="29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727.7</w:t>
            </w:r>
          </w:p>
        </w:tc>
      </w:tr>
      <w:tr>
        <w:trPr>
          <w:trHeight w:val="27"/>
        </w:trPr>
        <w:tc>
          <w:tcPr>
            <w:tcW w:w="2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50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43"/>
        </w:trPr>
        <w:tc>
          <w:tcPr>
            <w:tcW w:w="2500" w:type="dxa"/>
            <w:vAlign w:val="bottom"/>
          </w:tcPr>
          <w:p>
            <w:pPr>
              <w:spacing w:after="0"/>
              <w:rPr>
                <w:sz w:val="21"/>
                <w:szCs w:val="21"/>
                <w:color w:val="auto"/>
              </w:rPr>
            </w:pPr>
          </w:p>
        </w:tc>
        <w:tc>
          <w:tcPr>
            <w:tcW w:w="2960" w:type="dxa"/>
            <w:vAlign w:val="bottom"/>
          </w:tcPr>
          <w:p>
            <w:pPr>
              <w:ind w:left="40"/>
              <w:spacing w:after="0"/>
              <w:rPr>
                <w:sz w:val="20"/>
                <w:szCs w:val="20"/>
                <w:color w:val="auto"/>
              </w:rPr>
            </w:pPr>
            <w:r>
              <w:rPr>
                <w:rFonts w:ascii="Arial" w:cs="Arial" w:eastAsia="Arial" w:hAnsi="Arial"/>
                <w:sz w:val="18"/>
                <w:szCs w:val="18"/>
                <w:color w:val="auto"/>
              </w:rPr>
              <w:t>Deferred costs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400.9</w:t>
            </w:r>
          </w:p>
        </w:tc>
      </w:tr>
      <w:tr>
        <w:trPr>
          <w:trHeight w:val="27"/>
        </w:trPr>
        <w:tc>
          <w:tcPr>
            <w:tcW w:w="250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2500" w:type="dxa"/>
            <w:vAlign w:val="bottom"/>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1,415.5</w:t>
            </w:r>
          </w:p>
        </w:tc>
      </w:tr>
      <w:tr>
        <w:trPr>
          <w:trHeight w:val="20"/>
        </w:trPr>
        <w:tc>
          <w:tcPr>
            <w:tcW w:w="250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(see Note 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subject to U.S. federal, state, and foreign income taxes. The Company's effective tax rate was 6.6% and 15.6% for the three months ended March 31, 2020 and 2019, respectively. The Company's effective tax rate for the three months ended March 31, 2020 was positively impacted, compared to the U.S. federal statutory rate, primarily by stock-based compensation, and, to a lesser extent, income earned in foreign jurisdictions with tax rates lower than the U.S. federal statutory rate and federal tax credits for research activities. The Company's effective tax rate for the three months ended March 31, 2019 was positively impacted, compared to the U.S. federal statutory rate, primarily by the federal tax credit for research activities, stock-based compensation, the foreign-derived intangible income deduction, and income earned in foreign jurisdictions with tax rates lower than the U.S. federal statutory rate.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2019, our board of directors authorized a share repurchase program to repurchase up to $1.0 billion of our Common Stock. The share repurchase program permits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we repurchased 719,167 shares of our Common Stock under the program and recorded the cost of the shares received, or $272.8 million, as Treasury Stock. As of March 31, 2020, the Company had $473.1 million which remained available for share repurchases under the program.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in Note 3, effective January 2018, we have agreed to allow Sanofi to satisfy in whole or in part its funding obligations with respect to Libtayo development and/or Dupilumab/REGN3500 Eligible Investments by selling our Common Stock directly or indirectly owned by Sanofi. During the three months ended March 31, 2020, Sanofi elected to sell, and we elected to purchase (by issuing a credit towards the amount owed by Sanofi), 43,627 shares of our Common Stock to satisfy Sanofi's funding obligation related to Libtayo development costs, and we recorded the cost of the shares received, or $21.4 million, as Treasury Stock. During the three months ended March 31, 2019, we purchased (by issuing a credit towards the amount owed by Sanofi) 106,972 shares of our Common Stock from Sanofi, and recorded the cost of the shares received, or $44.0 million, as Treasury Stock. In addition, during the three months ended March 31, 2020, Sanofi elected to sell, and we elected to purchase (in cash), 85,287 shares of our Common Stock in connection with Sanofi's funding obligation for Dupilumab/REGN3500 Eligible Investments, and recorded the cost of the shares received, or $41.8 million, as Treasury Stock. During the three months ended March 31, 2019, Sanofi elected</w:t>
      </w:r>
    </w:p>
    <w:p>
      <w:pPr>
        <w:sectPr>
          <w:pgSz w:w="11900" w:h="16838" w:orient="portrait"/>
          <w:cols w:equalWidth="0" w:num="1">
            <w:col w:w="11240"/>
          </w:cols>
          <w:pgMar w:left="320" w:top="130" w:right="33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sell, and we elected to purchase (in cash), 24,143 shares of our Common Stock in connection with Sanofi's funding obligation for Dupilumab/REGN3500 Eligible Investments, and recorded the cost of the shares received, or $10.0 million, as Treasury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Statement of Cash Flows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382"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70"/>
        </w:trPr>
        <w:tc>
          <w:tcPr>
            <w:tcW w:w="5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1,708.5</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cash, cash equivalents, and restricted cash shown in the Condensed</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2,220.7</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1,721.0</w:t>
            </w: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Statement of Cash Flows</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consists of amounts held by financial institutions pursuant to contractual arrangements.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accounts payable, accrued expenses, and other liabilities as of March 31, 2020 and December 31, 2019 were $72.6 million and $133.7 million, respectively, of accrued capital expenditures. Included in accounts payable, accrued expenses, and other liabilities as of March 31, 2019 and December 31, 2018 were $54.4 million and $54.5 million, respectively, of accrued capital expenditures.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described in Note 9, during the three months ended March 31, 2020 and 2019, we purchased (by issuing a credit towards the amount owed by Sanofi) shares of our Common Stock from Sanofi to satisfy Sanofi's funding obligation related to Libtayo development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As of March 31, 2020 and December 31, 2019, the Company had accruals for loss contingencies of $117.0 million and $100.0 million, respectively. If the Company were unable to prevail in any such proceedings, its consolidated financial position, results of operations, and future cash flows may be materially impacted.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'287 Patent and '163 Patent</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 party to patent infringement litigation initiated by the Company involving its European Patent No. 1,360,287 (the "'287 Patent") and its European Patent No. 2,264,163 (the "'163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and the '163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'163 Patent (as applicable).</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25, 2013, the Company commenced patent infringement litigation against Kymab Ltd in the English High Court of Justice, Chancery Division, Patents Court, in London, asserting the '287 Patent and '163 Patent. Following a trial to adjudicate the claims of infringement and counterclaims of invalidity of the '287 Patent and the '163 Patent, the court issued a final judgment on February 1, 2016, finding that the asserted claims of the '287 and '163 Patents are novel, not obvious, and infringed by Kymab's genetically engineered mice. However, the court invalidated the '287 and '163 Patents on the ground of insufficiency. On appeal, the Court of Appeal (Civil Division of England and Wales) reversed the English High Court's decision and held that the '287 Patent and '163 Patent are both valid and infringed by Kymab and subsequently issued a final order, which enjoins Kymab from infringing the '287 Patent and '163 Patent (subject to certain exceptions) and requires Kymab to destroy or deliver to a third party all products</w:t>
      </w:r>
    </w:p>
    <w:p>
      <w:pPr>
        <w:sectPr>
          <w:pgSz w:w="11900" w:h="16838" w:orient="portrait"/>
          <w:cols w:equalWidth="0" w:num="1">
            <w:col w:w="11240"/>
          </w:cols>
          <w:pgMar w:left="320" w:top="130" w:right="3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antibodies and cells engineered to produce antibodies which infringe the '287 Patent and '163 Patent (subject to certain exceptions). Thereafter, the Supreme Court of the United Kingdom granted Kymab's application for permission to appeal the order made by the Court of Appeal with respect to an issue of validity of the '287 Patent and the '163 Patent. An oral hearing was held on February 11–12, 2020, but a decision has not yet been announced. The provisions of the final order of the Court of Appeal are stayed pending final determination of Kymab's appeal to the Supreme Court of the United Kingdom. The Company has also been awarded a portion of the legal fees incurred by it in connection with the proceedings in the English High Court and the Court of Appeal described above. On July 31, 2019, the Company filed an action in the English High Court for a calculation of damages relating to Kymab's infringement of the '287 Patent and the '163 Patent.</w:t>
      </w:r>
    </w:p>
    <w:p>
      <w:pPr>
        <w:spacing w:after="0" w:line="1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Following an oral hearing before the Opposition Division of the EPO on February 5–7, 2018, the Opposition Division upheld the '163 Patent without amendments. Kymab, Merus, and Novo Nordisk each filed a notice of appeal of the Opposition Division's decision on February 9, 2018, May 25, 2018, and June 26, 2018, respectively. On January 7, 2019, Merus withdrew its appeal of the '163 Patent in the EPO in connection with the previously reported global settlement.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in greater detail below, the Company is currently a party to patent infringement actions initiated by Amgen Inc. (and/or its affiliated entities) against the Company and/or Sanofi (and/or the Company's and Sanofi's respective affiliated entities) in a number of jurisdictions relating to Praluent. See Note 3 for a description of the Company's and Sanofi's arrangement regarding the costs resulting from or associated with such 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Amgen has asserted claims of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The first jury trial in this litigation (the "First Trial") was held in the United States District Court for the District of Delaware (the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3, 2019, the District Court held oral argument in the remanded proceedings on the Company and the Sanofi defendants' motion for judgment on the pleadings regarding Amgen's willful infringement claim. On January 18, 2019, the District Court entered an order (i) 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August 28, 2019, the District Court ruled as a matter of law that Amgen's asserted patent claims are invalid based on lack of enablement. The District Court also conditionally denied the Company and the Sanofi defendants' motion for a new trial. On October 23, 2019, Amgen filed a notice of appeal of the District Court's decision with the Federal Circuit.</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18, 2019, Amgen filed a renewed motion for a permanent injunction to prohibit the Company and the Sanofi defendants from Commercializing Praluent in the United States (a "Permanent Injunction"), and an oral hearing on this motion was held in June 2019. Previously, the Federal Circuit stayed and then vacated a Permanent Injunction granted by the District Court in connection with the First Trial. On August 28, 2019, the District Court dismissed as moot Amgen's renewed motion for a Permanent Injunction.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Also on July 25, 2016, Amgen filed a lawsuit for infringement of the '124 Patent against Regeneron, Sanofi-Aventis Groupe S.A., Sanofi Winthrop Industrie S.A., and Sanofi-Aventis Deutschland GmbH in the Regional Court of Düsseldorf, 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held an oral hearing on September 11, 2018 and ruled on December 10, 2018 that the infringement proceedings would be reopened. On July 11, 2019, the Düsseldorf Regional Court found that Praluent infringes the '124 Patent and granted an injunction prohibiting the Company and Sanofi's manufacture, sale, and marketing of Praluent in Germany (the "July 11 Decision"). Amgen subsequently enforced the injunction and, as a result, commercialization of Praluent in Germany has been discontinued. On July 12, 2019, the Company and Sanofi appealed the July 11 Decision to the Higher Regional Court of Düsseldorf (the "Higher Regional Court"). An oral hearing on the merits of the appeal to the Higher Regional Court (originally scheduled for April 2, 2020) has been rescheduled for November 5, 2020. On August 5, 2019 and October 31, 2019, the Higher Regional Court denied the Company and Sanofi's requests for a stay of preliminary enforcement of the July 11 Decision pending the appeal on the merits.</w:t>
      </w:r>
    </w:p>
    <w:p>
      <w:pPr>
        <w:spacing w:after="0" w:line="2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26, 2016, Amgen filed a lawsuit for infringement of the '124 Patent in the Tribunal de grande instance in Paris, France against Regeneron, Sanofi-Aventis Groupe S.A., Sanofi Winthrop Industrie S.A.,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(originally scheduled for February 12, 2019) has yet to be rescheduled.</w:t>
      </w:r>
    </w:p>
    <w:p>
      <w:pPr>
        <w:spacing w:after="0" w:line="2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17, 2019, Amgen initiated a lawsuit alleging infringement of the Dutch designation of the '124 Patent in the District Court of The Hague in the Netherlands, against Sanofi-Aventis Netherlands B.V. and Sanofi-Aventis Groupe S.A. The Company has not been named as a defendant in this action. Amgen alleges, among other things, patent infringement based on the production, importation, and commercialization of Praluent (alirocumab) in the Netherlands. Amgen's requests are made on an accelerated basis and include, among other things, a request for a permanent injunction, damages, an order for customer information, a recall order, a destruction order, and an order for costs. A trial has been scheduled for October 30, 2020.</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20, 2019, Amgen filed a lawsuit for infringement of the Italian designation of the '124 Patent in the Tribunale di Milano - Enterprise Chamber in Milan, Italy, against Sanofi-Aventis Groupe S.A., Sanofi Chimie, and Sanofi SpA. The Company has not been named as a defendant in this action. Amgen alleges that the production, importation, and commercialization of Praluent (alirocumab) in Italy infringes the '124 Patent. The writ of summons filed by Amgen seeks, among other things, a declaration of infringement, a permanent injunction, withdrawal of product from the market, and damages.</w:t>
      </w:r>
    </w:p>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20, 2019, Amgen also filed a lawsuit alleging infringement of the Spanish designation of the '124 Patent in the Juzgado de lo Mercantil No. 5 (Commercial Court) in Barcelona, Spain, against Sanofi-Aventis, S.A. The Company has not been named as a defendant in this action. Amgen alleges, among other things, patent infringement based on the manufacture, offering for sale, introduction into the market, use, and importation or possession of Praluent (alirocumab) in Spain. Amgen seeks, among other things, a permanent injunction, withdrawal of Praluent from the market, seizure and destruction of Praluent from the market and in storage, and damages in the form of lost profits and costs and expenses.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'124 Patent is also subject to opposition proceedings in the EPO seeking to invalidate certain of its claims, which were initiated by 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An oral hearing on the oppositions against the '124 Patent was held on November 28–30, 2018, at which the Opposition Division upheld the validity of the '124 Patent's claims in amended form. The Company and Sanofi filed notices of appeal to the Technical Board of Appeal (the "TBA") of the EPO on November 30, 2018. An oral hearing before the TBA has been rescheduled for October 28–29, 2020.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19, 2017, Amgen filed a lawsuit for infringement of Amgen's Japanese Patent Nos. 5,906,333 (the "'333 Patent") and 5,705,288 (the "'288 Patent") in the Tokyo District Court Civil Division (the "Tokyo District Court")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 On January 17, 2019, the Tokyo District Court upheld the validity of the '333 Patent and '288 Patent and ordered a permanent injunction against Sanofi K.K. to stop manufacturing, selling or otherwise transferring, and offering to sell or otherwise transfer Praluent (alirocumab) in Japan (as well as importing Praluent (alirocumab) into Japan) and to dispose of all product. However, the Tokyo District Court stayed the enforcement of such injunction pending appeal to the Intellectual Property High Court of Japan (the "IPHC"). On January 30, 2019, Sanofi K.K. appealed the Tokyo District Court's decision in the infringement proceedings to the IPHC. Following an oral hearing on October 30, 2019, the IPHC affirmed the Tokyo District Court's decision in the infringement proceedings. Sanofi K.K. appealed the IPHC's decision in the infringement proceedings to the Supreme Court of Japan on November 12, 2019. On April 24, 2020, the Supreme Court of Japan declined to hear the appeal filed by Sanofi K.K. in the infringement proceedings and the injunction issued by the Tokyo District Court became effective. Sanofi K.K. subsequently complied with the injunction and, as a result, the commercialization of Praluent in Japan has been discontinued.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March 23, 2017, the Company, Sanofi-Aventis U.S. LLC, and Genzyme Corporation initiated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hearings on the Additional IPR Petitions before the PTAB were held on November 14, 2018. On February 14, 2019, the PTAB issued final written decisions on the Additional IPR Petitions, invalidating all 17 claims of the '487 Patent as obvious based on one of the Additional IPR Petitions while declining to hold the challenged claims of the '487 Patent invalid based on the other. In April 2019, the parties filed notices of appeal with the Federal Circuit appealing the PTAB's respective adverse final written decisions on the Additional IPR Petitions.</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w:t>
      </w:r>
    </w:p>
    <w:p>
      <w:pPr>
        <w:sectPr>
          <w:pgSz w:w="11900" w:h="16838" w:orient="portrait"/>
          <w:cols w:equalWidth="0" w:num="1">
            <w:col w:w="11240"/>
          </w:cols>
          <w:pgMar w:left="320" w:top="130" w:right="33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 for summary judgment on the issue of indefiniteness of the '487 Patent claims was held on July 12, 2018. On August 24, 2018, the court issued an order denying this motion and construed the disputed claim terms as proposed by Amgen. On February 28, 2019, the court granted a joint stipulation by the parties to stay the litigation pending resolution of the appeals of the PTAB's final written decisions on the Additional IPR Petitions discussed above.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the Company and Sanofi initiated opposition proceedings in the EPO against Immunex's European Patent No. 2,990,420 (the "'420 Patent"), a divisional patent of the '665 Patent (</w:t>
      </w:r>
      <w:r>
        <w:rPr>
          <w:rFonts w:ascii="Arial" w:cs="Arial" w:eastAsia="Arial" w:hAnsi="Arial"/>
          <w:sz w:val="17"/>
          <w:szCs w:val="17"/>
          <w:i w:val="1"/>
          <w:iCs w:val="1"/>
          <w:color w:val="auto"/>
        </w:rPr>
        <w:t>i.e.</w:t>
      </w:r>
      <w:r>
        <w:rPr>
          <w:rFonts w:ascii="Arial" w:cs="Arial" w:eastAsia="Arial" w:hAnsi="Arial"/>
          <w:sz w:val="17"/>
          <w:szCs w:val="17"/>
          <w:color w:val="auto"/>
        </w:rPr>
        <w:t>, a patent that shares the same priority date, disclosure, and patent term of the parent '665 Patent but contains claims to a different invention). The oral hearing before the EPO on the oppositions occurred on February 14–15, 2019, at which the '420 Patent was revoked in its entirety. Immunex filed a notice of appeal of the EPO's decision on May 31, 2019. The original patent term of the Immunex patents is set to expire in 2021.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Investigations</w:t>
      </w:r>
    </w:p>
    <w:p>
      <w:pPr>
        <w:spacing w:after="0" w:line="27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Arial" w:cs="Arial" w:eastAsia="Arial" w:hAnsi="Arial"/>
          <w:sz w:val="25"/>
          <w:szCs w:val="25"/>
          <w:color w:val="auto"/>
          <w:vertAlign w:val="superscript"/>
        </w:rPr>
        <w:t>®</w:t>
      </w:r>
      <w:r>
        <w:rPr>
          <w:rFonts w:ascii="Arial" w:cs="Arial" w:eastAsia="Arial" w:hAnsi="Arial"/>
          <w:sz w:val="18"/>
          <w:szCs w:val="18"/>
          <w:color w:val="auto"/>
        </w:rPr>
        <w:t>); and certain other related documents and communications. The Company is cooperating with this investigation.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The Company is cooperating with this investigation.</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suppliers, and other third parties on which Regeneron relies, Regeneron's and its collaborators’ ability to continue to conduct research and clinical programs, Regeneron's ability to manage its supply chain, net product sales of products marketed by Regeneron and/or its collaborators (collectively, "Regeneron’s Products"), and the global economy; the nature, timing, and possible success and therapeutic applications of Regeneron's Products and our product candidates and research and clinical programs now underway or planned, including without limitation EYLEA</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(dupilumab) Injection, Libtayo</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(cemiplimab) Injection, Praluent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(sarilumab) Injection, fasinumab, evinacumab, REGN-EB3, garetosmab, pozelimab, Regeneron's oncology programs (including its costimulatory bispecific portfolio), Regeneron's COVID-19 antibody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program and other earlier-stage programs, and the use of human genetics in Regeneron's research programs; the likelihood and timing of achieving any of our anticipated development milestones referenced in this report; unforeseen safety issues resulting from the administration of Regeneron's Products and product candidates in patients, including serious complications or side effects in connection with the use of Regeneron's Products and product candidates in clinical trials; the likelihood and timing of possible regulatory approval and commercial launch of our late-stage product candidates and new indications for Regeneron's Products, including without limitation EYLEA, Dupixent, Libtayo, Praluent, Kevzara, fasinumab, evinacumab, REGN-EB3, garetosmab, pozelimab, and REGN1979; the extent to which the results from the research and development programs conducted by us or our collaborators may be replicated in other studies and lead to therapeutic applications; ongoing regulatory obligations and oversight impacting Regeneron's Products (such as EYLEA, Dupixent, Libtayo, Praluent, and Kevzara), research and clinical programs, and business, including those relating to patient privacy; determinations by regulatory and administrative governmental authorities which may delay or restrict our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Regeneron's Products and product candidates; coverage and reimbursement determinations by third-party payors,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Dupixent and Praluent described further in Note 11 to our Condensed Consolidated Financial Statements included in this report), other litigation and other proceedings and governmental investigations relating to the Company and/or its operations (including without limitation those described in Note 11 to our Condensed Consolidated Financial Statements included in this report),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pain, infectious diseases, and rare diseases.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is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266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March 31,</w:t>
            </w:r>
          </w:p>
        </w:tc>
      </w:tr>
      <w:tr>
        <w:trPr>
          <w:trHeight w:val="27"/>
        </w:trPr>
        <w:tc>
          <w:tcPr>
            <w:tcW w:w="3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 except per share data)</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line="263"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5"/>
                <w:szCs w:val="25"/>
                <w:b w:val="1"/>
                <w:bCs w:val="1"/>
                <w:color w:val="auto"/>
                <w:vertAlign w:val="superscript"/>
              </w:rPr>
              <w:t>*</w:t>
            </w: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461.1</w:t>
            </w: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3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2920" w:right="2700" w:hanging="3"/>
        <w:spacing w:after="0" w:line="253" w:lineRule="auto"/>
        <w:tabs>
          <w:tab w:leader="none" w:pos="2987" w:val="left"/>
        </w:tabs>
        <w:numPr>
          <w:ilvl w:val="0"/>
          <w:numId w:val="6"/>
        </w:numPr>
        <w:rPr>
          <w:rFonts w:ascii="Arial" w:cs="Arial" w:eastAsia="Arial" w:hAnsi="Arial"/>
          <w:sz w:val="9"/>
          <w:szCs w:val="9"/>
          <w:color w:val="auto"/>
        </w:rPr>
      </w:pPr>
      <w:r>
        <w:rPr>
          <w:rFonts w:ascii="Arial" w:cs="Arial" w:eastAsia="Arial" w:hAnsi="Arial"/>
          <w:sz w:val="14"/>
          <w:szCs w:val="14"/>
          <w:color w:val="auto"/>
        </w:rPr>
        <w:t>Certain revisions have been made to the previously reported March 31, 2019 revenues. See Note 1 to our Condensed Consolidated Financial Statements for further details.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Marketed Products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seven products that have received marketing approval, which are currently marketed by us, Bayer, and/or Sanofi:</w:t>
      </w:r>
    </w:p>
    <w:p>
      <w:pPr>
        <w:spacing w:after="0" w:line="200" w:lineRule="exact"/>
        <w:rPr>
          <w:sz w:val="20"/>
          <w:szCs w:val="20"/>
          <w:color w:val="auto"/>
        </w:rPr>
      </w:pP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Arial" w:cs="Arial" w:eastAsia="Arial" w:hAnsi="Arial"/>
                <w:sz w:val="18"/>
                <w:szCs w:val="18"/>
                <w:b w:val="1"/>
                <w:bCs w:val="1"/>
                <w:color w:val="auto"/>
              </w:rPr>
              <w:t>Territory</w:t>
            </w:r>
          </w:p>
        </w:tc>
        <w:tc>
          <w:tcPr>
            <w:tcW w:w="880" w:type="dxa"/>
            <w:vAlign w:val="bottom"/>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340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Product</w:t>
            </w:r>
          </w:p>
        </w:tc>
        <w:tc>
          <w:tcPr>
            <w:tcW w:w="140" w:type="dxa"/>
            <w:vAlign w:val="bottom"/>
            <w:tcBorders>
              <w:bottom w:val="single" w:sz="8" w:color="CCEEFF"/>
            </w:tcBorders>
          </w:tcPr>
          <w:p>
            <w:pPr>
              <w:spacing w:after="0"/>
              <w:rPr>
                <w:sz w:val="22"/>
                <w:szCs w:val="22"/>
                <w:color w:val="auto"/>
              </w:rPr>
            </w:pPr>
          </w:p>
        </w:tc>
        <w:tc>
          <w:tcPr>
            <w:tcW w:w="3480" w:type="dxa"/>
            <w:vAlign w:val="bottom"/>
            <w:tcBorders>
              <w:bottom w:val="single" w:sz="8" w:color="auto"/>
            </w:tcBorders>
          </w:tcPr>
          <w:p>
            <w:pPr>
              <w:ind w:left="1160"/>
              <w:spacing w:after="0" w:line="263" w:lineRule="exact"/>
              <w:rPr>
                <w:sz w:val="20"/>
                <w:szCs w:val="20"/>
                <w:color w:val="auto"/>
              </w:rPr>
            </w:pPr>
            <w:r>
              <w:rPr>
                <w:rFonts w:ascii="Arial" w:cs="Arial" w:eastAsia="Arial" w:hAnsi="Arial"/>
                <w:sz w:val="18"/>
                <w:szCs w:val="18"/>
                <w:b w:val="1"/>
                <w:bCs w:val="1"/>
                <w:color w:val="auto"/>
              </w:rPr>
              <w:t>Disease Area</w:t>
            </w:r>
            <w:r>
              <w:rPr>
                <w:rFonts w:ascii="Arial" w:cs="Arial" w:eastAsia="Arial" w:hAnsi="Arial"/>
                <w:sz w:val="25"/>
                <w:szCs w:val="25"/>
                <w:b w:val="1"/>
                <w:bCs w:val="1"/>
                <w:color w:val="auto"/>
                <w:vertAlign w:val="superscript"/>
              </w:rPr>
              <w:t>(1)</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rPr>
              <w:t>EU</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Japan</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line="264" w:lineRule="exact"/>
              <w:rPr>
                <w:sz w:val="20"/>
                <w:szCs w:val="20"/>
                <w:color w:val="auto"/>
              </w:rPr>
            </w:pPr>
            <w:r>
              <w:rPr>
                <w:rFonts w:ascii="Arial" w:cs="Arial" w:eastAsia="Arial" w:hAnsi="Arial"/>
                <w:sz w:val="30"/>
                <w:szCs w:val="30"/>
                <w:b w:val="1"/>
                <w:bCs w:val="1"/>
                <w:color w:val="auto"/>
                <w:w w:val="94"/>
                <w:vertAlign w:val="subscript"/>
              </w:rPr>
              <w:t>ROW</w:t>
            </w:r>
            <w:r>
              <w:rPr>
                <w:rFonts w:ascii="Arial" w:cs="Arial" w:eastAsia="Arial" w:hAnsi="Arial"/>
                <w:sz w:val="12"/>
                <w:szCs w:val="12"/>
                <w:b w:val="1"/>
                <w:bCs w:val="1"/>
                <w:color w:val="auto"/>
                <w:w w:val="94"/>
              </w:rPr>
              <w:t>(6)</w:t>
            </w:r>
          </w:p>
        </w:tc>
      </w:tr>
      <w:tr>
        <w:trPr>
          <w:trHeight w:val="222"/>
        </w:trPr>
        <w:tc>
          <w:tcPr>
            <w:tcW w:w="3400" w:type="dxa"/>
            <w:vAlign w:val="bottom"/>
            <w:shd w:val="clear" w:color="auto" w:fill="CCEEFF"/>
          </w:tcPr>
          <w:p>
            <w:pPr>
              <w:ind w:left="40"/>
              <w:spacing w:after="0" w:line="222" w:lineRule="exact"/>
              <w:rPr>
                <w:sz w:val="20"/>
                <w:szCs w:val="20"/>
                <w:color w:val="auto"/>
              </w:rPr>
            </w:pPr>
            <w:r>
              <w:rPr>
                <w:rFonts w:ascii="Arial" w:cs="Arial" w:eastAsia="Arial" w:hAnsi="Arial"/>
                <w:sz w:val="18"/>
                <w:szCs w:val="18"/>
                <w:color w:val="auto"/>
              </w:rPr>
              <w:t>EYLEA (aflibercept) Injection</w:t>
            </w:r>
            <w:r>
              <w:rPr>
                <w:rFonts w:ascii="Arial" w:cs="Arial" w:eastAsia="Arial" w:hAnsi="Arial"/>
                <w:sz w:val="25"/>
                <w:szCs w:val="25"/>
                <w:color w:val="auto"/>
                <w:vertAlign w:val="superscript"/>
              </w:rPr>
              <w:t>(2)</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Neovascular age-related macular degeneration</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("wet AMD")</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70"/>
        </w:trPr>
        <w:tc>
          <w:tcPr>
            <w:tcW w:w="340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Diabetic macular edema ("DME")</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6"/>
        </w:trPr>
        <w:tc>
          <w:tcPr>
            <w:tcW w:w="34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Macular edema following retinal vein</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occlusion ("RVO"), which includes macular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edema following central retinal vein occlusion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("CRVO") and macular edema following</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3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branch retinal vein occlusion ("BRVO")</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56"/>
        </w:trPr>
        <w:tc>
          <w:tcPr>
            <w:tcW w:w="34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Myopic choroidal neovascularization</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("mCNV")</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70"/>
        </w:trPr>
        <w:tc>
          <w:tcPr>
            <w:tcW w:w="340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Diabetic retinopathy</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7"/>
        </w:trPr>
        <w:tc>
          <w:tcPr>
            <w:tcW w:w="34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Neovascular glaucoma ("NVG")</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a</w:t>
            </w:r>
          </w:p>
        </w:tc>
        <w:tc>
          <w:tcPr>
            <w:tcW w:w="880" w:type="dxa"/>
            <w:vAlign w:val="bottom"/>
            <w:tcBorders>
              <w:bottom w:val="single" w:sz="8" w:color="CCEEFF"/>
            </w:tcBorders>
            <w:shd w:val="clear" w:color="auto" w:fill="CCEEFF"/>
          </w:tcPr>
          <w:p>
            <w:pPr>
              <w:spacing w:after="0"/>
              <w:rPr>
                <w:sz w:val="24"/>
                <w:szCs w:val="24"/>
                <w:color w:val="auto"/>
              </w:rPr>
            </w:pPr>
          </w:p>
        </w:tc>
      </w:tr>
      <w:tr>
        <w:trPr>
          <w:trHeight w:val="283"/>
        </w:trPr>
        <w:tc>
          <w:tcPr>
            <w:tcW w:w="3400" w:type="dxa"/>
            <w:vAlign w:val="bottom"/>
          </w:tcPr>
          <w:p>
            <w:pPr>
              <w:ind w:left="40"/>
              <w:spacing w:after="0" w:line="282" w:lineRule="exact"/>
              <w:rPr>
                <w:sz w:val="20"/>
                <w:szCs w:val="20"/>
                <w:color w:val="auto"/>
              </w:rPr>
            </w:pPr>
            <w:r>
              <w:rPr>
                <w:rFonts w:ascii="Arial" w:cs="Arial" w:eastAsia="Arial" w:hAnsi="Arial"/>
                <w:sz w:val="18"/>
                <w:szCs w:val="18"/>
                <w:color w:val="auto"/>
              </w:rPr>
              <w:t>Dupixent (dupilumab) Injection</w:t>
            </w:r>
            <w:r>
              <w:rPr>
                <w:rFonts w:ascii="Arial" w:cs="Arial" w:eastAsia="Arial" w:hAnsi="Arial"/>
                <w:sz w:val="25"/>
                <w:szCs w:val="25"/>
                <w:color w:val="auto"/>
                <w:vertAlign w:val="superscript"/>
              </w:rPr>
              <w:t>(3)</w:t>
            </w:r>
          </w:p>
        </w:tc>
        <w:tc>
          <w:tcPr>
            <w:tcW w:w="3620" w:type="dxa"/>
            <w:vAlign w:val="bottom"/>
            <w:gridSpan w:val="2"/>
          </w:tcPr>
          <w:p>
            <w:pPr>
              <w:ind w:left="20"/>
              <w:spacing w:after="0" w:line="282" w:lineRule="exact"/>
              <w:rPr>
                <w:sz w:val="20"/>
                <w:szCs w:val="20"/>
                <w:color w:val="auto"/>
              </w:rPr>
            </w:pPr>
            <w:r>
              <w:rPr>
                <w:rFonts w:ascii="Arial" w:cs="Arial" w:eastAsia="Arial" w:hAnsi="Arial"/>
                <w:sz w:val="18"/>
                <w:szCs w:val="18"/>
                <w:color w:val="auto"/>
                <w:w w:val="93"/>
              </w:rPr>
              <w:t>- Atopic dermatitis (in adults and adolescents)</w:t>
            </w:r>
            <w:r>
              <w:rPr>
                <w:rFonts w:ascii="Arial" w:cs="Arial" w:eastAsia="Arial" w:hAnsi="Arial"/>
                <w:sz w:val="25"/>
                <w:szCs w:val="25"/>
                <w:color w:val="auto"/>
                <w:w w:val="93"/>
                <w:vertAlign w:val="superscript"/>
              </w:rPr>
              <w:t>(7)</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4"/>
                <w:szCs w:val="24"/>
                <w:color w:val="auto"/>
              </w:rPr>
            </w:pPr>
          </w:p>
        </w:tc>
        <w:tc>
          <w:tcPr>
            <w:tcW w:w="560" w:type="dxa"/>
            <w:vAlign w:val="bottom"/>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400" w:type="dxa"/>
            <w:vAlign w:val="bottom"/>
          </w:tcPr>
          <w:p>
            <w:pPr>
              <w:spacing w:after="0"/>
              <w:rPr>
                <w:sz w:val="20"/>
                <w:szCs w:val="20"/>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 Asthma (in adults and adolescents)</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0"/>
                <w:szCs w:val="20"/>
                <w:color w:val="auto"/>
              </w:rPr>
            </w:pPr>
          </w:p>
        </w:tc>
        <w:tc>
          <w:tcPr>
            <w:tcW w:w="560" w:type="dxa"/>
            <w:vAlign w:val="bottom"/>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56"/>
        </w:trPr>
        <w:tc>
          <w:tcPr>
            <w:tcW w:w="3400" w:type="dxa"/>
            <w:vAlign w:val="bottom"/>
          </w:tcPr>
          <w:p>
            <w:pPr>
              <w:spacing w:after="0"/>
              <w:rPr>
                <w:sz w:val="22"/>
                <w:szCs w:val="22"/>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 Chronic rhinosinusitis with nasal polyposis</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2"/>
                <w:szCs w:val="22"/>
                <w:color w:val="auto"/>
              </w:rPr>
            </w:pPr>
          </w:p>
        </w:tc>
        <w:tc>
          <w:tcPr>
            <w:tcW w:w="560" w:type="dxa"/>
            <w:vAlign w:val="bottom"/>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("CRSwNP")</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3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40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color w:val="auto"/>
              </w:rPr>
              <w:t>Libtayo (cemiplimab) Injection</w:t>
            </w:r>
            <w:r>
              <w:rPr>
                <w:rFonts w:ascii="Arial" w:cs="Arial" w:eastAsia="Arial" w:hAnsi="Arial"/>
                <w:sz w:val="25"/>
                <w:szCs w:val="25"/>
                <w:color w:val="auto"/>
                <w:vertAlign w:val="superscript"/>
              </w:rPr>
              <w:t>(3)(4)</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Metastatic or locally advanced cutaneous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37"/>
        </w:trPr>
        <w:tc>
          <w:tcPr>
            <w:tcW w:w="34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squamous cell carcinoma ("CSCC")</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9"/>
        </w:trPr>
        <w:tc>
          <w:tcPr>
            <w:tcW w:w="3400" w:type="dxa"/>
            <w:vAlign w:val="bottom"/>
          </w:tcPr>
          <w:p>
            <w:pPr>
              <w:ind w:left="40"/>
              <w:spacing w:after="0" w:line="228" w:lineRule="exact"/>
              <w:rPr>
                <w:sz w:val="20"/>
                <w:szCs w:val="20"/>
                <w:color w:val="auto"/>
              </w:rPr>
            </w:pPr>
            <w:r>
              <w:rPr>
                <w:rFonts w:ascii="Arial" w:cs="Arial" w:eastAsia="Arial" w:hAnsi="Arial"/>
                <w:sz w:val="18"/>
                <w:szCs w:val="18"/>
                <w:color w:val="auto"/>
              </w:rPr>
              <w:t>Praluent (alirocumab) Injection</w:t>
            </w:r>
            <w:r>
              <w:rPr>
                <w:rFonts w:ascii="Arial" w:cs="Arial" w:eastAsia="Arial" w:hAnsi="Arial"/>
                <w:sz w:val="25"/>
                <w:szCs w:val="25"/>
                <w:color w:val="auto"/>
                <w:vertAlign w:val="superscript"/>
              </w:rPr>
              <w:t>(8)</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 LDL-lowering in heterozygous familial</w:t>
            </w:r>
          </w:p>
        </w:tc>
        <w:tc>
          <w:tcPr>
            <w:tcW w:w="1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560" w:type="dxa"/>
            <w:vAlign w:val="bottom"/>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79"/>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16"/>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hypercholesterolemia ("HeFH") or clinical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atherosclerotic cardiovascular disease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("ASCVD") (in adults)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3400" w:type="dxa"/>
            <w:vAlign w:val="bottom"/>
          </w:tcPr>
          <w:p>
            <w:pPr>
              <w:spacing w:after="0"/>
              <w:rPr>
                <w:sz w:val="22"/>
                <w:szCs w:val="22"/>
                <w:color w:val="auto"/>
              </w:rPr>
            </w:pPr>
          </w:p>
        </w:tc>
        <w:tc>
          <w:tcPr>
            <w:tcW w:w="3620" w:type="dxa"/>
            <w:vAlign w:val="bottom"/>
            <w:gridSpan w:val="2"/>
          </w:tcPr>
          <w:p>
            <w:pPr>
              <w:ind w:left="20"/>
              <w:spacing w:after="0"/>
              <w:rPr>
                <w:sz w:val="20"/>
                <w:szCs w:val="20"/>
                <w:color w:val="auto"/>
              </w:rPr>
            </w:pPr>
            <w:r>
              <w:rPr>
                <w:rFonts w:ascii="Arial" w:cs="Arial" w:eastAsia="Arial" w:hAnsi="Arial"/>
                <w:sz w:val="18"/>
                <w:szCs w:val="18"/>
                <w:color w:val="auto"/>
                <w:w w:val="97"/>
              </w:rPr>
              <w:t>- Cardiovascular risk reduction in patients with</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22"/>
                <w:szCs w:val="22"/>
                <w:color w:val="auto"/>
              </w:rPr>
            </w:pPr>
          </w:p>
        </w:tc>
        <w:tc>
          <w:tcPr>
            <w:tcW w:w="560" w:type="dxa"/>
            <w:vAlign w:val="bottom"/>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a</w:t>
            </w:r>
          </w:p>
        </w:tc>
      </w:tr>
      <w:tr>
        <w:trPr>
          <w:trHeight w:val="230"/>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established cardiovascular disease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3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Kevzara (sarilumab) Solution for</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Rheumatoid arthritis ("RA") (in adults)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7"/>
        </w:trPr>
        <w:tc>
          <w:tcPr>
            <w:tcW w:w="34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Subcutaneous Injection</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9"/>
        </w:trPr>
        <w:tc>
          <w:tcPr>
            <w:tcW w:w="3400" w:type="dxa"/>
            <w:vAlign w:val="bottom"/>
          </w:tcPr>
          <w:p>
            <w:pPr>
              <w:ind w:left="40"/>
              <w:spacing w:after="0" w:line="228"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(rilonacept) Injection for</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 Cryopyrin-Associated Periodic Syndromes</w:t>
            </w:r>
          </w:p>
        </w:tc>
        <w:tc>
          <w:tcPr>
            <w:tcW w:w="1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3400" w:type="dxa"/>
            <w:vAlign w:val="bottom"/>
          </w:tcPr>
          <w:p>
            <w:pPr>
              <w:ind w:left="40"/>
              <w:spacing w:after="0"/>
              <w:rPr>
                <w:sz w:val="20"/>
                <w:szCs w:val="20"/>
                <w:color w:val="auto"/>
              </w:rPr>
            </w:pPr>
            <w:r>
              <w:rPr>
                <w:rFonts w:ascii="Arial" w:cs="Arial" w:eastAsia="Arial" w:hAnsi="Arial"/>
                <w:sz w:val="18"/>
                <w:szCs w:val="18"/>
                <w:color w:val="auto"/>
              </w:rPr>
              <w:t>Subcutaneous Use</w:t>
            </w:r>
          </w:p>
        </w:tc>
        <w:tc>
          <w:tcPr>
            <w:tcW w:w="14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("CAPS"), including Familial Cold Auto-</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inflammatory Syndrome ("FCAS") 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Muckle-Wells Syndrome ("MWS")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400" w:type="dxa"/>
            <w:vAlign w:val="bottom"/>
          </w:tcPr>
          <w:p>
            <w:pPr>
              <w:spacing w:after="0"/>
              <w:rPr>
                <w:sz w:val="2"/>
                <w:szCs w:val="2"/>
                <w:color w:val="auto"/>
              </w:rPr>
            </w:pPr>
          </w:p>
        </w:tc>
        <w:tc>
          <w:tcPr>
            <w:tcW w:w="3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40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color w:val="auto"/>
              </w:rPr>
              <w:t>ZALTRAP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(ziv-aflibercept) Injection for</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Metastatic colorectal cancer ("mCRC")</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a</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a</w:t>
            </w:r>
          </w:p>
        </w:tc>
      </w:tr>
      <w:tr>
        <w:trPr>
          <w:trHeight w:val="257"/>
        </w:trPr>
        <w:tc>
          <w:tcPr>
            <w:tcW w:w="34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Intravenous Infusion</w:t>
            </w:r>
            <w:r>
              <w:rPr>
                <w:rFonts w:ascii="Arial" w:cs="Arial" w:eastAsia="Arial" w:hAnsi="Arial"/>
                <w:sz w:val="25"/>
                <w:szCs w:val="25"/>
                <w:color w:val="auto"/>
                <w:vertAlign w:val="superscript"/>
              </w:rPr>
              <w:t>(5)</w:t>
            </w:r>
          </w:p>
        </w:tc>
        <w:tc>
          <w:tcPr>
            <w:tcW w:w="14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bl>
    <w:p>
      <w:pPr>
        <w:spacing w:after="0" w:line="143" w:lineRule="exact"/>
        <w:rPr>
          <w:sz w:val="20"/>
          <w:szCs w:val="20"/>
          <w:color w:val="auto"/>
        </w:rPr>
      </w:pPr>
    </w:p>
    <w:p>
      <w:pPr>
        <w:ind w:left="560" w:hanging="127"/>
        <w:spacing w:after="0"/>
        <w:tabs>
          <w:tab w:leader="none" w:pos="560" w:val="left"/>
        </w:tabs>
        <w:numPr>
          <w:ilvl w:val="0"/>
          <w:numId w:val="7"/>
        </w:numPr>
        <w:rPr>
          <w:rFonts w:ascii="Arial" w:cs="Arial" w:eastAsia="Arial" w:hAnsi="Arial"/>
          <w:sz w:val="9"/>
          <w:szCs w:val="9"/>
          <w:color w:val="auto"/>
        </w:rPr>
      </w:pPr>
      <w:r>
        <w:rPr>
          <w:rFonts w:ascii="Arial" w:cs="Arial" w:eastAsia="Arial" w:hAnsi="Arial"/>
          <w:sz w:val="14"/>
          <w:szCs w:val="14"/>
          <w:color w:val="auto"/>
        </w:rPr>
        <w:t>Refer to label information in each territory for specific indication</w:t>
      </w:r>
    </w:p>
    <w:p>
      <w:pPr>
        <w:spacing w:after="0" w:line="41" w:lineRule="exact"/>
        <w:rPr>
          <w:rFonts w:ascii="Arial" w:cs="Arial" w:eastAsia="Arial" w:hAnsi="Arial"/>
          <w:sz w:val="9"/>
          <w:szCs w:val="9"/>
          <w:color w:val="auto"/>
        </w:rPr>
      </w:pPr>
    </w:p>
    <w:p>
      <w:pPr>
        <w:ind w:left="560" w:hanging="127"/>
        <w:spacing w:after="0"/>
        <w:tabs>
          <w:tab w:leader="none" w:pos="560" w:val="left"/>
        </w:tabs>
        <w:numPr>
          <w:ilvl w:val="0"/>
          <w:numId w:val="7"/>
        </w:numPr>
        <w:rPr>
          <w:rFonts w:ascii="Arial" w:cs="Arial" w:eastAsia="Arial" w:hAnsi="Arial"/>
          <w:sz w:val="9"/>
          <w:szCs w:val="9"/>
          <w:color w:val="auto"/>
        </w:rPr>
      </w:pPr>
      <w:r>
        <w:rPr>
          <w:rFonts w:ascii="Arial" w:cs="Arial" w:eastAsia="Arial" w:hAnsi="Arial"/>
          <w:sz w:val="14"/>
          <w:szCs w:val="14"/>
          <w:color w:val="auto"/>
        </w:rPr>
        <w:t>In collaboration with Bayer (outside the United States)</w:t>
      </w:r>
    </w:p>
    <w:p>
      <w:pPr>
        <w:spacing w:after="0" w:line="41" w:lineRule="exact"/>
        <w:rPr>
          <w:rFonts w:ascii="Arial" w:cs="Arial" w:eastAsia="Arial" w:hAnsi="Arial"/>
          <w:sz w:val="9"/>
          <w:szCs w:val="9"/>
          <w:color w:val="auto"/>
        </w:rPr>
      </w:pPr>
    </w:p>
    <w:p>
      <w:pPr>
        <w:ind w:left="580" w:hanging="147"/>
        <w:spacing w:after="0"/>
        <w:tabs>
          <w:tab w:leader="none" w:pos="580" w:val="left"/>
        </w:tabs>
        <w:numPr>
          <w:ilvl w:val="0"/>
          <w:numId w:val="7"/>
        </w:numPr>
        <w:rPr>
          <w:rFonts w:ascii="Arial" w:cs="Arial" w:eastAsia="Arial" w:hAnsi="Arial"/>
          <w:sz w:val="9"/>
          <w:szCs w:val="9"/>
          <w:color w:val="auto"/>
        </w:rPr>
      </w:pPr>
      <w:r>
        <w:rPr>
          <w:rFonts w:ascii="Arial" w:cs="Arial" w:eastAsia="Arial" w:hAnsi="Arial"/>
          <w:sz w:val="14"/>
          <w:szCs w:val="14"/>
          <w:color w:val="auto"/>
        </w:rPr>
        <w:t>In collaboration with Sanofi</w:t>
      </w:r>
    </w:p>
    <w:p>
      <w:pPr>
        <w:spacing w:after="0" w:line="41" w:lineRule="exact"/>
        <w:rPr>
          <w:rFonts w:ascii="Arial" w:cs="Arial" w:eastAsia="Arial" w:hAnsi="Arial"/>
          <w:sz w:val="9"/>
          <w:szCs w:val="9"/>
          <w:color w:val="auto"/>
        </w:rPr>
      </w:pPr>
    </w:p>
    <w:p>
      <w:pPr>
        <w:ind w:left="560" w:hanging="127"/>
        <w:spacing w:after="0"/>
        <w:tabs>
          <w:tab w:leader="none" w:pos="560" w:val="left"/>
        </w:tabs>
        <w:numPr>
          <w:ilvl w:val="0"/>
          <w:numId w:val="7"/>
        </w:numPr>
        <w:rPr>
          <w:rFonts w:ascii="Arial" w:cs="Arial" w:eastAsia="Arial" w:hAnsi="Arial"/>
          <w:sz w:val="9"/>
          <w:szCs w:val="9"/>
          <w:color w:val="auto"/>
        </w:rPr>
      </w:pPr>
      <w:r>
        <w:rPr>
          <w:rFonts w:ascii="Arial" w:cs="Arial" w:eastAsia="Arial" w:hAnsi="Arial"/>
          <w:sz w:val="14"/>
          <w:szCs w:val="14"/>
          <w:color w:val="auto"/>
        </w:rPr>
        <w:t>Marketed as Libtayo (cemiplimab-rwlc) Injection in the United States</w:t>
      </w:r>
    </w:p>
    <w:p>
      <w:pPr>
        <w:spacing w:after="0" w:line="41" w:lineRule="exact"/>
        <w:rPr>
          <w:rFonts w:ascii="Arial" w:cs="Arial" w:eastAsia="Arial" w:hAnsi="Arial"/>
          <w:sz w:val="9"/>
          <w:szCs w:val="9"/>
          <w:color w:val="auto"/>
        </w:rPr>
      </w:pPr>
    </w:p>
    <w:p>
      <w:pPr>
        <w:ind w:left="440" w:right="600" w:hanging="7"/>
        <w:spacing w:after="0" w:line="253" w:lineRule="auto"/>
        <w:tabs>
          <w:tab w:leader="none" w:pos="581" w:val="left"/>
        </w:tabs>
        <w:numPr>
          <w:ilvl w:val="0"/>
          <w:numId w:val="7"/>
        </w:numPr>
        <w:rPr>
          <w:rFonts w:ascii="Arial" w:cs="Arial" w:eastAsia="Arial" w:hAnsi="Arial"/>
          <w:sz w:val="9"/>
          <w:szCs w:val="9"/>
          <w:color w:val="auto"/>
        </w:rPr>
      </w:pPr>
      <w:r>
        <w:rPr>
          <w:rFonts w:ascii="Arial" w:cs="Arial" w:eastAsia="Arial" w:hAnsi="Arial"/>
          <w:sz w:val="14"/>
          <w:szCs w:val="14"/>
          <w:color w:val="auto"/>
        </w:rPr>
        <w:t>Pursuant to a 2015 amended and restated ZALTRAP agreement, Sanofi is solely responsible for the development and commercialization of ZALTRAP, and Sanofi pays us a percentage of aggregate net product sales of ZALTRAP</w:t>
      </w:r>
    </w:p>
    <w:p>
      <w:pPr>
        <w:spacing w:after="0" w:line="11" w:lineRule="exact"/>
        <w:rPr>
          <w:rFonts w:ascii="Arial" w:cs="Arial" w:eastAsia="Arial" w:hAnsi="Arial"/>
          <w:sz w:val="9"/>
          <w:szCs w:val="9"/>
          <w:color w:val="auto"/>
        </w:rPr>
      </w:pPr>
    </w:p>
    <w:p>
      <w:pPr>
        <w:ind w:left="440" w:right="160" w:hanging="7"/>
        <w:spacing w:after="0" w:line="253" w:lineRule="auto"/>
        <w:tabs>
          <w:tab w:leader="none" w:pos="581" w:val="left"/>
        </w:tabs>
        <w:numPr>
          <w:ilvl w:val="0"/>
          <w:numId w:val="7"/>
        </w:numPr>
        <w:rPr>
          <w:rFonts w:ascii="Arial" w:cs="Arial" w:eastAsia="Arial" w:hAnsi="Arial"/>
          <w:sz w:val="9"/>
          <w:szCs w:val="9"/>
          <w:color w:val="auto"/>
        </w:rPr>
      </w:pPr>
      <w:r>
        <w:rPr>
          <w:rFonts w:ascii="Arial" w:cs="Arial" w:eastAsia="Arial" w:hAnsi="Arial"/>
          <w:sz w:val="14"/>
          <w:szCs w:val="14"/>
          <w:color w:val="auto"/>
        </w:rPr>
        <w:t>Rest of world. Checkmark in this column indicates that the product has received marketing approval in at least one country outside of the United States, European Union ("EU"), or Japan</w:t>
      </w:r>
    </w:p>
    <w:p>
      <w:pPr>
        <w:spacing w:after="0" w:line="11" w:lineRule="exact"/>
        <w:rPr>
          <w:rFonts w:ascii="Arial" w:cs="Arial" w:eastAsia="Arial" w:hAnsi="Arial"/>
          <w:sz w:val="9"/>
          <w:szCs w:val="9"/>
          <w:color w:val="auto"/>
        </w:rPr>
      </w:pPr>
    </w:p>
    <w:p>
      <w:pPr>
        <w:ind w:left="560" w:hanging="127"/>
        <w:spacing w:after="0"/>
        <w:tabs>
          <w:tab w:leader="none" w:pos="560" w:val="left"/>
        </w:tabs>
        <w:numPr>
          <w:ilvl w:val="0"/>
          <w:numId w:val="7"/>
        </w:numPr>
        <w:rPr>
          <w:rFonts w:ascii="Arial" w:cs="Arial" w:eastAsia="Arial" w:hAnsi="Arial"/>
          <w:sz w:val="9"/>
          <w:szCs w:val="9"/>
          <w:color w:val="auto"/>
        </w:rPr>
      </w:pPr>
      <w:r>
        <w:rPr>
          <w:rFonts w:ascii="Arial" w:cs="Arial" w:eastAsia="Arial" w:hAnsi="Arial"/>
          <w:sz w:val="14"/>
          <w:szCs w:val="14"/>
          <w:color w:val="auto"/>
        </w:rPr>
        <w:t>Approval in Japan is for adults and adolescents 15 years of age and older</w:t>
      </w:r>
    </w:p>
    <w:p>
      <w:pPr>
        <w:spacing w:after="0" w:line="41" w:lineRule="exact"/>
        <w:rPr>
          <w:rFonts w:ascii="Arial" w:cs="Arial" w:eastAsia="Arial" w:hAnsi="Arial"/>
          <w:sz w:val="9"/>
          <w:szCs w:val="9"/>
          <w:color w:val="auto"/>
        </w:rPr>
      </w:pPr>
    </w:p>
    <w:p>
      <w:pPr>
        <w:ind w:left="440" w:right="60" w:hanging="7"/>
        <w:spacing w:after="0" w:line="238" w:lineRule="auto"/>
        <w:tabs>
          <w:tab w:leader="none" w:pos="581" w:val="left"/>
        </w:tabs>
        <w:numPr>
          <w:ilvl w:val="0"/>
          <w:numId w:val="7"/>
        </w:numPr>
        <w:rPr>
          <w:rFonts w:ascii="Arial" w:cs="Arial" w:eastAsia="Arial" w:hAnsi="Arial"/>
          <w:sz w:val="9"/>
          <w:szCs w:val="9"/>
          <w:color w:val="auto"/>
        </w:rPr>
      </w:pPr>
      <w:r>
        <w:rPr>
          <w:rFonts w:ascii="Arial" w:cs="Arial" w:eastAsia="Arial" w:hAnsi="Arial"/>
          <w:sz w:val="14"/>
          <w:szCs w:val="14"/>
          <w:color w:val="auto"/>
        </w:rPr>
        <w:t>In collaboration with Sanofi prior to April 2020. Effective April 2020, the Company is solely responsible for the development and commercialization of Praluent in the United States, and Sanofi is solely responsible for the development and commercialization of Praluent outside of the United States. Pursuant to the April 2020 agreement, Sanofi will pay us a percentage of aggregate net product sales of Praluent outside the United States. Refer to "Collaboration Agreements" section below for further details.</w:t>
      </w: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130" w:right="4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Net Product Sales of Regeneron-Discovered</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0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680" w:type="dxa"/>
            <w:vAlign w:val="bottom"/>
            <w:vMerge w:val="restart"/>
          </w:tcPr>
          <w:p>
            <w:pPr>
              <w:spacing w:after="0" w:line="196" w:lineRule="exact"/>
              <w:rPr>
                <w:sz w:val="20"/>
                <w:szCs w:val="20"/>
                <w:color w:val="auto"/>
              </w:rPr>
            </w:pPr>
            <w:r>
              <w:rPr>
                <w:rFonts w:ascii="Arial" w:cs="Arial" w:eastAsia="Arial" w:hAnsi="Arial"/>
                <w:sz w:val="18"/>
                <w:szCs w:val="18"/>
                <w:b w:val="1"/>
                <w:bCs w:val="1"/>
                <w:color w:val="auto"/>
                <w:w w:val="84"/>
              </w:rPr>
              <w:t>Products</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5"/>
              </w:rPr>
              <w:t>(1)</w:t>
            </w:r>
          </w:p>
        </w:tc>
        <w:tc>
          <w:tcPr>
            <w:tcW w:w="2920" w:type="dxa"/>
            <w:vAlign w:val="bottom"/>
            <w:gridSpan w:val="2"/>
            <w:vMerge w:val="restart"/>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restart"/>
          </w:tcPr>
          <w:p>
            <w:pPr>
              <w:jc w:val="right"/>
              <w:ind w:right="40"/>
              <w:spacing w:after="0" w:line="196" w:lineRule="exact"/>
              <w:rPr>
                <w:sz w:val="20"/>
                <w:szCs w:val="20"/>
                <w:color w:val="auto"/>
              </w:rPr>
            </w:pPr>
            <w:r>
              <w:rPr>
                <w:rFonts w:ascii="Arial" w:cs="Arial" w:eastAsia="Arial" w:hAnsi="Arial"/>
                <w:sz w:val="18"/>
                <w:szCs w:val="18"/>
                <w:b w:val="1"/>
                <w:bCs w:val="1"/>
                <w:color w:val="auto"/>
              </w:rPr>
              <w:t>March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rPr>
              <w:t>U.S.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ROW</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Sales)</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3740" w:type="dxa"/>
            <w:vAlign w:val="bottom"/>
            <w:gridSpan w:val="4"/>
            <w:shd w:val="clear" w:color="auto" w:fill="CCEEFF"/>
          </w:tcPr>
          <w:p>
            <w:pPr>
              <w:spacing w:after="0" w:line="263"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1,172.0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1,853.7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1,074.1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1,743.5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740" w:type="dxa"/>
            <w:vAlign w:val="bottom"/>
            <w:gridSpan w:val="4"/>
          </w:tcPr>
          <w:p>
            <w:pPr>
              <w:spacing w:after="0" w:line="270" w:lineRule="exact"/>
              <w:rPr>
                <w:sz w:val="20"/>
                <w:szCs w:val="20"/>
                <w:color w:val="auto"/>
              </w:rPr>
            </w:pPr>
            <w:r>
              <w:rPr>
                <w:rFonts w:ascii="Arial" w:cs="Arial" w:eastAsia="Arial" w:hAnsi="Arial"/>
                <w:sz w:val="18"/>
                <w:szCs w:val="18"/>
                <w:color w:val="auto"/>
              </w:rPr>
              <w:t>Libtayo</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ARCALYST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740" w:type="dxa"/>
            <w:vAlign w:val="bottom"/>
            <w:tcBorders>
              <w:bottom w:val="single" w:sz="8" w:color="CCEEFF"/>
            </w:tcBorders>
            <w:gridSpan w:val="4"/>
          </w:tcPr>
          <w:p>
            <w:pPr>
              <w:ind w:left="140"/>
              <w:spacing w:after="0"/>
              <w:rPr>
                <w:sz w:val="20"/>
                <w:szCs w:val="20"/>
                <w:color w:val="auto"/>
              </w:rPr>
            </w:pPr>
            <w:r>
              <w:rPr>
                <w:rFonts w:ascii="Arial" w:cs="Arial" w:eastAsia="Arial" w:hAnsi="Arial"/>
                <w:sz w:val="18"/>
                <w:szCs w:val="18"/>
                <w:color w:val="auto"/>
              </w:rPr>
              <w:t>Net product sales recorded by Regeneron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1,236.7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1,104.4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740" w:type="dxa"/>
            <w:vAlign w:val="bottom"/>
            <w:gridSpan w:val="4"/>
          </w:tcPr>
          <w:p>
            <w:pPr>
              <w:spacing w:after="0" w:line="270" w:lineRule="exact"/>
              <w:rPr>
                <w:sz w:val="20"/>
                <w:szCs w:val="20"/>
                <w:color w:val="auto"/>
              </w:rPr>
            </w:pPr>
            <w:r>
              <w:rPr>
                <w:rFonts w:ascii="Arial" w:cs="Arial" w:eastAsia="Arial" w:hAnsi="Arial"/>
                <w:sz w:val="18"/>
                <w:szCs w:val="18"/>
                <w:i w:val="1"/>
                <w:iCs w:val="1"/>
                <w:color w:val="auto"/>
              </w:rPr>
              <w:t>Net product sales recorded by Sanofi</w:t>
            </w: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Dupixent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Praluent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Kevzara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4"/>
          </w:tcPr>
          <w:p>
            <w:pPr>
              <w:spacing w:after="0"/>
              <w:rPr>
                <w:sz w:val="20"/>
                <w:szCs w:val="20"/>
                <w:color w:val="auto"/>
              </w:rPr>
            </w:pPr>
            <w:r>
              <w:rPr>
                <w:rFonts w:ascii="Arial" w:cs="Arial" w:eastAsia="Arial" w:hAnsi="Arial"/>
                <w:sz w:val="18"/>
                <w:szCs w:val="18"/>
                <w:color w:val="auto"/>
              </w:rPr>
              <w:t>ZALTRAP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60" w:right="140" w:hanging="1"/>
        <w:spacing w:after="0" w:line="233" w:lineRule="auto"/>
        <w:tabs>
          <w:tab w:leader="none" w:pos="487" w:val="left"/>
        </w:tabs>
        <w:numPr>
          <w:ilvl w:val="0"/>
          <w:numId w:val="8"/>
        </w:numPr>
        <w:rPr>
          <w:rFonts w:ascii="Arial" w:cs="Arial" w:eastAsia="Arial" w:hAnsi="Arial"/>
          <w:sz w:val="9"/>
          <w:szCs w:val="9"/>
          <w:color w:val="auto"/>
        </w:rPr>
      </w:pPr>
      <w:r>
        <w:rPr>
          <w:rFonts w:ascii="Arial" w:cs="Arial" w:eastAsia="Arial" w:hAnsi="Arial"/>
          <w:sz w:val="14"/>
          <w:szCs w:val="14"/>
          <w:color w:val="auto"/>
        </w:rPr>
        <w:t>Bayer records net product sales of EYLEA outside the United States, and Sanofi records net product sales of Libtayo outside the United States and global net product sales of Dupixent, Kevzara, and ZALTRAP. Historically, Sanofi also recorded global net product sales of Praluent; effective April 1, 2020, the Company is solely responsible for the development and commercialization of Praluent in the United States and will record net product sales of Praluent in the United States. Refer to "Marketed Products" section above and "Collaboration Agreements" section below for further details.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Programs in Clinical Development</w:t>
      </w:r>
    </w:p>
    <w:p>
      <w:pPr>
        <w:spacing w:after="0" w:line="27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All 22 of our product candidates in clinical development, including the five U.S. Food and Drug Administration ("FDA") approved products which we are investigating in additional indications, were discovered in our research laboratories and are summarized in the table below. 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technology platforms. We continue to invest in the development of enabling technologies to assist in our efforts to identify, develop, manufacture, and commercialize new product candidates.</w:t>
      </w:r>
    </w:p>
    <w:p>
      <w:pPr>
        <w:spacing w:after="0" w:line="2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the COVID-19 pandemic and the restrictions adopted around the globe to reduce the spread of the disease have impacted and will continue to impact our clinical development programs. At this time, we do not expect a significant adverse effect on clinical trials that completed enrollment prior to the outbreak of COVID-19, and are working to ensure patient safety, provide sufficient supply of product candidates for the studies, and oversee trial management. New clinical studies and recruitment of new patients into open studies are being impacted by both availability of healthcare resources and local or regional restrictions. While we are currently expecting an approximately one quarter delay for these new or ongoing studies as a result of COVID-19 and have adjusted the timelines in the table below accordingly, our expectations may need to adjust as the facts evolve; the ultimate delays will depend, among other factors, on the extent of the pandemic in the areas with study sites for our clinical programs. It is possible that the COVID-19 pandemic may cause clinical disruptions beyond those we have described. In addition, there may be delays in the timing of regulatory review and other projected milestones discussed in the table below.</w:t>
      </w:r>
    </w:p>
    <w:p>
      <w:pPr>
        <w:spacing w:after="0" w:line="1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Part II, Item 1A. "Risk Factors" for a description of these and other risks and uncertainties that may affect our clinical programs, including those related to the COVID-19 pandemic.</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Regulatory</w:t>
            </w: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8"/>
              </w:rPr>
              <w:t>Select Upcoming</w:t>
            </w:r>
          </w:p>
        </w:tc>
      </w:tr>
      <w:tr>
        <w:trPr>
          <w:trHeight w:val="261"/>
        </w:trPr>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Clinical Program</w:t>
            </w:r>
          </w:p>
        </w:tc>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Phase 1</w:t>
            </w:r>
          </w:p>
        </w:tc>
        <w:tc>
          <w:tcPr>
            <w:tcW w:w="120" w:type="dxa"/>
            <w:vAlign w:val="bottom"/>
          </w:tcPr>
          <w:p>
            <w:pPr>
              <w:spacing w:after="0"/>
              <w:rPr>
                <w:sz w:val="22"/>
                <w:szCs w:val="22"/>
                <w:color w:val="auto"/>
              </w:rPr>
            </w:pPr>
          </w:p>
        </w:tc>
        <w:tc>
          <w:tcPr>
            <w:tcW w:w="1460" w:type="dxa"/>
            <w:vAlign w:val="bottom"/>
          </w:tcPr>
          <w:p>
            <w:pPr>
              <w:ind w:left="440"/>
              <w:spacing w:after="0"/>
              <w:rPr>
                <w:sz w:val="20"/>
                <w:szCs w:val="20"/>
                <w:color w:val="auto"/>
              </w:rPr>
            </w:pPr>
            <w:r>
              <w:rPr>
                <w:rFonts w:ascii="Arial" w:cs="Arial" w:eastAsia="Arial" w:hAnsi="Arial"/>
                <w:sz w:val="18"/>
                <w:szCs w:val="18"/>
                <w:b w:val="1"/>
                <w:bCs w:val="1"/>
                <w:color w:val="auto"/>
              </w:rPr>
              <w:t>Phase 2</w:t>
            </w:r>
          </w:p>
        </w:tc>
        <w:tc>
          <w:tcPr>
            <w:tcW w:w="120" w:type="dxa"/>
            <w:vAlign w:val="bottom"/>
          </w:tcPr>
          <w:p>
            <w:pPr>
              <w:spacing w:after="0"/>
              <w:rPr>
                <w:sz w:val="22"/>
                <w:szCs w:val="22"/>
                <w:color w:val="auto"/>
              </w:rPr>
            </w:pP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Phase 3</w:t>
            </w:r>
          </w:p>
        </w:tc>
        <w:tc>
          <w:tcPr>
            <w:tcW w:w="122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7"/>
              </w:rPr>
              <w:t>Review</w:t>
            </w:r>
            <w:r>
              <w:rPr>
                <w:rFonts w:ascii="Arial" w:cs="Arial" w:eastAsia="Arial" w:hAnsi="Arial"/>
                <w:sz w:val="25"/>
                <w:szCs w:val="25"/>
                <w:b w:val="1"/>
                <w:bCs w:val="1"/>
                <w:color w:val="auto"/>
                <w:w w:val="87"/>
                <w:vertAlign w:val="superscript"/>
              </w:rPr>
              <w:t>(i)</w:t>
            </w:r>
          </w:p>
        </w:tc>
        <w:tc>
          <w:tcPr>
            <w:tcW w:w="140" w:type="dxa"/>
            <w:vAlign w:val="bottom"/>
          </w:tcPr>
          <w:p>
            <w:pPr>
              <w:spacing w:after="0"/>
              <w:rPr>
                <w:sz w:val="22"/>
                <w:szCs w:val="22"/>
                <w:color w:val="auto"/>
              </w:rPr>
            </w:pPr>
          </w:p>
        </w:tc>
        <w:tc>
          <w:tcPr>
            <w:tcW w:w="1900" w:type="dxa"/>
            <w:vAlign w:val="bottom"/>
          </w:tcPr>
          <w:p>
            <w:pPr>
              <w:ind w:left="180"/>
              <w:spacing w:after="0"/>
              <w:rPr>
                <w:sz w:val="20"/>
                <w:szCs w:val="20"/>
                <w:color w:val="auto"/>
              </w:rPr>
            </w:pPr>
            <w:r>
              <w:rPr>
                <w:rFonts w:ascii="Arial" w:cs="Arial" w:eastAsia="Arial" w:hAnsi="Arial"/>
                <w:sz w:val="18"/>
                <w:szCs w:val="18"/>
                <w:b w:val="1"/>
                <w:bCs w:val="1"/>
                <w:color w:val="auto"/>
                <w:w w:val="99"/>
              </w:rPr>
              <w:t>2020 Events to Date</w:t>
            </w:r>
          </w:p>
        </w:tc>
        <w:tc>
          <w:tcPr>
            <w:tcW w:w="120" w:type="dxa"/>
            <w:vAlign w:val="bottom"/>
          </w:tcPr>
          <w:p>
            <w:pPr>
              <w:spacing w:after="0"/>
              <w:rPr>
                <w:sz w:val="22"/>
                <w:szCs w:val="22"/>
                <w:color w:val="auto"/>
              </w:rPr>
            </w:pPr>
          </w:p>
        </w:tc>
        <w:tc>
          <w:tcPr>
            <w:tcW w:w="190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6"/>
              </w:rPr>
              <w:t>Milestones</w:t>
            </w:r>
            <w:r>
              <w:rPr>
                <w:rFonts w:ascii="Arial" w:cs="Arial" w:eastAsia="Arial" w:hAnsi="Arial"/>
                <w:sz w:val="25"/>
                <w:szCs w:val="25"/>
                <w:b w:val="1"/>
                <w:bCs w:val="1"/>
                <w:color w:val="auto"/>
                <w:w w:val="86"/>
                <w:vertAlign w:val="superscript"/>
              </w:rPr>
              <w:t>(k)</w:t>
            </w:r>
          </w:p>
        </w:tc>
      </w:tr>
      <w:tr>
        <w:trPr>
          <w:trHeight w:val="115"/>
        </w:trPr>
        <w:tc>
          <w:tcPr>
            <w:tcW w:w="1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top w:val="single" w:sz="8" w:color="auto"/>
            </w:tcBorders>
          </w:tcPr>
          <w:p>
            <w:pPr>
              <w:spacing w:after="0"/>
              <w:rPr>
                <w:sz w:val="10"/>
                <w:szCs w:val="10"/>
                <w:color w:val="auto"/>
              </w:rPr>
            </w:pPr>
          </w:p>
        </w:tc>
      </w:tr>
      <w:tr>
        <w:trPr>
          <w:trHeight w:val="250"/>
        </w:trPr>
        <w:tc>
          <w:tcPr>
            <w:tcW w:w="1580" w:type="dxa"/>
            <w:vAlign w:val="bottom"/>
            <w:tcBorders>
              <w:bottom w:val="single" w:sz="8" w:color="ACACAC"/>
            </w:tcBorders>
            <w:shd w:val="clear" w:color="auto" w:fill="ACACAC"/>
          </w:tcPr>
          <w:p>
            <w:pPr>
              <w:spacing w:after="0"/>
              <w:rPr>
                <w:sz w:val="21"/>
                <w:szCs w:val="21"/>
                <w:color w:val="auto"/>
              </w:rPr>
            </w:pPr>
          </w:p>
        </w:tc>
        <w:tc>
          <w:tcPr>
            <w:tcW w:w="100" w:type="dxa"/>
            <w:vAlign w:val="bottom"/>
            <w:tcBorders>
              <w:bottom w:val="single" w:sz="8" w:color="ACACAC"/>
            </w:tcBorders>
            <w:shd w:val="clear" w:color="auto" w:fill="ACACAC"/>
          </w:tcPr>
          <w:p>
            <w:pPr>
              <w:spacing w:after="0"/>
              <w:rPr>
                <w:sz w:val="21"/>
                <w:szCs w:val="21"/>
                <w:color w:val="auto"/>
              </w:rPr>
            </w:pPr>
          </w:p>
        </w:tc>
        <w:tc>
          <w:tcPr>
            <w:tcW w:w="100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46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2800" w:type="dxa"/>
            <w:vAlign w:val="bottom"/>
            <w:tcBorders>
              <w:bottom w:val="single" w:sz="8" w:color="ACACAC"/>
            </w:tcBorders>
            <w:gridSpan w:val="3"/>
            <w:shd w:val="clear" w:color="auto" w:fill="ACACAC"/>
          </w:tcPr>
          <w:p>
            <w:pPr>
              <w:ind w:left="640"/>
              <w:spacing w:after="0"/>
              <w:rPr>
                <w:sz w:val="20"/>
                <w:szCs w:val="20"/>
                <w:color w:val="auto"/>
              </w:rPr>
            </w:pPr>
            <w:r>
              <w:rPr>
                <w:rFonts w:ascii="Arial" w:cs="Arial" w:eastAsia="Arial" w:hAnsi="Arial"/>
                <w:sz w:val="18"/>
                <w:szCs w:val="18"/>
                <w:b w:val="1"/>
                <w:bCs w:val="1"/>
                <w:color w:val="auto"/>
              </w:rPr>
              <w:t>Ophthalmology</w:t>
            </w:r>
          </w:p>
        </w:tc>
        <w:tc>
          <w:tcPr>
            <w:tcW w:w="140" w:type="dxa"/>
            <w:vAlign w:val="bottom"/>
            <w:tcBorders>
              <w:bottom w:val="single" w:sz="8" w:color="ACACAC"/>
            </w:tcBorders>
            <w:shd w:val="clear" w:color="auto" w:fill="ACACAC"/>
          </w:tcPr>
          <w:p>
            <w:pPr>
              <w:spacing w:after="0"/>
              <w:rPr>
                <w:sz w:val="21"/>
                <w:szCs w:val="21"/>
                <w:color w:val="auto"/>
              </w:rPr>
            </w:pPr>
          </w:p>
        </w:tc>
        <w:tc>
          <w:tcPr>
            <w:tcW w:w="190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900" w:type="dxa"/>
            <w:vAlign w:val="bottom"/>
            <w:tcBorders>
              <w:bottom w:val="single" w:sz="8" w:color="ACACAC"/>
            </w:tcBorders>
            <w:shd w:val="clear" w:color="auto" w:fill="ACACAC"/>
          </w:tcPr>
          <w:p>
            <w:pPr>
              <w:spacing w:after="0"/>
              <w:rPr>
                <w:sz w:val="21"/>
                <w:szCs w:val="21"/>
                <w:color w:val="auto"/>
              </w:rPr>
            </w:pPr>
          </w:p>
        </w:tc>
      </w:tr>
      <w:tr>
        <w:trPr>
          <w:trHeight w:val="122"/>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229"/>
        </w:trPr>
        <w:tc>
          <w:tcPr>
            <w:tcW w:w="16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EYLEA</w:t>
            </w:r>
          </w:p>
        </w:tc>
        <w:tc>
          <w:tcPr>
            <w:tcW w:w="10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High-dose</w:t>
            </w:r>
          </w:p>
        </w:tc>
        <w:tc>
          <w:tcPr>
            <w:tcW w:w="1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Retinopathy of</w:t>
            </w:r>
          </w:p>
        </w:tc>
        <w:tc>
          <w:tcPr>
            <w:tcW w:w="12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 Approved by Ministry of</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 Initiate Phase 3 studies of</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formulation in wet</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prematurity</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Labour and</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 high-dose formulation</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AMD</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8"/>
                <w:szCs w:val="18"/>
                <w:color w:val="auto"/>
              </w:rPr>
              <w:t>("ROP")</w:t>
            </w:r>
            <w:r>
              <w:rPr>
                <w:rFonts w:ascii="Arial" w:cs="Arial" w:eastAsia="Arial" w:hAnsi="Arial"/>
                <w:sz w:val="25"/>
                <w:szCs w:val="25"/>
                <w:color w:val="auto"/>
                <w:vertAlign w:val="superscript"/>
              </w:rPr>
              <w:t>(c)</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Welfare ("MHLW") for</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aflibercept in wet</w:t>
            </w:r>
          </w:p>
        </w:tc>
      </w:tr>
      <w:tr>
        <w:trPr>
          <w:trHeight w:val="216"/>
        </w:trPr>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NVG in Japan</w:t>
            </w:r>
          </w:p>
        </w:tc>
        <w:tc>
          <w:tcPr>
            <w:tcW w:w="120" w:type="dxa"/>
            <w:vAlign w:val="bottom"/>
            <w:shd w:val="clear" w:color="auto" w:fill="CCEEFF"/>
          </w:tcPr>
          <w:p>
            <w:pPr>
              <w:spacing w:after="0"/>
              <w:rPr>
                <w:sz w:val="18"/>
                <w:szCs w:val="18"/>
                <w:color w:val="auto"/>
              </w:rPr>
            </w:pPr>
          </w:p>
        </w:tc>
        <w:tc>
          <w:tcPr>
            <w:tcW w:w="1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AMD and DME (mid-</w:t>
            </w:r>
          </w:p>
        </w:tc>
      </w:tr>
      <w:tr>
        <w:trPr>
          <w:trHeight w:val="230"/>
        </w:trPr>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2020)</w:t>
            </w:r>
          </w:p>
        </w:tc>
      </w:tr>
      <w:tr>
        <w:trPr>
          <w:trHeight w:val="27"/>
        </w:trPr>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b w:val="1"/>
                <w:bCs w:val="1"/>
                <w:color w:val="auto"/>
              </w:rPr>
              <w:t>Dupixent</w:t>
            </w:r>
          </w:p>
        </w:tc>
        <w:tc>
          <w:tcPr>
            <w:tcW w:w="1840" w:type="dxa"/>
            <w:vAlign w:val="bottom"/>
          </w:tcPr>
          <w:p>
            <w:pPr>
              <w:ind w:left="680"/>
              <w:spacing w:after="0"/>
              <w:rPr>
                <w:sz w:val="20"/>
                <w:szCs w:val="20"/>
                <w:color w:val="auto"/>
              </w:rPr>
            </w:pPr>
            <w:r>
              <w:rPr>
                <w:rFonts w:ascii="Arial" w:cs="Arial" w:eastAsia="Arial" w:hAnsi="Arial"/>
                <w:sz w:val="18"/>
                <w:szCs w:val="18"/>
                <w:color w:val="auto"/>
                <w:w w:val="97"/>
              </w:rPr>
              <w:t>- Grass allergy</w:t>
            </w:r>
          </w:p>
        </w:tc>
      </w:tr>
      <w:tr>
        <w:trPr>
          <w:trHeight w:val="220"/>
        </w:trPr>
        <w:tc>
          <w:tcPr>
            <w:tcW w:w="1980" w:type="dxa"/>
            <w:vAlign w:val="bottom"/>
          </w:tcPr>
          <w:p>
            <w:pPr>
              <w:spacing w:after="0" w:line="220" w:lineRule="exact"/>
              <w:rPr>
                <w:sz w:val="20"/>
                <w:szCs w:val="20"/>
                <w:color w:val="auto"/>
              </w:rPr>
            </w:pPr>
            <w:r>
              <w:rPr>
                <w:rFonts w:ascii="Arial" w:cs="Arial" w:eastAsia="Arial" w:hAnsi="Arial"/>
                <w:sz w:val="18"/>
                <w:szCs w:val="18"/>
                <w:b w:val="1"/>
                <w:bCs w:val="1"/>
                <w:color w:val="auto"/>
              </w:rPr>
              <w:t>(dupilumab)</w:t>
            </w:r>
            <w:r>
              <w:rPr>
                <w:rFonts w:ascii="Arial" w:cs="Arial" w:eastAsia="Arial" w:hAnsi="Arial"/>
                <w:sz w:val="25"/>
                <w:szCs w:val="25"/>
                <w:b w:val="1"/>
                <w:bCs w:val="1"/>
                <w:color w:val="auto"/>
                <w:vertAlign w:val="superscript"/>
              </w:rPr>
              <w:t>(a)</w:t>
            </w:r>
          </w:p>
        </w:tc>
        <w:tc>
          <w:tcPr>
            <w:tcW w:w="1840" w:type="dxa"/>
            <w:vAlign w:val="bottom"/>
          </w:tcPr>
          <w:p>
            <w:pPr>
              <w:spacing w:after="0"/>
              <w:rPr>
                <w:sz w:val="19"/>
                <w:szCs w:val="19"/>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i w:val="1"/>
                <w:iCs w:val="1"/>
                <w:color w:val="auto"/>
              </w:rPr>
              <w:t>Antibody to IL-4R</w:t>
            </w:r>
          </w:p>
        </w:tc>
        <w:tc>
          <w:tcPr>
            <w:tcW w:w="1840" w:type="dxa"/>
            <w:vAlign w:val="bottom"/>
          </w:tcPr>
          <w:p>
            <w:pPr>
              <w:spacing w:after="0"/>
              <w:rPr>
                <w:sz w:val="18"/>
                <w:szCs w:val="18"/>
                <w:color w:val="auto"/>
              </w:rPr>
            </w:pPr>
          </w:p>
        </w:tc>
      </w:tr>
      <w:tr>
        <w:trPr>
          <w:trHeight w:val="257"/>
        </w:trPr>
        <w:tc>
          <w:tcPr>
            <w:tcW w:w="1980" w:type="dxa"/>
            <w:vAlign w:val="bottom"/>
          </w:tcPr>
          <w:p>
            <w:pPr>
              <w:spacing w:after="0"/>
              <w:rPr>
                <w:sz w:val="20"/>
                <w:szCs w:val="20"/>
                <w:color w:val="auto"/>
              </w:rPr>
            </w:pPr>
            <w:r>
              <w:rPr>
                <w:rFonts w:ascii="Arial" w:cs="Arial" w:eastAsia="Arial" w:hAnsi="Arial"/>
                <w:sz w:val="18"/>
                <w:szCs w:val="18"/>
                <w:i w:val="1"/>
                <w:iCs w:val="1"/>
                <w:color w:val="auto"/>
              </w:rPr>
              <w:t>alpha subunit</w:t>
            </w:r>
          </w:p>
        </w:tc>
        <w:tc>
          <w:tcPr>
            <w:tcW w:w="1840" w:type="dxa"/>
            <w:vAlign w:val="bottom"/>
          </w:tcPr>
          <w:p>
            <w:pPr>
              <w:ind w:left="680"/>
              <w:spacing w:after="0"/>
              <w:rPr>
                <w:sz w:val="20"/>
                <w:szCs w:val="20"/>
                <w:color w:val="auto"/>
              </w:rPr>
            </w:pPr>
            <w:r>
              <w:rPr>
                <w:rFonts w:ascii="Arial" w:cs="Arial" w:eastAsia="Arial" w:hAnsi="Arial"/>
                <w:sz w:val="18"/>
                <w:szCs w:val="18"/>
                <w:color w:val="auto"/>
                <w:w w:val="90"/>
              </w:rPr>
              <w:t>- Peanut allergy</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Immunology &amp; Inflammatory Diseases</w:t>
      </w:r>
    </w:p>
    <w:p>
      <w:pPr>
        <w:spacing w:after="0" w:line="189"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 Atopic dermatitis</w:t>
            </w:r>
          </w:p>
        </w:tc>
        <w:tc>
          <w:tcPr>
            <w:tcW w:w="1360" w:type="dxa"/>
            <w:vAlign w:val="bottom"/>
          </w:tcPr>
          <w:p>
            <w:pPr>
              <w:ind w:left="20"/>
              <w:spacing w:after="0"/>
              <w:rPr>
                <w:sz w:val="20"/>
                <w:szCs w:val="20"/>
                <w:color w:val="auto"/>
              </w:rPr>
            </w:pPr>
            <w:r>
              <w:rPr>
                <w:rFonts w:ascii="Arial" w:cs="Arial" w:eastAsia="Arial" w:hAnsi="Arial"/>
                <w:sz w:val="18"/>
                <w:szCs w:val="18"/>
                <w:color w:val="auto"/>
              </w:rPr>
              <w:t>- Atopic</w:t>
            </w:r>
          </w:p>
        </w:tc>
        <w:tc>
          <w:tcPr>
            <w:tcW w:w="2000" w:type="dxa"/>
            <w:vAlign w:val="bottom"/>
          </w:tcPr>
          <w:p>
            <w:pPr>
              <w:ind w:left="20"/>
              <w:spacing w:after="0"/>
              <w:rPr>
                <w:sz w:val="20"/>
                <w:szCs w:val="20"/>
                <w:color w:val="auto"/>
              </w:rPr>
            </w:pPr>
            <w:r>
              <w:rPr>
                <w:rFonts w:ascii="Arial" w:cs="Arial" w:eastAsia="Arial" w:hAnsi="Arial"/>
                <w:sz w:val="18"/>
                <w:szCs w:val="18"/>
                <w:color w:val="auto"/>
                <w:w w:val="98"/>
              </w:rPr>
              <w:t>- Approved by MHLW for</w:t>
            </w:r>
          </w:p>
        </w:tc>
        <w:tc>
          <w:tcPr>
            <w:tcW w:w="1960" w:type="dxa"/>
            <w:vAlign w:val="bottom"/>
          </w:tcPr>
          <w:p>
            <w:pPr>
              <w:ind w:left="40"/>
              <w:spacing w:after="0"/>
              <w:rPr>
                <w:sz w:val="20"/>
                <w:szCs w:val="20"/>
                <w:color w:val="auto"/>
              </w:rPr>
            </w:pPr>
            <w:r>
              <w:rPr>
                <w:rFonts w:ascii="Arial" w:cs="Arial" w:eastAsia="Arial" w:hAnsi="Arial"/>
                <w:sz w:val="18"/>
                <w:szCs w:val="18"/>
                <w:color w:val="auto"/>
              </w:rPr>
              <w:t>- FDA decision (target</w:t>
            </w:r>
          </w:p>
        </w:tc>
        <w:tc>
          <w:tcPr>
            <w:tcW w:w="0" w:type="dxa"/>
            <w:vAlign w:val="bottom"/>
          </w:tcPr>
          <w:p>
            <w:pPr>
              <w:spacing w:after="0"/>
              <w:rPr>
                <w:sz w:val="1"/>
                <w:szCs w:val="1"/>
                <w:color w:val="auto"/>
              </w:rPr>
            </w:pPr>
          </w:p>
        </w:tc>
      </w:tr>
      <w:tr>
        <w:trPr>
          <w:trHeight w:val="216"/>
        </w:trPr>
        <w:tc>
          <w:tcPr>
            <w:tcW w:w="1560" w:type="dxa"/>
            <w:vAlign w:val="bottom"/>
          </w:tcPr>
          <w:p>
            <w:pPr>
              <w:ind w:left="120"/>
              <w:spacing w:after="0"/>
              <w:rPr>
                <w:sz w:val="20"/>
                <w:szCs w:val="20"/>
                <w:color w:val="auto"/>
              </w:rPr>
            </w:pPr>
            <w:r>
              <w:rPr>
                <w:rFonts w:ascii="Arial" w:cs="Arial" w:eastAsia="Arial" w:hAnsi="Arial"/>
                <w:sz w:val="18"/>
                <w:szCs w:val="18"/>
                <w:color w:val="auto"/>
              </w:rPr>
              <w:t>in pediatrics (6</w:t>
            </w:r>
          </w:p>
        </w:tc>
        <w:tc>
          <w:tcPr>
            <w:tcW w:w="1360" w:type="dxa"/>
            <w:vAlign w:val="bottom"/>
          </w:tcPr>
          <w:p>
            <w:pPr>
              <w:ind w:left="140"/>
              <w:spacing w:after="0"/>
              <w:rPr>
                <w:sz w:val="20"/>
                <w:szCs w:val="20"/>
                <w:color w:val="auto"/>
              </w:rPr>
            </w:pPr>
            <w:r>
              <w:rPr>
                <w:rFonts w:ascii="Arial" w:cs="Arial" w:eastAsia="Arial" w:hAnsi="Arial"/>
                <w:sz w:val="18"/>
                <w:szCs w:val="18"/>
                <w:color w:val="auto"/>
              </w:rPr>
              <w:t>dermatitis in</w:t>
            </w:r>
          </w:p>
        </w:tc>
        <w:tc>
          <w:tcPr>
            <w:tcW w:w="2000" w:type="dxa"/>
            <w:vAlign w:val="bottom"/>
          </w:tcPr>
          <w:p>
            <w:pPr>
              <w:ind w:left="140"/>
              <w:spacing w:after="0"/>
              <w:rPr>
                <w:sz w:val="20"/>
                <w:szCs w:val="20"/>
                <w:color w:val="auto"/>
              </w:rPr>
            </w:pPr>
            <w:r>
              <w:rPr>
                <w:rFonts w:ascii="Arial" w:cs="Arial" w:eastAsia="Arial" w:hAnsi="Arial"/>
                <w:sz w:val="18"/>
                <w:szCs w:val="18"/>
                <w:color w:val="auto"/>
              </w:rPr>
              <w:t>CRSwNP in Japan</w:t>
            </w:r>
          </w:p>
        </w:tc>
        <w:tc>
          <w:tcPr>
            <w:tcW w:w="1960" w:type="dxa"/>
            <w:vAlign w:val="bottom"/>
          </w:tcPr>
          <w:p>
            <w:pPr>
              <w:ind w:left="160"/>
              <w:spacing w:after="0"/>
              <w:rPr>
                <w:sz w:val="20"/>
                <w:szCs w:val="20"/>
                <w:color w:val="auto"/>
              </w:rPr>
            </w:pPr>
            <w:r>
              <w:rPr>
                <w:rFonts w:ascii="Arial" w:cs="Arial" w:eastAsia="Arial" w:hAnsi="Arial"/>
                <w:sz w:val="18"/>
                <w:szCs w:val="18"/>
                <w:color w:val="auto"/>
              </w:rPr>
              <w:t>action date of May 26,</w:t>
            </w:r>
          </w:p>
        </w:tc>
        <w:tc>
          <w:tcPr>
            <w:tcW w:w="0" w:type="dxa"/>
            <w:vAlign w:val="bottom"/>
          </w:tcPr>
          <w:p>
            <w:pPr>
              <w:spacing w:after="0"/>
              <w:rPr>
                <w:sz w:val="1"/>
                <w:szCs w:val="1"/>
                <w:color w:val="auto"/>
              </w:rPr>
            </w:pPr>
          </w:p>
        </w:tc>
      </w:tr>
      <w:tr>
        <w:trPr>
          <w:trHeight w:val="216"/>
        </w:trPr>
        <w:tc>
          <w:tcPr>
            <w:tcW w:w="1560" w:type="dxa"/>
            <w:vAlign w:val="bottom"/>
          </w:tcPr>
          <w:p>
            <w:pPr>
              <w:ind w:left="120"/>
              <w:spacing w:after="0"/>
              <w:rPr>
                <w:sz w:val="20"/>
                <w:szCs w:val="20"/>
                <w:color w:val="auto"/>
              </w:rPr>
            </w:pPr>
            <w:r>
              <w:rPr>
                <w:rFonts w:ascii="Arial" w:cs="Arial" w:eastAsia="Arial" w:hAnsi="Arial"/>
                <w:sz w:val="18"/>
                <w:szCs w:val="18"/>
                <w:color w:val="auto"/>
                <w:w w:val="95"/>
              </w:rPr>
              <w:t>months–5 years of</w:t>
            </w:r>
          </w:p>
        </w:tc>
        <w:tc>
          <w:tcPr>
            <w:tcW w:w="1360" w:type="dxa"/>
            <w:vAlign w:val="bottom"/>
          </w:tcPr>
          <w:p>
            <w:pPr>
              <w:ind w:left="140"/>
              <w:spacing w:after="0"/>
              <w:rPr>
                <w:sz w:val="20"/>
                <w:szCs w:val="20"/>
                <w:color w:val="auto"/>
              </w:rPr>
            </w:pPr>
            <w:r>
              <w:rPr>
                <w:rFonts w:ascii="Arial" w:cs="Arial" w:eastAsia="Arial" w:hAnsi="Arial"/>
                <w:sz w:val="18"/>
                <w:szCs w:val="18"/>
                <w:color w:val="auto"/>
                <w:w w:val="93"/>
              </w:rPr>
              <w:t>pediatrics (6–11</w:t>
            </w: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7"/>
              </w:rPr>
              <w:t>2020) on supplemental</w:t>
            </w:r>
          </w:p>
        </w:tc>
        <w:tc>
          <w:tcPr>
            <w:tcW w:w="0" w:type="dxa"/>
            <w:vAlign w:val="bottom"/>
          </w:tcPr>
          <w:p>
            <w:pPr>
              <w:spacing w:after="0"/>
              <w:rPr>
                <w:sz w:val="1"/>
                <w:szCs w:val="1"/>
                <w:color w:val="auto"/>
              </w:rPr>
            </w:pPr>
          </w:p>
        </w:tc>
      </w:tr>
      <w:tr>
        <w:trPr>
          <w:trHeight w:val="216"/>
        </w:trPr>
        <w:tc>
          <w:tcPr>
            <w:tcW w:w="1560" w:type="dxa"/>
            <w:vAlign w:val="bottom"/>
          </w:tcPr>
          <w:p>
            <w:pPr>
              <w:ind w:left="120"/>
              <w:spacing w:after="0" w:line="216" w:lineRule="exact"/>
              <w:rPr>
                <w:sz w:val="20"/>
                <w:szCs w:val="20"/>
                <w:color w:val="auto"/>
              </w:rPr>
            </w:pPr>
            <w:r>
              <w:rPr>
                <w:rFonts w:ascii="Arial" w:cs="Arial" w:eastAsia="Arial" w:hAnsi="Arial"/>
                <w:sz w:val="18"/>
                <w:szCs w:val="18"/>
                <w:color w:val="auto"/>
                <w:w w:val="91"/>
              </w:rPr>
              <w:t>age) (Phase 2/3)</w:t>
            </w:r>
            <w:r>
              <w:rPr>
                <w:rFonts w:ascii="Arial" w:cs="Arial" w:eastAsia="Arial" w:hAnsi="Arial"/>
                <w:sz w:val="25"/>
                <w:szCs w:val="25"/>
                <w:color w:val="auto"/>
                <w:w w:val="91"/>
                <w:vertAlign w:val="superscript"/>
              </w:rPr>
              <w:t>(d)</w:t>
            </w:r>
          </w:p>
        </w:tc>
        <w:tc>
          <w:tcPr>
            <w:tcW w:w="1360" w:type="dxa"/>
            <w:vAlign w:val="bottom"/>
          </w:tcPr>
          <w:p>
            <w:pPr>
              <w:ind w:left="140"/>
              <w:spacing w:after="0"/>
              <w:rPr>
                <w:sz w:val="20"/>
                <w:szCs w:val="20"/>
                <w:color w:val="auto"/>
              </w:rPr>
            </w:pPr>
            <w:r>
              <w:rPr>
                <w:rFonts w:ascii="Arial" w:cs="Arial" w:eastAsia="Arial" w:hAnsi="Arial"/>
                <w:sz w:val="18"/>
                <w:szCs w:val="18"/>
                <w:color w:val="auto"/>
              </w:rPr>
              <w:t>years of age)</w:t>
            </w: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Biologics License</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(U.S. and EU)</w:t>
            </w: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Application ("sBLA")</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3"/>
                <w:szCs w:val="13"/>
                <w:color w:val="auto"/>
              </w:rPr>
              <w:t>(d)</w:t>
            </w: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and European</w:t>
            </w:r>
          </w:p>
        </w:tc>
        <w:tc>
          <w:tcPr>
            <w:tcW w:w="0" w:type="dxa"/>
            <w:vAlign w:val="bottom"/>
          </w:tcPr>
          <w:p>
            <w:pPr>
              <w:spacing w:after="0"/>
              <w:rPr>
                <w:sz w:val="1"/>
                <w:szCs w:val="1"/>
                <w:color w:val="auto"/>
              </w:rPr>
            </w:pPr>
          </w:p>
        </w:tc>
      </w:tr>
      <w:tr>
        <w:trPr>
          <w:trHeight w:val="216"/>
        </w:trPr>
        <w:tc>
          <w:tcPr>
            <w:tcW w:w="1560" w:type="dxa"/>
            <w:vAlign w:val="bottom"/>
            <w:vMerge w:val="restart"/>
          </w:tcPr>
          <w:p>
            <w:pPr>
              <w:spacing w:after="0"/>
              <w:rPr>
                <w:sz w:val="20"/>
                <w:szCs w:val="20"/>
                <w:color w:val="auto"/>
              </w:rPr>
            </w:pPr>
            <w:r>
              <w:rPr>
                <w:rFonts w:ascii="Arial" w:cs="Arial" w:eastAsia="Arial" w:hAnsi="Arial"/>
                <w:sz w:val="18"/>
                <w:szCs w:val="18"/>
                <w:color w:val="auto"/>
              </w:rPr>
              <w:t>- Asthma in</w:t>
            </w: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 Auto-injector</w:t>
            </w: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Commission ("EC")</w:t>
            </w:r>
          </w:p>
        </w:tc>
        <w:tc>
          <w:tcPr>
            <w:tcW w:w="0" w:type="dxa"/>
            <w:vAlign w:val="bottom"/>
          </w:tcPr>
          <w:p>
            <w:pPr>
              <w:spacing w:after="0"/>
              <w:rPr>
                <w:sz w:val="1"/>
                <w:szCs w:val="1"/>
                <w:color w:val="auto"/>
              </w:rPr>
            </w:pPr>
          </w:p>
        </w:tc>
      </w:tr>
      <w:tr>
        <w:trPr>
          <w:trHeight w:val="68"/>
        </w:trPr>
        <w:tc>
          <w:tcPr>
            <w:tcW w:w="15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1960" w:type="dxa"/>
            <w:vAlign w:val="bottom"/>
            <w:vMerge w:val="restart"/>
          </w:tcPr>
          <w:p>
            <w:pPr>
              <w:ind w:left="160"/>
              <w:spacing w:after="0"/>
              <w:rPr>
                <w:sz w:val="20"/>
                <w:szCs w:val="20"/>
                <w:color w:val="auto"/>
              </w:rPr>
            </w:pPr>
            <w:r>
              <w:rPr>
                <w:rFonts w:ascii="Arial" w:cs="Arial" w:eastAsia="Arial" w:hAnsi="Arial"/>
                <w:sz w:val="18"/>
                <w:szCs w:val="18"/>
                <w:color w:val="auto"/>
              </w:rPr>
              <w:t>decision (second half</w:t>
            </w:r>
          </w:p>
        </w:tc>
        <w:tc>
          <w:tcPr>
            <w:tcW w:w="0" w:type="dxa"/>
            <w:vAlign w:val="bottom"/>
          </w:tcPr>
          <w:p>
            <w:pPr>
              <w:spacing w:after="0"/>
              <w:rPr>
                <w:sz w:val="1"/>
                <w:szCs w:val="1"/>
                <w:color w:val="auto"/>
              </w:rPr>
            </w:pPr>
          </w:p>
        </w:tc>
      </w:tr>
      <w:tr>
        <w:trPr>
          <w:trHeight w:val="149"/>
        </w:trPr>
        <w:tc>
          <w:tcPr>
            <w:tcW w:w="1560" w:type="dxa"/>
            <w:vAlign w:val="bottom"/>
            <w:vMerge w:val="restart"/>
          </w:tcPr>
          <w:p>
            <w:pPr>
              <w:ind w:left="120"/>
              <w:spacing w:after="0"/>
              <w:rPr>
                <w:sz w:val="20"/>
                <w:szCs w:val="20"/>
                <w:color w:val="auto"/>
              </w:rPr>
            </w:pPr>
            <w:r>
              <w:rPr>
                <w:rFonts w:ascii="Arial" w:cs="Arial" w:eastAsia="Arial" w:hAnsi="Arial"/>
                <w:sz w:val="18"/>
                <w:szCs w:val="18"/>
                <w:color w:val="auto"/>
              </w:rPr>
              <w:t>pediatrics (6–11</w:t>
            </w:r>
          </w:p>
        </w:tc>
        <w:tc>
          <w:tcPr>
            <w:tcW w:w="1360" w:type="dxa"/>
            <w:vAlign w:val="bottom"/>
            <w:vMerge w:val="restart"/>
          </w:tcPr>
          <w:p>
            <w:pPr>
              <w:ind w:left="140"/>
              <w:spacing w:after="0"/>
              <w:rPr>
                <w:sz w:val="20"/>
                <w:szCs w:val="20"/>
                <w:color w:val="auto"/>
              </w:rPr>
            </w:pPr>
            <w:r>
              <w:rPr>
                <w:rFonts w:ascii="Arial" w:cs="Arial" w:eastAsia="Arial" w:hAnsi="Arial"/>
                <w:sz w:val="18"/>
                <w:szCs w:val="18"/>
                <w:color w:val="auto"/>
                <w:w w:val="92"/>
              </w:rPr>
              <w:t>for 300 mg dose</w:t>
            </w:r>
          </w:p>
        </w:tc>
        <w:tc>
          <w:tcPr>
            <w:tcW w:w="20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1960" w:type="dxa"/>
            <w:vAlign w:val="bottom"/>
            <w:vMerge w:val="restart"/>
          </w:tcPr>
          <w:p>
            <w:pPr>
              <w:ind w:left="160"/>
              <w:spacing w:after="0"/>
              <w:rPr>
                <w:sz w:val="20"/>
                <w:szCs w:val="20"/>
                <w:color w:val="auto"/>
              </w:rPr>
            </w:pPr>
            <w:r>
              <w:rPr>
                <w:rFonts w:ascii="Arial" w:cs="Arial" w:eastAsia="Arial" w:hAnsi="Arial"/>
                <w:sz w:val="18"/>
                <w:szCs w:val="18"/>
                <w:color w:val="auto"/>
              </w:rPr>
              <w:t>2020) for expanded</w:t>
            </w:r>
          </w:p>
        </w:tc>
        <w:tc>
          <w:tcPr>
            <w:tcW w:w="0" w:type="dxa"/>
            <w:vAlign w:val="bottom"/>
          </w:tcPr>
          <w:p>
            <w:pPr>
              <w:spacing w:after="0"/>
              <w:rPr>
                <w:sz w:val="1"/>
                <w:szCs w:val="1"/>
                <w:color w:val="auto"/>
              </w:rPr>
            </w:pPr>
          </w:p>
        </w:tc>
      </w:tr>
      <w:tr>
        <w:trPr>
          <w:trHeight w:val="148"/>
        </w:trPr>
        <w:tc>
          <w:tcPr>
            <w:tcW w:w="1560" w:type="dxa"/>
            <w:vAlign w:val="bottom"/>
            <w:vMerge w:val="restart"/>
          </w:tcPr>
          <w:p>
            <w:pPr>
              <w:ind w:left="120"/>
              <w:spacing w:after="0"/>
              <w:rPr>
                <w:sz w:val="20"/>
                <w:szCs w:val="20"/>
                <w:color w:val="auto"/>
              </w:rPr>
            </w:pPr>
            <w:r>
              <w:rPr>
                <w:rFonts w:ascii="Arial" w:cs="Arial" w:eastAsia="Arial" w:hAnsi="Arial"/>
                <w:sz w:val="18"/>
                <w:szCs w:val="18"/>
                <w:color w:val="auto"/>
              </w:rPr>
              <w:t>years of age)</w:t>
            </w:r>
          </w:p>
        </w:tc>
        <w:tc>
          <w:tcPr>
            <w:tcW w:w="1360" w:type="dxa"/>
            <w:vAlign w:val="bottom"/>
            <w:vMerge w:val="restart"/>
          </w:tcPr>
          <w:p>
            <w:pPr>
              <w:ind w:left="140"/>
              <w:spacing w:after="0"/>
              <w:rPr>
                <w:sz w:val="20"/>
                <w:szCs w:val="20"/>
                <w:color w:val="auto"/>
              </w:rPr>
            </w:pPr>
            <w:r>
              <w:rPr>
                <w:rFonts w:ascii="Arial" w:cs="Arial" w:eastAsia="Arial" w:hAnsi="Arial"/>
                <w:sz w:val="18"/>
                <w:szCs w:val="18"/>
                <w:color w:val="auto"/>
              </w:rPr>
              <w:t>(U.S. and</w:t>
            </w:r>
          </w:p>
        </w:tc>
        <w:tc>
          <w:tcPr>
            <w:tcW w:w="20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1960" w:type="dxa"/>
            <w:vAlign w:val="bottom"/>
            <w:vMerge w:val="restart"/>
          </w:tcPr>
          <w:p>
            <w:pPr>
              <w:ind w:left="160"/>
              <w:spacing w:after="0"/>
              <w:rPr>
                <w:sz w:val="20"/>
                <w:szCs w:val="20"/>
                <w:color w:val="auto"/>
              </w:rPr>
            </w:pPr>
            <w:r>
              <w:rPr>
                <w:rFonts w:ascii="Arial" w:cs="Arial" w:eastAsia="Arial" w:hAnsi="Arial"/>
                <w:sz w:val="18"/>
                <w:szCs w:val="18"/>
                <w:color w:val="auto"/>
              </w:rPr>
              <w:t>atopic dermatitis</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8"/>
                <w:szCs w:val="18"/>
                <w:color w:val="auto"/>
              </w:rPr>
              <w:t>- Eosinophilic</w:t>
            </w:r>
          </w:p>
        </w:tc>
        <w:tc>
          <w:tcPr>
            <w:tcW w:w="1360" w:type="dxa"/>
            <w:vAlign w:val="bottom"/>
            <w:vMerge w:val="restart"/>
          </w:tcPr>
          <w:p>
            <w:pPr>
              <w:ind w:left="140"/>
              <w:spacing w:after="0"/>
              <w:rPr>
                <w:sz w:val="20"/>
                <w:szCs w:val="20"/>
                <w:color w:val="auto"/>
              </w:rPr>
            </w:pPr>
            <w:r>
              <w:rPr>
                <w:rFonts w:ascii="Arial" w:cs="Arial" w:eastAsia="Arial" w:hAnsi="Arial"/>
                <w:sz w:val="18"/>
                <w:szCs w:val="18"/>
                <w:color w:val="auto"/>
              </w:rPr>
              <w:t>Japan)</w:t>
            </w:r>
          </w:p>
        </w:tc>
        <w:tc>
          <w:tcPr>
            <w:tcW w:w="200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1960" w:type="dxa"/>
            <w:vAlign w:val="bottom"/>
            <w:vMerge w:val="restart"/>
          </w:tcPr>
          <w:p>
            <w:pPr>
              <w:ind w:left="160"/>
              <w:spacing w:after="0" w:line="176" w:lineRule="exact"/>
              <w:rPr>
                <w:sz w:val="20"/>
                <w:szCs w:val="20"/>
                <w:color w:val="auto"/>
              </w:rPr>
            </w:pPr>
            <w:r>
              <w:rPr>
                <w:rFonts w:ascii="Arial" w:cs="Arial" w:eastAsia="Arial" w:hAnsi="Arial"/>
                <w:sz w:val="18"/>
                <w:szCs w:val="18"/>
                <w:color w:val="auto"/>
              </w:rPr>
              <w:t>indication in pediatric</w:t>
            </w:r>
          </w:p>
        </w:tc>
        <w:tc>
          <w:tcPr>
            <w:tcW w:w="0" w:type="dxa"/>
            <w:vAlign w:val="bottom"/>
          </w:tcPr>
          <w:p>
            <w:pPr>
              <w:spacing w:after="0"/>
              <w:rPr>
                <w:sz w:val="1"/>
                <w:szCs w:val="1"/>
                <w:color w:val="auto"/>
              </w:rPr>
            </w:pPr>
          </w:p>
        </w:tc>
      </w:tr>
      <w:tr>
        <w:trPr>
          <w:trHeight w:val="94"/>
        </w:trPr>
        <w:tc>
          <w:tcPr>
            <w:tcW w:w="156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20"/>
              <w:spacing w:after="0"/>
              <w:rPr>
                <w:sz w:val="20"/>
                <w:szCs w:val="20"/>
                <w:color w:val="auto"/>
              </w:rPr>
            </w:pPr>
            <w:r>
              <w:rPr>
                <w:rFonts w:ascii="Arial" w:cs="Arial" w:eastAsia="Arial" w:hAnsi="Arial"/>
                <w:sz w:val="18"/>
                <w:szCs w:val="18"/>
                <w:color w:val="auto"/>
              </w:rPr>
              <w:t>esophagitis</w:t>
            </w: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7"/>
              </w:rPr>
              <w:t>patients (6–11 years of</w:t>
            </w:r>
          </w:p>
        </w:tc>
        <w:tc>
          <w:tcPr>
            <w:tcW w:w="0" w:type="dxa"/>
            <w:vAlign w:val="bottom"/>
          </w:tcPr>
          <w:p>
            <w:pPr>
              <w:spacing w:after="0"/>
              <w:rPr>
                <w:sz w:val="1"/>
                <w:szCs w:val="1"/>
                <w:color w:val="auto"/>
              </w:rPr>
            </w:pPr>
          </w:p>
        </w:tc>
      </w:tr>
      <w:tr>
        <w:trPr>
          <w:trHeight w:val="310"/>
        </w:trPr>
        <w:tc>
          <w:tcPr>
            <w:tcW w:w="1560" w:type="dxa"/>
            <w:vAlign w:val="bottom"/>
          </w:tcPr>
          <w:p>
            <w:pPr>
              <w:ind w:left="120"/>
              <w:spacing w:after="0"/>
              <w:rPr>
                <w:sz w:val="20"/>
                <w:szCs w:val="20"/>
                <w:color w:val="auto"/>
              </w:rPr>
            </w:pPr>
            <w:r>
              <w:rPr>
                <w:rFonts w:ascii="Arial" w:cs="Arial" w:eastAsia="Arial" w:hAnsi="Arial"/>
                <w:sz w:val="18"/>
                <w:szCs w:val="18"/>
                <w:color w:val="auto"/>
              </w:rPr>
              <w:t>("EOE")</w:t>
            </w:r>
            <w:r>
              <w:rPr>
                <w:rFonts w:ascii="Arial" w:cs="Arial" w:eastAsia="Arial" w:hAnsi="Arial"/>
                <w:sz w:val="25"/>
                <w:szCs w:val="25"/>
                <w:color w:val="auto"/>
                <w:vertAlign w:val="superscript"/>
              </w:rPr>
              <w:t>(c)</w:t>
            </w:r>
          </w:p>
        </w:tc>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age)</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 Chronic</w:t>
            </w: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 Report results from</w:t>
            </w:r>
          </w:p>
        </w:tc>
        <w:tc>
          <w:tcPr>
            <w:tcW w:w="0" w:type="dxa"/>
            <w:vAlign w:val="bottom"/>
          </w:tcPr>
          <w:p>
            <w:pPr>
              <w:spacing w:after="0"/>
              <w:rPr>
                <w:sz w:val="1"/>
                <w:szCs w:val="1"/>
                <w:color w:val="auto"/>
              </w:rPr>
            </w:pPr>
          </w:p>
        </w:tc>
      </w:tr>
      <w:tr>
        <w:trPr>
          <w:trHeight w:val="216"/>
        </w:trPr>
        <w:tc>
          <w:tcPr>
            <w:tcW w:w="1560" w:type="dxa"/>
            <w:vAlign w:val="bottom"/>
          </w:tcPr>
          <w:p>
            <w:pPr>
              <w:ind w:left="120"/>
              <w:spacing w:after="0"/>
              <w:rPr>
                <w:sz w:val="20"/>
                <w:szCs w:val="20"/>
                <w:color w:val="auto"/>
              </w:rPr>
            </w:pPr>
            <w:r>
              <w:rPr>
                <w:rFonts w:ascii="Arial" w:cs="Arial" w:eastAsia="Arial" w:hAnsi="Arial"/>
                <w:sz w:val="18"/>
                <w:szCs w:val="18"/>
                <w:color w:val="auto"/>
              </w:rPr>
              <w:t>obstructive</w:t>
            </w: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2"/>
              </w:rPr>
              <w:t>Phase 3 study for atopic</w:t>
            </w:r>
          </w:p>
        </w:tc>
        <w:tc>
          <w:tcPr>
            <w:tcW w:w="0" w:type="dxa"/>
            <w:vAlign w:val="bottom"/>
          </w:tcPr>
          <w:p>
            <w:pPr>
              <w:spacing w:after="0"/>
              <w:rPr>
                <w:sz w:val="1"/>
                <w:szCs w:val="1"/>
                <w:color w:val="auto"/>
              </w:rPr>
            </w:pPr>
          </w:p>
        </w:tc>
      </w:tr>
      <w:tr>
        <w:trPr>
          <w:trHeight w:val="216"/>
        </w:trPr>
        <w:tc>
          <w:tcPr>
            <w:tcW w:w="1560" w:type="dxa"/>
            <w:vAlign w:val="bottom"/>
          </w:tcPr>
          <w:p>
            <w:pPr>
              <w:ind w:left="120"/>
              <w:spacing w:after="0"/>
              <w:rPr>
                <w:sz w:val="20"/>
                <w:szCs w:val="20"/>
                <w:color w:val="auto"/>
              </w:rPr>
            </w:pPr>
            <w:r>
              <w:rPr>
                <w:rFonts w:ascii="Arial" w:cs="Arial" w:eastAsia="Arial" w:hAnsi="Arial"/>
                <w:sz w:val="18"/>
                <w:szCs w:val="18"/>
                <w:color w:val="auto"/>
                <w:w w:val="93"/>
              </w:rPr>
              <w:t>pulmonary disease</w:t>
            </w: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dermatitis in pediatric</w:t>
            </w:r>
          </w:p>
        </w:tc>
        <w:tc>
          <w:tcPr>
            <w:tcW w:w="0" w:type="dxa"/>
            <w:vAlign w:val="bottom"/>
          </w:tcPr>
          <w:p>
            <w:pPr>
              <w:spacing w:after="0"/>
              <w:rPr>
                <w:sz w:val="1"/>
                <w:szCs w:val="1"/>
                <w:color w:val="auto"/>
              </w:rPr>
            </w:pPr>
          </w:p>
        </w:tc>
      </w:tr>
      <w:tr>
        <w:trPr>
          <w:trHeight w:val="216"/>
        </w:trPr>
        <w:tc>
          <w:tcPr>
            <w:tcW w:w="1560" w:type="dxa"/>
            <w:vAlign w:val="bottom"/>
          </w:tcPr>
          <w:p>
            <w:pPr>
              <w:ind w:left="120"/>
              <w:spacing w:after="0"/>
              <w:rPr>
                <w:sz w:val="20"/>
                <w:szCs w:val="20"/>
                <w:color w:val="auto"/>
              </w:rPr>
            </w:pPr>
            <w:r>
              <w:rPr>
                <w:rFonts w:ascii="Arial" w:cs="Arial" w:eastAsia="Arial" w:hAnsi="Arial"/>
                <w:sz w:val="18"/>
                <w:szCs w:val="18"/>
                <w:color w:val="auto"/>
              </w:rPr>
              <w:t>("COPD")</w:t>
            </w: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patients (6 months–5</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0"/>
                <w:szCs w:val="20"/>
                <w:color w:val="auto"/>
              </w:rPr>
            </w:pPr>
            <w:r>
              <w:rPr>
                <w:rFonts w:ascii="Arial" w:cs="Arial" w:eastAsia="Arial" w:hAnsi="Arial"/>
                <w:sz w:val="18"/>
                <w:szCs w:val="18"/>
                <w:color w:val="auto"/>
              </w:rPr>
              <w:t>- Bullous</w:t>
            </w:r>
          </w:p>
        </w:tc>
        <w:tc>
          <w:tcPr>
            <w:tcW w:w="13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years of age) (2022)</w:t>
            </w:r>
          </w:p>
        </w:tc>
        <w:tc>
          <w:tcPr>
            <w:tcW w:w="0" w:type="dxa"/>
            <w:vAlign w:val="bottom"/>
          </w:tcPr>
          <w:p>
            <w:pPr>
              <w:spacing w:after="0"/>
              <w:rPr>
                <w:sz w:val="1"/>
                <w:szCs w:val="1"/>
                <w:color w:val="auto"/>
              </w:rPr>
            </w:pPr>
          </w:p>
        </w:tc>
      </w:tr>
      <w:tr>
        <w:trPr>
          <w:trHeight w:val="216"/>
        </w:trPr>
        <w:tc>
          <w:tcPr>
            <w:tcW w:w="1560" w:type="dxa"/>
            <w:vAlign w:val="bottom"/>
          </w:tcPr>
          <w:p>
            <w:pPr>
              <w:ind w:left="120"/>
              <w:spacing w:after="0"/>
              <w:rPr>
                <w:sz w:val="20"/>
                <w:szCs w:val="20"/>
                <w:color w:val="auto"/>
              </w:rPr>
            </w:pPr>
            <w:r>
              <w:rPr>
                <w:rFonts w:ascii="Arial" w:cs="Arial" w:eastAsia="Arial" w:hAnsi="Arial"/>
                <w:sz w:val="18"/>
                <w:szCs w:val="18"/>
                <w:color w:val="auto"/>
                <w:w w:val="91"/>
              </w:rPr>
              <w:t>pemphigoid (Phase</w:t>
            </w: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60" w:type="dxa"/>
            <w:vAlign w:val="bottom"/>
          </w:tcPr>
          <w:p>
            <w:pPr>
              <w:ind w:left="120"/>
              <w:spacing w:after="0" w:line="270" w:lineRule="exact"/>
              <w:rPr>
                <w:sz w:val="20"/>
                <w:szCs w:val="20"/>
                <w:color w:val="auto"/>
              </w:rPr>
            </w:pPr>
            <w:r>
              <w:rPr>
                <w:rFonts w:ascii="Arial" w:cs="Arial" w:eastAsia="Arial" w:hAnsi="Arial"/>
                <w:sz w:val="18"/>
                <w:szCs w:val="18"/>
                <w:color w:val="auto"/>
              </w:rPr>
              <w:t>2/3)</w:t>
            </w:r>
            <w:r>
              <w:rPr>
                <w:rFonts w:ascii="Arial" w:cs="Arial" w:eastAsia="Arial" w:hAnsi="Arial"/>
                <w:sz w:val="25"/>
                <w:szCs w:val="25"/>
                <w:color w:val="auto"/>
                <w:vertAlign w:val="superscript"/>
              </w:rPr>
              <w:t>(c)</w:t>
            </w:r>
          </w:p>
        </w:tc>
        <w:tc>
          <w:tcPr>
            <w:tcW w:w="13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 Chronic</w:t>
            </w: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 Report results from</w:t>
            </w:r>
          </w:p>
        </w:tc>
        <w:tc>
          <w:tcPr>
            <w:tcW w:w="0" w:type="dxa"/>
            <w:vAlign w:val="bottom"/>
          </w:tcPr>
          <w:p>
            <w:pPr>
              <w:spacing w:after="0"/>
              <w:rPr>
                <w:sz w:val="1"/>
                <w:szCs w:val="1"/>
                <w:color w:val="auto"/>
              </w:rPr>
            </w:pPr>
          </w:p>
        </w:tc>
      </w:tr>
      <w:tr>
        <w:trPr>
          <w:trHeight w:val="216"/>
        </w:trPr>
        <w:tc>
          <w:tcPr>
            <w:tcW w:w="1560" w:type="dxa"/>
            <w:vAlign w:val="bottom"/>
          </w:tcPr>
          <w:p>
            <w:pPr>
              <w:ind w:left="120"/>
              <w:spacing w:after="0"/>
              <w:rPr>
                <w:sz w:val="20"/>
                <w:szCs w:val="20"/>
                <w:color w:val="auto"/>
              </w:rPr>
            </w:pPr>
            <w:r>
              <w:rPr>
                <w:rFonts w:ascii="Arial" w:cs="Arial" w:eastAsia="Arial" w:hAnsi="Arial"/>
                <w:sz w:val="18"/>
                <w:szCs w:val="18"/>
                <w:color w:val="auto"/>
              </w:rPr>
              <w:t>spontaneous</w:t>
            </w: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87"/>
              </w:rPr>
              <w:t>Phase 3 study for asthma</w:t>
            </w:r>
          </w:p>
        </w:tc>
        <w:tc>
          <w:tcPr>
            <w:tcW w:w="0" w:type="dxa"/>
            <w:vAlign w:val="bottom"/>
          </w:tcPr>
          <w:p>
            <w:pPr>
              <w:spacing w:after="0"/>
              <w:rPr>
                <w:sz w:val="1"/>
                <w:szCs w:val="1"/>
                <w:color w:val="auto"/>
              </w:rPr>
            </w:pPr>
          </w:p>
        </w:tc>
      </w:tr>
      <w:tr>
        <w:trPr>
          <w:trHeight w:val="216"/>
        </w:trPr>
        <w:tc>
          <w:tcPr>
            <w:tcW w:w="1560" w:type="dxa"/>
            <w:vAlign w:val="bottom"/>
          </w:tcPr>
          <w:p>
            <w:pPr>
              <w:ind w:left="120"/>
              <w:spacing w:after="0"/>
              <w:rPr>
                <w:sz w:val="20"/>
                <w:szCs w:val="20"/>
                <w:color w:val="auto"/>
              </w:rPr>
            </w:pPr>
            <w:r>
              <w:rPr>
                <w:rFonts w:ascii="Arial" w:cs="Arial" w:eastAsia="Arial" w:hAnsi="Arial"/>
                <w:sz w:val="18"/>
                <w:szCs w:val="18"/>
                <w:color w:val="auto"/>
              </w:rPr>
              <w:t>urticaria</w:t>
            </w: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5"/>
              </w:rPr>
              <w:t>in pediatric patients (6–</w:t>
            </w:r>
          </w:p>
        </w:tc>
        <w:tc>
          <w:tcPr>
            <w:tcW w:w="0" w:type="dxa"/>
            <w:vAlign w:val="bottom"/>
          </w:tcPr>
          <w:p>
            <w:pPr>
              <w:spacing w:after="0"/>
              <w:rPr>
                <w:sz w:val="1"/>
                <w:szCs w:val="1"/>
                <w:color w:val="auto"/>
              </w:rPr>
            </w:pPr>
          </w:p>
        </w:tc>
      </w:tr>
      <w:tr>
        <w:trPr>
          <w:trHeight w:val="216"/>
        </w:trPr>
        <w:tc>
          <w:tcPr>
            <w:tcW w:w="1560" w:type="dxa"/>
            <w:vAlign w:val="bottom"/>
            <w:vMerge w:val="restart"/>
          </w:tcPr>
          <w:p>
            <w:pPr>
              <w:spacing w:after="0"/>
              <w:rPr>
                <w:sz w:val="20"/>
                <w:szCs w:val="20"/>
                <w:color w:val="auto"/>
              </w:rPr>
            </w:pPr>
            <w:r>
              <w:rPr>
                <w:rFonts w:ascii="Arial" w:cs="Arial" w:eastAsia="Arial" w:hAnsi="Arial"/>
                <w:sz w:val="18"/>
                <w:szCs w:val="18"/>
                <w:color w:val="auto"/>
              </w:rPr>
              <w:t>- Prurigo nodularis</w:t>
            </w: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89"/>
              </w:rPr>
              <w:t>11 years of age) (second</w:t>
            </w:r>
          </w:p>
        </w:tc>
        <w:tc>
          <w:tcPr>
            <w:tcW w:w="0" w:type="dxa"/>
            <w:vAlign w:val="bottom"/>
          </w:tcPr>
          <w:p>
            <w:pPr>
              <w:spacing w:after="0"/>
              <w:rPr>
                <w:sz w:val="1"/>
                <w:szCs w:val="1"/>
                <w:color w:val="auto"/>
              </w:rPr>
            </w:pPr>
          </w:p>
        </w:tc>
      </w:tr>
      <w:tr>
        <w:trPr>
          <w:trHeight w:val="230"/>
        </w:trPr>
        <w:tc>
          <w:tcPr>
            <w:tcW w:w="156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half 2020)</w:t>
            </w:r>
          </w:p>
        </w:tc>
        <w:tc>
          <w:tcPr>
            <w:tcW w:w="0" w:type="dxa"/>
            <w:vAlign w:val="bottom"/>
          </w:tcPr>
          <w:p>
            <w:pPr>
              <w:spacing w:after="0"/>
              <w:rPr>
                <w:sz w:val="1"/>
                <w:szCs w:val="1"/>
                <w:color w:val="auto"/>
              </w:rPr>
            </w:pPr>
          </w:p>
        </w:tc>
      </w:tr>
      <w:tr>
        <w:trPr>
          <w:trHeight w:val="256"/>
        </w:trPr>
        <w:tc>
          <w:tcPr>
            <w:tcW w:w="1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 FDA decision on</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application for 300 mg</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auto-injector (target</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7"/>
              </w:rPr>
              <w:t>action date of June 20,</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56"/>
        </w:trPr>
        <w:tc>
          <w:tcPr>
            <w:tcW w:w="1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w w:val="96"/>
              </w:rPr>
              <w:t>- Resubmit sBLA for 200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89"/>
              </w:rPr>
              <w:t>mg auto-injector (second</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half 2020)</w:t>
            </w:r>
          </w:p>
        </w:tc>
        <w:tc>
          <w:tcPr>
            <w:tcW w:w="0" w:type="dxa"/>
            <w:vAlign w:val="bottom"/>
          </w:tcPr>
          <w:p>
            <w:pPr>
              <w:spacing w:after="0"/>
              <w:rPr>
                <w:sz w:val="1"/>
                <w:szCs w:val="1"/>
                <w:color w:val="auto"/>
              </w:rPr>
            </w:pPr>
          </w:p>
        </w:tc>
      </w:tr>
      <w:tr>
        <w:trPr>
          <w:trHeight w:val="256"/>
        </w:trPr>
        <w:tc>
          <w:tcPr>
            <w:tcW w:w="1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 Present results from</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9"/>
              </w:rPr>
              <w:t>Phase 2a trial in grass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allergy at medical</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meeting (mid-2020)</w:t>
            </w:r>
          </w:p>
        </w:tc>
        <w:tc>
          <w:tcPr>
            <w:tcW w:w="0" w:type="dxa"/>
            <w:vAlign w:val="bottom"/>
          </w:tcPr>
          <w:p>
            <w:pPr>
              <w:spacing w:after="0"/>
              <w:rPr>
                <w:sz w:val="1"/>
                <w:szCs w:val="1"/>
                <w:color w:val="auto"/>
              </w:rPr>
            </w:pPr>
          </w:p>
        </w:tc>
      </w:tr>
      <w:tr>
        <w:trPr>
          <w:trHeight w:val="256"/>
        </w:trPr>
        <w:tc>
          <w:tcPr>
            <w:tcW w:w="15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 Report results from</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2"/>
              </w:rPr>
              <w:t>Phase 2 study in peanut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9"/>
              </w:rPr>
              <w:t>allergy (first half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860" w:space="280"/>
            <w:col w:w="71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tabs>
          <w:tab w:leader="none" w:pos="6120" w:val="left"/>
          <w:tab w:leader="none" w:pos="9620" w:val="left"/>
        </w:tabs>
        <w:rPr>
          <w:sz w:val="20"/>
          <w:szCs w:val="20"/>
          <w:color w:val="auto"/>
        </w:rPr>
      </w:pPr>
      <w:r>
        <w:rPr>
          <w:rFonts w:ascii="Arial" w:cs="Arial" w:eastAsia="Arial" w:hAnsi="Arial"/>
          <w:sz w:val="18"/>
          <w:szCs w:val="18"/>
          <w:b w:val="1"/>
          <w:bCs w:val="1"/>
          <w:color w:val="auto"/>
        </w:rPr>
        <w:t>Clinical Program</w:t>
      </w:r>
      <w:r>
        <w:rPr>
          <w:sz w:val="20"/>
          <w:szCs w:val="20"/>
          <w:color w:val="auto"/>
        </w:rPr>
        <w:tab/>
      </w:r>
      <w:r>
        <w:rPr>
          <w:rFonts w:ascii="Arial" w:cs="Arial" w:eastAsia="Arial" w:hAnsi="Arial"/>
          <w:sz w:val="18"/>
          <w:szCs w:val="18"/>
          <w:b w:val="1"/>
          <w:bCs w:val="1"/>
          <w:color w:val="auto"/>
        </w:rPr>
        <w:t>Regulatory</w:t>
      </w:r>
      <w:r>
        <w:rPr>
          <w:sz w:val="20"/>
          <w:szCs w:val="20"/>
          <w:color w:val="auto"/>
        </w:rPr>
        <w:tab/>
      </w:r>
      <w:r>
        <w:rPr>
          <w:rFonts w:ascii="Arial" w:cs="Arial" w:eastAsia="Arial" w:hAnsi="Arial"/>
          <w:sz w:val="16"/>
          <w:szCs w:val="16"/>
          <w:b w:val="1"/>
          <w:bCs w:val="1"/>
          <w:color w:val="auto"/>
        </w:rPr>
        <w:t>Select Upcoming</w:t>
      </w:r>
    </w:p>
    <w:p>
      <w:pPr>
        <w:spacing w:after="0" w:line="12" w:lineRule="exact"/>
        <w:rPr>
          <w:sz w:val="20"/>
          <w:szCs w:val="20"/>
          <w:color w:val="auto"/>
        </w:rPr>
      </w:pPr>
    </w:p>
    <w:p>
      <w:pPr>
        <w:ind w:left="360"/>
        <w:spacing w:after="0"/>
        <w:tabs>
          <w:tab w:leader="none" w:pos="1880" w:val="left"/>
          <w:tab w:leader="none" w:pos="3240" w:val="left"/>
          <w:tab w:leader="none" w:pos="4820" w:val="left"/>
          <w:tab w:leader="none" w:pos="6220" w:val="left"/>
          <w:tab w:leader="none" w:pos="7480" w:val="left"/>
          <w:tab w:leader="none" w:pos="9780" w:val="left"/>
        </w:tabs>
        <w:rPr>
          <w:sz w:val="20"/>
          <w:szCs w:val="20"/>
          <w:color w:val="auto"/>
        </w:rPr>
      </w:pPr>
      <w:r>
        <w:rPr>
          <w:rFonts w:ascii="Arial" w:cs="Arial" w:eastAsia="Arial" w:hAnsi="Arial"/>
          <w:sz w:val="18"/>
          <w:szCs w:val="18"/>
          <w:b w:val="1"/>
          <w:bCs w:val="1"/>
          <w:i w:val="1"/>
          <w:iCs w:val="1"/>
          <w:color w:val="auto"/>
        </w:rPr>
        <w:t>(continued)</w:t>
      </w:r>
      <w:r>
        <w:rPr>
          <w:sz w:val="20"/>
          <w:szCs w:val="20"/>
          <w:color w:val="auto"/>
        </w:rPr>
        <w:tab/>
      </w:r>
      <w:r>
        <w:rPr>
          <w:rFonts w:ascii="Arial" w:cs="Arial" w:eastAsia="Arial" w:hAnsi="Arial"/>
          <w:sz w:val="18"/>
          <w:szCs w:val="18"/>
          <w:b w:val="1"/>
          <w:bCs w:val="1"/>
          <w:color w:val="auto"/>
        </w:rPr>
        <w:t>Phase 1</w:t>
      </w:r>
      <w:r>
        <w:rPr>
          <w:sz w:val="20"/>
          <w:szCs w:val="20"/>
          <w:color w:val="auto"/>
        </w:rPr>
        <w:tab/>
      </w:r>
      <w:r>
        <w:rPr>
          <w:rFonts w:ascii="Arial" w:cs="Arial" w:eastAsia="Arial" w:hAnsi="Arial"/>
          <w:sz w:val="18"/>
          <w:szCs w:val="18"/>
          <w:b w:val="1"/>
          <w:bCs w:val="1"/>
          <w:color w:val="auto"/>
        </w:rPr>
        <w:t>Phase 2</w:t>
      </w:r>
      <w:r>
        <w:rPr>
          <w:sz w:val="20"/>
          <w:szCs w:val="20"/>
          <w:color w:val="auto"/>
        </w:rPr>
        <w:tab/>
      </w:r>
      <w:r>
        <w:rPr>
          <w:rFonts w:ascii="Arial" w:cs="Arial" w:eastAsia="Arial" w:hAnsi="Arial"/>
          <w:sz w:val="18"/>
          <w:szCs w:val="18"/>
          <w:b w:val="1"/>
          <w:bCs w:val="1"/>
          <w:color w:val="auto"/>
        </w:rPr>
        <w:t>Phase 3</w:t>
      </w:r>
      <w:r>
        <w:rPr>
          <w:sz w:val="20"/>
          <w:szCs w:val="20"/>
          <w:color w:val="auto"/>
        </w:rPr>
        <w:tab/>
      </w:r>
      <w:r>
        <w:rPr>
          <w:rFonts w:ascii="Arial" w:cs="Arial" w:eastAsia="Arial" w:hAnsi="Arial"/>
          <w:sz w:val="18"/>
          <w:szCs w:val="18"/>
          <w:b w:val="1"/>
          <w:bCs w:val="1"/>
          <w:color w:val="auto"/>
        </w:rPr>
        <w:t>Review</w:t>
      </w:r>
      <w:r>
        <w:rPr>
          <w:rFonts w:ascii="Arial" w:cs="Arial" w:eastAsia="Arial" w:hAnsi="Arial"/>
          <w:sz w:val="25"/>
          <w:szCs w:val="25"/>
          <w:b w:val="1"/>
          <w:bCs w:val="1"/>
          <w:color w:val="auto"/>
          <w:vertAlign w:val="superscript"/>
        </w:rPr>
        <w:t>(i)</w:t>
      </w:r>
      <w:r>
        <w:rPr>
          <w:sz w:val="20"/>
          <w:szCs w:val="20"/>
          <w:color w:val="auto"/>
        </w:rPr>
        <w:tab/>
      </w:r>
      <w:r>
        <w:rPr>
          <w:rFonts w:ascii="Arial" w:cs="Arial" w:eastAsia="Arial" w:hAnsi="Arial"/>
          <w:sz w:val="18"/>
          <w:szCs w:val="18"/>
          <w:b w:val="1"/>
          <w:bCs w:val="1"/>
          <w:color w:val="auto"/>
        </w:rPr>
        <w:t>2020 Events to Date</w:t>
      </w:r>
      <w:r>
        <w:rPr>
          <w:sz w:val="20"/>
          <w:szCs w:val="20"/>
          <w:color w:val="auto"/>
        </w:rPr>
        <w:tab/>
      </w:r>
      <w:r>
        <w:rPr>
          <w:rFonts w:ascii="Arial" w:cs="Arial" w:eastAsia="Arial" w:hAnsi="Arial"/>
          <w:sz w:val="15"/>
          <w:szCs w:val="15"/>
          <w:b w:val="1"/>
          <w:bCs w:val="1"/>
          <w:color w:val="auto"/>
        </w:rPr>
        <w:t>Milestones</w:t>
      </w:r>
      <w:r>
        <w:rPr>
          <w:rFonts w:ascii="Arial" w:cs="Arial" w:eastAsia="Arial" w:hAnsi="Arial"/>
          <w:sz w:val="21"/>
          <w:szCs w:val="21"/>
          <w:b w:val="1"/>
          <w:bCs w:val="1"/>
          <w:color w:val="auto"/>
          <w:vertAlign w:val="superscript"/>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Kevzara</w:t>
            </w:r>
          </w:p>
        </w:tc>
        <w:tc>
          <w:tcPr>
            <w:tcW w:w="26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 Polyarticular-</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Polymyalgia</w:t>
            </w:r>
          </w:p>
        </w:tc>
      </w:tr>
      <w:tr>
        <w:trPr>
          <w:trHeight w:val="220"/>
        </w:trPr>
        <w:tc>
          <w:tcPr>
            <w:tcW w:w="1620" w:type="dxa"/>
            <w:vAlign w:val="bottom"/>
            <w:shd w:val="clear" w:color="auto" w:fill="CCEEFF"/>
          </w:tcPr>
          <w:p>
            <w:pPr>
              <w:ind w:left="40"/>
              <w:spacing w:after="0" w:line="220" w:lineRule="exact"/>
              <w:rPr>
                <w:sz w:val="20"/>
                <w:szCs w:val="20"/>
                <w:color w:val="auto"/>
              </w:rPr>
            </w:pPr>
            <w:r>
              <w:rPr>
                <w:rFonts w:ascii="Arial" w:cs="Arial" w:eastAsia="Arial" w:hAnsi="Arial"/>
                <w:sz w:val="18"/>
                <w:szCs w:val="18"/>
                <w:b w:val="1"/>
                <w:bCs w:val="1"/>
                <w:color w:val="auto"/>
              </w:rPr>
              <w:t>(sarilumab)</w:t>
            </w:r>
            <w:r>
              <w:rPr>
                <w:rFonts w:ascii="Arial" w:cs="Arial" w:eastAsia="Arial" w:hAnsi="Arial"/>
                <w:sz w:val="25"/>
                <w:szCs w:val="25"/>
                <w:b w:val="1"/>
                <w:bCs w:val="1"/>
                <w:color w:val="auto"/>
                <w:vertAlign w:val="superscript"/>
              </w:rPr>
              <w:t>(a)</w:t>
            </w:r>
          </w:p>
        </w:tc>
        <w:tc>
          <w:tcPr>
            <w:tcW w:w="26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course juvenile</w:t>
            </w:r>
          </w:p>
        </w:tc>
        <w:tc>
          <w:tcPr>
            <w:tcW w:w="12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rheumatica</w:t>
            </w:r>
          </w:p>
        </w:tc>
      </w:tr>
      <w:tr>
        <w:trPr>
          <w:trHeight w:val="216"/>
        </w:trPr>
        <w:tc>
          <w:tcPr>
            <w:tcW w:w="16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IL-6R</w:t>
            </w:r>
          </w:p>
        </w:tc>
        <w:tc>
          <w:tcPr>
            <w:tcW w:w="26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idiopathic arthritis</w:t>
            </w:r>
          </w:p>
        </w:tc>
        <w:tc>
          <w:tcPr>
            <w:tcW w:w="12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("PMR")</w:t>
            </w:r>
          </w:p>
        </w:tc>
      </w:tr>
      <w:tr>
        <w:trPr>
          <w:trHeight w:val="230"/>
        </w:trPr>
        <w:tc>
          <w:tcPr>
            <w:tcW w:w="1620" w:type="dxa"/>
            <w:vAlign w:val="bottom"/>
            <w:shd w:val="clear" w:color="auto" w:fill="CCEEFF"/>
          </w:tcPr>
          <w:p>
            <w:pPr>
              <w:spacing w:after="0"/>
              <w:rPr>
                <w:sz w:val="20"/>
                <w:szCs w:val="20"/>
                <w:color w:val="auto"/>
              </w:rPr>
            </w:pPr>
          </w:p>
        </w:tc>
        <w:tc>
          <w:tcPr>
            <w:tcW w:w="26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("pcJIA")</w:t>
            </w:r>
          </w:p>
        </w:tc>
        <w:tc>
          <w:tcPr>
            <w:tcW w:w="12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r>
      <w:tr>
        <w:trPr>
          <w:trHeight w:val="256"/>
        </w:trPr>
        <w:tc>
          <w:tcPr>
            <w:tcW w:w="1620" w:type="dxa"/>
            <w:vAlign w:val="bottom"/>
            <w:shd w:val="clear" w:color="auto" w:fill="CCEEFF"/>
          </w:tcPr>
          <w:p>
            <w:pPr>
              <w:spacing w:after="0"/>
              <w:rPr>
                <w:sz w:val="22"/>
                <w:szCs w:val="22"/>
                <w:color w:val="auto"/>
              </w:rPr>
            </w:pPr>
          </w:p>
        </w:tc>
        <w:tc>
          <w:tcPr>
            <w:tcW w:w="26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 Systemic juvenile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Giant cell arteritis</w:t>
            </w:r>
          </w:p>
        </w:tc>
      </w:tr>
      <w:tr>
        <w:trPr>
          <w:trHeight w:val="216"/>
        </w:trPr>
        <w:tc>
          <w:tcPr>
            <w:tcW w:w="1620" w:type="dxa"/>
            <w:vAlign w:val="bottom"/>
            <w:shd w:val="clear" w:color="auto" w:fill="CCEEFF"/>
          </w:tcPr>
          <w:p>
            <w:pPr>
              <w:spacing w:after="0"/>
              <w:rPr>
                <w:sz w:val="18"/>
                <w:szCs w:val="18"/>
                <w:color w:val="auto"/>
              </w:rPr>
            </w:pPr>
          </w:p>
        </w:tc>
        <w:tc>
          <w:tcPr>
            <w:tcW w:w="26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idiopathic arthritis</w:t>
            </w:r>
          </w:p>
        </w:tc>
        <w:tc>
          <w:tcPr>
            <w:tcW w:w="12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("GCA")</w:t>
            </w:r>
          </w:p>
        </w:tc>
      </w:tr>
      <w:tr>
        <w:trPr>
          <w:trHeight w:val="270"/>
        </w:trPr>
        <w:tc>
          <w:tcPr>
            <w:tcW w:w="1620" w:type="dxa"/>
            <w:vAlign w:val="bottom"/>
            <w:shd w:val="clear" w:color="auto" w:fill="CCEEFF"/>
          </w:tcPr>
          <w:p>
            <w:pPr>
              <w:spacing w:after="0"/>
              <w:rPr>
                <w:sz w:val="23"/>
                <w:szCs w:val="23"/>
                <w:color w:val="auto"/>
              </w:rPr>
            </w:pPr>
          </w:p>
        </w:tc>
        <w:tc>
          <w:tcPr>
            <w:tcW w:w="26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("sJIA")</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Hospitalized</w:t>
            </w:r>
          </w:p>
        </w:tc>
      </w:tr>
      <w:tr>
        <w:trPr>
          <w:trHeight w:val="216"/>
        </w:trPr>
        <w:tc>
          <w:tcPr>
            <w:tcW w:w="16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"critical" COVID-</w:t>
            </w:r>
          </w:p>
        </w:tc>
      </w:tr>
      <w:tr>
        <w:trPr>
          <w:trHeight w:val="237"/>
        </w:trPr>
        <w:tc>
          <w:tcPr>
            <w:tcW w:w="162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19 patients</w:t>
            </w:r>
          </w:p>
        </w:tc>
      </w:tr>
      <w:tr>
        <w:trPr>
          <w:trHeight w:val="229"/>
        </w:trPr>
        <w:tc>
          <w:tcPr>
            <w:tcW w:w="162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REGN3500</w:t>
            </w:r>
            <w:r>
              <w:rPr>
                <w:rFonts w:ascii="Arial" w:cs="Arial" w:eastAsia="Arial" w:hAnsi="Arial"/>
                <w:sz w:val="25"/>
                <w:szCs w:val="25"/>
                <w:b w:val="1"/>
                <w:bCs w:val="1"/>
                <w:color w:val="auto"/>
                <w:vertAlign w:val="superscript"/>
              </w:rPr>
              <w:t>(a)</w:t>
            </w:r>
          </w:p>
        </w:tc>
        <w:tc>
          <w:tcPr>
            <w:tcW w:w="2660" w:type="dxa"/>
            <w:vAlign w:val="bottom"/>
          </w:tcPr>
          <w:p>
            <w:pPr>
              <w:ind w:left="1100"/>
              <w:spacing w:after="0"/>
              <w:rPr>
                <w:sz w:val="20"/>
                <w:szCs w:val="20"/>
                <w:color w:val="auto"/>
              </w:rPr>
            </w:pPr>
            <w:r>
              <w:rPr>
                <w:rFonts w:ascii="Arial" w:cs="Arial" w:eastAsia="Arial" w:hAnsi="Arial"/>
                <w:sz w:val="18"/>
                <w:szCs w:val="18"/>
                <w:color w:val="auto"/>
              </w:rPr>
              <w:t>- Asthma</w:t>
            </w:r>
          </w:p>
        </w:tc>
        <w:tc>
          <w:tcPr>
            <w:tcW w:w="12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137"/>
        </w:trPr>
        <w:tc>
          <w:tcPr>
            <w:tcW w:w="1620" w:type="dxa"/>
            <w:vAlign w:val="bottom"/>
          </w:tcPr>
          <w:p>
            <w:pPr>
              <w:ind w:left="40"/>
              <w:spacing w:after="0" w:line="138" w:lineRule="exact"/>
              <w:rPr>
                <w:sz w:val="20"/>
                <w:szCs w:val="20"/>
                <w:color w:val="auto"/>
              </w:rPr>
            </w:pPr>
            <w:r>
              <w:rPr>
                <w:rFonts w:ascii="Arial" w:cs="Arial" w:eastAsia="Arial" w:hAnsi="Arial"/>
                <w:sz w:val="15"/>
                <w:szCs w:val="15"/>
                <w:i w:val="1"/>
                <w:iCs w:val="1"/>
                <w:color w:val="auto"/>
              </w:rPr>
              <w:t>Antibody to IL-33.</w:t>
            </w: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tcPr>
          <w:p>
            <w:pPr>
              <w:spacing w:after="0"/>
              <w:rPr>
                <w:sz w:val="11"/>
                <w:szCs w:val="1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60" w:type="dxa"/>
            <w:vAlign w:val="bottom"/>
            <w:vMerge w:val="restart"/>
          </w:tcPr>
          <w:p>
            <w:pPr>
              <w:spacing w:after="0"/>
              <w:rPr>
                <w:sz w:val="20"/>
                <w:szCs w:val="20"/>
                <w:color w:val="auto"/>
              </w:rPr>
            </w:pPr>
            <w:r>
              <w:rPr>
                <w:rFonts w:ascii="Arial" w:cs="Arial" w:eastAsia="Arial" w:hAnsi="Arial"/>
                <w:sz w:val="18"/>
                <w:szCs w:val="18"/>
                <w:i w:val="1"/>
                <w:iCs w:val="1"/>
                <w:color w:val="auto"/>
              </w:rPr>
              <w:t>Studied as</w:t>
            </w:r>
          </w:p>
        </w:tc>
        <w:tc>
          <w:tcPr>
            <w:tcW w:w="1220" w:type="dxa"/>
            <w:vAlign w:val="bottom"/>
          </w:tcPr>
          <w:p>
            <w:pPr>
              <w:ind w:left="620"/>
              <w:spacing w:after="0"/>
              <w:rPr>
                <w:sz w:val="20"/>
                <w:szCs w:val="20"/>
                <w:color w:val="auto"/>
              </w:rPr>
            </w:pPr>
            <w:r>
              <w:rPr>
                <w:rFonts w:ascii="Arial" w:cs="Arial" w:eastAsia="Arial" w:hAnsi="Arial"/>
                <w:sz w:val="18"/>
                <w:szCs w:val="18"/>
                <w:color w:val="auto"/>
                <w:w w:val="91"/>
              </w:rPr>
              <w:t>- COPD</w:t>
            </w:r>
          </w:p>
        </w:tc>
        <w:tc>
          <w:tcPr>
            <w:tcW w:w="0" w:type="dxa"/>
            <w:vAlign w:val="bottom"/>
          </w:tcPr>
          <w:p>
            <w:pPr>
              <w:spacing w:after="0"/>
              <w:rPr>
                <w:sz w:val="1"/>
                <w:szCs w:val="1"/>
                <w:color w:val="auto"/>
              </w:rPr>
            </w:pPr>
          </w:p>
        </w:tc>
      </w:tr>
      <w:tr>
        <w:trPr>
          <w:trHeight w:val="64"/>
        </w:trPr>
        <w:tc>
          <w:tcPr>
            <w:tcW w:w="206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i w:val="1"/>
                <w:iCs w:val="1"/>
                <w:color w:val="auto"/>
              </w:rPr>
              <w:t>monotherapy and in</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i w:val="1"/>
                <w:iCs w:val="1"/>
                <w:color w:val="auto"/>
              </w:rPr>
              <w:t>combination with</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i w:val="1"/>
                <w:iCs w:val="1"/>
                <w:color w:val="auto"/>
              </w:rPr>
              <w:t>Dupixent.</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3" w:hanging="123"/>
        <w:spacing w:after="0" w:line="270" w:lineRule="auto"/>
        <w:tabs>
          <w:tab w:leader="none" w:pos="123"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Reported preliminary results from Phase 2 portion of Phase 2/3 U.S. study in hospitalized COVID-19 patients and that Phase 3 portion of the study will continue to enroll "critical" patients only</w:t>
      </w:r>
    </w:p>
    <w:p>
      <w:pPr>
        <w:spacing w:after="0" w:line="126" w:lineRule="exact"/>
        <w:rPr>
          <w:rFonts w:ascii="Arial" w:cs="Arial" w:eastAsia="Arial" w:hAnsi="Arial"/>
          <w:sz w:val="17"/>
          <w:szCs w:val="17"/>
          <w:color w:val="auto"/>
        </w:rPr>
      </w:pPr>
    </w:p>
    <w:p>
      <w:pPr>
        <w:ind w:left="123" w:right="120" w:hanging="123"/>
        <w:spacing w:after="0" w:line="279" w:lineRule="auto"/>
        <w:tabs>
          <w:tab w:leader="none" w:pos="123"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Discontinued further clinical development in atopic dermatitis due to lack of efficacy</w:t>
      </w:r>
    </w:p>
    <w:p>
      <w:pPr>
        <w:spacing w:after="0" w:line="20" w:lineRule="exact"/>
        <w:rPr>
          <w:sz w:val="20"/>
          <w:szCs w:val="20"/>
          <w:color w:val="auto"/>
        </w:rPr>
      </w:pPr>
      <w:r>
        <w:rPr>
          <w:sz w:val="20"/>
          <w:szCs w:val="20"/>
          <w:color w:val="auto"/>
        </w:rPr>
        <w:br w:type="column"/>
      </w:r>
    </w:p>
    <w:p>
      <w:pPr>
        <w:ind w:left="118" w:right="140" w:hanging="118"/>
        <w:spacing w:after="0" w:line="304" w:lineRule="auto"/>
        <w:tabs>
          <w:tab w:leader="none" w:pos="1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Initiate Phase 3 study in pediatric patients with EOE (second half 2020)</w:t>
      </w:r>
    </w:p>
    <w:p>
      <w:pPr>
        <w:ind w:left="118" w:right="100" w:hanging="118"/>
        <w:spacing w:after="0" w:line="259" w:lineRule="auto"/>
        <w:tabs>
          <w:tab w:leader="none" w:pos="1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 results from Phase 2 portion of Phase 2/3 study in EOE (mid-2020)</w:t>
      </w:r>
    </w:p>
    <w:p>
      <w:pPr>
        <w:spacing w:after="0" w:line="24" w:lineRule="exact"/>
        <w:rPr>
          <w:rFonts w:ascii="Arial" w:cs="Arial" w:eastAsia="Arial" w:hAnsi="Arial"/>
          <w:sz w:val="18"/>
          <w:szCs w:val="18"/>
          <w:color w:val="auto"/>
        </w:rPr>
      </w:pPr>
    </w:p>
    <w:p>
      <w:pPr>
        <w:ind w:left="118" w:right="40" w:hanging="118"/>
        <w:spacing w:after="0" w:line="273" w:lineRule="auto"/>
        <w:tabs>
          <w:tab w:leader="none" w:pos="118"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Initiate Phase 3 studies in hand and foot atopic dermatitis and allergic bronchopulmonary aspergillosis ("ABPA") (second half 2020)</w:t>
      </w:r>
    </w:p>
    <w:p>
      <w:pPr>
        <w:spacing w:after="0" w:line="15" w:lineRule="exact"/>
        <w:rPr>
          <w:rFonts w:ascii="Arial" w:cs="Arial" w:eastAsia="Arial" w:hAnsi="Arial"/>
          <w:sz w:val="17"/>
          <w:szCs w:val="17"/>
          <w:color w:val="auto"/>
        </w:rPr>
      </w:pPr>
    </w:p>
    <w:p>
      <w:pPr>
        <w:ind w:left="118" w:right="160" w:hanging="118"/>
        <w:spacing w:after="0" w:line="311" w:lineRule="auto"/>
        <w:tabs>
          <w:tab w:leader="none" w:pos="1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Report results from Phase 3 U.S. study in COVID-19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-1302385</wp:posOffset>
            </wp:positionH>
            <wp:positionV relativeFrom="paragraph">
              <wp:posOffset>-461645</wp:posOffset>
            </wp:positionV>
            <wp:extent cx="2571750" cy="13373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1337310"/>
                    </a:xfrm>
                    <a:prstGeom prst="rect">
                      <a:avLst/>
                    </a:prstGeom>
                    <a:noFill/>
                  </pic:spPr>
                </pic:pic>
              </a:graphicData>
            </a:graphic>
          </wp:anchor>
        </w:drawing>
      </w:r>
    </w:p>
    <w:p>
      <w:pPr>
        <w:spacing w:after="0" w:line="2702" w:lineRule="exact"/>
        <w:rPr>
          <w:sz w:val="20"/>
          <w:szCs w:val="20"/>
          <w:color w:val="auto"/>
        </w:rPr>
      </w:pPr>
    </w:p>
    <w:p>
      <w:pPr>
        <w:sectPr>
          <w:pgSz w:w="11900" w:h="16838" w:orient="portrait"/>
          <w:cols w:equalWidth="0" w:num="3">
            <w:col w:w="7180" w:space="37"/>
            <w:col w:w="1943" w:space="82"/>
            <w:col w:w="1998"/>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152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w w:val="94"/>
              </w:rPr>
              <w:t>REGN1908-1909</w:t>
            </w:r>
            <w:r>
              <w:rPr>
                <w:rFonts w:ascii="Arial" w:cs="Arial" w:eastAsia="Arial" w:hAnsi="Arial"/>
                <w:sz w:val="25"/>
                <w:szCs w:val="25"/>
                <w:b w:val="1"/>
                <w:bCs w:val="1"/>
                <w:color w:val="auto"/>
                <w:w w:val="94"/>
                <w:vertAlign w:val="superscript"/>
              </w:rPr>
              <w:t>(f)</w:t>
            </w:r>
          </w:p>
        </w:tc>
        <w:tc>
          <w:tcPr>
            <w:tcW w:w="1160" w:type="dxa"/>
            <w:vAlign w:val="bottom"/>
            <w:shd w:val="clear" w:color="auto" w:fill="CCEEFF"/>
          </w:tcPr>
          <w:p>
            <w:pPr>
              <w:spacing w:after="0"/>
              <w:rPr>
                <w:sz w:val="22"/>
                <w:szCs w:val="22"/>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Cat allergy</w:t>
            </w:r>
          </w:p>
        </w:tc>
        <w:tc>
          <w:tcPr>
            <w:tcW w:w="234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c>
          <w:tcPr>
            <w:tcW w:w="2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 Report results from</w:t>
            </w:r>
          </w:p>
        </w:tc>
      </w:tr>
      <w:tr>
        <w:trPr>
          <w:trHeight w:val="216"/>
        </w:trPr>
        <w:tc>
          <w:tcPr>
            <w:tcW w:w="15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Multi-antibody</w:t>
            </w: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Phase 2 study in cat</w:t>
            </w:r>
          </w:p>
        </w:tc>
      </w:tr>
      <w:tr>
        <w:trPr>
          <w:trHeight w:val="216"/>
        </w:trPr>
        <w:tc>
          <w:tcPr>
            <w:tcW w:w="15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therapy to Feld1</w:t>
            </w: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allergic asthmatics (first</w:t>
            </w:r>
          </w:p>
        </w:tc>
      </w:tr>
      <w:tr>
        <w:trPr>
          <w:trHeight w:val="237"/>
        </w:trPr>
        <w:tc>
          <w:tcPr>
            <w:tcW w:w="15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half 2020)</w:t>
            </w:r>
          </w:p>
        </w:tc>
      </w:tr>
      <w:tr>
        <w:trPr>
          <w:trHeight w:val="225"/>
        </w:trPr>
        <w:tc>
          <w:tcPr>
            <w:tcW w:w="1520" w:type="dxa"/>
            <w:vAlign w:val="bottom"/>
          </w:tcPr>
          <w:p>
            <w:pPr>
              <w:ind w:left="40"/>
              <w:spacing w:after="0"/>
              <w:rPr>
                <w:sz w:val="20"/>
                <w:szCs w:val="20"/>
                <w:color w:val="auto"/>
              </w:rPr>
            </w:pPr>
            <w:r>
              <w:rPr>
                <w:rFonts w:ascii="Arial" w:cs="Arial" w:eastAsia="Arial" w:hAnsi="Arial"/>
                <w:sz w:val="18"/>
                <w:szCs w:val="18"/>
                <w:b w:val="1"/>
                <w:bCs w:val="1"/>
                <w:color w:val="auto"/>
              </w:rPr>
              <w:t>REGN5713-5714-</w:t>
            </w:r>
          </w:p>
        </w:tc>
        <w:tc>
          <w:tcPr>
            <w:tcW w:w="1160" w:type="dxa"/>
            <w:vAlign w:val="bottom"/>
          </w:tcPr>
          <w:p>
            <w:pPr>
              <w:ind w:left="60"/>
              <w:spacing w:after="0"/>
              <w:rPr>
                <w:sz w:val="20"/>
                <w:szCs w:val="20"/>
                <w:color w:val="auto"/>
              </w:rPr>
            </w:pPr>
            <w:r>
              <w:rPr>
                <w:rFonts w:ascii="Arial" w:cs="Arial" w:eastAsia="Arial" w:hAnsi="Arial"/>
                <w:sz w:val="18"/>
                <w:szCs w:val="18"/>
                <w:color w:val="auto"/>
                <w:w w:val="98"/>
              </w:rPr>
              <w:t>- Birch allergy</w:t>
            </w:r>
          </w:p>
        </w:tc>
        <w:tc>
          <w:tcPr>
            <w:tcW w:w="1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0"/>
        </w:trPr>
        <w:tc>
          <w:tcPr>
            <w:tcW w:w="1520" w:type="dxa"/>
            <w:vAlign w:val="bottom"/>
          </w:tcPr>
          <w:p>
            <w:pPr>
              <w:ind w:left="40"/>
              <w:spacing w:after="0"/>
              <w:rPr>
                <w:sz w:val="20"/>
                <w:szCs w:val="20"/>
                <w:color w:val="auto"/>
              </w:rPr>
            </w:pPr>
            <w:r>
              <w:rPr>
                <w:rFonts w:ascii="Arial" w:cs="Arial" w:eastAsia="Arial" w:hAnsi="Arial"/>
                <w:sz w:val="18"/>
                <w:szCs w:val="18"/>
                <w:b w:val="1"/>
                <w:bCs w:val="1"/>
                <w:color w:val="auto"/>
              </w:rPr>
              <w:t>5715</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1520" w:type="dxa"/>
            <w:vAlign w:val="bottom"/>
          </w:tcPr>
          <w:p>
            <w:pPr>
              <w:ind w:left="40"/>
              <w:spacing w:after="0"/>
              <w:rPr>
                <w:sz w:val="20"/>
                <w:szCs w:val="20"/>
                <w:color w:val="auto"/>
              </w:rPr>
            </w:pPr>
            <w:r>
              <w:rPr>
                <w:rFonts w:ascii="Arial" w:cs="Arial" w:eastAsia="Arial" w:hAnsi="Arial"/>
                <w:sz w:val="18"/>
                <w:szCs w:val="18"/>
                <w:i w:val="1"/>
                <w:iCs w:val="1"/>
                <w:color w:val="auto"/>
              </w:rPr>
              <w:t>Antibody to Betv1</w:t>
            </w:r>
          </w:p>
        </w:tc>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148"/>
        </w:trPr>
        <w:tc>
          <w:tcPr>
            <w:tcW w:w="1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250"/>
        </w:trPr>
        <w:tc>
          <w:tcPr>
            <w:tcW w:w="1520" w:type="dxa"/>
            <w:vAlign w:val="bottom"/>
            <w:tcBorders>
              <w:bottom w:val="single" w:sz="8" w:color="ACACAC"/>
            </w:tcBorders>
            <w:shd w:val="clear" w:color="auto" w:fill="ACACAC"/>
          </w:tcPr>
          <w:p>
            <w:pPr>
              <w:spacing w:after="0"/>
              <w:rPr>
                <w:sz w:val="21"/>
                <w:szCs w:val="21"/>
                <w:color w:val="auto"/>
              </w:rPr>
            </w:pPr>
          </w:p>
        </w:tc>
        <w:tc>
          <w:tcPr>
            <w:tcW w:w="1160" w:type="dxa"/>
            <w:vAlign w:val="bottom"/>
            <w:tcBorders>
              <w:bottom w:val="single" w:sz="8" w:color="ACACAC"/>
            </w:tcBorders>
            <w:shd w:val="clear" w:color="auto" w:fill="ACACAC"/>
          </w:tcPr>
          <w:p>
            <w:pPr>
              <w:spacing w:after="0"/>
              <w:rPr>
                <w:sz w:val="21"/>
                <w:szCs w:val="21"/>
                <w:color w:val="auto"/>
              </w:rPr>
            </w:pPr>
          </w:p>
        </w:tc>
        <w:tc>
          <w:tcPr>
            <w:tcW w:w="1580" w:type="dxa"/>
            <w:vAlign w:val="bottom"/>
            <w:tcBorders>
              <w:bottom w:val="single" w:sz="8" w:color="ACACAC"/>
            </w:tcBorders>
            <w:shd w:val="clear" w:color="auto" w:fill="ACACAC"/>
          </w:tcPr>
          <w:p>
            <w:pPr>
              <w:spacing w:after="0"/>
              <w:rPr>
                <w:sz w:val="21"/>
                <w:szCs w:val="21"/>
                <w:color w:val="auto"/>
              </w:rPr>
            </w:pPr>
          </w:p>
        </w:tc>
        <w:tc>
          <w:tcPr>
            <w:tcW w:w="2340" w:type="dxa"/>
            <w:vAlign w:val="bottom"/>
            <w:tcBorders>
              <w:bottom w:val="single" w:sz="8" w:color="ACACAC"/>
            </w:tcBorders>
            <w:shd w:val="clear" w:color="auto" w:fill="ACACAC"/>
          </w:tcPr>
          <w:p>
            <w:pPr>
              <w:ind w:left="1000"/>
              <w:spacing w:after="0"/>
              <w:rPr>
                <w:sz w:val="20"/>
                <w:szCs w:val="20"/>
                <w:color w:val="auto"/>
              </w:rPr>
            </w:pPr>
            <w:r>
              <w:rPr>
                <w:rFonts w:ascii="Arial" w:cs="Arial" w:eastAsia="Arial" w:hAnsi="Arial"/>
                <w:sz w:val="18"/>
                <w:szCs w:val="18"/>
                <w:b w:val="1"/>
                <w:bCs w:val="1"/>
                <w:color w:val="auto"/>
              </w:rPr>
              <w:t>Oncology</w:t>
            </w:r>
          </w:p>
        </w:tc>
        <w:tc>
          <w:tcPr>
            <w:tcW w:w="2580" w:type="dxa"/>
            <w:vAlign w:val="bottom"/>
            <w:tcBorders>
              <w:bottom w:val="single" w:sz="8" w:color="ACACAC"/>
            </w:tcBorders>
            <w:shd w:val="clear" w:color="auto" w:fill="ACACAC"/>
          </w:tcPr>
          <w:p>
            <w:pPr>
              <w:spacing w:after="0"/>
              <w:rPr>
                <w:sz w:val="21"/>
                <w:szCs w:val="21"/>
                <w:color w:val="auto"/>
              </w:rPr>
            </w:pPr>
          </w:p>
        </w:tc>
        <w:tc>
          <w:tcPr>
            <w:tcW w:w="2060" w:type="dxa"/>
            <w:vAlign w:val="bottom"/>
            <w:tcBorders>
              <w:bottom w:val="single" w:sz="8" w:color="ACACAC"/>
            </w:tcBorders>
            <w:shd w:val="clear" w:color="auto" w:fill="ACACAC"/>
          </w:tcPr>
          <w:p>
            <w:pPr>
              <w:spacing w:after="0"/>
              <w:rPr>
                <w:sz w:val="21"/>
                <w:szCs w:val="21"/>
                <w:color w:val="auto"/>
              </w:rPr>
            </w:pPr>
          </w:p>
        </w:tc>
      </w:tr>
      <w:tr>
        <w:trPr>
          <w:trHeight w:val="121"/>
        </w:trPr>
        <w:tc>
          <w:tcPr>
            <w:tcW w:w="1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60" w:type="dxa"/>
            <w:vAlign w:val="bottom"/>
          </w:tcPr>
          <w:p>
            <w:pPr>
              <w:spacing w:after="0"/>
              <w:rPr>
                <w:sz w:val="10"/>
                <w:szCs w:val="10"/>
                <w:color w:val="auto"/>
              </w:rPr>
            </w:pPr>
          </w:p>
        </w:tc>
      </w:tr>
      <w:tr>
        <w:trPr>
          <w:trHeight w:val="225"/>
        </w:trPr>
        <w:tc>
          <w:tcPr>
            <w:tcW w:w="1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Libtayo</w:t>
            </w:r>
          </w:p>
        </w:tc>
        <w:tc>
          <w:tcPr>
            <w:tcW w:w="1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 Solid tumors</w:t>
            </w:r>
          </w:p>
        </w:tc>
        <w:tc>
          <w:tcPr>
            <w:tcW w:w="1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Basal cell</w:t>
            </w:r>
          </w:p>
        </w:tc>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First-line non-</w:t>
            </w:r>
          </w:p>
        </w:tc>
        <w:tc>
          <w:tcPr>
            <w:tcW w:w="25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Reported that Phase 3</w:t>
            </w:r>
          </w:p>
        </w:tc>
        <w:tc>
          <w:tcPr>
            <w:tcW w:w="2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 Submit sBLA and</w:t>
            </w:r>
          </w:p>
        </w:tc>
      </w:tr>
      <w:tr>
        <w:trPr>
          <w:trHeight w:val="220"/>
        </w:trPr>
        <w:tc>
          <w:tcPr>
            <w:tcW w:w="1520" w:type="dxa"/>
            <w:vAlign w:val="bottom"/>
            <w:shd w:val="clear" w:color="auto" w:fill="CCEEFF"/>
          </w:tcPr>
          <w:p>
            <w:pPr>
              <w:ind w:left="40"/>
              <w:spacing w:after="0" w:line="220" w:lineRule="exact"/>
              <w:rPr>
                <w:sz w:val="20"/>
                <w:szCs w:val="20"/>
                <w:color w:val="auto"/>
              </w:rPr>
            </w:pPr>
            <w:r>
              <w:rPr>
                <w:rFonts w:ascii="Arial" w:cs="Arial" w:eastAsia="Arial" w:hAnsi="Arial"/>
                <w:sz w:val="18"/>
                <w:szCs w:val="18"/>
                <w:b w:val="1"/>
                <w:bCs w:val="1"/>
                <w:color w:val="auto"/>
                <w:w w:val="95"/>
              </w:rPr>
              <w:t>(cemiplimab)</w:t>
            </w:r>
            <w:r>
              <w:rPr>
                <w:rFonts w:ascii="Arial" w:cs="Arial" w:eastAsia="Arial" w:hAnsi="Arial"/>
                <w:sz w:val="25"/>
                <w:szCs w:val="25"/>
                <w:b w:val="1"/>
                <w:bCs w:val="1"/>
                <w:color w:val="auto"/>
                <w:w w:val="95"/>
                <w:vertAlign w:val="superscript"/>
              </w:rPr>
              <w:t>(a)(h)</w:t>
            </w:r>
          </w:p>
        </w:tc>
        <w:tc>
          <w:tcPr>
            <w:tcW w:w="1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w:t>
            </w: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carcinoma</w:t>
            </w:r>
          </w:p>
        </w:tc>
        <w:tc>
          <w:tcPr>
            <w:tcW w:w="2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small cell lung</w:t>
            </w:r>
          </w:p>
        </w:tc>
        <w:tc>
          <w:tcPr>
            <w:tcW w:w="2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monotherapy trial in</w:t>
            </w:r>
          </w:p>
        </w:tc>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Marketing Authorization</w:t>
            </w:r>
          </w:p>
        </w:tc>
      </w:tr>
      <w:tr>
        <w:trPr>
          <w:trHeight w:val="216"/>
        </w:trPr>
        <w:tc>
          <w:tcPr>
            <w:tcW w:w="15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PD-1</w:t>
            </w:r>
          </w:p>
        </w:tc>
        <w:tc>
          <w:tcPr>
            <w:tcW w:w="1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advanced</w:t>
            </w: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("BCC")</w:t>
            </w:r>
          </w:p>
        </w:tc>
        <w:tc>
          <w:tcPr>
            <w:tcW w:w="2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cancer</w:t>
            </w:r>
          </w:p>
        </w:tc>
        <w:tc>
          <w:tcPr>
            <w:tcW w:w="25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7"/>
              </w:rPr>
              <w:t>first-line NSCLC met its</w:t>
            </w:r>
          </w:p>
        </w:tc>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Application ("MAA") for</w:t>
            </w:r>
          </w:p>
        </w:tc>
      </w:tr>
      <w:tr>
        <w:trPr>
          <w:trHeight w:val="216"/>
        </w:trPr>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hematologic</w:t>
            </w: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(potentially pivotal</w:t>
            </w:r>
          </w:p>
        </w:tc>
        <w:tc>
          <w:tcPr>
            <w:tcW w:w="2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("NSCLC"),</w:t>
            </w:r>
          </w:p>
        </w:tc>
        <w:tc>
          <w:tcPr>
            <w:tcW w:w="2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primary endpoint. The</w:t>
            </w:r>
          </w:p>
        </w:tc>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monotherapy NSCLC</w:t>
            </w:r>
          </w:p>
        </w:tc>
      </w:tr>
      <w:tr>
        <w:trPr>
          <w:trHeight w:val="216"/>
        </w:trPr>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malignancies</w:t>
            </w:r>
          </w:p>
        </w:tc>
        <w:tc>
          <w:tcPr>
            <w:tcW w:w="1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study)</w:t>
            </w:r>
          </w:p>
        </w:tc>
        <w:tc>
          <w:tcPr>
            <w:tcW w:w="2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monotherapy</w:t>
            </w:r>
          </w:p>
        </w:tc>
        <w:tc>
          <w:tcPr>
            <w:tcW w:w="2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Independent Data</w:t>
            </w:r>
          </w:p>
        </w:tc>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half 2020)</w:t>
            </w:r>
          </w:p>
        </w:tc>
      </w:tr>
      <w:tr>
        <w:trPr>
          <w:trHeight w:val="216"/>
        </w:trPr>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Monitoring Committee</w:t>
            </w:r>
          </w:p>
        </w:tc>
        <w:tc>
          <w:tcPr>
            <w:tcW w:w="2060" w:type="dxa"/>
            <w:vAlign w:val="bottom"/>
            <w:shd w:val="clear" w:color="auto" w:fill="CCEEFF"/>
          </w:tcPr>
          <w:p>
            <w:pPr>
              <w:spacing w:after="0"/>
              <w:rPr>
                <w:sz w:val="18"/>
                <w:szCs w:val="18"/>
                <w:color w:val="auto"/>
              </w:rPr>
            </w:pPr>
          </w:p>
        </w:tc>
      </w:tr>
      <w:tr>
        <w:trPr>
          <w:trHeight w:val="216"/>
        </w:trPr>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5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6"/>
              </w:rPr>
              <w:t>recommended stopping</w:t>
            </w:r>
          </w:p>
        </w:tc>
        <w:tc>
          <w:tcPr>
            <w:tcW w:w="2060" w:type="dxa"/>
            <w:vAlign w:val="bottom"/>
            <w:shd w:val="clear" w:color="auto" w:fill="CCEEFF"/>
          </w:tcPr>
          <w:p>
            <w:pPr>
              <w:spacing w:after="0"/>
              <w:rPr>
                <w:sz w:val="18"/>
                <w:szCs w:val="18"/>
                <w:color w:val="auto"/>
              </w:rPr>
            </w:pPr>
          </w:p>
        </w:tc>
      </w:tr>
      <w:tr>
        <w:trPr>
          <w:trHeight w:val="216"/>
        </w:trPr>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the trial early due to</w:t>
            </w:r>
          </w:p>
        </w:tc>
        <w:tc>
          <w:tcPr>
            <w:tcW w:w="2060" w:type="dxa"/>
            <w:vAlign w:val="bottom"/>
            <w:shd w:val="clear" w:color="auto" w:fill="CCEEFF"/>
          </w:tcPr>
          <w:p>
            <w:pPr>
              <w:spacing w:after="0"/>
              <w:rPr>
                <w:sz w:val="18"/>
                <w:szCs w:val="18"/>
                <w:color w:val="auto"/>
              </w:rPr>
            </w:pPr>
          </w:p>
        </w:tc>
      </w:tr>
      <w:tr>
        <w:trPr>
          <w:trHeight w:val="216"/>
        </w:trPr>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highly significant</w:t>
            </w:r>
          </w:p>
        </w:tc>
        <w:tc>
          <w:tcPr>
            <w:tcW w:w="2060" w:type="dxa"/>
            <w:vAlign w:val="bottom"/>
            <w:shd w:val="clear" w:color="auto" w:fill="CCEEFF"/>
          </w:tcPr>
          <w:p>
            <w:pPr>
              <w:spacing w:after="0"/>
              <w:rPr>
                <w:sz w:val="18"/>
                <w:szCs w:val="18"/>
                <w:color w:val="auto"/>
              </w:rPr>
            </w:pPr>
          </w:p>
        </w:tc>
      </w:tr>
      <w:tr>
        <w:trPr>
          <w:trHeight w:val="216"/>
        </w:trPr>
        <w:tc>
          <w:tcPr>
            <w:tcW w:w="1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improvement in overall</w:t>
            </w:r>
          </w:p>
        </w:tc>
        <w:tc>
          <w:tcPr>
            <w:tcW w:w="2060" w:type="dxa"/>
            <w:vAlign w:val="bottom"/>
            <w:shd w:val="clear" w:color="auto" w:fill="CCEEFF"/>
          </w:tcPr>
          <w:p>
            <w:pPr>
              <w:spacing w:after="0"/>
              <w:rPr>
                <w:sz w:val="18"/>
                <w:szCs w:val="18"/>
                <w:color w:val="auto"/>
              </w:rPr>
            </w:pPr>
          </w:p>
        </w:tc>
      </w:tr>
      <w:tr>
        <w:trPr>
          <w:trHeight w:val="237"/>
        </w:trPr>
        <w:tc>
          <w:tcPr>
            <w:tcW w:w="15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survival.</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796"/>
        </w:trPr>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340" w:type="dxa"/>
            <w:vAlign w:val="bottom"/>
          </w:tcPr>
          <w:p>
            <w:pPr>
              <w:ind w:left="1280"/>
              <w:spacing w:after="0"/>
              <w:rPr>
                <w:sz w:val="20"/>
                <w:szCs w:val="20"/>
                <w:color w:val="auto"/>
              </w:rPr>
            </w:pPr>
            <w:r>
              <w:rPr>
                <w:rFonts w:ascii="Arial" w:cs="Arial" w:eastAsia="Arial" w:hAnsi="Arial"/>
                <w:sz w:val="18"/>
                <w:szCs w:val="18"/>
                <w:color w:val="auto"/>
              </w:rPr>
              <w:t>28</w:t>
            </w:r>
          </w:p>
        </w:tc>
        <w:tc>
          <w:tcPr>
            <w:tcW w:w="25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ind w:left="120"/>
              <w:spacing w:after="0"/>
              <w:rPr>
                <w:sz w:val="20"/>
                <w:szCs w:val="20"/>
                <w:color w:val="auto"/>
              </w:rPr>
            </w:pPr>
            <w:r>
              <w:rPr>
                <w:rFonts w:ascii="Arial" w:cs="Arial" w:eastAsia="Arial" w:hAnsi="Arial"/>
                <w:sz w:val="18"/>
                <w:szCs w:val="18"/>
                <w:b w:val="1"/>
                <w:bCs w:val="1"/>
                <w:color w:val="auto"/>
                <w:w w:val="97"/>
              </w:rPr>
              <w:t>Clinical Program</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Regulatory</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ind w:left="300"/>
              <w:spacing w:after="0"/>
              <w:rPr>
                <w:sz w:val="20"/>
                <w:szCs w:val="20"/>
                <w:color w:val="auto"/>
              </w:rPr>
            </w:pPr>
            <w:r>
              <w:rPr>
                <w:rFonts w:ascii="Arial" w:cs="Arial" w:eastAsia="Arial" w:hAnsi="Arial"/>
                <w:sz w:val="18"/>
                <w:szCs w:val="18"/>
                <w:b w:val="1"/>
                <w:bCs w:val="1"/>
                <w:color w:val="auto"/>
              </w:rPr>
              <w:t>Select Upcoming</w:t>
            </w:r>
          </w:p>
        </w:tc>
        <w:tc>
          <w:tcPr>
            <w:tcW w:w="0" w:type="dxa"/>
            <w:vAlign w:val="bottom"/>
          </w:tcPr>
          <w:p>
            <w:pPr>
              <w:spacing w:after="0"/>
              <w:rPr>
                <w:sz w:val="1"/>
                <w:szCs w:val="1"/>
                <w:color w:val="auto"/>
              </w:rPr>
            </w:pPr>
          </w:p>
        </w:tc>
      </w:tr>
      <w:tr>
        <w:trPr>
          <w:trHeight w:val="261"/>
        </w:trPr>
        <w:tc>
          <w:tcPr>
            <w:tcW w:w="15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(continued)</w:t>
            </w:r>
          </w:p>
        </w:tc>
        <w:tc>
          <w:tcPr>
            <w:tcW w:w="120" w:type="dxa"/>
            <w:vAlign w:val="bottom"/>
          </w:tcPr>
          <w:p>
            <w:pPr>
              <w:spacing w:after="0"/>
              <w:rPr>
                <w:sz w:val="22"/>
                <w:szCs w:val="22"/>
                <w:color w:val="auto"/>
              </w:rPr>
            </w:pPr>
          </w:p>
        </w:tc>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Phase 1</w:t>
            </w:r>
          </w:p>
        </w:tc>
        <w:tc>
          <w:tcPr>
            <w:tcW w:w="120" w:type="dxa"/>
            <w:vAlign w:val="bottom"/>
          </w:tcPr>
          <w:p>
            <w:pPr>
              <w:spacing w:after="0"/>
              <w:rPr>
                <w:sz w:val="22"/>
                <w:szCs w:val="22"/>
                <w:color w:val="auto"/>
              </w:rPr>
            </w:pPr>
          </w:p>
        </w:tc>
        <w:tc>
          <w:tcPr>
            <w:tcW w:w="1420" w:type="dxa"/>
            <w:vAlign w:val="bottom"/>
          </w:tcPr>
          <w:p>
            <w:pPr>
              <w:ind w:left="420"/>
              <w:spacing w:after="0"/>
              <w:rPr>
                <w:sz w:val="20"/>
                <w:szCs w:val="20"/>
                <w:color w:val="auto"/>
              </w:rPr>
            </w:pPr>
            <w:r>
              <w:rPr>
                <w:rFonts w:ascii="Arial" w:cs="Arial" w:eastAsia="Arial" w:hAnsi="Arial"/>
                <w:sz w:val="18"/>
                <w:szCs w:val="18"/>
                <w:b w:val="1"/>
                <w:bCs w:val="1"/>
                <w:color w:val="auto"/>
              </w:rPr>
              <w:t>Phase 2</w:t>
            </w:r>
          </w:p>
        </w:tc>
        <w:tc>
          <w:tcPr>
            <w:tcW w:w="120" w:type="dxa"/>
            <w:vAlign w:val="bottom"/>
          </w:tcPr>
          <w:p>
            <w:pPr>
              <w:spacing w:after="0"/>
              <w:rPr>
                <w:sz w:val="22"/>
                <w:szCs w:val="22"/>
                <w:color w:val="auto"/>
              </w:rPr>
            </w:pPr>
          </w:p>
        </w:tc>
        <w:tc>
          <w:tcPr>
            <w:tcW w:w="1560" w:type="dxa"/>
            <w:vAlign w:val="bottom"/>
            <w:gridSpan w:val="2"/>
          </w:tcPr>
          <w:p>
            <w:pPr>
              <w:ind w:left="440"/>
              <w:spacing w:after="0"/>
              <w:rPr>
                <w:sz w:val="20"/>
                <w:szCs w:val="20"/>
                <w:color w:val="auto"/>
              </w:rPr>
            </w:pPr>
            <w:r>
              <w:rPr>
                <w:rFonts w:ascii="Arial" w:cs="Arial" w:eastAsia="Arial" w:hAnsi="Arial"/>
                <w:sz w:val="18"/>
                <w:szCs w:val="18"/>
                <w:b w:val="1"/>
                <w:bCs w:val="1"/>
                <w:color w:val="auto"/>
              </w:rPr>
              <w:t>Phase 3</w:t>
            </w:r>
          </w:p>
        </w:tc>
        <w:tc>
          <w:tcPr>
            <w:tcW w:w="122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4"/>
              </w:rPr>
              <w:t>Review</w:t>
            </w:r>
            <w:r>
              <w:rPr>
                <w:rFonts w:ascii="Arial" w:cs="Arial" w:eastAsia="Arial" w:hAnsi="Arial"/>
                <w:sz w:val="25"/>
                <w:szCs w:val="25"/>
                <w:b w:val="1"/>
                <w:bCs w:val="1"/>
                <w:color w:val="auto"/>
                <w:w w:val="84"/>
                <w:vertAlign w:val="superscript"/>
              </w:rPr>
              <w:t>(i)</w:t>
            </w:r>
          </w:p>
        </w:tc>
        <w:tc>
          <w:tcPr>
            <w:tcW w:w="120" w:type="dxa"/>
            <w:vAlign w:val="bottom"/>
          </w:tcPr>
          <w:p>
            <w:pPr>
              <w:spacing w:after="0"/>
              <w:rPr>
                <w:sz w:val="22"/>
                <w:szCs w:val="22"/>
                <w:color w:val="auto"/>
              </w:rPr>
            </w:pPr>
          </w:p>
        </w:tc>
        <w:tc>
          <w:tcPr>
            <w:tcW w:w="1860" w:type="dxa"/>
            <w:vAlign w:val="bottom"/>
          </w:tcPr>
          <w:p>
            <w:pPr>
              <w:ind w:left="160"/>
              <w:spacing w:after="0"/>
              <w:rPr>
                <w:sz w:val="20"/>
                <w:szCs w:val="20"/>
                <w:color w:val="auto"/>
              </w:rPr>
            </w:pPr>
            <w:r>
              <w:rPr>
                <w:rFonts w:ascii="Arial" w:cs="Arial" w:eastAsia="Arial" w:hAnsi="Arial"/>
                <w:sz w:val="18"/>
                <w:szCs w:val="18"/>
                <w:b w:val="1"/>
                <w:bCs w:val="1"/>
                <w:color w:val="auto"/>
                <w:w w:val="98"/>
              </w:rPr>
              <w:t>2020 Events to Date</w:t>
            </w:r>
          </w:p>
        </w:tc>
        <w:tc>
          <w:tcPr>
            <w:tcW w:w="120" w:type="dxa"/>
            <w:vAlign w:val="bottom"/>
          </w:tcPr>
          <w:p>
            <w:pPr>
              <w:spacing w:after="0"/>
              <w:rPr>
                <w:sz w:val="22"/>
                <w:szCs w:val="22"/>
                <w:color w:val="auto"/>
              </w:rPr>
            </w:pPr>
          </w:p>
        </w:tc>
        <w:tc>
          <w:tcPr>
            <w:tcW w:w="1880" w:type="dxa"/>
            <w:vAlign w:val="bottom"/>
          </w:tcPr>
          <w:p>
            <w:pPr>
              <w:ind w:left="460"/>
              <w:spacing w:after="0" w:line="262"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5"/>
                <w:szCs w:val="25"/>
                <w:b w:val="1"/>
                <w:bCs w:val="1"/>
                <w:color w:val="auto"/>
                <w:vertAlign w:val="superscript"/>
              </w:rPr>
              <w:t>(k)</w:t>
            </w:r>
          </w:p>
        </w:tc>
        <w:tc>
          <w:tcPr>
            <w:tcW w:w="0" w:type="dxa"/>
            <w:vAlign w:val="bottom"/>
          </w:tcPr>
          <w:p>
            <w:pPr>
              <w:spacing w:after="0"/>
              <w:rPr>
                <w:sz w:val="1"/>
                <w:szCs w:val="1"/>
                <w:color w:val="auto"/>
              </w:rPr>
            </w:pPr>
          </w:p>
        </w:tc>
      </w:tr>
      <w:tr>
        <w:trPr>
          <w:trHeight w:val="222"/>
        </w:trPr>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Metastatic or</w:t>
            </w:r>
          </w:p>
        </w:tc>
        <w:tc>
          <w:tcPr>
            <w:tcW w:w="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First-line NSCLC,</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Reported that Phase 2</w:t>
            </w:r>
          </w:p>
        </w:tc>
        <w:tc>
          <w:tcPr>
            <w:tcW w:w="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Complete patient</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locally advanced</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chemotherapy</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study in BCC</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enrollment in Phase 3</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CSCC</w:t>
            </w:r>
            <w:r>
              <w:rPr>
                <w:rFonts w:ascii="Arial" w:cs="Arial" w:eastAsia="Arial" w:hAnsi="Arial"/>
                <w:sz w:val="25"/>
                <w:szCs w:val="25"/>
                <w:color w:val="auto"/>
                <w:vertAlign w:val="superscript"/>
              </w:rPr>
              <w:t>(d)</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combination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demonstrated clinically-</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first-line NSCLC</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Neoadjuvant</w:t>
            </w:r>
          </w:p>
        </w:tc>
        <w:tc>
          <w:tcPr>
            <w:tcW w:w="168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 Second-line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meaningful and durable</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chemotherapy</w:t>
            </w: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1680" w:type="dxa"/>
            <w:vAlign w:val="bottom"/>
            <w:gridSpan w:val="3"/>
            <w:vMerge w:val="continue"/>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responses</w:t>
            </w:r>
          </w:p>
        </w:tc>
        <w:tc>
          <w:tcPr>
            <w:tcW w:w="120" w:type="dxa"/>
            <w:vAlign w:val="bottom"/>
            <w:shd w:val="clear" w:color="auto" w:fill="CCEEFF"/>
          </w:tcPr>
          <w:p>
            <w:pPr>
              <w:spacing w:after="0"/>
              <w:rPr>
                <w:sz w:val="12"/>
                <w:szCs w:val="12"/>
                <w:color w:val="auto"/>
              </w:rPr>
            </w:pPr>
          </w:p>
        </w:tc>
        <w:tc>
          <w:tcPr>
            <w:tcW w:w="18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combination study</w:t>
            </w:r>
          </w:p>
        </w:tc>
        <w:tc>
          <w:tcPr>
            <w:tcW w:w="0" w:type="dxa"/>
            <w:vAlign w:val="bottom"/>
          </w:tcPr>
          <w:p>
            <w:pPr>
              <w:spacing w:after="0"/>
              <w:rPr>
                <w:sz w:val="1"/>
                <w:szCs w:val="1"/>
                <w:color w:val="auto"/>
              </w:rPr>
            </w:pPr>
          </w:p>
        </w:tc>
      </w:tr>
      <w:tr>
        <w:trPr>
          <w:trHeight w:val="68"/>
        </w:trPr>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CSCC</w:t>
            </w:r>
          </w:p>
        </w:tc>
        <w:tc>
          <w:tcPr>
            <w:tcW w:w="120" w:type="dxa"/>
            <w:vAlign w:val="bottom"/>
            <w:shd w:val="clear" w:color="auto" w:fill="CCEEFF"/>
          </w:tcPr>
          <w:p>
            <w:pPr>
              <w:spacing w:after="0"/>
              <w:rPr>
                <w:sz w:val="5"/>
                <w:szCs w:val="5"/>
                <w:color w:val="auto"/>
              </w:rPr>
            </w:pPr>
          </w:p>
        </w:tc>
        <w:tc>
          <w:tcPr>
            <w:tcW w:w="1560" w:type="dxa"/>
            <w:vAlign w:val="bottom"/>
            <w:gridSpan w:val="2"/>
            <w:vMerge w:val="restart"/>
            <w:shd w:val="clear" w:color="auto" w:fill="CCEEFF"/>
          </w:tcPr>
          <w:p>
            <w:pPr>
              <w:ind w:left="40"/>
              <w:spacing w:after="0" w:line="244" w:lineRule="exact"/>
              <w:rPr>
                <w:sz w:val="20"/>
                <w:szCs w:val="20"/>
                <w:color w:val="auto"/>
              </w:rPr>
            </w:pPr>
            <w:r>
              <w:rPr>
                <w:rFonts w:ascii="Arial" w:cs="Arial" w:eastAsia="Arial" w:hAnsi="Arial"/>
                <w:sz w:val="18"/>
                <w:szCs w:val="18"/>
                <w:color w:val="auto"/>
              </w:rPr>
              <w:t>cervical cancer</w:t>
            </w:r>
            <w:r>
              <w:rPr>
                <w:rFonts w:ascii="Arial" w:cs="Arial" w:eastAsia="Arial" w:hAnsi="Arial"/>
                <w:sz w:val="25"/>
                <w:szCs w:val="25"/>
                <w:color w:val="auto"/>
                <w:vertAlign w:val="superscript"/>
              </w:rPr>
              <w:t>(e)</w:t>
            </w: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gridSpan w:val="2"/>
            <w:vMerge w:val="continue"/>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(second half 2020)</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Adjuvant CSCC</w:t>
            </w: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Submit sBLA and MAA</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BCC (second half</w:t>
            </w: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56"/>
        </w:trPr>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Interim analysis from</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Phase 3 study in cervical</w:t>
            </w:r>
          </w:p>
        </w:tc>
        <w:tc>
          <w:tcPr>
            <w:tcW w:w="0" w:type="dxa"/>
            <w:vAlign w:val="bottom"/>
          </w:tcPr>
          <w:p>
            <w:pPr>
              <w:spacing w:after="0"/>
              <w:rPr>
                <w:sz w:val="1"/>
                <w:szCs w:val="1"/>
                <w:color w:val="auto"/>
              </w:rPr>
            </w:pPr>
          </w:p>
        </w:tc>
      </w:tr>
      <w:tr>
        <w:trPr>
          <w:trHeight w:val="237"/>
        </w:trPr>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cancer (2021)</w:t>
            </w:r>
          </w:p>
        </w:tc>
        <w:tc>
          <w:tcPr>
            <w:tcW w:w="0" w:type="dxa"/>
            <w:vAlign w:val="bottom"/>
          </w:tcPr>
          <w:p>
            <w:pPr>
              <w:spacing w:after="0"/>
              <w:rPr>
                <w:sz w:val="1"/>
                <w:szCs w:val="1"/>
                <w:color w:val="auto"/>
              </w:rPr>
            </w:pPr>
          </w:p>
        </w:tc>
      </w:tr>
      <w:tr>
        <w:trPr>
          <w:trHeight w:val="229"/>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REGN1979</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 Certain B-cell</w:t>
            </w:r>
          </w:p>
        </w:tc>
        <w:tc>
          <w:tcPr>
            <w:tcW w:w="1540" w:type="dxa"/>
            <w:vAlign w:val="bottom"/>
            <w:gridSpan w:val="2"/>
          </w:tcPr>
          <w:p>
            <w:pPr>
              <w:ind w:left="20"/>
              <w:spacing w:after="0"/>
              <w:rPr>
                <w:sz w:val="20"/>
                <w:szCs w:val="20"/>
                <w:color w:val="auto"/>
              </w:rPr>
            </w:pPr>
            <w:r>
              <w:rPr>
                <w:rFonts w:ascii="Arial" w:cs="Arial" w:eastAsia="Arial" w:hAnsi="Arial"/>
                <w:sz w:val="18"/>
                <w:szCs w:val="18"/>
                <w:color w:val="auto"/>
              </w:rPr>
              <w:t>- B-cell non-</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 Expanded potentially</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 Report updated results</w:t>
            </w:r>
          </w:p>
        </w:tc>
        <w:tc>
          <w:tcPr>
            <w:tcW w:w="0" w:type="dxa"/>
            <w:vAlign w:val="bottom"/>
          </w:tcPr>
          <w:p>
            <w:pPr>
              <w:spacing w:after="0"/>
              <w:rPr>
                <w:sz w:val="1"/>
                <w:szCs w:val="1"/>
                <w:color w:val="auto"/>
              </w:rPr>
            </w:pPr>
          </w:p>
        </w:tc>
      </w:tr>
      <w:tr>
        <w:trPr>
          <w:trHeight w:val="216"/>
        </w:trPr>
        <w:tc>
          <w:tcPr>
            <w:tcW w:w="1540" w:type="dxa"/>
            <w:vAlign w:val="bottom"/>
          </w:tcPr>
          <w:p>
            <w:pPr>
              <w:ind w:left="40"/>
              <w:spacing w:after="0"/>
              <w:rPr>
                <w:sz w:val="20"/>
                <w:szCs w:val="20"/>
                <w:color w:val="auto"/>
              </w:rPr>
            </w:pPr>
            <w:r>
              <w:rPr>
                <w:rFonts w:ascii="Arial" w:cs="Arial" w:eastAsia="Arial" w:hAnsi="Arial"/>
                <w:sz w:val="18"/>
                <w:szCs w:val="18"/>
                <w:i w:val="1"/>
                <w:iCs w:val="1"/>
                <w:color w:val="auto"/>
                <w:w w:val="99"/>
              </w:rPr>
              <w:t>Bispecific antibody</w:t>
            </w:r>
          </w:p>
        </w:tc>
        <w:tc>
          <w:tcPr>
            <w:tcW w:w="120" w:type="dxa"/>
            <w:vAlign w:val="bottom"/>
          </w:tcPr>
          <w:p>
            <w:pPr>
              <w:spacing w:after="0"/>
              <w:rPr>
                <w:sz w:val="18"/>
                <w:szCs w:val="18"/>
                <w:color w:val="auto"/>
              </w:rPr>
            </w:pPr>
          </w:p>
        </w:tc>
        <w:tc>
          <w:tcPr>
            <w:tcW w:w="1160" w:type="dxa"/>
            <w:vAlign w:val="bottom"/>
          </w:tcPr>
          <w:p>
            <w:pPr>
              <w:ind w:left="40"/>
              <w:spacing w:after="0" w:line="216" w:lineRule="exact"/>
              <w:rPr>
                <w:sz w:val="20"/>
                <w:szCs w:val="20"/>
                <w:color w:val="auto"/>
              </w:rPr>
            </w:pPr>
            <w:r>
              <w:rPr>
                <w:rFonts w:ascii="Arial" w:cs="Arial" w:eastAsia="Arial" w:hAnsi="Arial"/>
                <w:sz w:val="18"/>
                <w:szCs w:val="18"/>
                <w:color w:val="auto"/>
                <w:w w:val="88"/>
              </w:rPr>
              <w:t>malignancies</w:t>
            </w:r>
            <w:r>
              <w:rPr>
                <w:rFonts w:ascii="Arial" w:cs="Arial" w:eastAsia="Arial" w:hAnsi="Arial"/>
                <w:sz w:val="25"/>
                <w:szCs w:val="25"/>
                <w:color w:val="auto"/>
                <w:w w:val="88"/>
                <w:vertAlign w:val="superscript"/>
              </w:rPr>
              <w:t>(c)</w:t>
            </w:r>
          </w:p>
        </w:tc>
        <w:tc>
          <w:tcPr>
            <w:tcW w:w="1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8"/>
                <w:szCs w:val="18"/>
                <w:color w:val="auto"/>
              </w:rPr>
              <w:t>Hodgkin</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w w:val="93"/>
              </w:rPr>
              <w:t>pivotal Phase 2 program</w:t>
            </w:r>
          </w:p>
        </w:tc>
        <w:tc>
          <w:tcPr>
            <w:tcW w:w="120" w:type="dxa"/>
            <w:vAlign w:val="bottom"/>
          </w:tcPr>
          <w:p>
            <w:pPr>
              <w:spacing w:after="0"/>
              <w:rPr>
                <w:sz w:val="18"/>
                <w:szCs w:val="18"/>
                <w:color w:val="auto"/>
              </w:rPr>
            </w:pPr>
          </w:p>
        </w:tc>
        <w:tc>
          <w:tcPr>
            <w:tcW w:w="1880" w:type="dxa"/>
            <w:vAlign w:val="bottom"/>
          </w:tcPr>
          <w:p>
            <w:pPr>
              <w:ind w:left="40"/>
              <w:spacing w:after="0"/>
              <w:rPr>
                <w:sz w:val="20"/>
                <w:szCs w:val="20"/>
                <w:color w:val="auto"/>
              </w:rPr>
            </w:pPr>
            <w:r>
              <w:rPr>
                <w:rFonts w:ascii="Arial" w:cs="Arial" w:eastAsia="Arial" w:hAnsi="Arial"/>
                <w:sz w:val="18"/>
                <w:szCs w:val="18"/>
                <w:color w:val="auto"/>
              </w:rPr>
              <w:t>from initial study in</w:t>
            </w:r>
          </w:p>
        </w:tc>
        <w:tc>
          <w:tcPr>
            <w:tcW w:w="0" w:type="dxa"/>
            <w:vAlign w:val="bottom"/>
          </w:tcPr>
          <w:p>
            <w:pPr>
              <w:spacing w:after="0"/>
              <w:rPr>
                <w:sz w:val="1"/>
                <w:szCs w:val="1"/>
                <w:color w:val="auto"/>
              </w:rPr>
            </w:pPr>
          </w:p>
        </w:tc>
      </w:tr>
      <w:tr>
        <w:trPr>
          <w:trHeight w:val="216"/>
        </w:trPr>
        <w:tc>
          <w:tcPr>
            <w:tcW w:w="1540" w:type="dxa"/>
            <w:vAlign w:val="bottom"/>
          </w:tcPr>
          <w:p>
            <w:pPr>
              <w:ind w:left="40"/>
              <w:spacing w:after="0"/>
              <w:rPr>
                <w:sz w:val="20"/>
                <w:szCs w:val="20"/>
                <w:color w:val="auto"/>
              </w:rPr>
            </w:pPr>
            <w:r>
              <w:rPr>
                <w:rFonts w:ascii="Arial" w:cs="Arial" w:eastAsia="Arial" w:hAnsi="Arial"/>
                <w:sz w:val="18"/>
                <w:szCs w:val="18"/>
                <w:i w:val="1"/>
                <w:iCs w:val="1"/>
                <w:color w:val="auto"/>
                <w:w w:val="94"/>
              </w:rPr>
              <w:t>targeting CD20 and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8"/>
                <w:szCs w:val="18"/>
                <w:color w:val="auto"/>
              </w:rPr>
              <w:t>lymphoma ("B-</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with different subtypes</w:t>
            </w:r>
          </w:p>
        </w:tc>
        <w:tc>
          <w:tcPr>
            <w:tcW w:w="120" w:type="dxa"/>
            <w:vAlign w:val="bottom"/>
          </w:tcPr>
          <w:p>
            <w:pPr>
              <w:spacing w:after="0"/>
              <w:rPr>
                <w:sz w:val="18"/>
                <w:szCs w:val="18"/>
                <w:color w:val="auto"/>
              </w:rPr>
            </w:pPr>
          </w:p>
        </w:tc>
        <w:tc>
          <w:tcPr>
            <w:tcW w:w="1880" w:type="dxa"/>
            <w:vAlign w:val="bottom"/>
          </w:tcPr>
          <w:p>
            <w:pPr>
              <w:ind w:left="40"/>
              <w:spacing w:after="0"/>
              <w:rPr>
                <w:sz w:val="20"/>
                <w:szCs w:val="20"/>
                <w:color w:val="auto"/>
              </w:rPr>
            </w:pPr>
            <w:r>
              <w:rPr>
                <w:rFonts w:ascii="Arial" w:cs="Arial" w:eastAsia="Arial" w:hAnsi="Arial"/>
                <w:sz w:val="18"/>
                <w:szCs w:val="18"/>
                <w:color w:val="auto"/>
              </w:rPr>
              <w:t>certain B-cell</w:t>
            </w:r>
          </w:p>
        </w:tc>
        <w:tc>
          <w:tcPr>
            <w:tcW w:w="0" w:type="dxa"/>
            <w:vAlign w:val="bottom"/>
          </w:tcPr>
          <w:p>
            <w:pPr>
              <w:spacing w:after="0"/>
              <w:rPr>
                <w:sz w:val="1"/>
                <w:szCs w:val="1"/>
                <w:color w:val="auto"/>
              </w:rPr>
            </w:pPr>
          </w:p>
        </w:tc>
      </w:tr>
      <w:tr>
        <w:trPr>
          <w:trHeight w:val="216"/>
        </w:trPr>
        <w:tc>
          <w:tcPr>
            <w:tcW w:w="1540" w:type="dxa"/>
            <w:vAlign w:val="bottom"/>
          </w:tcPr>
          <w:p>
            <w:pPr>
              <w:ind w:left="40"/>
              <w:spacing w:after="0"/>
              <w:rPr>
                <w:sz w:val="20"/>
                <w:szCs w:val="20"/>
                <w:color w:val="auto"/>
              </w:rPr>
            </w:pPr>
            <w:r>
              <w:rPr>
                <w:rFonts w:ascii="Arial" w:cs="Arial" w:eastAsia="Arial" w:hAnsi="Arial"/>
                <w:sz w:val="18"/>
                <w:szCs w:val="18"/>
                <w:i w:val="1"/>
                <w:iCs w:val="1"/>
                <w:color w:val="auto"/>
              </w:rPr>
              <w:t>CD3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8"/>
                <w:szCs w:val="18"/>
                <w:color w:val="auto"/>
              </w:rPr>
              <w:t>NHL")</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of NHL</w:t>
            </w:r>
          </w:p>
        </w:tc>
        <w:tc>
          <w:tcPr>
            <w:tcW w:w="120" w:type="dxa"/>
            <w:vAlign w:val="bottom"/>
          </w:tcPr>
          <w:p>
            <w:pPr>
              <w:spacing w:after="0"/>
              <w:rPr>
                <w:sz w:val="18"/>
                <w:szCs w:val="18"/>
                <w:color w:val="auto"/>
              </w:rPr>
            </w:pPr>
          </w:p>
        </w:tc>
        <w:tc>
          <w:tcPr>
            <w:tcW w:w="1880" w:type="dxa"/>
            <w:vAlign w:val="bottom"/>
          </w:tcPr>
          <w:p>
            <w:pPr>
              <w:ind w:left="40"/>
              <w:spacing w:after="0"/>
              <w:rPr>
                <w:sz w:val="20"/>
                <w:szCs w:val="20"/>
                <w:color w:val="auto"/>
              </w:rPr>
            </w:pPr>
            <w:r>
              <w:rPr>
                <w:rFonts w:ascii="Arial" w:cs="Arial" w:eastAsia="Arial" w:hAnsi="Arial"/>
                <w:sz w:val="18"/>
                <w:szCs w:val="18"/>
                <w:color w:val="auto"/>
                <w:w w:val="92"/>
              </w:rPr>
              <w:t>malignancies (mid-2020)</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8"/>
                <w:szCs w:val="18"/>
                <w:color w:val="auto"/>
                <w:w w:val="95"/>
              </w:rPr>
              <w:t>(potentially pivotal</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ind w:left="20"/>
              <w:spacing w:after="0"/>
              <w:rPr>
                <w:sz w:val="20"/>
                <w:szCs w:val="20"/>
                <w:color w:val="auto"/>
              </w:rPr>
            </w:pPr>
            <w:r>
              <w:rPr>
                <w:rFonts w:ascii="Arial" w:cs="Arial" w:eastAsia="Arial" w:hAnsi="Arial"/>
                <w:sz w:val="18"/>
                <w:szCs w:val="18"/>
                <w:color w:val="auto"/>
              </w:rPr>
              <w:t>study)</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4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REGN5458</w:t>
            </w:r>
            <w:r>
              <w:rPr>
                <w:rFonts w:ascii="Arial" w:cs="Arial" w:eastAsia="Arial" w:hAnsi="Arial"/>
                <w:sz w:val="25"/>
                <w:szCs w:val="25"/>
                <w:b w:val="1"/>
                <w:bCs w:val="1"/>
                <w:color w:val="auto"/>
                <w:vertAlign w:val="superscript"/>
              </w:rPr>
              <w:t>(a)</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Multiple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Report updated results</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9"/>
              </w:rPr>
              <w:t>Bispecific antibody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myeloma</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from initial study in</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targeting BCMA</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multiple myeloma</w:t>
            </w:r>
          </w:p>
        </w:tc>
        <w:tc>
          <w:tcPr>
            <w:tcW w:w="0" w:type="dxa"/>
            <w:vAlign w:val="bottom"/>
          </w:tcPr>
          <w:p>
            <w:pPr>
              <w:spacing w:after="0"/>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and CD3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half 2020)</w:t>
            </w:r>
          </w:p>
        </w:tc>
        <w:tc>
          <w:tcPr>
            <w:tcW w:w="0" w:type="dxa"/>
            <w:vAlign w:val="bottom"/>
          </w:tcPr>
          <w:p>
            <w:pPr>
              <w:spacing w:after="0"/>
              <w:rPr>
                <w:sz w:val="1"/>
                <w:szCs w:val="1"/>
                <w:color w:val="auto"/>
              </w:rPr>
            </w:pPr>
          </w:p>
        </w:tc>
      </w:tr>
      <w:tr>
        <w:trPr>
          <w:trHeight w:val="229"/>
        </w:trPr>
        <w:tc>
          <w:tcPr>
            <w:tcW w:w="154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REGN5459</w:t>
            </w:r>
            <w:r>
              <w:rPr>
                <w:rFonts w:ascii="Arial" w:cs="Arial" w:eastAsia="Arial" w:hAnsi="Arial"/>
                <w:sz w:val="25"/>
                <w:szCs w:val="25"/>
                <w:b w:val="1"/>
                <w:bCs w:val="1"/>
                <w:color w:val="auto"/>
                <w:vertAlign w:val="superscript"/>
              </w:rPr>
              <w:t>(a)</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 Multiple</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40"/>
              <w:spacing w:after="0"/>
              <w:rPr>
                <w:sz w:val="20"/>
                <w:szCs w:val="20"/>
                <w:color w:val="auto"/>
              </w:rPr>
            </w:pPr>
            <w:r>
              <w:rPr>
                <w:rFonts w:ascii="Arial" w:cs="Arial" w:eastAsia="Arial" w:hAnsi="Arial"/>
                <w:sz w:val="18"/>
                <w:szCs w:val="18"/>
                <w:i w:val="1"/>
                <w:iCs w:val="1"/>
                <w:color w:val="auto"/>
                <w:w w:val="99"/>
              </w:rPr>
              <w:t>Bispecific antibody</w:t>
            </w:r>
          </w:p>
        </w:tc>
        <w:tc>
          <w:tcPr>
            <w:tcW w:w="12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myeloma</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40"/>
              <w:spacing w:after="0"/>
              <w:rPr>
                <w:sz w:val="20"/>
                <w:szCs w:val="20"/>
                <w:color w:val="auto"/>
              </w:rPr>
            </w:pPr>
            <w:r>
              <w:rPr>
                <w:rFonts w:ascii="Arial" w:cs="Arial" w:eastAsia="Arial" w:hAnsi="Arial"/>
                <w:sz w:val="18"/>
                <w:szCs w:val="18"/>
                <w:i w:val="1"/>
                <w:iCs w:val="1"/>
                <w:color w:val="auto"/>
              </w:rPr>
              <w:t>targeting BCMA</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40"/>
              <w:spacing w:after="0"/>
              <w:rPr>
                <w:sz w:val="20"/>
                <w:szCs w:val="20"/>
                <w:color w:val="auto"/>
              </w:rPr>
            </w:pPr>
            <w:r>
              <w:rPr>
                <w:rFonts w:ascii="Arial" w:cs="Arial" w:eastAsia="Arial" w:hAnsi="Arial"/>
                <w:sz w:val="18"/>
                <w:szCs w:val="18"/>
                <w:i w:val="1"/>
                <w:iCs w:val="1"/>
                <w:color w:val="auto"/>
              </w:rPr>
              <w:t>and CD3</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40" w:type="dxa"/>
            <w:vAlign w:val="bottom"/>
            <w:shd w:val="clear" w:color="auto" w:fill="CCEEFF"/>
          </w:tcPr>
          <w:p>
            <w:pPr>
              <w:ind w:left="40"/>
              <w:spacing w:after="0" w:line="228" w:lineRule="exact"/>
              <w:rPr>
                <w:sz w:val="20"/>
                <w:szCs w:val="20"/>
                <w:color w:val="auto"/>
              </w:rPr>
            </w:pPr>
            <w:r>
              <w:rPr>
                <w:rFonts w:ascii="Arial" w:cs="Arial" w:eastAsia="Arial" w:hAnsi="Arial"/>
                <w:sz w:val="18"/>
                <w:szCs w:val="18"/>
                <w:b w:val="1"/>
                <w:bCs w:val="1"/>
                <w:color w:val="auto"/>
              </w:rPr>
              <w:t>REGN4018</w:t>
            </w:r>
            <w:r>
              <w:rPr>
                <w:rFonts w:ascii="Arial" w:cs="Arial" w:eastAsia="Arial" w:hAnsi="Arial"/>
                <w:sz w:val="25"/>
                <w:szCs w:val="25"/>
                <w:b w:val="1"/>
                <w:bCs w:val="1"/>
                <w:color w:val="auto"/>
                <w:vertAlign w:val="superscript"/>
              </w:rPr>
              <w:t>(a)</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Platinum-</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9"/>
              </w:rPr>
              <w:t>Bispecific antibody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resistant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targeting MUC16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ovarian cancer</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and CD3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REGN5678</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 Prostate</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40"/>
              <w:spacing w:after="0"/>
              <w:rPr>
                <w:sz w:val="20"/>
                <w:szCs w:val="20"/>
                <w:color w:val="auto"/>
              </w:rPr>
            </w:pPr>
            <w:r>
              <w:rPr>
                <w:rFonts w:ascii="Arial" w:cs="Arial" w:eastAsia="Arial" w:hAnsi="Arial"/>
                <w:sz w:val="18"/>
                <w:szCs w:val="18"/>
                <w:i w:val="1"/>
                <w:iCs w:val="1"/>
                <w:color w:val="auto"/>
                <w:w w:val="99"/>
              </w:rPr>
              <w:t>Bispecific antibody</w:t>
            </w:r>
          </w:p>
        </w:tc>
        <w:tc>
          <w:tcPr>
            <w:tcW w:w="12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cancer</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40"/>
              <w:spacing w:after="0"/>
              <w:rPr>
                <w:sz w:val="20"/>
                <w:szCs w:val="20"/>
                <w:color w:val="auto"/>
              </w:rPr>
            </w:pPr>
            <w:r>
              <w:rPr>
                <w:rFonts w:ascii="Arial" w:cs="Arial" w:eastAsia="Arial" w:hAnsi="Arial"/>
                <w:sz w:val="18"/>
                <w:szCs w:val="18"/>
                <w:i w:val="1"/>
                <w:iCs w:val="1"/>
                <w:color w:val="auto"/>
                <w:w w:val="91"/>
              </w:rPr>
              <w:t>targeting PSMA and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40"/>
              <w:spacing w:after="0"/>
              <w:rPr>
                <w:sz w:val="20"/>
                <w:szCs w:val="20"/>
                <w:color w:val="auto"/>
              </w:rPr>
            </w:pPr>
            <w:r>
              <w:rPr>
                <w:rFonts w:ascii="Arial" w:cs="Arial" w:eastAsia="Arial" w:hAnsi="Arial"/>
                <w:sz w:val="18"/>
                <w:szCs w:val="18"/>
                <w:i w:val="1"/>
                <w:iCs w:val="1"/>
                <w:color w:val="auto"/>
              </w:rPr>
              <w:t>CD28</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REGN5093</w:t>
            </w: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MET-altered</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9"/>
              </w:rPr>
              <w:t>Bispecific antibody</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advanced</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targeting two</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NSCLC</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distinct MET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epitopes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540" w:type="dxa"/>
            <w:vAlign w:val="bottom"/>
          </w:tcPr>
          <w:p>
            <w:pPr>
              <w:ind w:left="40"/>
              <w:spacing w:after="0" w:line="228" w:lineRule="exact"/>
              <w:rPr>
                <w:sz w:val="20"/>
                <w:szCs w:val="20"/>
                <w:color w:val="auto"/>
              </w:rPr>
            </w:pPr>
            <w:r>
              <w:rPr>
                <w:rFonts w:ascii="Arial" w:cs="Arial" w:eastAsia="Arial" w:hAnsi="Arial"/>
                <w:sz w:val="18"/>
                <w:szCs w:val="18"/>
                <w:b w:val="1"/>
                <w:bCs w:val="1"/>
                <w:color w:val="auto"/>
              </w:rPr>
              <w:t>REGN3767</w:t>
            </w:r>
            <w:r>
              <w:rPr>
                <w:rFonts w:ascii="Arial" w:cs="Arial" w:eastAsia="Arial" w:hAnsi="Arial"/>
                <w:sz w:val="25"/>
                <w:szCs w:val="25"/>
                <w:b w:val="1"/>
                <w:bCs w:val="1"/>
                <w:color w:val="auto"/>
                <w:vertAlign w:val="superscript"/>
              </w:rPr>
              <w:t>(f)</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 Solid tumors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40"/>
              <w:spacing w:after="0"/>
              <w:rPr>
                <w:sz w:val="20"/>
                <w:szCs w:val="20"/>
                <w:color w:val="auto"/>
              </w:rPr>
            </w:pPr>
            <w:r>
              <w:rPr>
                <w:rFonts w:ascii="Arial" w:cs="Arial" w:eastAsia="Arial" w:hAnsi="Arial"/>
                <w:sz w:val="18"/>
                <w:szCs w:val="18"/>
                <w:i w:val="1"/>
                <w:iCs w:val="1"/>
                <w:color w:val="auto"/>
              </w:rPr>
              <w:t>Antibody to LAG-3</w:t>
            </w:r>
          </w:p>
        </w:tc>
        <w:tc>
          <w:tcPr>
            <w:tcW w:w="12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w w:val="97"/>
              </w:rPr>
              <w:t>and advanced</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hematologic</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malignancies</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ind w:left="100"/>
              <w:spacing w:after="0"/>
              <w:rPr>
                <w:sz w:val="20"/>
                <w:szCs w:val="20"/>
                <w:color w:val="auto"/>
              </w:rPr>
            </w:pPr>
            <w:r>
              <w:rPr>
                <w:rFonts w:ascii="Arial" w:cs="Arial" w:eastAsia="Arial" w:hAnsi="Arial"/>
                <w:sz w:val="18"/>
                <w:szCs w:val="18"/>
                <w:b w:val="1"/>
                <w:bCs w:val="1"/>
                <w:color w:val="auto"/>
                <w:w w:val="97"/>
              </w:rPr>
              <w:t>Clinical Program</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Regulatory</w:t>
            </w: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b w:val="1"/>
                <w:bCs w:val="1"/>
                <w:color w:val="auto"/>
              </w:rPr>
              <w:t>Select Upcoming</w:t>
            </w:r>
          </w:p>
        </w:tc>
      </w:tr>
      <w:tr>
        <w:trPr>
          <w:trHeight w:val="261"/>
        </w:trPr>
        <w:tc>
          <w:tcPr>
            <w:tcW w:w="15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i w:val="1"/>
                <w:iCs w:val="1"/>
                <w:color w:val="auto"/>
              </w:rPr>
              <w:t>(continued)</w:t>
            </w:r>
          </w:p>
        </w:tc>
        <w:tc>
          <w:tcPr>
            <w:tcW w:w="100" w:type="dxa"/>
            <w:vAlign w:val="bottom"/>
          </w:tcPr>
          <w:p>
            <w:pPr>
              <w:spacing w:after="0"/>
              <w:rPr>
                <w:sz w:val="22"/>
                <w:szCs w:val="22"/>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Phase 1</w:t>
            </w:r>
          </w:p>
        </w:tc>
        <w:tc>
          <w:tcPr>
            <w:tcW w:w="120" w:type="dxa"/>
            <w:vAlign w:val="bottom"/>
          </w:tcPr>
          <w:p>
            <w:pPr>
              <w:spacing w:after="0"/>
              <w:rPr>
                <w:sz w:val="22"/>
                <w:szCs w:val="22"/>
                <w:color w:val="auto"/>
              </w:rPr>
            </w:pPr>
          </w:p>
        </w:tc>
        <w:tc>
          <w:tcPr>
            <w:tcW w:w="16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Phase 2</w:t>
            </w:r>
          </w:p>
        </w:tc>
        <w:tc>
          <w:tcPr>
            <w:tcW w:w="120" w:type="dxa"/>
            <w:vAlign w:val="bottom"/>
          </w:tcPr>
          <w:p>
            <w:pPr>
              <w:spacing w:after="0"/>
              <w:rPr>
                <w:sz w:val="22"/>
                <w:szCs w:val="22"/>
                <w:color w:val="auto"/>
              </w:rPr>
            </w:pPr>
          </w:p>
        </w:tc>
        <w:tc>
          <w:tcPr>
            <w:tcW w:w="16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Phase 3</w:t>
            </w: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Review</w:t>
            </w:r>
            <w:r>
              <w:rPr>
                <w:rFonts w:ascii="Arial" w:cs="Arial" w:eastAsia="Arial" w:hAnsi="Arial"/>
                <w:sz w:val="25"/>
                <w:szCs w:val="25"/>
                <w:b w:val="1"/>
                <w:bCs w:val="1"/>
                <w:color w:val="auto"/>
                <w:w w:val="87"/>
                <w:vertAlign w:val="superscript"/>
              </w:rPr>
              <w:t>(i)</w:t>
            </w:r>
          </w:p>
        </w:tc>
        <w:tc>
          <w:tcPr>
            <w:tcW w:w="120" w:type="dxa"/>
            <w:vAlign w:val="bottom"/>
          </w:tcPr>
          <w:p>
            <w:pPr>
              <w:spacing w:after="0"/>
              <w:rPr>
                <w:sz w:val="22"/>
                <w:szCs w:val="22"/>
                <w:color w:val="auto"/>
              </w:rPr>
            </w:pPr>
          </w:p>
        </w:tc>
        <w:tc>
          <w:tcPr>
            <w:tcW w:w="1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6"/>
              </w:rPr>
              <w:t>2020 Events to Date</w:t>
            </w:r>
          </w:p>
        </w:tc>
        <w:tc>
          <w:tcPr>
            <w:tcW w:w="120" w:type="dxa"/>
            <w:vAlign w:val="bottom"/>
          </w:tcPr>
          <w:p>
            <w:pPr>
              <w:spacing w:after="0"/>
              <w:rPr>
                <w:sz w:val="22"/>
                <w:szCs w:val="22"/>
                <w:color w:val="auto"/>
              </w:rPr>
            </w:pPr>
          </w:p>
        </w:tc>
        <w:tc>
          <w:tcPr>
            <w:tcW w:w="1840" w:type="dxa"/>
            <w:vAlign w:val="bottom"/>
            <w:tcBorders>
              <w:bottom w:val="single" w:sz="8" w:color="auto"/>
            </w:tcBorders>
          </w:tcPr>
          <w:p>
            <w:pPr>
              <w:ind w:left="440"/>
              <w:spacing w:after="0" w:line="262" w:lineRule="exact"/>
              <w:rPr>
                <w:sz w:val="20"/>
                <w:szCs w:val="20"/>
                <w:color w:val="auto"/>
              </w:rPr>
            </w:pPr>
            <w:r>
              <w:rPr>
                <w:rFonts w:ascii="Arial" w:cs="Arial" w:eastAsia="Arial" w:hAnsi="Arial"/>
                <w:sz w:val="18"/>
                <w:szCs w:val="18"/>
                <w:b w:val="1"/>
                <w:bCs w:val="1"/>
                <w:color w:val="auto"/>
              </w:rPr>
              <w:t>Milestones</w:t>
            </w:r>
            <w:r>
              <w:rPr>
                <w:rFonts w:ascii="Arial" w:cs="Arial" w:eastAsia="Arial" w:hAnsi="Arial"/>
                <w:sz w:val="25"/>
                <w:szCs w:val="25"/>
                <w:b w:val="1"/>
                <w:bCs w:val="1"/>
                <w:color w:val="auto"/>
                <w:vertAlign w:val="superscript"/>
              </w:rPr>
              <w:t>(k)</w:t>
            </w:r>
          </w:p>
        </w:tc>
      </w:tr>
      <w:tr>
        <w:trPr>
          <w:trHeight w:val="115"/>
        </w:trPr>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r>
      <w:tr>
        <w:trPr>
          <w:trHeight w:val="250"/>
        </w:trPr>
        <w:tc>
          <w:tcPr>
            <w:tcW w:w="1520" w:type="dxa"/>
            <w:vAlign w:val="bottom"/>
            <w:tcBorders>
              <w:bottom w:val="single" w:sz="8" w:color="ACACAC"/>
            </w:tcBorders>
            <w:shd w:val="clear" w:color="auto" w:fill="ACACAC"/>
          </w:tcPr>
          <w:p>
            <w:pPr>
              <w:spacing w:after="0"/>
              <w:rPr>
                <w:sz w:val="21"/>
                <w:szCs w:val="21"/>
                <w:color w:val="auto"/>
              </w:rPr>
            </w:pPr>
          </w:p>
        </w:tc>
        <w:tc>
          <w:tcPr>
            <w:tcW w:w="10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4660" w:type="dxa"/>
            <w:vAlign w:val="bottom"/>
            <w:tcBorders>
              <w:bottom w:val="single" w:sz="8" w:color="ACACAC"/>
            </w:tcBorders>
            <w:gridSpan w:val="5"/>
            <w:shd w:val="clear" w:color="auto" w:fill="ACACAC"/>
          </w:tcPr>
          <w:p>
            <w:pPr>
              <w:ind w:left="1580"/>
              <w:spacing w:after="0"/>
              <w:rPr>
                <w:sz w:val="20"/>
                <w:szCs w:val="20"/>
                <w:color w:val="auto"/>
              </w:rPr>
            </w:pPr>
            <w:r>
              <w:rPr>
                <w:rFonts w:ascii="Arial" w:cs="Arial" w:eastAsia="Arial" w:hAnsi="Arial"/>
                <w:sz w:val="18"/>
                <w:szCs w:val="18"/>
                <w:b w:val="1"/>
                <w:bCs w:val="1"/>
                <w:color w:val="auto"/>
              </w:rPr>
              <w:t>Cardiovascular/Metabolic Diseases</w:t>
            </w:r>
          </w:p>
        </w:tc>
        <w:tc>
          <w:tcPr>
            <w:tcW w:w="120" w:type="dxa"/>
            <w:vAlign w:val="bottom"/>
            <w:tcBorders>
              <w:bottom w:val="single" w:sz="8" w:color="ACACAC"/>
            </w:tcBorders>
            <w:shd w:val="clear" w:color="auto" w:fill="ACACAC"/>
          </w:tcPr>
          <w:p>
            <w:pPr>
              <w:spacing w:after="0"/>
              <w:rPr>
                <w:sz w:val="21"/>
                <w:szCs w:val="21"/>
                <w:color w:val="auto"/>
              </w:rPr>
            </w:pPr>
          </w:p>
        </w:tc>
        <w:tc>
          <w:tcPr>
            <w:tcW w:w="180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840" w:type="dxa"/>
            <w:vAlign w:val="bottom"/>
            <w:tcBorders>
              <w:bottom w:val="single" w:sz="8" w:color="ACACAC"/>
            </w:tcBorders>
            <w:shd w:val="clear" w:color="auto" w:fill="ACACAC"/>
          </w:tcPr>
          <w:p>
            <w:pPr>
              <w:spacing w:after="0"/>
              <w:rPr>
                <w:sz w:val="21"/>
                <w:szCs w:val="21"/>
                <w:color w:val="auto"/>
              </w:rPr>
            </w:pPr>
          </w:p>
        </w:tc>
      </w:tr>
      <w:tr>
        <w:trPr>
          <w:trHeight w:val="122"/>
        </w:trPr>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tcPr>
          <w:p>
            <w:pPr>
              <w:spacing w:after="0"/>
              <w:rPr>
                <w:sz w:val="10"/>
                <w:szCs w:val="10"/>
                <w:color w:val="auto"/>
              </w:rPr>
            </w:pPr>
          </w:p>
        </w:tc>
      </w:tr>
      <w:tr>
        <w:trPr>
          <w:trHeight w:val="225"/>
        </w:trPr>
        <w:tc>
          <w:tcPr>
            <w:tcW w:w="1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Praluent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Homozygous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Reported results from</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 Submit sBLA for HoFH</w:t>
            </w:r>
          </w:p>
        </w:tc>
      </w:tr>
      <w:tr>
        <w:trPr>
          <w:trHeight w:val="220"/>
        </w:trPr>
        <w:tc>
          <w:tcPr>
            <w:tcW w:w="1520" w:type="dxa"/>
            <w:vAlign w:val="bottom"/>
            <w:shd w:val="clear" w:color="auto" w:fill="CCEEFF"/>
          </w:tcPr>
          <w:p>
            <w:pPr>
              <w:ind w:left="40"/>
              <w:spacing w:after="0" w:line="220" w:lineRule="exact"/>
              <w:rPr>
                <w:sz w:val="20"/>
                <w:szCs w:val="20"/>
                <w:color w:val="auto"/>
              </w:rPr>
            </w:pPr>
            <w:r>
              <w:rPr>
                <w:rFonts w:ascii="Arial" w:cs="Arial" w:eastAsia="Arial" w:hAnsi="Arial"/>
                <w:sz w:val="18"/>
                <w:szCs w:val="18"/>
                <w:b w:val="1"/>
                <w:bCs w:val="1"/>
                <w:color w:val="auto"/>
              </w:rPr>
              <w:t>(alirocumab)</w:t>
            </w:r>
            <w:r>
              <w:rPr>
                <w:rFonts w:ascii="Arial" w:cs="Arial" w:eastAsia="Arial" w:hAnsi="Arial"/>
                <w:sz w:val="25"/>
                <w:szCs w:val="25"/>
                <w:b w:val="1"/>
                <w:bCs w:val="1"/>
                <w:color w:val="auto"/>
                <w:vertAlign w:val="superscript"/>
              </w:rPr>
              <w:t>(j)</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familial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Phase 3 study in adult</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adults (mid-2020)</w:t>
            </w:r>
          </w:p>
        </w:tc>
      </w:tr>
      <w:tr>
        <w:trPr>
          <w:trHeight w:val="216"/>
        </w:trPr>
        <w:tc>
          <w:tcPr>
            <w:tcW w:w="15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4"/>
              </w:rPr>
              <w:t>Antibody to PCSK9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hypercholesterolemia</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patients with HoFH</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w w:val="95"/>
              </w:rPr>
              <w:t>("HoFH")</w:t>
            </w:r>
            <w:r>
              <w:rPr>
                <w:rFonts w:ascii="Arial" w:cs="Arial" w:eastAsia="Arial" w:hAnsi="Arial"/>
                <w:sz w:val="25"/>
                <w:szCs w:val="25"/>
                <w:color w:val="auto"/>
                <w:w w:val="95"/>
                <w:vertAlign w:val="superscript"/>
              </w:rPr>
              <w:t>(c)</w:t>
            </w:r>
            <w:r>
              <w:rPr>
                <w:rFonts w:ascii="Arial" w:cs="Arial" w:eastAsia="Arial" w:hAnsi="Arial"/>
                <w:sz w:val="18"/>
                <w:szCs w:val="18"/>
                <w:color w:val="auto"/>
                <w:w w:val="95"/>
              </w:rPr>
              <w:t xml:space="preserve"> in adults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0"/>
        </w:trPr>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pediatrics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77"/>
        </w:trPr>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HeFH in pediatrics</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spacing w:after="0"/>
              <w:rPr>
                <w:sz w:val="24"/>
                <w:szCs w:val="24"/>
                <w:color w:val="auto"/>
              </w:rPr>
            </w:pPr>
          </w:p>
        </w:tc>
      </w:tr>
      <w:tr>
        <w:trPr>
          <w:trHeight w:val="225"/>
        </w:trPr>
        <w:tc>
          <w:tcPr>
            <w:tcW w:w="1520" w:type="dxa"/>
            <w:vAlign w:val="bottom"/>
          </w:tcPr>
          <w:p>
            <w:pPr>
              <w:ind w:left="40"/>
              <w:spacing w:after="0" w:line="224" w:lineRule="exact"/>
              <w:rPr>
                <w:sz w:val="20"/>
                <w:szCs w:val="20"/>
                <w:color w:val="auto"/>
              </w:rPr>
            </w:pPr>
            <w:r>
              <w:rPr>
                <w:rFonts w:ascii="Arial" w:cs="Arial" w:eastAsia="Arial" w:hAnsi="Arial"/>
                <w:sz w:val="18"/>
                <w:szCs w:val="18"/>
                <w:b w:val="1"/>
                <w:bCs w:val="1"/>
                <w:color w:val="auto"/>
              </w:rPr>
              <w:t>Evinacumab</w:t>
            </w:r>
            <w:r>
              <w:rPr>
                <w:rFonts w:ascii="Arial" w:cs="Arial" w:eastAsia="Arial" w:hAnsi="Arial"/>
                <w:sz w:val="25"/>
                <w:szCs w:val="25"/>
                <w:b w:val="1"/>
                <w:bCs w:val="1"/>
                <w:color w:val="auto"/>
                <w:vertAlign w:val="superscript"/>
              </w:rPr>
              <w:t>(f)</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 Refractory</w:t>
            </w:r>
          </w:p>
        </w:tc>
        <w:tc>
          <w:tcPr>
            <w:tcW w:w="172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 HoFH (U.S.)</w:t>
            </w:r>
            <w:r>
              <w:rPr>
                <w:rFonts w:ascii="Arial" w:cs="Arial" w:eastAsia="Arial" w:hAnsi="Arial"/>
                <w:sz w:val="25"/>
                <w:szCs w:val="25"/>
                <w:color w:val="auto"/>
                <w:vertAlign w:val="superscript"/>
              </w:rPr>
              <w:t>(c)(d)</w:t>
            </w:r>
          </w:p>
        </w:tc>
        <w:tc>
          <w:tcPr>
            <w:tcW w:w="1320" w:type="dxa"/>
            <w:vAlign w:val="bottom"/>
            <w:gridSpan w:val="2"/>
          </w:tcPr>
          <w:p>
            <w:pPr>
              <w:ind w:left="20"/>
              <w:spacing w:after="0" w:line="224" w:lineRule="exact"/>
              <w:rPr>
                <w:sz w:val="20"/>
                <w:szCs w:val="20"/>
                <w:color w:val="auto"/>
              </w:rPr>
            </w:pPr>
            <w:r>
              <w:rPr>
                <w:rFonts w:ascii="Arial" w:cs="Arial" w:eastAsia="Arial" w:hAnsi="Arial"/>
                <w:sz w:val="18"/>
                <w:szCs w:val="18"/>
                <w:color w:val="auto"/>
                <w:w w:val="98"/>
              </w:rPr>
              <w:t>- HoFH (U.S.)</w:t>
            </w:r>
            <w:r>
              <w:rPr>
                <w:rFonts w:ascii="Arial" w:cs="Arial" w:eastAsia="Arial" w:hAnsi="Arial"/>
                <w:sz w:val="25"/>
                <w:szCs w:val="25"/>
                <w:color w:val="auto"/>
                <w:w w:val="98"/>
                <w:vertAlign w:val="superscript"/>
              </w:rPr>
              <w:t>(c)</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 Complete rolling BLA</w:t>
            </w:r>
          </w:p>
        </w:tc>
      </w:tr>
      <w:tr>
        <w:trPr>
          <w:trHeight w:val="220"/>
        </w:trPr>
        <w:tc>
          <w:tcPr>
            <w:tcW w:w="1520" w:type="dxa"/>
            <w:vAlign w:val="bottom"/>
          </w:tcPr>
          <w:p>
            <w:pPr>
              <w:ind w:left="40"/>
              <w:spacing w:after="0"/>
              <w:rPr>
                <w:sz w:val="20"/>
                <w:szCs w:val="20"/>
                <w:color w:val="auto"/>
              </w:rPr>
            </w:pPr>
            <w:r>
              <w:rPr>
                <w:rFonts w:ascii="Arial" w:cs="Arial" w:eastAsia="Arial" w:hAnsi="Arial"/>
                <w:sz w:val="18"/>
                <w:szCs w:val="18"/>
                <w:b w:val="1"/>
                <w:bCs w:val="1"/>
                <w:color w:val="auto"/>
              </w:rPr>
              <w:t>(REGN1500)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w w:val="91"/>
              </w:rPr>
              <w:t>hypercholesterolemia</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40"/>
              <w:spacing w:after="0"/>
              <w:rPr>
                <w:sz w:val="20"/>
                <w:szCs w:val="20"/>
                <w:color w:val="auto"/>
              </w:rPr>
            </w:pPr>
            <w:r>
              <w:rPr>
                <w:rFonts w:ascii="Arial" w:cs="Arial" w:eastAsia="Arial" w:hAnsi="Arial"/>
                <w:sz w:val="13"/>
                <w:szCs w:val="13"/>
                <w:color w:val="auto"/>
              </w:rPr>
              <w:t>(d)</w:t>
            </w: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ind w:left="40"/>
              <w:spacing w:after="0"/>
              <w:rPr>
                <w:sz w:val="20"/>
                <w:szCs w:val="20"/>
                <w:color w:val="auto"/>
              </w:rPr>
            </w:pPr>
            <w:r>
              <w:rPr>
                <w:rFonts w:ascii="Arial" w:cs="Arial" w:eastAsia="Arial" w:hAnsi="Arial"/>
                <w:sz w:val="18"/>
                <w:szCs w:val="18"/>
                <w:color w:val="auto"/>
              </w:rPr>
              <w:t>submission for HoFH</w:t>
            </w:r>
          </w:p>
        </w:tc>
      </w:tr>
      <w:tr>
        <w:trPr>
          <w:trHeight w:val="216"/>
        </w:trPr>
        <w:tc>
          <w:tcPr>
            <w:tcW w:w="1520" w:type="dxa"/>
            <w:vAlign w:val="bottom"/>
          </w:tcPr>
          <w:p>
            <w:pPr>
              <w:ind w:left="40"/>
              <w:spacing w:after="0"/>
              <w:rPr>
                <w:sz w:val="20"/>
                <w:szCs w:val="20"/>
                <w:color w:val="auto"/>
              </w:rPr>
            </w:pPr>
            <w:r>
              <w:rPr>
                <w:rFonts w:ascii="Arial" w:cs="Arial" w:eastAsia="Arial" w:hAnsi="Arial"/>
                <w:sz w:val="18"/>
                <w:szCs w:val="18"/>
                <w:i w:val="1"/>
                <w:iCs w:val="1"/>
                <w:color w:val="auto"/>
              </w:rPr>
              <w:t>Antibody to</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w w:val="92"/>
              </w:rPr>
              <w:t>(both HeFH and non-</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ind w:left="40"/>
              <w:spacing w:after="0"/>
              <w:rPr>
                <w:sz w:val="20"/>
                <w:szCs w:val="20"/>
                <w:color w:val="auto"/>
              </w:rPr>
            </w:pPr>
            <w:r>
              <w:rPr>
                <w:rFonts w:ascii="Arial" w:cs="Arial" w:eastAsia="Arial" w:hAnsi="Arial"/>
                <w:sz w:val="18"/>
                <w:szCs w:val="18"/>
                <w:color w:val="auto"/>
              </w:rPr>
              <w:t>(mid-2020)</w:t>
            </w:r>
          </w:p>
        </w:tc>
      </w:tr>
      <w:tr>
        <w:trPr>
          <w:trHeight w:val="270"/>
        </w:trPr>
        <w:tc>
          <w:tcPr>
            <w:tcW w:w="1520" w:type="dxa"/>
            <w:vAlign w:val="bottom"/>
          </w:tcPr>
          <w:p>
            <w:pPr>
              <w:ind w:left="40"/>
              <w:spacing w:after="0"/>
              <w:rPr>
                <w:sz w:val="20"/>
                <w:szCs w:val="20"/>
                <w:color w:val="auto"/>
              </w:rPr>
            </w:pPr>
            <w:r>
              <w:rPr>
                <w:rFonts w:ascii="Arial" w:cs="Arial" w:eastAsia="Arial" w:hAnsi="Arial"/>
                <w:sz w:val="18"/>
                <w:szCs w:val="18"/>
                <w:i w:val="1"/>
                <w:iCs w:val="1"/>
                <w:color w:val="auto"/>
              </w:rPr>
              <w:t>ANGPTL3</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rPr>
              <w:t>FH)</w:t>
            </w: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 Submit MAA for HoFH</w:t>
            </w:r>
          </w:p>
        </w:tc>
      </w:tr>
      <w:tr>
        <w:trPr>
          <w:trHeight w:val="270"/>
        </w:trPr>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 Severe</w:t>
            </w: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ind w:left="40"/>
              <w:spacing w:after="0"/>
              <w:rPr>
                <w:sz w:val="20"/>
                <w:szCs w:val="20"/>
                <w:color w:val="auto"/>
              </w:rPr>
            </w:pPr>
            <w:r>
              <w:rPr>
                <w:rFonts w:ascii="Arial" w:cs="Arial" w:eastAsia="Arial" w:hAnsi="Arial"/>
                <w:sz w:val="18"/>
                <w:szCs w:val="18"/>
                <w:color w:val="auto"/>
              </w:rPr>
              <w:t>(second half 2020)</w:t>
            </w:r>
          </w:p>
        </w:tc>
      </w:tr>
      <w:tr>
        <w:trPr>
          <w:trHeight w:val="230"/>
        </w:trPr>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w w:val="96"/>
              </w:rPr>
              <w:t>hypertriglyceridemia</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5"/>
        </w:trPr>
        <w:tc>
          <w:tcPr>
            <w:tcW w:w="1520" w:type="dxa"/>
            <w:vAlign w:val="bottom"/>
            <w:shd w:val="clear" w:color="auto" w:fill="CCEEFF"/>
          </w:tcPr>
          <w:p>
            <w:pPr>
              <w:ind w:left="40"/>
              <w:spacing w:after="0" w:line="224" w:lineRule="exact"/>
              <w:rPr>
                <w:sz w:val="20"/>
                <w:szCs w:val="20"/>
                <w:color w:val="auto"/>
              </w:rPr>
            </w:pPr>
            <w:r>
              <w:rPr>
                <w:rFonts w:ascii="Arial" w:cs="Arial" w:eastAsia="Arial" w:hAnsi="Arial"/>
                <w:sz w:val="18"/>
                <w:szCs w:val="18"/>
                <w:b w:val="1"/>
                <w:bCs w:val="1"/>
                <w:color w:val="auto"/>
              </w:rPr>
              <w:t>Pozelimab</w:t>
            </w:r>
            <w:r>
              <w:rPr>
                <w:rFonts w:ascii="Arial" w:cs="Arial" w:eastAsia="Arial" w:hAnsi="Arial"/>
                <w:sz w:val="25"/>
                <w:szCs w:val="25"/>
                <w:b w:val="1"/>
                <w:bCs w:val="1"/>
                <w:color w:val="auto"/>
                <w:vertAlign w:val="superscript"/>
              </w:rPr>
              <w:t>(f)</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Paroxysmal</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Initiate combination</w:t>
            </w:r>
          </w:p>
        </w:tc>
      </w:tr>
      <w:tr>
        <w:trPr>
          <w:trHeight w:val="220"/>
        </w:trPr>
        <w:tc>
          <w:tcPr>
            <w:tcW w:w="1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(REGN3918)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nocturnal</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program with Alnylam's</w:t>
            </w:r>
          </w:p>
        </w:tc>
      </w:tr>
      <w:tr>
        <w:trPr>
          <w:trHeight w:val="216"/>
        </w:trPr>
        <w:tc>
          <w:tcPr>
            <w:tcW w:w="15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C5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hemoglobinuria</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cemdisiran (second half</w:t>
            </w:r>
          </w:p>
        </w:tc>
      </w:tr>
      <w:tr>
        <w:trPr>
          <w:trHeight w:val="257"/>
        </w:trPr>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("PNH")</w:t>
            </w:r>
            <w:r>
              <w:rPr>
                <w:rFonts w:ascii="Arial" w:cs="Arial" w:eastAsia="Arial" w:hAnsi="Arial"/>
                <w:sz w:val="25"/>
                <w:szCs w:val="25"/>
                <w:color w:val="auto"/>
                <w:vertAlign w:val="superscript"/>
              </w:rPr>
              <w:t>(c)</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2020)</w:t>
            </w:r>
          </w:p>
        </w:tc>
      </w:tr>
      <w:tr>
        <w:trPr>
          <w:trHeight w:val="229"/>
        </w:trPr>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CD55-deficient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 Initiate Phase 3 program</w:t>
            </w:r>
          </w:p>
        </w:tc>
      </w:tr>
      <w:tr>
        <w:trPr>
          <w:trHeight w:val="216"/>
        </w:trPr>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protein-losing</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PNH (next 12</w:t>
            </w:r>
          </w:p>
        </w:tc>
      </w:tr>
      <w:tr>
        <w:trPr>
          <w:trHeight w:val="257"/>
        </w:trPr>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enteropathy</w:t>
            </w:r>
            <w:r>
              <w:rPr>
                <w:rFonts w:ascii="Arial" w:cs="Arial" w:eastAsia="Arial" w:hAnsi="Arial"/>
                <w:sz w:val="25"/>
                <w:szCs w:val="25"/>
                <w:color w:val="auto"/>
                <w:vertAlign w:val="superscript"/>
              </w:rPr>
              <w:t>(c)</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months)</w:t>
            </w:r>
          </w:p>
        </w:tc>
      </w:tr>
    </w:tbl>
    <w:p>
      <w:pPr>
        <w:spacing w:after="0" w:line="1" w:lineRule="exact"/>
        <w:rPr>
          <w:sz w:val="20"/>
          <w:szCs w:val="20"/>
          <w:color w:val="auto"/>
        </w:rPr>
      </w:pPr>
    </w:p>
    <w:p>
      <w:pPr>
        <w:sectPr>
          <w:pgSz w:w="11900" w:h="16838" w:orient="portrait"/>
          <w:cols w:equalWidth="0" w:num="1">
            <w:col w:w="11240"/>
          </w:cols>
          <w:pgMar w:left="320" w:top="130" w:right="339" w:bottom="1440" w:gutter="0" w:footer="0" w:header="0"/>
        </w:sectPr>
      </w:pPr>
    </w:p>
    <w:tbl>
      <w:tblPr>
        <w:tblLayout w:type="fixed"/>
        <w:tblInd w:w="40" w:type="dxa"/>
        <w:tblCellMar>
          <w:top w:w="0" w:type="dxa"/>
          <w:left w:w="0" w:type="dxa"/>
          <w:bottom w:w="0" w:type="dxa"/>
          <w:right w:w="0" w:type="dxa"/>
        </w:tblCellMar>
      </w:tblPr>
      <w:tr>
        <w:trPr>
          <w:trHeight w:val="225"/>
        </w:trPr>
        <w:tc>
          <w:tcPr>
            <w:tcW w:w="1980" w:type="dxa"/>
            <w:vAlign w:val="bottom"/>
          </w:tcPr>
          <w:p>
            <w:pPr>
              <w:spacing w:after="0" w:line="224" w:lineRule="exact"/>
              <w:rPr>
                <w:sz w:val="20"/>
                <w:szCs w:val="20"/>
                <w:color w:val="auto"/>
              </w:rPr>
            </w:pPr>
            <w:r>
              <w:rPr>
                <w:rFonts w:ascii="Arial" w:cs="Arial" w:eastAsia="Arial" w:hAnsi="Arial"/>
                <w:sz w:val="18"/>
                <w:szCs w:val="18"/>
                <w:b w:val="1"/>
                <w:bCs w:val="1"/>
                <w:color w:val="auto"/>
              </w:rPr>
              <w:t>Garetosmab</w:t>
            </w:r>
            <w:r>
              <w:rPr>
                <w:rFonts w:ascii="Arial" w:cs="Arial" w:eastAsia="Arial" w:hAnsi="Arial"/>
                <w:sz w:val="25"/>
                <w:szCs w:val="25"/>
                <w:b w:val="1"/>
                <w:bCs w:val="1"/>
                <w:color w:val="auto"/>
                <w:vertAlign w:val="superscript"/>
              </w:rPr>
              <w:t>(f)</w:t>
            </w:r>
          </w:p>
        </w:tc>
        <w:tc>
          <w:tcPr>
            <w:tcW w:w="2080" w:type="dxa"/>
            <w:vAlign w:val="bottom"/>
          </w:tcPr>
          <w:p>
            <w:pPr>
              <w:ind w:left="600"/>
              <w:spacing w:after="0"/>
              <w:rPr>
                <w:sz w:val="20"/>
                <w:szCs w:val="20"/>
                <w:color w:val="auto"/>
              </w:rPr>
            </w:pPr>
            <w:r>
              <w:rPr>
                <w:rFonts w:ascii="Arial" w:cs="Arial" w:eastAsia="Arial" w:hAnsi="Arial"/>
                <w:sz w:val="18"/>
                <w:szCs w:val="18"/>
                <w:color w:val="auto"/>
              </w:rPr>
              <w:t>- Fibrodysplasia</w:t>
            </w:r>
          </w:p>
        </w:tc>
      </w:t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rPr>
              <w:t>(REGN2477)</w:t>
            </w:r>
          </w:p>
        </w:tc>
        <w:tc>
          <w:tcPr>
            <w:tcW w:w="2080" w:type="dxa"/>
            <w:vAlign w:val="bottom"/>
          </w:tcPr>
          <w:p>
            <w:pPr>
              <w:ind w:left="720"/>
              <w:spacing w:after="0"/>
              <w:rPr>
                <w:sz w:val="20"/>
                <w:szCs w:val="20"/>
                <w:color w:val="auto"/>
              </w:rPr>
            </w:pPr>
            <w:r>
              <w:rPr>
                <w:rFonts w:ascii="Arial" w:cs="Arial" w:eastAsia="Arial" w:hAnsi="Arial"/>
                <w:sz w:val="18"/>
                <w:szCs w:val="18"/>
                <w:color w:val="auto"/>
              </w:rPr>
              <w:t>ossificans</w:t>
            </w:r>
          </w:p>
        </w:tc>
      </w:tr>
      <w:tr>
        <w:trPr>
          <w:trHeight w:val="216"/>
        </w:trPr>
        <w:tc>
          <w:tcPr>
            <w:tcW w:w="1980" w:type="dxa"/>
            <w:vAlign w:val="bottom"/>
          </w:tcPr>
          <w:p>
            <w:pPr>
              <w:spacing w:after="0"/>
              <w:rPr>
                <w:sz w:val="20"/>
                <w:szCs w:val="20"/>
                <w:color w:val="auto"/>
              </w:rPr>
            </w:pPr>
            <w:r>
              <w:rPr>
                <w:rFonts w:ascii="Arial" w:cs="Arial" w:eastAsia="Arial" w:hAnsi="Arial"/>
                <w:sz w:val="18"/>
                <w:szCs w:val="18"/>
                <w:i w:val="1"/>
                <w:iCs w:val="1"/>
                <w:color w:val="auto"/>
              </w:rPr>
              <w:t>Antibody to Activin</w:t>
            </w:r>
          </w:p>
        </w:tc>
        <w:tc>
          <w:tcPr>
            <w:tcW w:w="2080" w:type="dxa"/>
            <w:vAlign w:val="bottom"/>
          </w:tcPr>
          <w:p>
            <w:pPr>
              <w:ind w:left="720"/>
              <w:spacing w:after="0"/>
              <w:rPr>
                <w:sz w:val="20"/>
                <w:szCs w:val="20"/>
                <w:color w:val="auto"/>
              </w:rPr>
            </w:pPr>
            <w:r>
              <w:rPr>
                <w:rFonts w:ascii="Arial" w:cs="Arial" w:eastAsia="Arial" w:hAnsi="Arial"/>
                <w:sz w:val="18"/>
                <w:szCs w:val="18"/>
                <w:color w:val="auto"/>
              </w:rPr>
              <w:t>progressiva</w:t>
            </w:r>
          </w:p>
        </w:tc>
      </w:tr>
      <w:tr>
        <w:trPr>
          <w:trHeight w:val="216"/>
        </w:trPr>
        <w:tc>
          <w:tcPr>
            <w:tcW w:w="1980" w:type="dxa"/>
            <w:vAlign w:val="bottom"/>
          </w:tcPr>
          <w:p>
            <w:pPr>
              <w:spacing w:after="0"/>
              <w:rPr>
                <w:sz w:val="20"/>
                <w:szCs w:val="20"/>
                <w:color w:val="auto"/>
              </w:rPr>
            </w:pPr>
            <w:r>
              <w:rPr>
                <w:rFonts w:ascii="Arial" w:cs="Arial" w:eastAsia="Arial" w:hAnsi="Arial"/>
                <w:sz w:val="18"/>
                <w:szCs w:val="18"/>
                <w:i w:val="1"/>
                <w:iCs w:val="1"/>
                <w:color w:val="auto"/>
              </w:rPr>
              <w:t>A</w:t>
            </w:r>
          </w:p>
        </w:tc>
        <w:tc>
          <w:tcPr>
            <w:tcW w:w="2080" w:type="dxa"/>
            <w:vAlign w:val="bottom"/>
          </w:tcPr>
          <w:p>
            <w:pPr>
              <w:ind w:left="720"/>
              <w:spacing w:after="0" w:line="216" w:lineRule="exact"/>
              <w:rPr>
                <w:sz w:val="20"/>
                <w:szCs w:val="20"/>
                <w:color w:val="auto"/>
              </w:rPr>
            </w:pPr>
            <w:r>
              <w:rPr>
                <w:rFonts w:ascii="Arial" w:cs="Arial" w:eastAsia="Arial" w:hAnsi="Arial"/>
                <w:sz w:val="18"/>
                <w:szCs w:val="18"/>
                <w:color w:val="auto"/>
              </w:rPr>
              <w:t>("FOP")</w:t>
            </w:r>
            <w:r>
              <w:rPr>
                <w:rFonts w:ascii="Arial" w:cs="Arial" w:eastAsia="Arial" w:hAnsi="Arial"/>
                <w:sz w:val="25"/>
                <w:szCs w:val="25"/>
                <w:color w:val="auto"/>
                <w:vertAlign w:val="superscript"/>
              </w:rPr>
              <w:t>(c)(e)</w:t>
            </w:r>
          </w:p>
        </w:tc>
      </w:tr>
      <w:tr>
        <w:trPr>
          <w:trHeight w:val="216"/>
        </w:trPr>
        <w:tc>
          <w:tcPr>
            <w:tcW w:w="1980" w:type="dxa"/>
            <w:vAlign w:val="bottom"/>
          </w:tcPr>
          <w:p>
            <w:pPr>
              <w:spacing w:after="0"/>
              <w:rPr>
                <w:sz w:val="18"/>
                <w:szCs w:val="18"/>
                <w:color w:val="auto"/>
              </w:rPr>
            </w:pPr>
          </w:p>
        </w:tc>
        <w:tc>
          <w:tcPr>
            <w:tcW w:w="2080" w:type="dxa"/>
            <w:vAlign w:val="bottom"/>
          </w:tcPr>
          <w:p>
            <w:pPr>
              <w:ind w:left="720"/>
              <w:spacing w:after="0"/>
              <w:rPr>
                <w:sz w:val="20"/>
                <w:szCs w:val="20"/>
                <w:color w:val="auto"/>
              </w:rPr>
            </w:pPr>
            <w:r>
              <w:rPr>
                <w:rFonts w:ascii="Arial" w:cs="Arial" w:eastAsia="Arial" w:hAnsi="Arial"/>
                <w:sz w:val="18"/>
                <w:szCs w:val="18"/>
                <w:color w:val="auto"/>
                <w:w w:val="92"/>
              </w:rPr>
              <w:t>(potentially pivotal</w:t>
            </w:r>
          </w:p>
        </w:tc>
      </w:tr>
      <w:tr>
        <w:trPr>
          <w:trHeight w:val="230"/>
        </w:trPr>
        <w:tc>
          <w:tcPr>
            <w:tcW w:w="1980" w:type="dxa"/>
            <w:vAlign w:val="bottom"/>
          </w:tcPr>
          <w:p>
            <w:pPr>
              <w:spacing w:after="0"/>
              <w:rPr>
                <w:sz w:val="20"/>
                <w:szCs w:val="20"/>
                <w:color w:val="auto"/>
              </w:rPr>
            </w:pPr>
          </w:p>
        </w:tc>
        <w:tc>
          <w:tcPr>
            <w:tcW w:w="2080" w:type="dxa"/>
            <w:vAlign w:val="bottom"/>
          </w:tcPr>
          <w:p>
            <w:pPr>
              <w:ind w:left="720"/>
              <w:spacing w:after="0"/>
              <w:rPr>
                <w:sz w:val="20"/>
                <w:szCs w:val="20"/>
                <w:color w:val="auto"/>
              </w:rPr>
            </w:pPr>
            <w:r>
              <w:rPr>
                <w:rFonts w:ascii="Arial" w:cs="Arial" w:eastAsia="Arial" w:hAnsi="Arial"/>
                <w:sz w:val="18"/>
                <w:szCs w:val="18"/>
                <w:color w:val="auto"/>
              </w:rPr>
              <w:t>study)</w:t>
            </w:r>
          </w:p>
        </w:tc>
      </w:tr>
    </w:tbl>
    <w:p>
      <w:pPr>
        <w:spacing w:after="0" w:line="20" w:lineRule="exact"/>
        <w:rPr>
          <w:sz w:val="20"/>
          <w:szCs w:val="20"/>
          <w:color w:val="auto"/>
        </w:rPr>
      </w:pPr>
      <w:r>
        <w:rPr>
          <w:sz w:val="20"/>
          <w:szCs w:val="20"/>
          <w:color w:val="auto"/>
        </w:rPr>
        <w:br w:type="column"/>
      </w:r>
    </w:p>
    <w:p>
      <w:pPr>
        <w:spacing w:after="0"/>
        <w:tabs>
          <w:tab w:leader="none" w:pos="1880" w:val="left"/>
        </w:tabs>
        <w:rPr>
          <w:sz w:val="20"/>
          <w:szCs w:val="20"/>
          <w:color w:val="auto"/>
        </w:rPr>
      </w:pPr>
      <w:r>
        <w:rPr>
          <w:rFonts w:ascii="Arial" w:cs="Arial" w:eastAsia="Arial" w:hAnsi="Arial"/>
          <w:sz w:val="18"/>
          <w:szCs w:val="18"/>
          <w:color w:val="auto"/>
        </w:rPr>
        <w:t>- Reported results from</w:t>
      </w:r>
      <w:r>
        <w:rPr>
          <w:sz w:val="20"/>
          <w:szCs w:val="20"/>
          <w:color w:val="auto"/>
        </w:rPr>
        <w:tab/>
      </w:r>
      <w:r>
        <w:rPr>
          <w:rFonts w:ascii="Arial" w:cs="Arial" w:eastAsia="Arial" w:hAnsi="Arial"/>
          <w:sz w:val="17"/>
          <w:szCs w:val="17"/>
          <w:color w:val="auto"/>
        </w:rPr>
        <w:t>- Submit first regulatory</w:t>
      </w:r>
    </w:p>
    <w:p>
      <w:pPr>
        <w:spacing w:after="0" w:line="2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8"/>
          <w:szCs w:val="18"/>
          <w:color w:val="auto"/>
        </w:rPr>
        <w:t>Phase 2 study in FOP</w:t>
      </w:r>
      <w:r>
        <w:rPr>
          <w:sz w:val="20"/>
          <w:szCs w:val="20"/>
          <w:color w:val="auto"/>
        </w:rPr>
        <w:tab/>
      </w:r>
      <w:r>
        <w:rPr>
          <w:rFonts w:ascii="Arial" w:cs="Arial" w:eastAsia="Arial" w:hAnsi="Arial"/>
          <w:sz w:val="16"/>
          <w:szCs w:val="16"/>
          <w:color w:val="auto"/>
        </w:rPr>
        <w:t>application (in the</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United States) (second</w:t>
      </w:r>
    </w:p>
    <w:p>
      <w:pPr>
        <w:spacing w:after="0" w:line="3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half 2020)</w:t>
      </w:r>
    </w:p>
    <w:p>
      <w:pPr>
        <w:spacing w:after="0" w:line="4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 Initiate Phase 3 study</w:t>
      </w:r>
    </w:p>
    <w:p>
      <w:pPr>
        <w:spacing w:after="0" w:line="35"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for FOP in pediatrics</w:t>
      </w:r>
    </w:p>
    <w:p>
      <w:pPr>
        <w:spacing w:after="0" w:line="2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(2021)</w:t>
      </w:r>
    </w:p>
    <w:p>
      <w:pPr>
        <w:spacing w:after="0" w:line="1" w:lineRule="exact"/>
        <w:rPr>
          <w:sz w:val="20"/>
          <w:szCs w:val="20"/>
          <w:color w:val="auto"/>
        </w:rPr>
      </w:pPr>
    </w:p>
    <w:p>
      <w:pPr>
        <w:sectPr>
          <w:pgSz w:w="11900" w:h="16838" w:orient="portrait"/>
          <w:cols w:equalWidth="0" w:num="2">
            <w:col w:w="6680" w:space="720"/>
            <w:col w:w="384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20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REGN4461</w:t>
            </w:r>
            <w:r>
              <w:rPr>
                <w:rFonts w:ascii="Arial" w:cs="Arial" w:eastAsia="Arial" w:hAnsi="Arial"/>
                <w:sz w:val="25"/>
                <w:szCs w:val="25"/>
                <w:b w:val="1"/>
                <w:bCs w:val="1"/>
                <w:color w:val="auto"/>
                <w:vertAlign w:val="superscript"/>
              </w:rPr>
              <w:t>(f)</w:t>
            </w:r>
          </w:p>
        </w:tc>
        <w:tc>
          <w:tcPr>
            <w:tcW w:w="5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Generalized</w:t>
            </w:r>
          </w:p>
        </w:tc>
        <w:tc>
          <w:tcPr>
            <w:tcW w:w="3580" w:type="dxa"/>
            <w:vAlign w:val="bottom"/>
            <w:shd w:val="clear" w:color="auto" w:fill="CCEEFF"/>
          </w:tcPr>
          <w:p>
            <w:pPr>
              <w:spacing w:after="0"/>
              <w:rPr>
                <w:sz w:val="23"/>
                <w:szCs w:val="23"/>
                <w:color w:val="auto"/>
              </w:rPr>
            </w:pPr>
          </w:p>
        </w:tc>
      </w:tr>
      <w:tr>
        <w:trPr>
          <w:trHeight w:val="216"/>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Agonist antibody to</w:t>
            </w:r>
          </w:p>
        </w:tc>
        <w:tc>
          <w:tcPr>
            <w:tcW w:w="5620" w:type="dxa"/>
            <w:vAlign w:val="bottom"/>
            <w:shd w:val="clear" w:color="auto" w:fill="CCEEFF"/>
          </w:tcPr>
          <w:p>
            <w:pPr>
              <w:ind w:left="700"/>
              <w:spacing w:after="0" w:line="216" w:lineRule="exact"/>
              <w:rPr>
                <w:sz w:val="20"/>
                <w:szCs w:val="20"/>
                <w:color w:val="auto"/>
              </w:rPr>
            </w:pPr>
            <w:r>
              <w:rPr>
                <w:rFonts w:ascii="Arial" w:cs="Arial" w:eastAsia="Arial" w:hAnsi="Arial"/>
                <w:sz w:val="18"/>
                <w:szCs w:val="18"/>
                <w:color w:val="auto"/>
              </w:rPr>
              <w:t>lipodystrophy</w:t>
            </w:r>
            <w:r>
              <w:rPr>
                <w:rFonts w:ascii="Arial" w:cs="Arial" w:eastAsia="Arial" w:hAnsi="Arial"/>
                <w:sz w:val="25"/>
                <w:szCs w:val="25"/>
                <w:color w:val="auto"/>
                <w:vertAlign w:val="superscript"/>
              </w:rPr>
              <w:t>(e)</w:t>
            </w:r>
          </w:p>
        </w:tc>
        <w:tc>
          <w:tcPr>
            <w:tcW w:w="3580" w:type="dxa"/>
            <w:vAlign w:val="bottom"/>
            <w:shd w:val="clear" w:color="auto" w:fill="CCEEFF"/>
          </w:tcPr>
          <w:p>
            <w:pPr>
              <w:spacing w:after="0"/>
              <w:rPr>
                <w:sz w:val="18"/>
                <w:szCs w:val="18"/>
                <w:color w:val="auto"/>
              </w:rPr>
            </w:pPr>
          </w:p>
        </w:tc>
      </w:tr>
      <w:tr>
        <w:trPr>
          <w:trHeight w:val="216"/>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leptin receptor</w:t>
            </w:r>
          </w:p>
        </w:tc>
        <w:tc>
          <w:tcPr>
            <w:tcW w:w="56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r>
      <w:tr>
        <w:trPr>
          <w:trHeight w:val="237"/>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("LEPR")</w:t>
            </w:r>
          </w:p>
        </w:tc>
        <w:tc>
          <w:tcPr>
            <w:tcW w:w="562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p>
        </w:tc>
      </w:tr>
      <w:tr>
        <w:trPr>
          <w:trHeight w:val="122"/>
        </w:trPr>
        <w:tc>
          <w:tcPr>
            <w:tcW w:w="204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3580" w:type="dxa"/>
            <w:vAlign w:val="bottom"/>
          </w:tcPr>
          <w:p>
            <w:pPr>
              <w:spacing w:after="0"/>
              <w:rPr>
                <w:sz w:val="10"/>
                <w:szCs w:val="10"/>
                <w:color w:val="auto"/>
              </w:rPr>
            </w:pPr>
          </w:p>
        </w:tc>
      </w:tr>
      <w:tr>
        <w:trPr>
          <w:trHeight w:val="250"/>
        </w:trPr>
        <w:tc>
          <w:tcPr>
            <w:tcW w:w="2040" w:type="dxa"/>
            <w:vAlign w:val="bottom"/>
            <w:tcBorders>
              <w:bottom w:val="single" w:sz="8" w:color="ACACAC"/>
            </w:tcBorders>
            <w:shd w:val="clear" w:color="auto" w:fill="ACACAC"/>
          </w:tcPr>
          <w:p>
            <w:pPr>
              <w:spacing w:after="0"/>
              <w:rPr>
                <w:sz w:val="21"/>
                <w:szCs w:val="21"/>
                <w:color w:val="auto"/>
              </w:rPr>
            </w:pPr>
          </w:p>
        </w:tc>
        <w:tc>
          <w:tcPr>
            <w:tcW w:w="5620" w:type="dxa"/>
            <w:vAlign w:val="bottom"/>
            <w:tcBorders>
              <w:bottom w:val="single" w:sz="8" w:color="ACACAC"/>
            </w:tcBorders>
            <w:shd w:val="clear" w:color="auto" w:fill="ACACAC"/>
          </w:tcPr>
          <w:p>
            <w:pPr>
              <w:ind w:left="3400"/>
              <w:spacing w:after="0"/>
              <w:rPr>
                <w:sz w:val="20"/>
                <w:szCs w:val="20"/>
                <w:color w:val="auto"/>
              </w:rPr>
            </w:pPr>
            <w:r>
              <w:rPr>
                <w:rFonts w:ascii="Arial" w:cs="Arial" w:eastAsia="Arial" w:hAnsi="Arial"/>
                <w:sz w:val="18"/>
                <w:szCs w:val="18"/>
                <w:b w:val="1"/>
                <w:bCs w:val="1"/>
                <w:color w:val="auto"/>
              </w:rPr>
              <w:t>Pain</w:t>
            </w:r>
          </w:p>
        </w:tc>
        <w:tc>
          <w:tcPr>
            <w:tcW w:w="3580" w:type="dxa"/>
            <w:vAlign w:val="bottom"/>
            <w:tcBorders>
              <w:bottom w:val="single" w:sz="8" w:color="ACACAC"/>
            </w:tcBorders>
            <w:shd w:val="clear" w:color="auto" w:fill="ACACAC"/>
          </w:tcPr>
          <w:p>
            <w:pPr>
              <w:spacing w:after="0"/>
              <w:rPr>
                <w:sz w:val="21"/>
                <w:szCs w:val="21"/>
                <w:color w:val="auto"/>
              </w:rPr>
            </w:pPr>
          </w:p>
        </w:tc>
      </w:tr>
      <w:tr>
        <w:trPr>
          <w:trHeight w:val="346"/>
        </w:trPr>
        <w:tc>
          <w:tcPr>
            <w:tcW w:w="2040" w:type="dxa"/>
            <w:vAlign w:val="bottom"/>
          </w:tcPr>
          <w:p>
            <w:pPr>
              <w:ind w:left="40"/>
              <w:spacing w:after="0"/>
              <w:rPr>
                <w:sz w:val="20"/>
                <w:szCs w:val="20"/>
                <w:color w:val="auto"/>
              </w:rPr>
            </w:pPr>
            <w:r>
              <w:rPr>
                <w:rFonts w:ascii="Arial" w:cs="Arial" w:eastAsia="Arial" w:hAnsi="Arial"/>
                <w:sz w:val="18"/>
                <w:szCs w:val="18"/>
                <w:b w:val="1"/>
                <w:bCs w:val="1"/>
                <w:color w:val="auto"/>
              </w:rPr>
              <w:t>Fasinumab</w:t>
            </w:r>
            <w:r>
              <w:rPr>
                <w:rFonts w:ascii="Arial" w:cs="Arial" w:eastAsia="Arial" w:hAnsi="Arial"/>
                <w:sz w:val="25"/>
                <w:szCs w:val="25"/>
                <w:b w:val="1"/>
                <w:bCs w:val="1"/>
                <w:color w:val="auto"/>
                <w:vertAlign w:val="superscript"/>
              </w:rPr>
              <w:t>(b)(f)</w:t>
            </w:r>
          </w:p>
        </w:tc>
        <w:tc>
          <w:tcPr>
            <w:tcW w:w="5620" w:type="dxa"/>
            <w:vAlign w:val="bottom"/>
          </w:tcPr>
          <w:p>
            <w:pPr>
              <w:ind w:left="2300"/>
              <w:spacing w:after="0"/>
              <w:rPr>
                <w:sz w:val="20"/>
                <w:szCs w:val="20"/>
                <w:color w:val="auto"/>
              </w:rPr>
            </w:pPr>
            <w:r>
              <w:rPr>
                <w:rFonts w:ascii="Arial" w:cs="Arial" w:eastAsia="Arial" w:hAnsi="Arial"/>
                <w:sz w:val="18"/>
                <w:szCs w:val="18"/>
                <w:color w:val="auto"/>
              </w:rPr>
              <w:t>- Osteoarthritis pain of</w:t>
            </w:r>
          </w:p>
        </w:tc>
        <w:tc>
          <w:tcPr>
            <w:tcW w:w="3580" w:type="dxa"/>
            <w:vAlign w:val="bottom"/>
          </w:tcPr>
          <w:p>
            <w:pPr>
              <w:ind w:left="1640"/>
              <w:spacing w:after="0"/>
              <w:rPr>
                <w:sz w:val="20"/>
                <w:szCs w:val="20"/>
                <w:color w:val="auto"/>
              </w:rPr>
            </w:pPr>
            <w:r>
              <w:rPr>
                <w:rFonts w:ascii="Arial" w:cs="Arial" w:eastAsia="Arial" w:hAnsi="Arial"/>
                <w:sz w:val="18"/>
                <w:szCs w:val="18"/>
                <w:color w:val="auto"/>
              </w:rPr>
              <w:t>- Report results from</w:t>
            </w:r>
          </w:p>
        </w:tc>
      </w:tr>
      <w:tr>
        <w:trPr>
          <w:trHeight w:val="220"/>
        </w:trPr>
        <w:tc>
          <w:tcPr>
            <w:tcW w:w="2040" w:type="dxa"/>
            <w:vAlign w:val="bottom"/>
          </w:tcPr>
          <w:p>
            <w:pPr>
              <w:ind w:left="40"/>
              <w:spacing w:after="0"/>
              <w:rPr>
                <w:sz w:val="20"/>
                <w:szCs w:val="20"/>
                <w:color w:val="auto"/>
              </w:rPr>
            </w:pPr>
            <w:r>
              <w:rPr>
                <w:rFonts w:ascii="Arial" w:cs="Arial" w:eastAsia="Arial" w:hAnsi="Arial"/>
                <w:sz w:val="18"/>
                <w:szCs w:val="18"/>
                <w:b w:val="1"/>
                <w:bCs w:val="1"/>
                <w:color w:val="auto"/>
              </w:rPr>
              <w:t>(REGN475)</w:t>
            </w:r>
          </w:p>
        </w:tc>
        <w:tc>
          <w:tcPr>
            <w:tcW w:w="5620" w:type="dxa"/>
            <w:vAlign w:val="bottom"/>
          </w:tcPr>
          <w:p>
            <w:pPr>
              <w:ind w:left="2420"/>
              <w:spacing w:after="0" w:line="220" w:lineRule="exact"/>
              <w:rPr>
                <w:sz w:val="20"/>
                <w:szCs w:val="20"/>
                <w:color w:val="auto"/>
              </w:rPr>
            </w:pPr>
            <w:r>
              <w:rPr>
                <w:rFonts w:ascii="Arial" w:cs="Arial" w:eastAsia="Arial" w:hAnsi="Arial"/>
                <w:sz w:val="18"/>
                <w:szCs w:val="18"/>
                <w:color w:val="auto"/>
              </w:rPr>
              <w:t>the knee or hip</w:t>
            </w:r>
            <w:r>
              <w:rPr>
                <w:rFonts w:ascii="Arial" w:cs="Arial" w:eastAsia="Arial" w:hAnsi="Arial"/>
                <w:sz w:val="25"/>
                <w:szCs w:val="25"/>
                <w:color w:val="auto"/>
                <w:vertAlign w:val="superscript"/>
              </w:rPr>
              <w:t>(e)</w:t>
            </w:r>
          </w:p>
        </w:tc>
        <w:tc>
          <w:tcPr>
            <w:tcW w:w="3580" w:type="dxa"/>
            <w:vAlign w:val="bottom"/>
          </w:tcPr>
          <w:p>
            <w:pPr>
              <w:ind w:left="1780"/>
              <w:spacing w:after="0"/>
              <w:rPr>
                <w:sz w:val="20"/>
                <w:szCs w:val="20"/>
                <w:color w:val="auto"/>
              </w:rPr>
            </w:pPr>
            <w:r>
              <w:rPr>
                <w:rFonts w:ascii="Arial" w:cs="Arial" w:eastAsia="Arial" w:hAnsi="Arial"/>
                <w:sz w:val="18"/>
                <w:szCs w:val="18"/>
                <w:color w:val="auto"/>
              </w:rPr>
              <w:t>Phase 3 studies in</w:t>
            </w:r>
          </w:p>
        </w:tc>
      </w:tr>
      <w:tr>
        <w:trPr>
          <w:trHeight w:val="216"/>
        </w:trPr>
        <w:tc>
          <w:tcPr>
            <w:tcW w:w="2040" w:type="dxa"/>
            <w:vAlign w:val="bottom"/>
          </w:tcPr>
          <w:p>
            <w:pPr>
              <w:ind w:left="40"/>
              <w:spacing w:after="0"/>
              <w:rPr>
                <w:sz w:val="20"/>
                <w:szCs w:val="20"/>
                <w:color w:val="auto"/>
              </w:rPr>
            </w:pPr>
            <w:r>
              <w:rPr>
                <w:rFonts w:ascii="Arial" w:cs="Arial" w:eastAsia="Arial" w:hAnsi="Arial"/>
                <w:sz w:val="18"/>
                <w:szCs w:val="18"/>
                <w:i w:val="1"/>
                <w:iCs w:val="1"/>
                <w:color w:val="auto"/>
              </w:rPr>
              <w:t>Antibody to NGF</w:t>
            </w:r>
          </w:p>
        </w:tc>
        <w:tc>
          <w:tcPr>
            <w:tcW w:w="5620" w:type="dxa"/>
            <w:vAlign w:val="bottom"/>
          </w:tcPr>
          <w:p>
            <w:pPr>
              <w:spacing w:after="0"/>
              <w:rPr>
                <w:sz w:val="18"/>
                <w:szCs w:val="18"/>
                <w:color w:val="auto"/>
              </w:rPr>
            </w:pPr>
          </w:p>
        </w:tc>
        <w:tc>
          <w:tcPr>
            <w:tcW w:w="3580" w:type="dxa"/>
            <w:vAlign w:val="bottom"/>
          </w:tcPr>
          <w:p>
            <w:pPr>
              <w:ind w:left="1780"/>
              <w:spacing w:after="0"/>
              <w:rPr>
                <w:sz w:val="20"/>
                <w:szCs w:val="20"/>
                <w:color w:val="auto"/>
              </w:rPr>
            </w:pPr>
            <w:r>
              <w:rPr>
                <w:rFonts w:ascii="Arial" w:cs="Arial" w:eastAsia="Arial" w:hAnsi="Arial"/>
                <w:sz w:val="18"/>
                <w:szCs w:val="18"/>
                <w:color w:val="auto"/>
                <w:w w:val="92"/>
              </w:rPr>
              <w:t>osteoarthritis pain of the</w:t>
            </w:r>
          </w:p>
        </w:tc>
      </w:tr>
      <w:tr>
        <w:trPr>
          <w:trHeight w:val="230"/>
        </w:trPr>
        <w:tc>
          <w:tcPr>
            <w:tcW w:w="20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580" w:type="dxa"/>
            <w:vAlign w:val="bottom"/>
          </w:tcPr>
          <w:p>
            <w:pPr>
              <w:ind w:left="1780"/>
              <w:spacing w:after="0"/>
              <w:rPr>
                <w:sz w:val="20"/>
                <w:szCs w:val="20"/>
                <w:color w:val="auto"/>
              </w:rPr>
            </w:pPr>
            <w:r>
              <w:rPr>
                <w:rFonts w:ascii="Arial" w:cs="Arial" w:eastAsia="Arial" w:hAnsi="Arial"/>
                <w:sz w:val="18"/>
                <w:szCs w:val="18"/>
                <w:color w:val="auto"/>
                <w:w w:val="98"/>
              </w:rPr>
              <w:t>knee or hip (mid-2020)</w:t>
            </w:r>
          </w:p>
        </w:tc>
      </w:tr>
      <w:tr>
        <w:trPr>
          <w:trHeight w:val="27"/>
        </w:trPr>
        <w:tc>
          <w:tcPr>
            <w:tcW w:w="20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580" w:type="dxa"/>
            <w:vAlign w:val="bottom"/>
          </w:tcPr>
          <w:p>
            <w:pPr>
              <w:spacing w:after="0"/>
              <w:rPr>
                <w:sz w:val="2"/>
                <w:szCs w:val="2"/>
                <w:color w:val="auto"/>
              </w:rPr>
            </w:pPr>
          </w:p>
        </w:tc>
      </w:tr>
      <w:tr>
        <w:trPr>
          <w:trHeight w:val="229"/>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REGN5069</w:t>
            </w:r>
          </w:p>
        </w:tc>
        <w:tc>
          <w:tcPr>
            <w:tcW w:w="56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Osteoarthritis pain of</w:t>
            </w:r>
          </w:p>
        </w:tc>
        <w:tc>
          <w:tcPr>
            <w:tcW w:w="358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 Report results from</w:t>
            </w:r>
          </w:p>
        </w:tc>
      </w:tr>
      <w:tr>
        <w:trPr>
          <w:trHeight w:val="216"/>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Antibody to GFRα3</w:t>
            </w:r>
          </w:p>
        </w:tc>
        <w:tc>
          <w:tcPr>
            <w:tcW w:w="5620" w:type="dxa"/>
            <w:vAlign w:val="bottom"/>
            <w:shd w:val="clear" w:color="auto" w:fill="CCEEFF"/>
          </w:tcPr>
          <w:p>
            <w:pPr>
              <w:ind w:left="700"/>
              <w:spacing w:after="0" w:line="216" w:lineRule="exact"/>
              <w:rPr>
                <w:sz w:val="20"/>
                <w:szCs w:val="20"/>
                <w:color w:val="auto"/>
              </w:rPr>
            </w:pPr>
            <w:r>
              <w:rPr>
                <w:rFonts w:ascii="Arial" w:cs="Arial" w:eastAsia="Arial" w:hAnsi="Arial"/>
                <w:sz w:val="18"/>
                <w:szCs w:val="18"/>
                <w:color w:val="auto"/>
              </w:rPr>
              <w:t>the knee</w:t>
            </w:r>
            <w:r>
              <w:rPr>
                <w:rFonts w:ascii="Arial" w:cs="Arial" w:eastAsia="Arial" w:hAnsi="Arial"/>
                <w:sz w:val="25"/>
                <w:szCs w:val="25"/>
                <w:color w:val="auto"/>
                <w:vertAlign w:val="superscript"/>
              </w:rPr>
              <w:t>(e)</w:t>
            </w:r>
          </w:p>
        </w:tc>
        <w:tc>
          <w:tcPr>
            <w:tcW w:w="35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Phase 2 study in</w:t>
            </w:r>
          </w:p>
        </w:tc>
      </w:tr>
      <w:tr>
        <w:trPr>
          <w:trHeight w:val="216"/>
        </w:trPr>
        <w:tc>
          <w:tcPr>
            <w:tcW w:w="204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58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92"/>
              </w:rPr>
              <w:t>osteoarthritis pain of the</w:t>
            </w:r>
          </w:p>
        </w:tc>
      </w:tr>
      <w:tr>
        <w:trPr>
          <w:trHeight w:val="230"/>
        </w:trPr>
        <w:tc>
          <w:tcPr>
            <w:tcW w:w="204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3580" w:type="dxa"/>
            <w:vAlign w:val="bottom"/>
            <w:shd w:val="clear" w:color="auto" w:fill="CCEEFF"/>
          </w:tcPr>
          <w:p>
            <w:pPr>
              <w:ind w:left="1780"/>
              <w:spacing w:after="0"/>
              <w:rPr>
                <w:sz w:val="20"/>
                <w:szCs w:val="20"/>
                <w:color w:val="auto"/>
              </w:rPr>
            </w:pPr>
            <w:r>
              <w:rPr>
                <w:rFonts w:ascii="Arial" w:cs="Arial" w:eastAsia="Arial" w:hAnsi="Arial"/>
                <w:sz w:val="18"/>
                <w:szCs w:val="18"/>
                <w:color w:val="auto"/>
                <w:w w:val="92"/>
              </w:rPr>
              <w:t>knee (second half 2020)</w:t>
            </w:r>
          </w:p>
        </w:tc>
      </w:tr>
      <w:tr>
        <w:trPr>
          <w:trHeight w:val="27"/>
        </w:trPr>
        <w:tc>
          <w:tcPr>
            <w:tcW w:w="2040" w:type="dxa"/>
            <w:vAlign w:val="bottom"/>
            <w:shd w:val="clear" w:color="auto" w:fill="CCEEFF"/>
          </w:tcPr>
          <w:p>
            <w:pPr>
              <w:spacing w:after="0"/>
              <w:rPr>
                <w:sz w:val="2"/>
                <w:szCs w:val="2"/>
                <w:color w:val="auto"/>
              </w:rPr>
            </w:pPr>
          </w:p>
        </w:tc>
        <w:tc>
          <w:tcPr>
            <w:tcW w:w="562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Clinical Program</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Regulatory</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8"/>
              </w:rPr>
              <w:t>Select Upcoming</w:t>
            </w:r>
          </w:p>
        </w:tc>
      </w:tr>
      <w:tr>
        <w:trPr>
          <w:trHeight w:val="261"/>
        </w:trPr>
        <w:tc>
          <w:tcPr>
            <w:tcW w:w="1700" w:type="dxa"/>
            <w:vAlign w:val="bottom"/>
            <w:gridSpan w:val="2"/>
          </w:tcPr>
          <w:p>
            <w:pPr>
              <w:ind w:left="360"/>
              <w:spacing w:after="0"/>
              <w:rPr>
                <w:sz w:val="20"/>
                <w:szCs w:val="20"/>
                <w:color w:val="auto"/>
              </w:rPr>
            </w:pPr>
            <w:r>
              <w:rPr>
                <w:rFonts w:ascii="Arial" w:cs="Arial" w:eastAsia="Arial" w:hAnsi="Arial"/>
                <w:sz w:val="18"/>
                <w:szCs w:val="18"/>
                <w:b w:val="1"/>
                <w:bCs w:val="1"/>
                <w:i w:val="1"/>
                <w:iCs w:val="1"/>
                <w:color w:val="auto"/>
              </w:rPr>
              <w:t>(continued)</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Phase 1</w:t>
            </w: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Phase 2</w:t>
            </w:r>
          </w:p>
        </w:tc>
        <w:tc>
          <w:tcPr>
            <w:tcW w:w="1460" w:type="dxa"/>
            <w:vAlign w:val="bottom"/>
          </w:tcPr>
          <w:p>
            <w:pPr>
              <w:ind w:left="440"/>
              <w:spacing w:after="0"/>
              <w:rPr>
                <w:sz w:val="20"/>
                <w:szCs w:val="20"/>
                <w:color w:val="auto"/>
              </w:rPr>
            </w:pPr>
            <w:r>
              <w:rPr>
                <w:rFonts w:ascii="Arial" w:cs="Arial" w:eastAsia="Arial" w:hAnsi="Arial"/>
                <w:sz w:val="18"/>
                <w:szCs w:val="18"/>
                <w:b w:val="1"/>
                <w:bCs w:val="1"/>
                <w:color w:val="auto"/>
              </w:rPr>
              <w:t>Phase 3</w:t>
            </w:r>
          </w:p>
        </w:tc>
        <w:tc>
          <w:tcPr>
            <w:tcW w:w="120" w:type="dxa"/>
            <w:vAlign w:val="bottom"/>
          </w:tcPr>
          <w:p>
            <w:pPr>
              <w:spacing w:after="0"/>
              <w:rPr>
                <w:sz w:val="22"/>
                <w:szCs w:val="22"/>
                <w:color w:val="auto"/>
              </w:rPr>
            </w:pPr>
          </w:p>
        </w:tc>
        <w:tc>
          <w:tcPr>
            <w:tcW w:w="1340" w:type="dxa"/>
            <w:vAlign w:val="bottom"/>
            <w:gridSpan w:val="2"/>
          </w:tcPr>
          <w:p>
            <w:pPr>
              <w:jc w:val="center"/>
              <w:ind w:right="120"/>
              <w:spacing w:after="0" w:line="262" w:lineRule="exact"/>
              <w:rPr>
                <w:sz w:val="20"/>
                <w:szCs w:val="20"/>
                <w:color w:val="auto"/>
              </w:rPr>
            </w:pPr>
            <w:r>
              <w:rPr>
                <w:rFonts w:ascii="Arial" w:cs="Arial" w:eastAsia="Arial" w:hAnsi="Arial"/>
                <w:sz w:val="18"/>
                <w:szCs w:val="18"/>
                <w:b w:val="1"/>
                <w:bCs w:val="1"/>
                <w:color w:val="auto"/>
                <w:w w:val="84"/>
              </w:rPr>
              <w:t>Review</w:t>
            </w:r>
            <w:r>
              <w:rPr>
                <w:rFonts w:ascii="Arial" w:cs="Arial" w:eastAsia="Arial" w:hAnsi="Arial"/>
                <w:sz w:val="25"/>
                <w:szCs w:val="25"/>
                <w:b w:val="1"/>
                <w:bCs w:val="1"/>
                <w:color w:val="auto"/>
                <w:w w:val="84"/>
                <w:vertAlign w:val="superscript"/>
              </w:rPr>
              <w:t>(i)</w:t>
            </w:r>
          </w:p>
        </w:tc>
        <w:tc>
          <w:tcPr>
            <w:tcW w:w="1900" w:type="dxa"/>
            <w:vAlign w:val="bottom"/>
          </w:tcPr>
          <w:p>
            <w:pPr>
              <w:ind w:left="180"/>
              <w:spacing w:after="0"/>
              <w:rPr>
                <w:sz w:val="20"/>
                <w:szCs w:val="20"/>
                <w:color w:val="auto"/>
              </w:rPr>
            </w:pPr>
            <w:r>
              <w:rPr>
                <w:rFonts w:ascii="Arial" w:cs="Arial" w:eastAsia="Arial" w:hAnsi="Arial"/>
                <w:sz w:val="18"/>
                <w:szCs w:val="18"/>
                <w:b w:val="1"/>
                <w:bCs w:val="1"/>
                <w:color w:val="auto"/>
                <w:w w:val="99"/>
              </w:rPr>
              <w:t>2020 Events to Date</w:t>
            </w:r>
          </w:p>
        </w:tc>
        <w:tc>
          <w:tcPr>
            <w:tcW w:w="120" w:type="dxa"/>
            <w:vAlign w:val="bottom"/>
          </w:tcPr>
          <w:p>
            <w:pPr>
              <w:spacing w:after="0"/>
              <w:rPr>
                <w:sz w:val="22"/>
                <w:szCs w:val="22"/>
                <w:color w:val="auto"/>
              </w:rPr>
            </w:pPr>
          </w:p>
        </w:tc>
        <w:tc>
          <w:tcPr>
            <w:tcW w:w="190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6"/>
              </w:rPr>
              <w:t>Milestones</w:t>
            </w:r>
            <w:r>
              <w:rPr>
                <w:rFonts w:ascii="Arial" w:cs="Arial" w:eastAsia="Arial" w:hAnsi="Arial"/>
                <w:sz w:val="25"/>
                <w:szCs w:val="25"/>
                <w:b w:val="1"/>
                <w:bCs w:val="1"/>
                <w:color w:val="auto"/>
                <w:w w:val="86"/>
                <w:vertAlign w:val="superscript"/>
              </w:rPr>
              <w:t>(k)</w:t>
            </w:r>
          </w:p>
        </w:tc>
      </w:tr>
      <w:tr>
        <w:trPr>
          <w:trHeight w:val="115"/>
        </w:trPr>
        <w:tc>
          <w:tcPr>
            <w:tcW w:w="1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Borders>
              <w:top w:val="single" w:sz="8" w:color="auto"/>
            </w:tcBorders>
          </w:tcPr>
          <w:p>
            <w:pPr>
              <w:spacing w:after="0"/>
              <w:rPr>
                <w:sz w:val="10"/>
                <w:szCs w:val="10"/>
                <w:color w:val="auto"/>
              </w:rPr>
            </w:pPr>
          </w:p>
        </w:tc>
      </w:tr>
      <w:tr>
        <w:trPr>
          <w:trHeight w:val="250"/>
        </w:trPr>
        <w:tc>
          <w:tcPr>
            <w:tcW w:w="158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020" w:type="dxa"/>
            <w:vAlign w:val="bottom"/>
            <w:tcBorders>
              <w:bottom w:val="single" w:sz="8" w:color="ACACAC"/>
            </w:tcBorders>
            <w:shd w:val="clear" w:color="auto" w:fill="ACACAC"/>
          </w:tcPr>
          <w:p>
            <w:pPr>
              <w:spacing w:after="0"/>
              <w:rPr>
                <w:sz w:val="21"/>
                <w:szCs w:val="21"/>
                <w:color w:val="auto"/>
              </w:rPr>
            </w:pPr>
          </w:p>
        </w:tc>
        <w:tc>
          <w:tcPr>
            <w:tcW w:w="100" w:type="dxa"/>
            <w:vAlign w:val="bottom"/>
            <w:tcBorders>
              <w:bottom w:val="single" w:sz="8" w:color="ACACAC"/>
            </w:tcBorders>
            <w:shd w:val="clear" w:color="auto" w:fill="ACACAC"/>
          </w:tcPr>
          <w:p>
            <w:pPr>
              <w:spacing w:after="0"/>
              <w:rPr>
                <w:sz w:val="21"/>
                <w:szCs w:val="21"/>
                <w:color w:val="auto"/>
              </w:rPr>
            </w:pPr>
          </w:p>
        </w:tc>
        <w:tc>
          <w:tcPr>
            <w:tcW w:w="146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2920" w:type="dxa"/>
            <w:vAlign w:val="bottom"/>
            <w:tcBorders>
              <w:bottom w:val="single" w:sz="8" w:color="ACACAC"/>
            </w:tcBorders>
            <w:gridSpan w:val="4"/>
            <w:shd w:val="clear" w:color="auto" w:fill="ACACAC"/>
          </w:tcPr>
          <w:p>
            <w:pPr>
              <w:ind w:left="500"/>
              <w:spacing w:after="0"/>
              <w:rPr>
                <w:sz w:val="20"/>
                <w:szCs w:val="20"/>
                <w:color w:val="auto"/>
              </w:rPr>
            </w:pPr>
            <w:r>
              <w:rPr>
                <w:rFonts w:ascii="Arial" w:cs="Arial" w:eastAsia="Arial" w:hAnsi="Arial"/>
                <w:sz w:val="18"/>
                <w:szCs w:val="18"/>
                <w:b w:val="1"/>
                <w:bCs w:val="1"/>
                <w:color w:val="auto"/>
              </w:rPr>
              <w:t>Infectious Diseases</w:t>
            </w:r>
          </w:p>
        </w:tc>
        <w:tc>
          <w:tcPr>
            <w:tcW w:w="1900" w:type="dxa"/>
            <w:vAlign w:val="bottom"/>
            <w:tcBorders>
              <w:bottom w:val="single" w:sz="8" w:color="ACACAC"/>
            </w:tcBorders>
            <w:shd w:val="clear" w:color="auto" w:fill="ACACAC"/>
          </w:tcPr>
          <w:p>
            <w:pPr>
              <w:spacing w:after="0"/>
              <w:rPr>
                <w:sz w:val="21"/>
                <w:szCs w:val="21"/>
                <w:color w:val="auto"/>
              </w:rPr>
            </w:pPr>
          </w:p>
        </w:tc>
        <w:tc>
          <w:tcPr>
            <w:tcW w:w="120" w:type="dxa"/>
            <w:vAlign w:val="bottom"/>
            <w:tcBorders>
              <w:bottom w:val="single" w:sz="8" w:color="ACACAC"/>
            </w:tcBorders>
            <w:shd w:val="clear" w:color="auto" w:fill="ACACAC"/>
          </w:tcPr>
          <w:p>
            <w:pPr>
              <w:spacing w:after="0"/>
              <w:rPr>
                <w:sz w:val="21"/>
                <w:szCs w:val="21"/>
                <w:color w:val="auto"/>
              </w:rPr>
            </w:pPr>
          </w:p>
        </w:tc>
        <w:tc>
          <w:tcPr>
            <w:tcW w:w="1900" w:type="dxa"/>
            <w:vAlign w:val="bottom"/>
            <w:tcBorders>
              <w:bottom w:val="single" w:sz="8" w:color="ACACAC"/>
            </w:tcBorders>
            <w:shd w:val="clear" w:color="auto" w:fill="ACACAC"/>
          </w:tcPr>
          <w:p>
            <w:pPr>
              <w:spacing w:after="0"/>
              <w:rPr>
                <w:sz w:val="21"/>
                <w:szCs w:val="21"/>
                <w:color w:val="auto"/>
              </w:rPr>
            </w:pPr>
          </w:p>
        </w:tc>
      </w:tr>
      <w:tr>
        <w:trPr>
          <w:trHeight w:val="346"/>
        </w:trPr>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REGN-EB3</w:t>
            </w:r>
            <w:r>
              <w:rPr>
                <w:rFonts w:ascii="Arial" w:cs="Arial" w:eastAsia="Arial" w:hAnsi="Arial"/>
                <w:sz w:val="25"/>
                <w:szCs w:val="25"/>
                <w:b w:val="1"/>
                <w:bCs w:val="1"/>
                <w:color w:val="auto"/>
                <w:vertAlign w:val="superscript"/>
              </w:rPr>
              <w:t>(f)</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rPr>
              <w:t>- Ebola (U.S.)</w:t>
            </w:r>
            <w:r>
              <w:rPr>
                <w:rFonts w:ascii="Arial" w:cs="Arial" w:eastAsia="Arial" w:hAnsi="Arial"/>
                <w:sz w:val="25"/>
                <w:szCs w:val="25"/>
                <w:color w:val="auto"/>
                <w:vertAlign w:val="superscript"/>
              </w:rPr>
              <w:t>(c)</w:t>
            </w:r>
          </w:p>
        </w:tc>
        <w:tc>
          <w:tcPr>
            <w:tcW w:w="190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 FDA decision on BLA</w:t>
            </w:r>
          </w:p>
        </w:tc>
      </w:tr>
      <w:tr>
        <w:trPr>
          <w:trHeight w:val="216"/>
        </w:trPr>
        <w:tc>
          <w:tcPr>
            <w:tcW w:w="1700" w:type="dxa"/>
            <w:vAlign w:val="bottom"/>
            <w:gridSpan w:val="2"/>
          </w:tcPr>
          <w:p>
            <w:pPr>
              <w:ind w:left="40"/>
              <w:spacing w:after="0" w:line="216" w:lineRule="exact"/>
              <w:rPr>
                <w:sz w:val="20"/>
                <w:szCs w:val="20"/>
                <w:color w:val="auto"/>
              </w:rPr>
            </w:pPr>
            <w:r>
              <w:rPr>
                <w:rFonts w:ascii="Arial" w:cs="Arial" w:eastAsia="Arial" w:hAnsi="Arial"/>
                <w:sz w:val="25"/>
                <w:szCs w:val="25"/>
                <w:b w:val="1"/>
                <w:bCs w:val="1"/>
                <w:color w:val="auto"/>
                <w:vertAlign w:val="superscript"/>
              </w:rPr>
              <w:t>(g)</w:t>
            </w:r>
            <w:r>
              <w:rPr>
                <w:rFonts w:ascii="Arial" w:cs="Arial" w:eastAsia="Arial" w:hAnsi="Arial"/>
                <w:sz w:val="18"/>
                <w:szCs w:val="18"/>
                <w:b w:val="1"/>
                <w:bCs w:val="1"/>
                <w:color w:val="auto"/>
              </w:rPr>
              <w:t xml:space="preserve"> (REGN3470-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color w:val="auto"/>
              </w:rPr>
              <w:t>(d)</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rPr>
              <w:t>for Ebola (target action</w:t>
            </w:r>
          </w:p>
        </w:tc>
      </w:tr>
      <w:tr>
        <w:trPr>
          <w:trHeight w:val="220"/>
        </w:trPr>
        <w:tc>
          <w:tcPr>
            <w:tcW w:w="1580" w:type="dxa"/>
            <w:vAlign w:val="bottom"/>
          </w:tcPr>
          <w:p>
            <w:pPr>
              <w:ind w:left="40"/>
              <w:spacing w:after="0"/>
              <w:rPr>
                <w:sz w:val="20"/>
                <w:szCs w:val="20"/>
                <w:color w:val="auto"/>
              </w:rPr>
            </w:pPr>
            <w:r>
              <w:rPr>
                <w:rFonts w:ascii="Arial" w:cs="Arial" w:eastAsia="Arial" w:hAnsi="Arial"/>
                <w:sz w:val="18"/>
                <w:szCs w:val="18"/>
                <w:b w:val="1"/>
                <w:bCs w:val="1"/>
                <w:color w:val="auto"/>
              </w:rPr>
              <w:t>3471-3479)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ind w:left="20"/>
              <w:spacing w:after="0"/>
              <w:rPr>
                <w:sz w:val="20"/>
                <w:szCs w:val="20"/>
                <w:color w:val="auto"/>
              </w:rPr>
            </w:pPr>
            <w:r>
              <w:rPr>
                <w:rFonts w:ascii="Arial" w:cs="Arial" w:eastAsia="Arial" w:hAnsi="Arial"/>
                <w:sz w:val="18"/>
                <w:szCs w:val="18"/>
                <w:color w:val="auto"/>
              </w:rPr>
              <w:t>date of October 25,</w:t>
            </w:r>
          </w:p>
        </w:tc>
      </w:tr>
      <w:tr>
        <w:trPr>
          <w:trHeight w:val="216"/>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auto"/>
              </w:rPr>
              <w:t>Multi-antibody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2020)</w:t>
            </w:r>
          </w:p>
        </w:tc>
      </w:tr>
      <w:tr>
        <w:trPr>
          <w:trHeight w:val="216"/>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auto"/>
              </w:rPr>
              <w:t>therapy to Ebola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auto"/>
              </w:rPr>
              <w:t>virus infection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1700" w:type="dxa"/>
            <w:vAlign w:val="bottom"/>
            <w:gridSpan w:val="2"/>
          </w:tcPr>
          <w:p>
            <w:pPr>
              <w:ind w:left="40"/>
              <w:spacing w:after="0"/>
              <w:rPr>
                <w:sz w:val="20"/>
                <w:szCs w:val="20"/>
                <w:color w:val="auto"/>
              </w:rPr>
            </w:pPr>
            <w:r>
              <w:rPr>
                <w:rFonts w:ascii="Arial" w:cs="Arial" w:eastAsia="Arial" w:hAnsi="Arial"/>
                <w:sz w:val="18"/>
                <w:szCs w:val="18"/>
                <w:i w:val="1"/>
                <w:iCs w:val="1"/>
                <w:color w:val="auto"/>
              </w:rPr>
              <w:t>("Ebola")</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37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 For purposes of the table above, a program is classified in Phase 1, 2, or 3 clinical development after recruiting for the corresponding study or studies has commenced</w:t>
      </w:r>
    </w:p>
    <w:p>
      <w:pPr>
        <w:spacing w:after="0" w:line="42" w:lineRule="exact"/>
        <w:rPr>
          <w:sz w:val="20"/>
          <w:szCs w:val="20"/>
          <w:color w:val="auto"/>
        </w:rPr>
      </w:pPr>
    </w:p>
    <w:p>
      <w:pPr>
        <w:ind w:left="420" w:hanging="122"/>
        <w:spacing w:after="0"/>
        <w:tabs>
          <w:tab w:leader="none" w:pos="420" w:val="left"/>
        </w:tabs>
        <w:numPr>
          <w:ilvl w:val="0"/>
          <w:numId w:val="11"/>
        </w:numPr>
        <w:rPr>
          <w:rFonts w:ascii="Arial" w:cs="Arial" w:eastAsia="Arial" w:hAnsi="Arial"/>
          <w:sz w:val="9"/>
          <w:szCs w:val="9"/>
          <w:color w:val="auto"/>
        </w:rPr>
      </w:pPr>
      <w:r>
        <w:rPr>
          <w:rFonts w:ascii="Arial" w:cs="Arial" w:eastAsia="Arial" w:hAnsi="Arial"/>
          <w:sz w:val="14"/>
          <w:szCs w:val="14"/>
          <w:color w:val="auto"/>
        </w:rPr>
        <w:t>In collaboration with Sanofi</w:t>
      </w:r>
    </w:p>
    <w:p>
      <w:pPr>
        <w:spacing w:after="0" w:line="41" w:lineRule="exact"/>
        <w:rPr>
          <w:rFonts w:ascii="Arial" w:cs="Arial" w:eastAsia="Arial" w:hAnsi="Arial"/>
          <w:sz w:val="9"/>
          <w:szCs w:val="9"/>
          <w:color w:val="auto"/>
        </w:rPr>
      </w:pPr>
    </w:p>
    <w:p>
      <w:pPr>
        <w:ind w:left="420" w:hanging="122"/>
        <w:spacing w:after="0"/>
        <w:tabs>
          <w:tab w:leader="none" w:pos="420" w:val="left"/>
        </w:tabs>
        <w:numPr>
          <w:ilvl w:val="0"/>
          <w:numId w:val="11"/>
        </w:numPr>
        <w:rPr>
          <w:rFonts w:ascii="Arial" w:cs="Arial" w:eastAsia="Arial" w:hAnsi="Arial"/>
          <w:sz w:val="9"/>
          <w:szCs w:val="9"/>
          <w:color w:val="auto"/>
        </w:rPr>
      </w:pPr>
      <w:r>
        <w:rPr>
          <w:rFonts w:ascii="Arial" w:cs="Arial" w:eastAsia="Arial" w:hAnsi="Arial"/>
          <w:sz w:val="14"/>
          <w:szCs w:val="14"/>
          <w:color w:val="auto"/>
        </w:rPr>
        <w:t>In collaboration with Teva and Mitsubishi Tanabe Pharma</w:t>
      </w:r>
    </w:p>
    <w:p>
      <w:pPr>
        <w:spacing w:after="0" w:line="41" w:lineRule="exact"/>
        <w:rPr>
          <w:rFonts w:ascii="Arial" w:cs="Arial" w:eastAsia="Arial" w:hAnsi="Arial"/>
          <w:sz w:val="9"/>
          <w:szCs w:val="9"/>
          <w:color w:val="auto"/>
        </w:rPr>
      </w:pPr>
    </w:p>
    <w:p>
      <w:pPr>
        <w:ind w:left="440" w:hanging="142"/>
        <w:spacing w:after="0"/>
        <w:tabs>
          <w:tab w:leader="none" w:pos="440" w:val="left"/>
        </w:tabs>
        <w:numPr>
          <w:ilvl w:val="0"/>
          <w:numId w:val="11"/>
        </w:numPr>
        <w:rPr>
          <w:rFonts w:ascii="Arial" w:cs="Arial" w:eastAsia="Arial" w:hAnsi="Arial"/>
          <w:sz w:val="9"/>
          <w:szCs w:val="9"/>
          <w:color w:val="auto"/>
        </w:rPr>
      </w:pPr>
      <w:r>
        <w:rPr>
          <w:rFonts w:ascii="Arial" w:cs="Arial" w:eastAsia="Arial" w:hAnsi="Arial"/>
          <w:sz w:val="14"/>
          <w:szCs w:val="14"/>
          <w:color w:val="auto"/>
        </w:rPr>
        <w:t>FDA granted orphan drug designation</w:t>
      </w:r>
    </w:p>
    <w:p>
      <w:pPr>
        <w:spacing w:after="0" w:line="41" w:lineRule="exact"/>
        <w:rPr>
          <w:rFonts w:ascii="Arial" w:cs="Arial" w:eastAsia="Arial" w:hAnsi="Arial"/>
          <w:sz w:val="9"/>
          <w:szCs w:val="9"/>
          <w:color w:val="auto"/>
        </w:rPr>
      </w:pPr>
    </w:p>
    <w:p>
      <w:pPr>
        <w:ind w:left="420" w:hanging="122"/>
        <w:spacing w:after="0"/>
        <w:tabs>
          <w:tab w:leader="none" w:pos="420" w:val="left"/>
        </w:tabs>
        <w:numPr>
          <w:ilvl w:val="0"/>
          <w:numId w:val="11"/>
        </w:numPr>
        <w:rPr>
          <w:rFonts w:ascii="Arial" w:cs="Arial" w:eastAsia="Arial" w:hAnsi="Arial"/>
          <w:sz w:val="9"/>
          <w:szCs w:val="9"/>
          <w:color w:val="auto"/>
        </w:rPr>
      </w:pPr>
      <w:r>
        <w:rPr>
          <w:rFonts w:ascii="Arial" w:cs="Arial" w:eastAsia="Arial" w:hAnsi="Arial"/>
          <w:sz w:val="14"/>
          <w:szCs w:val="14"/>
          <w:color w:val="auto"/>
        </w:rPr>
        <w:t>FDA granted Breakthrough Therapy designation</w:t>
      </w:r>
    </w:p>
    <w:p>
      <w:pPr>
        <w:spacing w:after="0" w:line="41" w:lineRule="exact"/>
        <w:rPr>
          <w:rFonts w:ascii="Arial" w:cs="Arial" w:eastAsia="Arial" w:hAnsi="Arial"/>
          <w:sz w:val="9"/>
          <w:szCs w:val="9"/>
          <w:color w:val="auto"/>
        </w:rPr>
      </w:pPr>
    </w:p>
    <w:p>
      <w:pPr>
        <w:ind w:left="440" w:hanging="142"/>
        <w:spacing w:after="0"/>
        <w:tabs>
          <w:tab w:leader="none" w:pos="440" w:val="left"/>
        </w:tabs>
        <w:numPr>
          <w:ilvl w:val="0"/>
          <w:numId w:val="11"/>
        </w:numPr>
        <w:rPr>
          <w:rFonts w:ascii="Arial" w:cs="Arial" w:eastAsia="Arial" w:hAnsi="Arial"/>
          <w:sz w:val="9"/>
          <w:szCs w:val="9"/>
          <w:color w:val="auto"/>
        </w:rPr>
      </w:pPr>
      <w:r>
        <w:rPr>
          <w:rFonts w:ascii="Arial" w:cs="Arial" w:eastAsia="Arial" w:hAnsi="Arial"/>
          <w:sz w:val="14"/>
          <w:szCs w:val="14"/>
          <w:color w:val="auto"/>
        </w:rPr>
        <w:t>FDA granted Fast Track designation</w:t>
      </w:r>
    </w:p>
    <w:p>
      <w:pPr>
        <w:spacing w:after="0" w:line="41" w:lineRule="exact"/>
        <w:rPr>
          <w:rFonts w:ascii="Arial" w:cs="Arial" w:eastAsia="Arial" w:hAnsi="Arial"/>
          <w:sz w:val="9"/>
          <w:szCs w:val="9"/>
          <w:color w:val="auto"/>
        </w:rPr>
      </w:pPr>
    </w:p>
    <w:p>
      <w:pPr>
        <w:ind w:left="300" w:right="200" w:hanging="2"/>
        <w:spacing w:after="0" w:line="253" w:lineRule="auto"/>
        <w:tabs>
          <w:tab w:leader="none" w:pos="426" w:val="left"/>
        </w:tabs>
        <w:numPr>
          <w:ilvl w:val="0"/>
          <w:numId w:val="11"/>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sales of the product candidate.</w:t>
      </w:r>
    </w:p>
    <w:p>
      <w:pPr>
        <w:spacing w:after="0" w:line="11" w:lineRule="exact"/>
        <w:rPr>
          <w:rFonts w:ascii="Arial" w:cs="Arial" w:eastAsia="Arial" w:hAnsi="Arial"/>
          <w:sz w:val="9"/>
          <w:szCs w:val="9"/>
          <w:color w:val="auto"/>
        </w:rPr>
      </w:pPr>
    </w:p>
    <w:p>
      <w:pPr>
        <w:ind w:left="300" w:right="100" w:hanging="2"/>
        <w:spacing w:after="0" w:line="253" w:lineRule="auto"/>
        <w:tabs>
          <w:tab w:leader="none" w:pos="427" w:val="left"/>
        </w:tabs>
        <w:numPr>
          <w:ilvl w:val="0"/>
          <w:numId w:val="11"/>
        </w:numPr>
        <w:rPr>
          <w:rFonts w:ascii="Arial" w:cs="Arial" w:eastAsia="Arial" w:hAnsi="Arial"/>
          <w:sz w:val="9"/>
          <w:szCs w:val="9"/>
          <w:color w:val="auto"/>
        </w:rPr>
      </w:pPr>
      <w:r>
        <w:rPr>
          <w:rFonts w:ascii="Arial" w:cs="Arial" w:eastAsia="Arial" w:hAnsi="Arial"/>
          <w:sz w:val="14"/>
          <w:szCs w:val="14"/>
          <w:color w:val="auto"/>
        </w:rPr>
        <w:t>We and the Biomedical Advanced Research Development Authority ("BARDA") of the U.S. Department of Health and Human Services ("HHS") are parties to agreements whereby HHS provides certain funding to support research, development, and manufacturing of these antibodies.</w:t>
      </w:r>
    </w:p>
    <w:p>
      <w:pPr>
        <w:spacing w:after="0" w:line="11" w:lineRule="exact"/>
        <w:rPr>
          <w:rFonts w:ascii="Arial" w:cs="Arial" w:eastAsia="Arial" w:hAnsi="Arial"/>
          <w:sz w:val="9"/>
          <w:szCs w:val="9"/>
          <w:color w:val="auto"/>
        </w:rPr>
      </w:pPr>
    </w:p>
    <w:p>
      <w:pPr>
        <w:ind w:left="440" w:hanging="142"/>
        <w:spacing w:after="0"/>
        <w:tabs>
          <w:tab w:leader="none" w:pos="440" w:val="left"/>
        </w:tabs>
        <w:numPr>
          <w:ilvl w:val="0"/>
          <w:numId w:val="11"/>
        </w:numPr>
        <w:rPr>
          <w:rFonts w:ascii="Arial" w:cs="Arial" w:eastAsia="Arial" w:hAnsi="Arial"/>
          <w:sz w:val="9"/>
          <w:szCs w:val="9"/>
          <w:color w:val="auto"/>
        </w:rPr>
      </w:pPr>
      <w:r>
        <w:rPr>
          <w:rFonts w:ascii="Arial" w:cs="Arial" w:eastAsia="Arial" w:hAnsi="Arial"/>
          <w:sz w:val="14"/>
          <w:szCs w:val="14"/>
          <w:color w:val="auto"/>
        </w:rPr>
        <w:t>Studied as monotherapy and in combination with other antibodies and treatments</w:t>
      </w:r>
    </w:p>
    <w:p>
      <w:pPr>
        <w:spacing w:after="0" w:line="41" w:lineRule="exact"/>
        <w:rPr>
          <w:rFonts w:ascii="Arial" w:cs="Arial" w:eastAsia="Arial" w:hAnsi="Arial"/>
          <w:sz w:val="9"/>
          <w:szCs w:val="9"/>
          <w:color w:val="auto"/>
        </w:rPr>
      </w:pPr>
    </w:p>
    <w:p>
      <w:pPr>
        <w:ind w:left="420" w:hanging="122"/>
        <w:spacing w:after="0"/>
        <w:tabs>
          <w:tab w:leader="none" w:pos="420" w:val="left"/>
        </w:tabs>
        <w:numPr>
          <w:ilvl w:val="0"/>
          <w:numId w:val="11"/>
        </w:numPr>
        <w:rPr>
          <w:rFonts w:ascii="Arial" w:cs="Arial" w:eastAsia="Arial" w:hAnsi="Arial"/>
          <w:sz w:val="9"/>
          <w:szCs w:val="9"/>
          <w:color w:val="auto"/>
        </w:rPr>
      </w:pPr>
      <w:r>
        <w:rPr>
          <w:rFonts w:ascii="Arial" w:cs="Arial" w:eastAsia="Arial" w:hAnsi="Arial"/>
          <w:sz w:val="14"/>
          <w:szCs w:val="14"/>
          <w:color w:val="auto"/>
        </w:rPr>
        <w:t>Information in this column relates to U.S., EU, and Japan regulatory submissions only</w:t>
      </w:r>
    </w:p>
    <w:p>
      <w:pPr>
        <w:spacing w:after="0" w:line="41" w:lineRule="exact"/>
        <w:rPr>
          <w:rFonts w:ascii="Arial" w:cs="Arial" w:eastAsia="Arial" w:hAnsi="Arial"/>
          <w:sz w:val="9"/>
          <w:szCs w:val="9"/>
          <w:color w:val="auto"/>
        </w:rPr>
      </w:pPr>
    </w:p>
    <w:p>
      <w:pPr>
        <w:ind w:left="300" w:right="100" w:hanging="2"/>
        <w:spacing w:after="0" w:line="281" w:lineRule="auto"/>
        <w:tabs>
          <w:tab w:leader="none" w:pos="421" w:val="left"/>
        </w:tabs>
        <w:numPr>
          <w:ilvl w:val="0"/>
          <w:numId w:val="11"/>
        </w:numPr>
        <w:rPr>
          <w:rFonts w:ascii="Arial" w:cs="Arial" w:eastAsia="Arial" w:hAnsi="Arial"/>
          <w:sz w:val="8"/>
          <w:szCs w:val="8"/>
          <w:color w:val="auto"/>
        </w:rPr>
      </w:pPr>
      <w:r>
        <w:rPr>
          <w:rFonts w:ascii="Arial" w:cs="Arial" w:eastAsia="Arial" w:hAnsi="Arial"/>
          <w:sz w:val="13"/>
          <w:szCs w:val="13"/>
          <w:color w:val="auto"/>
        </w:rPr>
        <w:t>In collaboration with Sanofi prior to April 2020. Effective April 2020, the Company is solely responsible for the development and commercialization of Praluent in the United States, and Sanofi is solely responsible for the development and commercialization of Praluent outside of the United States. Refer to "Collaboration Agreements" section below for further details.</w:t>
      </w:r>
    </w:p>
    <w:p>
      <w:pPr>
        <w:ind w:left="300" w:right="580" w:hanging="2"/>
        <w:spacing w:after="0" w:line="253" w:lineRule="auto"/>
        <w:tabs>
          <w:tab w:leader="none" w:pos="433" w:val="left"/>
        </w:tabs>
        <w:numPr>
          <w:ilvl w:val="0"/>
          <w:numId w:val="11"/>
        </w:numPr>
        <w:rPr>
          <w:rFonts w:ascii="Arial" w:cs="Arial" w:eastAsia="Arial" w:hAnsi="Arial"/>
          <w:sz w:val="9"/>
          <w:szCs w:val="9"/>
          <w:color w:val="auto"/>
        </w:rPr>
      </w:pPr>
      <w:r>
        <w:rPr>
          <w:rFonts w:ascii="Arial" w:cs="Arial" w:eastAsia="Arial" w:hAnsi="Arial"/>
          <w:sz w:val="14"/>
          <w:szCs w:val="14"/>
          <w:color w:val="auto"/>
        </w:rPr>
        <w:t>As described in the section preceding the table above and Part II, Item 1A. "Risk Factors," development timelines may be further subject to change as a result of the impact of the COVID-19 pandemic</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Research Programs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using our end-to-end antibody technologies to discover and develop brand new therapeutic antibodies for COVID-19. The Company is advancing REGN-COV2, a novel investigational antibody "cocktail" treatment designed to prevent and treat infection from the SARS-CoV-2 virus. In April, the Company moved its leading neutralizing antibodies into pre-clinical and clinical-scale cell production lines and plans to have supply available for clinical studies, which are expected to begin in June 2020. The Company is also working to rapidly scale-up manufacturing.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announced an expansion of its Other Transaction Agreement ("OTA") with BARDA, pursuant to which HHS is obligated to fund 80% of our costs incurred for certain research and development activities related to COVID-19 treatments.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2020, we were collaborating with Sanofi on the global development and commercialization of Dupixent, Praluent, Kevzara, and REGN3500 (the "Antibody Collaboration"). See discussion below for updates related to the development and commercialization of Praluent effective April 1, 2020. Under the terms of the Antibody License and Collaboration Agreement (the "LCA"), following receipt of the first positive Phase 3 trial results for a co-developed drug candidate, subsequent Phase 3 trial-related costs for that drug candidate are generally shared 80% by Sanofi and 20% by us. All other agreed-upon development costs incurred by both companies are funded 100% by Sanofi. We are obligated to reimburse Sanofi for 50% of worldwide development expenses that were fully funded by Sanofi and 30% of shared Phase 3 trial-related costs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2018, we and Sanofi entered into a letter agreement (the "Letter Agreement") amending the LCA in connection with, among other matters, the allocation of additional funds to certain proposed activities relating to dupilumab and REGN3500 (collectively, the "Dupilumab/REGN3500 Eligible Investments"). Pursuant to the Letter Agreement, we have agreed to allow Sanofi to satisfy in whole or in part its funding obligations with respect to the Dupilumab/REGN3500 Eligible Investments for the quarterly periods commencing on January 1, 2018 and ending on September 30, 2020 by selling up to an aggregate of 600,000 shares (of which 410,661 currently remains available) of our Common Stock directly or indirectly owned by Sanofi. Refer to the "</w:t>
      </w:r>
      <w:r>
        <w:rPr>
          <w:rFonts w:ascii="Arial" w:cs="Arial" w:eastAsia="Arial" w:hAnsi="Arial"/>
          <w:sz w:val="18"/>
          <w:szCs w:val="18"/>
          <w:i w:val="1"/>
          <w:iCs w:val="1"/>
          <w:color w:val="auto"/>
        </w:rPr>
        <w:t>Immuno-Oncology</w:t>
      </w:r>
      <w:r>
        <w:rPr>
          <w:rFonts w:ascii="Arial" w:cs="Arial" w:eastAsia="Arial" w:hAnsi="Arial"/>
          <w:sz w:val="18"/>
          <w:szCs w:val="18"/>
          <w:color w:val="auto"/>
        </w:rPr>
        <w:t>" section below for further details regarding the Letter Agreement.</w:t>
      </w:r>
    </w:p>
    <w:p>
      <w:pPr>
        <w:spacing w:after="0" w:line="2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our collaboration agreement, Sanofi records product sales for commercialized products, and Regeneron has the right to co-commercialize such products on a country-by-country basis. We have exercised our option to co-commercialize Dupixent in the United States and in certain countries outside the United States. We currently anticipate commencing co-commercialization of Dupixent in such countries outside the United States at the end of 2020 or early 2021. We supply certain commercial bulk product to Sanofi. We and Sanofi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and loss sharing, we are entitled to receive up to an aggregate of $250.0 million in milestone payments upon achievement of specified aggregate annual sales of antibodies outside the United States (including Praluent) on a rolling twelve-month basis. The Company will be entitled to receive the first sales milestone payment from Sanofi, in the amount of $50.0 million, when such sales outside the United States exceed $1.0 billion.</w:t>
      </w:r>
    </w:p>
    <w:p>
      <w:pPr>
        <w:sectPr>
          <w:pgSz w:w="11900" w:h="16838" w:orient="portrait"/>
          <w:cols w:equalWidth="0" w:num="1">
            <w:col w:w="11240"/>
          </w:cols>
          <w:pgMar w:left="320" w:top="130" w:right="33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30" w:right="3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2020, the Company and Sanofi entered into an amendment to the LCA in connection with, among other things, the removal of Praluent from the LCA such that (i) effective April 1, 2020, the LCA no longer governs the development, manufacture, or commercialization of Praluent and (ii) the quarterly period ended March 31, 2020 is the last quarter for which Sanofi and the Company will share profits and losses for Praluent under the LCA. The parties also entered into a Praluent Cross License &amp; Commercialization Agreement (the "Praluent Agreement") pursuant to which, effective April 1, 2020, the Company, at its sole cost, is solely responsible for the development and commercialization of Praluent in the United States, and Sanofi, at its sole cost, is solely responsible for the development and commercialization of Praluent outside of the United States. Under the Praluent Agreement, Sanofi will pay the Company a 5% royalty on Sanofi’s net product sales of Praluent outside the United States until March 31, 2032. The Company will not owe Sanofi royalties on the Company’s net product sales of Praluent in the United States. Although each party will be responsible for manufacturing Praluent for its respective territory, the parties have entered into definitive supply agreements under which, for a certain transitional period, the Company will continue to supply drug substance to Sanofi and Sanofi will continue to supply finished product to Regeneron. With respect to any intellectual property or product liability litigation relating to Praluent, the parties have agreed that, effective April 1, 2020, Regeneron and Sanofi each will be solely responsible for any such litigation (including damages and other costs and expenses thereof) in the United States and outside the United States, respectively, arising out of Praluent sales or other activities on or after April 1, 2020 (subject to Sanofi's right to set off a portion of any third-party royalty payments resulting from certain patent litigation proceedings against up to 50% of any Praluent royalty payment owed to Regeneron). The parties will each bear 50% of any damages arising out of Praluent sales or other activities prior to April 1, 2020.</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and Sanofi also announced their intent to restructure their antibody collaboration for Kevzara. The companies continue to assess potential terms of this restructuring in light of the recently launched clinical programs evaluating Kevzara in patients hospitalized with COVID-19 infection.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collaborating with Sanofi on the development and commercialization of antibody-based cancer treatments in the field of immuno-oncology (the "IO Collaboration"). The IO Collaboration is governed by an Amended and Restated Immuno-oncology Discovery and Development Agreement (the "Amended IO Discovery Agreement"), and an Immuno-oncology License and Collaboration Agreement (the "IO License and Collaboration Agreement").</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Effective December 31, 2018, the Company and Sanofi entered into the Amended IO Discovery Agreement, which narrowed the scope of the existing discovery and development activities conducted by the Company ("IO Development Activities") under the original 2015 Immuno-oncology Discovery and Development Agreement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w:t>
      </w:r>
    </w:p>
    <w:p>
      <w:pPr>
        <w:spacing w:after="0" w:line="2" w:lineRule="exact"/>
        <w:rPr>
          <w:sz w:val="20"/>
          <w:szCs w:val="20"/>
          <w:color w:val="auto"/>
        </w:rPr>
      </w:pPr>
    </w:p>
    <w:p>
      <w:pPr>
        <w:ind w:firstLine="8"/>
        <w:spacing w:after="0" w:line="260" w:lineRule="auto"/>
        <w:tabs>
          <w:tab w:leader="none" w:pos="2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prepayment for certain IO Development Activities regarding the BCMAxCD3 Program and the MUC16xCD3 Program, and (z) the reimbursement of costs incurred by the Company under the 2015 IO Discovery Agreement during the fourth quarter of 2018.</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Amended IO Discovery Agreement, the Company is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provided that under certain circumstances, Sanofi will have the option to increase the MUC16xCD3 Program Costs Cap to $70.0 million by making a payment to the Company in the amount of $20.0 million.</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Amended IO Discovery Agreement, we are primarily responsible for conducting the IO Development Activities (other than certain clinical trials that may be funded separately by Sanofi), including antibody development, preclinical activities, toxicology studies, manufacture of clinical supplies, filing of Investigational New Drug Applications ("INDs"), and clinical development through proof-of-concept. We are obligated to reimburse Sanofi for half of the development costs they funded that are attributable to clinical development of antibody product candidates under the Amended IO Discovery Agreement from our share of profits from commercialized IO Collaboration products.</w:t>
      </w: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regard to the BCMAxCD3 Program and the MUC16xCD3 Program, when (i) clinical proof-of-concept is established, (ii) the applicable Program Costs Cap is reached, or (iii)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If Sanofi does not exercise its option to license rights to a product candidate, we will retain the exclusive right to develop and commercialize such product candidate and Sanofi will receive a royalty on sales. Pursuant to the Amended IO Discovery Agreement, the parties agreed that (i) if Sanofi exercises its option with respect to a BCMAxCD3 Program antibody, Sanofi will lead the development and global commercialization of such BCMAxCD3 Program antibody; and (ii) if Sanofi exercises its option with</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respect to a MUC16xCD3 Program antibody, (x) we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us. If Sanofi exercises its option to license rights to a BCMAxCD3 Program antibody or MUC16xCD3 Program antibody thereunder, it will co-develop these drug candidates with us through product approval under the terms of the IO License and Collaboration Agreement.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 Each party will have the right to co-commercialize licensed products in countries where it is not the lead commercialization party. The parties will share equally in profits and losses in connection with the commercialization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23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terms of the IO License and Collaboration Agreement, the parties are also co-developing and co-commercializing Libtayo (cemiplimab), an antibody targeting PD-1. We have principal control over the development of Libtayo, and the parties share equally, on an ongoing basis, development and commercialization expenses for Libtayo. Under the Letter Agreement, we have agreed to allow Sanofi to satisfy in whole or in part its funding obligation with respect to Libtayo development costs for the quarterly periods commencing on October 1, 2017 and ending on September 30, 2020 by selling up to an aggregate of 800,000 shares (of which 330,253 currently remains available) of our Common Stock directly or indirectly owned by Sanofi.</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If Sanofi desires to sell shares of our Common Stock during the term of the Letter Agreement to satisfy a portion or all of its funding obligations for the Libtayo development and/or, as noted above,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Refer to the </w:t>
      </w:r>
      <w:r>
        <w:rPr>
          <w:rFonts w:ascii="Arial" w:cs="Arial" w:eastAsia="Arial" w:hAnsi="Arial"/>
          <w:sz w:val="18"/>
          <w:szCs w:val="18"/>
          <w:i w:val="1"/>
          <w:iCs w:val="1"/>
          <w:color w:val="auto"/>
        </w:rPr>
        <w:t>"Antibody"</w:t>
      </w:r>
      <w:r>
        <w:rPr>
          <w:rFonts w:ascii="Arial" w:cs="Arial" w:eastAsia="Arial" w:hAnsi="Arial"/>
          <w:sz w:val="18"/>
          <w:szCs w:val="18"/>
          <w:color w:val="auto"/>
        </w:rPr>
        <w:t xml:space="preserve"> section above for a description of share transactions related to Dupilumab/REGN3500 Eligible Investments.</w:t>
      </w:r>
    </w:p>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2006, we and Bayer have been parties to a license and collaboration agreement for the global 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 through 2021, and thereafter, the companies will share equally in profits and losses from the sales of EYLEA.</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such sales.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Teva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Fasinumab</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2016, we entered into a collaboration agreement with Teva to develop and commercialize fasinumab globally, excluding certain Asian countries that are subject to our collaboration agreement with Mitsubishi Tanabe Pharma Corporation ("MTPC"). In connection with the agreement, Teva made a $250.0 million non-refundable up-front payment. We lead global development activities, and the parties will share equally, on an ongoing basis, development costs under a global development plan. As of March 31, 2020, we had earned an aggregate of $120.0 million of development milestones from Teva and we are entitled to receive up to an aggregate of $340.0 million in additional development milestones and up to an aggregate of $1.890 billion in contingent payments upon achievement of specified annual net sales amounts. We are responsible for the manufacture and supply of fasinumab globally.</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REGN1979</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2020, we entered into an agreement with Zai Lab Limited to develop and commercialize REGN1979 in mainland China, Hong Kong, Taiwan, and Macau (the "Zai Territories"). In connection with the agreement, Zai is obligated to make a $30.0 million non-refundable up-front payment. We will continue to lead global development activities for REGN1979, and Zai will be responsible for funding a portion of the global development costs for certain clinical trials.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responsible for the manufacture and supply of clinical and commercial supplies of REGN1979 to Zai. If REGN1979 is commercialized in the Zai Territories, we will supply the product to Zai at a tiered purchase price, which is calculated as a percentage of net sales of the product (subject to adjustment in certain circumstances), and are eligible to receive up to $160.0 million in additional regulatory and sales milestone payments.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Investors and other interested parties should note that we use our media and investor relations website (</w:t>
      </w:r>
      <w:r>
        <w:rPr>
          <w:rFonts w:ascii="Arial" w:cs="Arial" w:eastAsia="Arial" w:hAnsi="Arial"/>
          <w:sz w:val="16"/>
          <w:szCs w:val="16"/>
          <w:i w:val="1"/>
          <w:iCs w:val="1"/>
          <w:color w:val="auto"/>
        </w:rPr>
        <w:t>http://newsroom.regeneron.com</w:t>
      </w:r>
      <w:r>
        <w:rPr>
          <w:rFonts w:ascii="Arial" w:cs="Arial" w:eastAsia="Arial" w:hAnsi="Arial"/>
          <w:sz w:val="16"/>
          <w:szCs w:val="16"/>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on our websites and social media channels is not included as a part of, or incorporated by reference into, this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2020 and 2019</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revisions have been made to the previously reported March 31, 2019 amounts below in connection with changing the presentation of certain amounts earned from collaborators; see Note 1 to our Condensed Consolidated Financial Statements for further details.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00" w:lineRule="exact"/>
        <w:rPr>
          <w:sz w:val="20"/>
          <w:szCs w:val="20"/>
          <w:color w:val="auto"/>
        </w:rPr>
      </w:pPr>
    </w:p>
    <w:p>
      <w:pPr>
        <w:spacing w:after="0" w:line="237" w:lineRule="exact"/>
        <w:rPr>
          <w:sz w:val="20"/>
          <w:szCs w:val="20"/>
          <w:color w:val="auto"/>
        </w:rPr>
      </w:pPr>
    </w:p>
    <w:tbl>
      <w:tblPr>
        <w:tblLayout w:type="fixed"/>
        <w:tblInd w:w="266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per share data)</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3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892.6</w:t>
            </w:r>
          </w:p>
        </w:tc>
      </w:tr>
      <w:tr>
        <w:trPr>
          <w:trHeight w:val="27"/>
        </w:trPr>
        <w:tc>
          <w:tcPr>
            <w:tcW w:w="3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66.1</w:t>
            </w:r>
          </w:p>
        </w:tc>
      </w:tr>
      <w:tr>
        <w:trPr>
          <w:trHeight w:val="27"/>
        </w:trPr>
        <w:tc>
          <w:tcPr>
            <w:tcW w:w="3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7"/>
        </w:trPr>
        <w:tc>
          <w:tcPr>
            <w:tcW w:w="3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r>
      <w:tr>
        <w:trPr>
          <w:trHeight w:val="20"/>
        </w:trPr>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11"/>
        </w:trPr>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3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0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22860</wp:posOffset>
            </wp:positionV>
            <wp:extent cx="1551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38"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 Change</w:t>
            </w:r>
          </w:p>
        </w:tc>
      </w:tr>
      <w:tr>
        <w:trPr>
          <w:trHeight w:val="27"/>
        </w:trPr>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 in the 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60"/>
              <w:spacing w:after="0"/>
              <w:rPr>
                <w:sz w:val="20"/>
                <w:szCs w:val="20"/>
                <w:color w:val="auto"/>
              </w:rPr>
            </w:pPr>
            <w:r>
              <w:rPr>
                <w:rFonts w:ascii="Arial" w:cs="Arial" w:eastAsia="Arial" w:hAnsi="Arial"/>
                <w:sz w:val="18"/>
                <w:szCs w:val="18"/>
                <w:color w:val="auto"/>
              </w:rPr>
              <w:t>EYLEA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97.9</w:t>
            </w:r>
          </w:p>
        </w:tc>
      </w:tr>
      <w:tr>
        <w:trPr>
          <w:trHeight w:val="27"/>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Libtayo</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43"/>
        </w:trPr>
        <w:tc>
          <w:tcPr>
            <w:tcW w:w="3860" w:type="dxa"/>
            <w:vAlign w:val="bottom"/>
          </w:tcPr>
          <w:p>
            <w:pPr>
              <w:ind w:left="260"/>
              <w:spacing w:after="0"/>
              <w:rPr>
                <w:sz w:val="20"/>
                <w:szCs w:val="20"/>
                <w:color w:val="auto"/>
              </w:rPr>
            </w:pPr>
            <w:r>
              <w:rPr>
                <w:rFonts w:ascii="Arial" w:cs="Arial" w:eastAsia="Arial" w:hAnsi="Arial"/>
                <w:sz w:val="18"/>
                <w:szCs w:val="18"/>
                <w:color w:val="auto"/>
              </w:rPr>
              <w:t>ARCALYST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Sanofi and Bayer collaboration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60"/>
              <w:spacing w:after="0"/>
              <w:rPr>
                <w:sz w:val="20"/>
                <w:szCs w:val="20"/>
                <w:color w:val="auto"/>
              </w:rPr>
            </w:pPr>
            <w:r>
              <w:rPr>
                <w:rFonts w:ascii="Arial" w:cs="Arial" w:eastAsia="Arial" w:hAnsi="Arial"/>
                <w:sz w:val="18"/>
                <w:szCs w:val="18"/>
                <w:color w:val="auto"/>
              </w:rPr>
              <w:t>Sanofi</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264.9</w:t>
            </w:r>
          </w:p>
        </w:tc>
      </w:tr>
      <w:tr>
        <w:trPr>
          <w:trHeight w:val="27"/>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Bayer</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455.6</w:t>
            </w: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product sales of EYLEA in the United States increased for the three months ended March 31, 2020, compared to the same period in 2019, due to higher sales volume, partly offset by an increase in sales-related deductions primarily due to higher rebates and discounts. The Company continues to monitor the potential impact of the COVID-19 pandemic on product sales. For the three months ended March 31, 2020, the impact of shelter-in-place and social distancing orders, physicians' office closures, and delays in the treatment of patients following the COVID-19 pandemic on our net product sales of EYLEA was limited. In the month of April 2020, overall U.S. EYLEA demand was lower compared to the same period of 2019. In addition to other potential impacts of the COVID-19 pandemic on net product sales, the Company expects to see continued adverse impact on new patient starts for all products while social distancing guidelines remain in place.</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Effective April 1, 2020, the Company is solely responsible for the development and commercialization of Praluent in the United States and will record net product sales of Praluent in the United States. Refer to "Collaboration Agreements - </w:t>
      </w:r>
      <w:r>
        <w:rPr>
          <w:rFonts w:ascii="Arial" w:cs="Arial" w:eastAsia="Arial" w:hAnsi="Arial"/>
          <w:sz w:val="18"/>
          <w:szCs w:val="18"/>
          <w:i w:val="1"/>
          <w:iCs w:val="1"/>
          <w:color w:val="auto"/>
        </w:rPr>
        <w:t>Collaborations with Sanofi</w:t>
      </w:r>
      <w:r>
        <w:rPr>
          <w:rFonts w:ascii="Arial" w:cs="Arial" w:eastAsia="Arial" w:hAnsi="Arial"/>
          <w:sz w:val="18"/>
          <w:szCs w:val="18"/>
          <w:color w:val="auto"/>
        </w:rPr>
        <w:t xml:space="preserve"> - </w:t>
      </w:r>
      <w:r>
        <w:rPr>
          <w:rFonts w:ascii="Arial" w:cs="Arial" w:eastAsia="Arial" w:hAnsi="Arial"/>
          <w:sz w:val="18"/>
          <w:szCs w:val="18"/>
          <w:i w:val="1"/>
          <w:iCs w:val="1"/>
          <w:color w:val="auto"/>
        </w:rPr>
        <w:t>Antibody</w:t>
      </w:r>
      <w:r>
        <w:rPr>
          <w:rFonts w:ascii="Arial" w:cs="Arial" w:eastAsia="Arial" w:hAnsi="Arial"/>
          <w:sz w:val="18"/>
          <w:szCs w:val="18"/>
          <w:color w:val="auto"/>
        </w:rPr>
        <w:t>" section above for further details.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i w:val="1"/>
                <w:iCs w:val="1"/>
                <w:color w:val="auto"/>
              </w:rPr>
              <w:t>Sanofi Collaboration Revenue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30"/>
        </w:trPr>
        <w:tc>
          <w:tcPr>
            <w:tcW w:w="2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2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20"/>
                <w:szCs w:val="20"/>
                <w:color w:val="auto"/>
              </w:rPr>
            </w:pPr>
          </w:p>
        </w:tc>
      </w:tr>
      <w:tr>
        <w:trPr>
          <w:trHeight w:val="27"/>
        </w:trPr>
        <w:tc>
          <w:tcPr>
            <w:tcW w:w="2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212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1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Antibody:</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29"/>
        </w:trPr>
        <w:tc>
          <w:tcPr>
            <w:tcW w:w="2120" w:type="dxa"/>
            <w:vAlign w:val="bottom"/>
          </w:tcPr>
          <w:p>
            <w:pPr>
              <w:spacing w:after="0"/>
              <w:rPr>
                <w:sz w:val="19"/>
                <w:szCs w:val="19"/>
                <w:color w:val="auto"/>
              </w:rPr>
            </w:pPr>
          </w:p>
        </w:tc>
        <w:tc>
          <w:tcPr>
            <w:tcW w:w="4580" w:type="dxa"/>
            <w:vAlign w:val="bottom"/>
          </w:tcPr>
          <w:p>
            <w:pPr>
              <w:ind w:left="280"/>
              <w:spacing w:after="0"/>
              <w:rPr>
                <w:sz w:val="20"/>
                <w:szCs w:val="20"/>
                <w:color w:val="auto"/>
              </w:rPr>
            </w:pPr>
            <w:r>
              <w:rPr>
                <w:rFonts w:ascii="Arial" w:cs="Arial" w:eastAsia="Arial" w:hAnsi="Arial"/>
                <w:sz w:val="18"/>
                <w:szCs w:val="18"/>
                <w:color w:val="auto"/>
                <w:w w:val="96"/>
              </w:rPr>
              <w:t>Regeneron's share of profits (losses) in connection with</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80" w:type="dxa"/>
            <w:vAlign w:val="bottom"/>
          </w:tcPr>
          <w:p>
            <w:pPr>
              <w:ind w:left="440"/>
              <w:spacing w:after="0"/>
              <w:rPr>
                <w:sz w:val="20"/>
                <w:szCs w:val="20"/>
                <w:color w:val="auto"/>
              </w:rPr>
            </w:pPr>
            <w:r>
              <w:rPr>
                <w:rFonts w:ascii="Arial" w:cs="Arial" w:eastAsia="Arial" w:hAnsi="Arial"/>
                <w:sz w:val="18"/>
                <w:szCs w:val="18"/>
                <w:color w:val="auto"/>
              </w:rPr>
              <w:t>commercialization of antibodies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2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120" w:type="dxa"/>
            <w:vAlign w:val="bottom"/>
          </w:tcPr>
          <w:p>
            <w:pPr>
              <w:spacing w:after="0"/>
              <w:rPr>
                <w:sz w:val="19"/>
                <w:szCs w:val="19"/>
                <w:color w:val="auto"/>
              </w:rPr>
            </w:pPr>
          </w:p>
        </w:tc>
        <w:tc>
          <w:tcPr>
            <w:tcW w:w="4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Reimbursement for manufacturing of commercial</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57"/>
        </w:trPr>
        <w:tc>
          <w:tcPr>
            <w:tcW w:w="2120" w:type="dxa"/>
            <w:vAlign w:val="bottom"/>
          </w:tcPr>
          <w:p>
            <w:pPr>
              <w:spacing w:after="0"/>
              <w:rPr>
                <w:sz w:val="22"/>
                <w:szCs w:val="22"/>
                <w:color w:val="auto"/>
              </w:rPr>
            </w:pPr>
          </w:p>
        </w:tc>
        <w:tc>
          <w:tcPr>
            <w:tcW w:w="4580" w:type="dxa"/>
            <w:vAlign w:val="bottom"/>
            <w:shd w:val="clear" w:color="auto" w:fill="CCEEFF"/>
          </w:tcPr>
          <w:p>
            <w:pPr>
              <w:ind w:left="440"/>
              <w:spacing w:after="0" w:line="257" w:lineRule="exact"/>
              <w:rPr>
                <w:sz w:val="20"/>
                <w:szCs w:val="20"/>
                <w:color w:val="auto"/>
              </w:rPr>
            </w:pPr>
            <w:r>
              <w:rPr>
                <w:rFonts w:ascii="Arial" w:cs="Arial" w:eastAsia="Arial" w:hAnsi="Arial"/>
                <w:sz w:val="18"/>
                <w:szCs w:val="18"/>
                <w:color w:val="auto"/>
              </w:rPr>
              <w:t>supplies</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37"/>
        </w:trPr>
        <w:tc>
          <w:tcPr>
            <w:tcW w:w="212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Total Antibody</w:t>
            </w: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212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21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Immuno-oncology:</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29"/>
        </w:trPr>
        <w:tc>
          <w:tcPr>
            <w:tcW w:w="2120" w:type="dxa"/>
            <w:vAlign w:val="bottom"/>
          </w:tcPr>
          <w:p>
            <w:pPr>
              <w:spacing w:after="0"/>
              <w:rPr>
                <w:sz w:val="19"/>
                <w:szCs w:val="19"/>
                <w:color w:val="auto"/>
              </w:rPr>
            </w:pPr>
          </w:p>
        </w:tc>
        <w:tc>
          <w:tcPr>
            <w:tcW w:w="4580" w:type="dxa"/>
            <w:vAlign w:val="bottom"/>
          </w:tcPr>
          <w:p>
            <w:pPr>
              <w:ind w:left="280"/>
              <w:spacing w:after="0"/>
              <w:rPr>
                <w:sz w:val="20"/>
                <w:szCs w:val="20"/>
                <w:color w:val="auto"/>
              </w:rPr>
            </w:pPr>
            <w:r>
              <w:rPr>
                <w:rFonts w:ascii="Arial" w:cs="Arial" w:eastAsia="Arial" w:hAnsi="Arial"/>
                <w:sz w:val="18"/>
                <w:szCs w:val="18"/>
                <w:color w:val="auto"/>
              </w:rPr>
              <w:t>Regeneron's share of losses in connection with</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80" w:type="dxa"/>
            <w:vAlign w:val="bottom"/>
          </w:tcPr>
          <w:p>
            <w:pPr>
              <w:ind w:left="440"/>
              <w:spacing w:after="0"/>
              <w:rPr>
                <w:sz w:val="20"/>
                <w:szCs w:val="20"/>
                <w:color w:val="auto"/>
              </w:rPr>
            </w:pPr>
            <w:r>
              <w:rPr>
                <w:rFonts w:ascii="Arial" w:cs="Arial" w:eastAsia="Arial" w:hAnsi="Arial"/>
                <w:sz w:val="18"/>
                <w:szCs w:val="18"/>
                <w:color w:val="auto"/>
                <w:w w:val="95"/>
              </w:rPr>
              <w:t>commercialization of Libtayo outside the United States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2120" w:type="dxa"/>
            <w:vAlign w:val="bottom"/>
          </w:tcPr>
          <w:p>
            <w:pPr>
              <w:spacing w:after="0"/>
              <w:rPr>
                <w:sz w:val="19"/>
                <w:szCs w:val="19"/>
                <w:color w:val="auto"/>
              </w:rPr>
            </w:pPr>
          </w:p>
        </w:tc>
        <w:tc>
          <w:tcPr>
            <w:tcW w:w="4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Reimbursement for manufacturing of commercial</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57"/>
        </w:trPr>
        <w:tc>
          <w:tcPr>
            <w:tcW w:w="2120" w:type="dxa"/>
            <w:vAlign w:val="bottom"/>
          </w:tcPr>
          <w:p>
            <w:pPr>
              <w:spacing w:after="0"/>
              <w:rPr>
                <w:sz w:val="22"/>
                <w:szCs w:val="22"/>
                <w:color w:val="auto"/>
              </w:rPr>
            </w:pPr>
          </w:p>
        </w:tc>
        <w:tc>
          <w:tcPr>
            <w:tcW w:w="4580" w:type="dxa"/>
            <w:vAlign w:val="bottom"/>
            <w:shd w:val="clear" w:color="auto" w:fill="CCEEFF"/>
          </w:tcPr>
          <w:p>
            <w:pPr>
              <w:ind w:left="440"/>
              <w:spacing w:after="0" w:line="257" w:lineRule="exact"/>
              <w:rPr>
                <w:sz w:val="20"/>
                <w:szCs w:val="20"/>
                <w:color w:val="auto"/>
              </w:rPr>
            </w:pPr>
            <w:r>
              <w:rPr>
                <w:rFonts w:ascii="Arial" w:cs="Arial" w:eastAsia="Arial" w:hAnsi="Arial"/>
                <w:sz w:val="18"/>
                <w:szCs w:val="18"/>
                <w:color w:val="auto"/>
              </w:rPr>
              <w:t>supplies</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12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Arial" w:cs="Arial" w:eastAsia="Arial" w:hAnsi="Arial"/>
                <w:sz w:val="18"/>
                <w:szCs w:val="18"/>
                <w:color w:val="auto"/>
              </w:rPr>
              <w:t>Total Immuno-oncology</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12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21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Sanofi collaboration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2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480" w:right="2760" w:hanging="2"/>
        <w:spacing w:after="0" w:line="253" w:lineRule="auto"/>
        <w:tabs>
          <w:tab w:leader="none" w:pos="2618"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corresponding costs incurred by us in connection with such production is recorded within Cost of collaboration and contract manufacturing.</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Antibody</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2020, the change in our share of profits (losses) in connection with commercialization of antibodies, compared to the same period in 2019, was primarily driven by higher Dupixent profits. Sanofi provides us with an estimate of our share of the profits or losses from commercialization of antibodies for the most recent fiscal quarter; these estimates are reconciled to actual results in the subsequent fiscal quarter, and our portion of the profits or losses is adjusted accordingly, as necessary. The increase in reimbursements for manufacturing of commercial supplies is primarily driven by higher Dupixent sales, as revenue recognition for such cost reimbursements is deferred until the product is sold by Sanofi to third-party customers.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Regeneron's share of profits (losses) in connection with the commercialization of Dupixent, Praluent, and Kevzara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00" w:type="dxa"/>
            <w:vAlign w:val="bottom"/>
            <w:tcBorders>
              <w:bottom w:val="single" w:sz="8" w:color="CCEEFF"/>
            </w:tcBorders>
            <w:shd w:val="clear" w:color="auto" w:fill="CCEEFF"/>
          </w:tcPr>
          <w:p>
            <w:pPr>
              <w:ind w:left="20"/>
              <w:spacing w:after="0" w:line="263" w:lineRule="exact"/>
              <w:rPr>
                <w:sz w:val="20"/>
                <w:szCs w:val="20"/>
                <w:color w:val="auto"/>
              </w:rPr>
            </w:pPr>
            <w:r>
              <w:rPr>
                <w:rFonts w:ascii="Arial" w:cs="Arial" w:eastAsia="Arial" w:hAnsi="Arial"/>
                <w:sz w:val="18"/>
                <w:szCs w:val="18"/>
                <w:color w:val="auto"/>
              </w:rPr>
              <w:t>Dupixent, Praluent, and Kevzara net product sales</w:t>
            </w:r>
            <w:r>
              <w:rPr>
                <w:rFonts w:ascii="Arial" w:cs="Arial" w:eastAsia="Arial" w:hAnsi="Arial"/>
                <w:sz w:val="25"/>
                <w:szCs w:val="25"/>
                <w:color w:val="auto"/>
                <w:vertAlign w:val="superscript"/>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995.1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tcPr>
          <w:p>
            <w:pPr>
              <w:ind w:left="20"/>
              <w:spacing w:after="0"/>
              <w:rPr>
                <w:sz w:val="20"/>
                <w:szCs w:val="20"/>
                <w:color w:val="auto"/>
              </w:rPr>
            </w:pPr>
            <w:r>
              <w:rPr>
                <w:rFonts w:ascii="Arial" w:cs="Arial" w:eastAsia="Arial" w:hAnsi="Arial"/>
                <w:sz w:val="18"/>
                <w:szCs w:val="18"/>
                <w:color w:val="auto"/>
              </w:rPr>
              <w:t>Regeneron's share of collaboration profits (losses)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Reimbursement of development expenses incurred by Sanofi</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accordance with Regeneron's payment obligation</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00" w:type="dxa"/>
            <w:vAlign w:val="bottom"/>
          </w:tcPr>
          <w:p>
            <w:pPr>
              <w:ind w:left="20"/>
              <w:spacing w:after="0"/>
              <w:rPr>
                <w:sz w:val="20"/>
                <w:szCs w:val="20"/>
                <w:color w:val="auto"/>
              </w:rPr>
            </w:pPr>
            <w:r>
              <w:rPr>
                <w:rFonts w:ascii="Arial" w:cs="Arial" w:eastAsia="Arial" w:hAnsi="Arial"/>
                <w:sz w:val="18"/>
                <w:szCs w:val="18"/>
                <w:color w:val="auto"/>
              </w:rPr>
              <w:t>Regeneron's share of profits (losses) in connection with</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2"/>
        </w:trPr>
        <w:tc>
          <w:tcPr>
            <w:tcW w:w="4600" w:type="dxa"/>
            <w:vAlign w:val="bottom"/>
          </w:tcPr>
          <w:p>
            <w:pPr>
              <w:ind w:left="180"/>
              <w:spacing w:after="0"/>
              <w:rPr>
                <w:sz w:val="20"/>
                <w:szCs w:val="20"/>
                <w:color w:val="auto"/>
              </w:rPr>
            </w:pPr>
            <w:r>
              <w:rPr>
                <w:rFonts w:ascii="Arial" w:cs="Arial" w:eastAsia="Arial" w:hAnsi="Arial"/>
                <w:sz w:val="18"/>
                <w:szCs w:val="18"/>
                <w:color w:val="auto"/>
              </w:rPr>
              <w:t>commercialization of antibodies</w:t>
            </w:r>
          </w:p>
        </w:tc>
        <w:tc>
          <w:tcPr>
            <w:tcW w:w="30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Regeneron's share of collaboration profits as a percentage of</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Dupixent, Praluent, and Kevzara net product sales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380" w:right="3980" w:hanging="3"/>
        <w:spacing w:after="0" w:line="333" w:lineRule="auto"/>
        <w:tabs>
          <w:tab w:leader="none" w:pos="2461" w:val="left"/>
        </w:tabs>
        <w:numPr>
          <w:ilvl w:val="0"/>
          <w:numId w:val="14"/>
        </w:numPr>
        <w:rPr>
          <w:rFonts w:ascii="Arial" w:cs="Arial" w:eastAsia="Arial" w:hAnsi="Arial"/>
          <w:sz w:val="9"/>
          <w:szCs w:val="9"/>
          <w:color w:val="auto"/>
        </w:rPr>
      </w:pPr>
      <w:r>
        <w:rPr>
          <w:rFonts w:ascii="Arial" w:cs="Arial" w:eastAsia="Arial" w:hAnsi="Arial"/>
          <w:sz w:val="14"/>
          <w:szCs w:val="14"/>
          <w:color w:val="auto"/>
        </w:rPr>
        <w:t xml:space="preserve">Global net product sales of Dupixent, Praluent, and Kevzara are recorded by Sanofi </w:t>
      </w:r>
      <w:r>
        <w:rPr>
          <w:rFonts w:ascii="Arial" w:cs="Arial" w:eastAsia="Arial" w:hAnsi="Arial"/>
          <w:sz w:val="8"/>
          <w:szCs w:val="8"/>
          <w:color w:val="auto"/>
        </w:rPr>
        <w:t xml:space="preserve">** </w:t>
      </w:r>
      <w:r>
        <w:rPr>
          <w:rFonts w:ascii="Arial" w:cs="Arial" w:eastAsia="Arial" w:hAnsi="Arial"/>
          <w:sz w:val="14"/>
          <w:szCs w:val="14"/>
          <w:color w:val="auto"/>
        </w:rPr>
        <w:t>Percentage not meaningful</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quarterly period ended March 31, 2020 is the last quarter for which Sanofi and the Company will share profits and losses for Praluent. As described above under "Collaboration Agreements - </w:t>
      </w:r>
      <w:r>
        <w:rPr>
          <w:rFonts w:ascii="Arial" w:cs="Arial" w:eastAsia="Arial" w:hAnsi="Arial"/>
          <w:sz w:val="18"/>
          <w:szCs w:val="18"/>
          <w:i w:val="1"/>
          <w:iCs w:val="1"/>
          <w:color w:val="auto"/>
        </w:rPr>
        <w:t>Collaborations with Sanofi</w:t>
      </w:r>
      <w:r>
        <w:rPr>
          <w:rFonts w:ascii="Arial" w:cs="Arial" w:eastAsia="Arial" w:hAnsi="Arial"/>
          <w:sz w:val="18"/>
          <w:szCs w:val="18"/>
          <w:color w:val="auto"/>
        </w:rPr>
        <w:t xml:space="preserve"> - </w:t>
      </w:r>
      <w:r>
        <w:rPr>
          <w:rFonts w:ascii="Arial" w:cs="Arial" w:eastAsia="Arial" w:hAnsi="Arial"/>
          <w:sz w:val="18"/>
          <w:szCs w:val="18"/>
          <w:i w:val="1"/>
          <w:iCs w:val="1"/>
          <w:color w:val="auto"/>
        </w:rPr>
        <w:t>Antibody</w:t>
      </w:r>
      <w:r>
        <w:rPr>
          <w:rFonts w:ascii="Arial" w:cs="Arial" w:eastAsia="Arial" w:hAnsi="Arial"/>
          <w:sz w:val="18"/>
          <w:szCs w:val="18"/>
          <w:color w:val="auto"/>
        </w:rPr>
        <w:t>", effective April 1, 2020, the Company is solely responsible for the development and commercialization of Praluent in the United States. Under the new agreement, Sanofi is solely responsible for the development and commercialization of Praluent outside of the United States, and will pay the Company a 5% royalty on Sanofi’s net product sales of Praluent outside the United States.</w:t>
      </w:r>
    </w:p>
    <w:p>
      <w:pPr>
        <w:sectPr>
          <w:pgSz w:w="11900" w:h="16838" w:orient="portrait"/>
          <w:cols w:equalWidth="0" w:num="1">
            <w:col w:w="11240"/>
          </w:cols>
          <w:pgMar w:left="320" w:top="130"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gridSpan w:val="2"/>
          </w:tcPr>
          <w:p>
            <w:pPr>
              <w:spacing w:after="0"/>
              <w:rPr>
                <w:sz w:val="20"/>
                <w:szCs w:val="20"/>
                <w:color w:val="auto"/>
              </w:rPr>
            </w:pPr>
            <w:r>
              <w:rPr>
                <w:rFonts w:ascii="Arial" w:cs="Arial" w:eastAsia="Arial" w:hAnsi="Arial"/>
                <w:sz w:val="18"/>
                <w:szCs w:val="18"/>
                <w:i w:val="1"/>
                <w:iCs w:val="1"/>
                <w:color w:val="auto"/>
              </w:rPr>
              <w:t>Bayer Collaboration Revenue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95"/>
        </w:trPr>
        <w:tc>
          <w:tcPr>
            <w:tcW w:w="17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7"/>
              </w:rPr>
              <w:t>Three Months Ended</w:t>
            </w:r>
          </w:p>
        </w:tc>
      </w:tr>
      <w:tr>
        <w:trPr>
          <w:trHeight w:val="234"/>
        </w:trPr>
        <w:tc>
          <w:tcPr>
            <w:tcW w:w="170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0"/>
                <w:szCs w:val="20"/>
                <w:color w:val="auto"/>
              </w:rPr>
            </w:pPr>
          </w:p>
        </w:tc>
      </w:tr>
      <w:tr>
        <w:trPr>
          <w:trHeight w:val="27"/>
        </w:trPr>
        <w:tc>
          <w:tcPr>
            <w:tcW w:w="170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170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1700" w:type="dxa"/>
            <w:vAlign w:val="bottom"/>
          </w:tcPr>
          <w:p>
            <w:pPr>
              <w:spacing w:after="0"/>
              <w:rPr>
                <w:sz w:val="18"/>
                <w:szCs w:val="18"/>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Regeneron's net profit in connection with commercialization of EYLEA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7"/>
        </w:trPr>
        <w:tc>
          <w:tcPr>
            <w:tcW w:w="170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r>
      <w:tr>
        <w:trPr>
          <w:trHeight w:val="270"/>
        </w:trPr>
        <w:tc>
          <w:tcPr>
            <w:tcW w:w="1700" w:type="dxa"/>
            <w:vAlign w:val="bottom"/>
          </w:tcPr>
          <w:p>
            <w:pPr>
              <w:spacing w:after="0"/>
              <w:rPr>
                <w:sz w:val="23"/>
                <w:szCs w:val="23"/>
                <w:color w:val="auto"/>
              </w:rPr>
            </w:pPr>
          </w:p>
        </w:tc>
        <w:tc>
          <w:tcPr>
            <w:tcW w:w="55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Reimbursement for manufacturing of commercial supplies</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57"/>
        </w:trPr>
        <w:tc>
          <w:tcPr>
            <w:tcW w:w="170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Bayer collaboration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r>
      <w:tr>
        <w:trPr>
          <w:trHeight w:val="20"/>
        </w:trPr>
        <w:tc>
          <w:tcPr>
            <w:tcW w:w="17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040" w:right="2160"/>
        <w:spacing w:after="0" w:line="253" w:lineRule="auto"/>
        <w:tabs>
          <w:tab w:leader="none" w:pos="2178" w:val="left"/>
        </w:tabs>
        <w:numPr>
          <w:ilvl w:val="0"/>
          <w:numId w:val="15"/>
        </w:numPr>
        <w:rPr>
          <w:rFonts w:ascii="Arial" w:cs="Arial" w:eastAsia="Arial" w:hAnsi="Arial"/>
          <w:sz w:val="9"/>
          <w:szCs w:val="9"/>
          <w:color w:val="auto"/>
        </w:rPr>
      </w:pPr>
      <w:r>
        <w:rPr>
          <w:rFonts w:ascii="Arial" w:cs="Arial" w:eastAsia="Arial" w:hAnsi="Arial"/>
          <w:sz w:val="14"/>
          <w:szCs w:val="14"/>
          <w:color w:val="auto"/>
        </w:rPr>
        <w:t>The corresponding costs incurred by us in connection with such production is recorded within Cost of collaboration and contract manufacturing.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EYLEA net product sales outside the United States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681.7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669.4</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0"/>
              <w:spacing w:after="0"/>
              <w:rPr>
                <w:sz w:val="20"/>
                <w:szCs w:val="20"/>
                <w:color w:val="auto"/>
              </w:rPr>
            </w:pPr>
            <w:r>
              <w:rPr>
                <w:rFonts w:ascii="Arial" w:cs="Arial" w:eastAsia="Arial" w:hAnsi="Arial"/>
                <w:sz w:val="18"/>
                <w:szCs w:val="18"/>
                <w:color w:val="auto"/>
                <w:w w:val="93"/>
              </w:rPr>
              <w:t>Regeneron's share of collaboration profit from sales outside the United</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Reimbursement of development expenses incurred by Bayer 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accordance with Regeneron's 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9"/>
        </w:trPr>
        <w:tc>
          <w:tcPr>
            <w:tcW w:w="5320" w:type="dxa"/>
            <w:vAlign w:val="bottom"/>
          </w:tcPr>
          <w:p>
            <w:pPr>
              <w:ind w:left="20"/>
              <w:spacing w:after="0"/>
              <w:rPr>
                <w:sz w:val="20"/>
                <w:szCs w:val="20"/>
                <w:color w:val="auto"/>
              </w:rPr>
            </w:pPr>
            <w:r>
              <w:rPr>
                <w:rFonts w:ascii="Arial" w:cs="Arial" w:eastAsia="Arial" w:hAnsi="Arial"/>
                <w:sz w:val="18"/>
                <w:szCs w:val="18"/>
                <w:color w:val="auto"/>
              </w:rPr>
              <w:t>Regeneron's net profit in connection with commercialization of</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18"/>
                <w:szCs w:val="18"/>
                <w:color w:val="auto"/>
              </w:rPr>
            </w:pPr>
          </w:p>
        </w:tc>
        <w:tc>
          <w:tcPr>
            <w:tcW w:w="38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42"/>
        </w:trPr>
        <w:tc>
          <w:tcPr>
            <w:tcW w:w="5320" w:type="dxa"/>
            <w:vAlign w:val="bottom"/>
          </w:tcPr>
          <w:p>
            <w:pPr>
              <w:ind w:left="180"/>
              <w:spacing w:after="0"/>
              <w:rPr>
                <w:sz w:val="20"/>
                <w:szCs w:val="20"/>
                <w:color w:val="auto"/>
              </w:rPr>
            </w:pPr>
            <w:r>
              <w:rPr>
                <w:rFonts w:ascii="Arial" w:cs="Arial" w:eastAsia="Arial" w:hAnsi="Arial"/>
                <w:sz w:val="18"/>
                <w:szCs w:val="18"/>
                <w:color w:val="auto"/>
              </w:rPr>
              <w:t>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Regeneron's net profit as a percentage of EYLEA net product sales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the United States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Bayer records net product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Other revenue includes, but is not limited to:</w:t>
      </w:r>
    </w:p>
    <w:p>
      <w:pPr>
        <w:spacing w:after="0" w:line="144"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recognition of revenue in connection with our agreements with BARDA related to REGN-EB3 for the treatment of Ebola and antibodies for the treatment of COVID-19;</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Sanofi's reimbursement for manufacturing commercial supplies of ZALTRAP and a percentage of aggregate net product sales of ZALTRAP under the terms of the Amended ZALTRAP Agreement;</w:t>
      </w:r>
    </w:p>
    <w:p>
      <w:pPr>
        <w:jc w:val="both"/>
        <w:ind w:left="660" w:hanging="328"/>
        <w:spacing w:after="0" w:line="22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royalties on worldwide sales of Ilaris</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(canakinumab) under the terms of a 2009 agreement with Novartis. The royalty rates in the agreement start at 4% and reach 15% when annual sales exceed $1.5 billion, and we are entitled to royalties until Novartis ceases sale of products subject to royalty; and</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recognition of revenue in connection with sequencing of samples by the Regeneron Genetics Center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("RGC") for its customers.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 except headcount data)</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 Change</w:t>
            </w:r>
          </w:p>
        </w:tc>
      </w:tr>
      <w:tr>
        <w:trPr>
          <w:trHeight w:val="27"/>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422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70"/>
        </w:trPr>
        <w:tc>
          <w:tcPr>
            <w:tcW w:w="4220" w:type="dxa"/>
            <w:vAlign w:val="bottom"/>
          </w:tcPr>
          <w:p>
            <w:pPr>
              <w:ind w:left="20"/>
              <w:spacing w:after="0" w:line="27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70"/>
        </w:trPr>
        <w:tc>
          <w:tcPr>
            <w:tcW w:w="42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4220" w:type="dxa"/>
            <w:vAlign w:val="bottom"/>
          </w:tcPr>
          <w:p>
            <w:pPr>
              <w:ind w:left="20"/>
              <w:spacing w:after="0" w:line="270" w:lineRule="exact"/>
              <w:rPr>
                <w:sz w:val="20"/>
                <w:szCs w:val="20"/>
                <w:color w:val="auto"/>
              </w:rPr>
            </w:pPr>
            <w:r>
              <w:rPr>
                <w:rFonts w:ascii="Arial" w:cs="Arial" w:eastAsia="Arial" w:hAnsi="Arial"/>
                <w:sz w:val="18"/>
                <w:szCs w:val="18"/>
                <w:color w:val="auto"/>
              </w:rPr>
              <w:t>Cost of collaboration and contract manufacturing</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97"/>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1,128.1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892.6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235.5</w:t>
            </w:r>
          </w:p>
        </w:tc>
      </w:tr>
      <w:tr>
        <w:trPr>
          <w:trHeight w:val="217"/>
        </w:trPr>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Average headcount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582</w:t>
            </w:r>
          </w:p>
        </w:tc>
      </w:tr>
    </w:tbl>
    <w:p>
      <w:pPr>
        <w:spacing w:after="0" w:line="170" w:lineRule="exact"/>
        <w:rPr>
          <w:sz w:val="20"/>
          <w:szCs w:val="20"/>
          <w:color w:val="auto"/>
        </w:rPr>
      </w:pPr>
    </w:p>
    <w:p>
      <w:pPr>
        <w:ind w:left="2060" w:hanging="149"/>
        <w:spacing w:after="0"/>
        <w:tabs>
          <w:tab w:leader="none" w:pos="2060" w:val="left"/>
        </w:tabs>
        <w:numPr>
          <w:ilvl w:val="0"/>
          <w:numId w:val="17"/>
        </w:numPr>
        <w:rPr>
          <w:rFonts w:ascii="Arial" w:cs="Arial" w:eastAsia="Arial" w:hAnsi="Arial"/>
          <w:sz w:val="9"/>
          <w:szCs w:val="9"/>
          <w:color w:val="auto"/>
        </w:rPr>
      </w:pPr>
      <w:r>
        <w:rPr>
          <w:rFonts w:ascii="Arial" w:cs="Arial" w:eastAsia="Arial" w:hAnsi="Arial"/>
          <w:sz w:val="14"/>
          <w:szCs w:val="14"/>
          <w:color w:val="auto"/>
        </w:rPr>
        <w:t>Includes cost reimbursements from collaborators who are not deemed to be our customers</w:t>
      </w:r>
    </w:p>
    <w:p>
      <w:pPr>
        <w:spacing w:after="0" w:line="41" w:lineRule="exact"/>
        <w:rPr>
          <w:rFonts w:ascii="Arial" w:cs="Arial" w:eastAsia="Arial" w:hAnsi="Arial"/>
          <w:sz w:val="9"/>
          <w:szCs w:val="9"/>
          <w:color w:val="auto"/>
        </w:rPr>
      </w:pPr>
    </w:p>
    <w:p>
      <w:pPr>
        <w:jc w:val="both"/>
        <w:ind w:left="1920" w:right="1840" w:hanging="9"/>
        <w:spacing w:after="0" w:line="289" w:lineRule="auto"/>
        <w:tabs>
          <w:tab w:leader="none" w:pos="2061" w:val="left"/>
        </w:tabs>
        <w:numPr>
          <w:ilvl w:val="0"/>
          <w:numId w:val="17"/>
        </w:numPr>
        <w:rPr>
          <w:rFonts w:ascii="Arial" w:cs="Arial" w:eastAsia="Arial" w:hAnsi="Arial"/>
          <w:sz w:val="8"/>
          <w:szCs w:val="8"/>
          <w:color w:val="auto"/>
        </w:rPr>
      </w:pPr>
      <w:r>
        <w:rPr>
          <w:rFonts w:ascii="Arial" w:cs="Arial" w:eastAsia="Arial" w:hAnsi="Arial"/>
          <w:sz w:val="12"/>
          <w:szCs w:val="12"/>
          <w:color w:val="auto"/>
        </w:rPr>
        <w:t>Cost of goods sold includes costs in connection with producing commercial supplies for products that are sold by Regeneron in the United States (</w:t>
      </w:r>
      <w:r>
        <w:rPr>
          <w:rFonts w:ascii="Arial" w:cs="Arial" w:eastAsia="Arial" w:hAnsi="Arial"/>
          <w:sz w:val="12"/>
          <w:szCs w:val="12"/>
          <w:i w:val="1"/>
          <w:iCs w:val="1"/>
          <w:color w:val="auto"/>
        </w:rPr>
        <w:t>i.e.,</w:t>
      </w:r>
      <w:r>
        <w:rPr>
          <w:rFonts w:ascii="Arial" w:cs="Arial" w:eastAsia="Arial" w:hAnsi="Arial"/>
          <w:sz w:val="12"/>
          <w:szCs w:val="12"/>
          <w:color w:val="auto"/>
        </w:rPr>
        <w:t xml:space="preserve"> for which we record net product sales) and any royalties we are obligated to pay on such sales, period costs for our Limerick manufacturing facility, and amounts we are obligated to pay to Sanofi for its share of Libtayo U.S. gross profits.</w:t>
      </w:r>
    </w:p>
    <w:p>
      <w:pPr>
        <w:spacing w:after="0" w:line="1" w:lineRule="exact"/>
        <w:rPr>
          <w:rFonts w:ascii="Arial" w:cs="Arial" w:eastAsia="Arial" w:hAnsi="Arial"/>
          <w:sz w:val="8"/>
          <w:szCs w:val="8"/>
          <w:color w:val="auto"/>
        </w:rPr>
      </w:pPr>
    </w:p>
    <w:p>
      <w:pPr>
        <w:ind w:left="1920" w:right="2240" w:hanging="9"/>
        <w:spacing w:after="0" w:line="253" w:lineRule="auto"/>
        <w:tabs>
          <w:tab w:leader="none" w:pos="2061" w:val="left"/>
        </w:tabs>
        <w:numPr>
          <w:ilvl w:val="0"/>
          <w:numId w:val="17"/>
        </w:numPr>
        <w:rPr>
          <w:rFonts w:ascii="Arial" w:cs="Arial" w:eastAsia="Arial" w:hAnsi="Arial"/>
          <w:sz w:val="9"/>
          <w:szCs w:val="9"/>
          <w:color w:val="auto"/>
        </w:rPr>
      </w:pPr>
      <w:r>
        <w:rPr>
          <w:rFonts w:ascii="Arial" w:cs="Arial" w:eastAsia="Arial" w:hAnsi="Arial"/>
          <w:sz w:val="14"/>
          <w:szCs w:val="14"/>
          <w:color w:val="auto"/>
        </w:rPr>
        <w:t>Cost of collaboration and contract manufacturing includes costs we incur in connection with producing commercial drug supplies for collaborators and others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 the first quarter of 2020 and 2019 included a total of $105.8 million and $107.9 million, respectively, of non-cash compensation expense related to awards granted under our long-term incentive plans.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external drug filling, packaging, and labeling costs. Clinical manufacturing costs also includes pre-launch commercial supplies which did not meet the criteria to be capitalized as inventory.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1"/>
              </w:rPr>
              <w:t>March 31,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line="263" w:lineRule="exact"/>
              <w:rPr>
                <w:sz w:val="20"/>
                <w:szCs w:val="20"/>
                <w:color w:val="auto"/>
              </w:rPr>
            </w:pPr>
            <w:r>
              <w:rPr>
                <w:rFonts w:ascii="Arial" w:cs="Arial" w:eastAsia="Arial" w:hAnsi="Arial"/>
                <w:sz w:val="18"/>
                <w:szCs w:val="18"/>
                <w:b w:val="1"/>
                <w:bCs w:val="1"/>
                <w:color w:val="auto"/>
                <w:w w:val="90"/>
              </w:rPr>
              <w:t>2019</w:t>
            </w:r>
            <w:r>
              <w:rPr>
                <w:rFonts w:ascii="Arial" w:cs="Arial" w:eastAsia="Arial" w:hAnsi="Arial"/>
                <w:sz w:val="25"/>
                <w:szCs w:val="25"/>
                <w:b w:val="1"/>
                <w:bCs w:val="1"/>
                <w:color w:val="auto"/>
                <w:w w:val="90"/>
                <w:vertAlign w:val="superscript"/>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 Change</w:t>
            </w: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8"/>
                <w:szCs w:val="18"/>
                <w:color w:val="auto"/>
              </w:rPr>
              <w:t>Fasinumab</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Libtayo (cemiplimab)</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4460" w:type="dxa"/>
            <w:vAlign w:val="bottom"/>
          </w:tcPr>
          <w:p>
            <w:pPr>
              <w:ind w:left="260"/>
              <w:spacing w:after="0"/>
              <w:rPr>
                <w:sz w:val="20"/>
                <w:szCs w:val="20"/>
                <w:color w:val="auto"/>
              </w:rPr>
            </w:pPr>
            <w:r>
              <w:rPr>
                <w:rFonts w:ascii="Arial" w:cs="Arial" w:eastAsia="Arial" w:hAnsi="Arial"/>
                <w:sz w:val="18"/>
                <w:szCs w:val="18"/>
                <w:color w:val="auto"/>
              </w:rPr>
              <w:t>Dupixent (dupilumab)</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EYLEA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4460" w:type="dxa"/>
            <w:vAlign w:val="bottom"/>
          </w:tcPr>
          <w:p>
            <w:pPr>
              <w:ind w:left="260"/>
              <w:spacing w:after="0"/>
              <w:rPr>
                <w:sz w:val="20"/>
                <w:szCs w:val="20"/>
                <w:color w:val="auto"/>
              </w:rPr>
            </w:pPr>
            <w:r>
              <w:rPr>
                <w:rFonts w:ascii="Arial" w:cs="Arial" w:eastAsia="Arial" w:hAnsi="Arial"/>
                <w:sz w:val="18"/>
                <w:szCs w:val="18"/>
                <w:color w:val="auto"/>
              </w:rPr>
              <w:t>Praluent (alirocumab)</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Evinacumab</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29"/>
        </w:trPr>
        <w:tc>
          <w:tcPr>
            <w:tcW w:w="4460" w:type="dxa"/>
            <w:vAlign w:val="bottom"/>
          </w:tcPr>
          <w:p>
            <w:pPr>
              <w:ind w:left="260"/>
              <w:spacing w:after="0"/>
              <w:rPr>
                <w:sz w:val="20"/>
                <w:szCs w:val="20"/>
                <w:color w:val="auto"/>
              </w:rPr>
            </w:pPr>
            <w:r>
              <w:rPr>
                <w:rFonts w:ascii="Arial" w:cs="Arial" w:eastAsia="Arial" w:hAnsi="Arial"/>
                <w:sz w:val="18"/>
                <w:szCs w:val="18"/>
                <w:color w:val="auto"/>
                <w:w w:val="98"/>
              </w:rPr>
              <w:t>Other product candidates in clinical development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460" w:type="dxa"/>
            <w:vAlign w:val="bottom"/>
          </w:tcPr>
          <w:p>
            <w:pPr>
              <w:ind w:left="420"/>
              <w:spacing w:after="0"/>
              <w:rPr>
                <w:sz w:val="20"/>
                <w:szCs w:val="20"/>
                <w:color w:val="auto"/>
              </w:rPr>
            </w:pPr>
            <w:r>
              <w:rPr>
                <w:rFonts w:ascii="Arial" w:cs="Arial" w:eastAsia="Arial" w:hAnsi="Arial"/>
                <w:sz w:val="18"/>
                <w:szCs w:val="18"/>
                <w:color w:val="auto"/>
              </w:rPr>
              <w:t>other research programs</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direct research and development expenses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318"/>
        </w:trPr>
        <w:tc>
          <w:tcPr>
            <w:tcW w:w="44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Indirect research and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260"/>
              <w:spacing w:after="0"/>
              <w:rPr>
                <w:sz w:val="20"/>
                <w:szCs w:val="20"/>
                <w:color w:val="auto"/>
              </w:rPr>
            </w:pPr>
            <w:r>
              <w:rPr>
                <w:rFonts w:ascii="Arial" w:cs="Arial" w:eastAsia="Arial" w:hAnsi="Arial"/>
                <w:sz w:val="18"/>
                <w:szCs w:val="18"/>
                <w:color w:val="auto"/>
              </w:rPr>
              <w:t>Payroll and benefits</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3"/>
              </w:rPr>
              <w:t>Lab supplies and other research and development costs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4460" w:type="dxa"/>
            <w:vAlign w:val="bottom"/>
          </w:tcPr>
          <w:p>
            <w:pPr>
              <w:ind w:left="260"/>
              <w:spacing w:after="0"/>
              <w:rPr>
                <w:sz w:val="20"/>
                <w:szCs w:val="20"/>
                <w:color w:val="auto"/>
              </w:rPr>
            </w:pPr>
            <w:r>
              <w:rPr>
                <w:rFonts w:ascii="Arial" w:cs="Arial" w:eastAsia="Arial" w:hAnsi="Arial"/>
                <w:sz w:val="18"/>
                <w:szCs w:val="18"/>
                <w:color w:val="auto"/>
              </w:rPr>
              <w:t>Occupancy and other operating costs</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indirect research and development expenses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r>
      <w:tr>
        <w:trPr>
          <w:trHeight w:val="263"/>
        </w:trPr>
        <w:tc>
          <w:tcPr>
            <w:tcW w:w="44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Clinical manufacturing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324"/>
        </w:trPr>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Reimbursement of research and development expenses by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collaborators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324"/>
        </w:trPr>
        <w:tc>
          <w:tcPr>
            <w:tcW w:w="44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5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1760" w:hanging="58"/>
        <w:spacing w:after="0"/>
        <w:tabs>
          <w:tab w:leader="none" w:pos="1760" w:val="left"/>
        </w:tabs>
        <w:numPr>
          <w:ilvl w:val="0"/>
          <w:numId w:val="18"/>
        </w:numPr>
        <w:rPr>
          <w:rFonts w:ascii="Arial" w:cs="Arial" w:eastAsia="Arial" w:hAnsi="Arial"/>
          <w:sz w:val="9"/>
          <w:szCs w:val="9"/>
          <w:color w:val="auto"/>
        </w:rPr>
      </w:pPr>
      <w:r>
        <w:rPr>
          <w:rFonts w:ascii="Arial" w:cs="Arial" w:eastAsia="Arial" w:hAnsi="Arial"/>
          <w:sz w:val="14"/>
          <w:szCs w:val="14"/>
          <w:color w:val="auto"/>
        </w:rPr>
        <w:t>Certain prior year amounts have been reclassified to conform to the current year's presentation.</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included non-cash compensation expense of $56.7 million and $58.7 million in the first quarter of 2020 and 2019, respectively.</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(including those relating to the disruptions caused by the COVID-19 pandemic).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general, and administrative expenses increased in the first quarter of 2020, compared to the same period in 2019, primarily due to higher headcount and headcount-related costs, an increase in commercialization-related expenses for EYLEA, additional accruals for loss contingencies associated with ongoing litigation, and higher contributions to independent not-for-profit patient assistance organizations. Selling, general, and administrative expenses also included non-cash compensation expense of $40.3 million and $43.8 million in the first quarter of 2020 and 2019, respectively.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Cost of collaboration and contract manufacturing increased in the first quarter of 2020, compared to the same period in 2019, primarily due to the recognition of manufacturing costs associated with higher sales of Dupixent and manufacturing costs in connection with our BARDA Ebola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 Expense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(income) expense, net, includes recognition of a portion of amounts previously deferred in connection with up-front and development milestone payments, as applicable, received in connection with Sanofi IO, Teva, and MTPC collaborative arrangements.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(expense), net, in the first quarter of 2020, compared to the same period in 2019, was negatively impacted by the recognition of unrealized losses on equity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02"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3"/>
              </w:rPr>
              <w:t>March 31,</w:t>
            </w:r>
          </w:p>
        </w:tc>
        <w:tc>
          <w:tcPr>
            <w:tcW w:w="8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 except effective tax rate)</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2019</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85.0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w w:val="93"/>
              </w:rPr>
              <w:t>15.6%</w:t>
            </w:r>
          </w:p>
        </w:tc>
      </w:tr>
    </w:tbl>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effective tax rate for the three months ended March 31, 2020 was positively impacted, compared to the U.S. federal statutory rate, primarily by stock-based compensation, and, to a lesser extent, income earned in foreign jurisdictions with tax rates lower than the U.S. federal statutory rate and federal tax credits for research activities. Our effective tax rate for the three months ended March 31, 2019 was positively impacted, compared to the U.S. federal statutory rate, primarily by the federal tax credits for research activities, stock-based compensation, the foreign-derived intangible income deduction, and income earned in foreign jurisdictions with tax rates lower than the U.S. federal statutory rate.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6"/>
        </w:trPr>
        <w:tc>
          <w:tcPr>
            <w:tcW w:w="5280" w:type="dxa"/>
            <w:vAlign w:val="bottom"/>
            <w:gridSpan w:val="2"/>
          </w:tcPr>
          <w:p>
            <w:pPr>
              <w:spacing w:after="0"/>
              <w:rPr>
                <w:sz w:val="20"/>
                <w:szCs w:val="20"/>
                <w:color w:val="auto"/>
              </w:rPr>
            </w:pPr>
            <w:r>
              <w:rPr>
                <w:rFonts w:ascii="Arial" w:cs="Arial" w:eastAsia="Arial" w:hAnsi="Arial"/>
                <w:sz w:val="18"/>
                <w:szCs w:val="18"/>
                <w:color w:val="auto"/>
              </w:rPr>
              <w:t>Our financial condition is summarized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48"/>
        </w:trPr>
        <w:tc>
          <w:tcPr>
            <w:tcW w:w="1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1420" w:type="dxa"/>
            <w:vAlign w:val="bottom"/>
          </w:tcPr>
          <w:p>
            <w:pPr>
              <w:spacing w:after="0"/>
              <w:rPr>
                <w:sz w:val="23"/>
                <w:szCs w:val="23"/>
                <w:color w:val="auto"/>
              </w:rPr>
            </w:pPr>
          </w:p>
        </w:tc>
        <w:tc>
          <w:tcPr>
            <w:tcW w:w="38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3"/>
                <w:szCs w:val="23"/>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4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14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2,208.2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1,617.8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590.4</w:t>
            </w:r>
          </w:p>
        </w:tc>
      </w:tr>
      <w:tr>
        <w:trPr>
          <w:trHeight w:val="27"/>
        </w:trPr>
        <w:tc>
          <w:tcPr>
            <w:tcW w:w="14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4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Marketable securities - current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w:t>
            </w:r>
          </w:p>
        </w:tc>
      </w:tr>
      <w:tr>
        <w:trPr>
          <w:trHeight w:val="243"/>
        </w:trPr>
        <w:tc>
          <w:tcPr>
            <w:tcW w:w="142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Marketable securities - noncurrent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142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8"/>
        </w:trPr>
        <w:tc>
          <w:tcPr>
            <w:tcW w:w="142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768.7</w:t>
            </w:r>
          </w:p>
        </w:tc>
      </w:tr>
      <w:tr>
        <w:trPr>
          <w:trHeight w:val="20"/>
        </w:trPr>
        <w:tc>
          <w:tcPr>
            <w:tcW w:w="14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14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8,644.1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7,689.1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955.0</w:t>
            </w:r>
          </w:p>
        </w:tc>
      </w:tr>
      <w:tr>
        <w:trPr>
          <w:trHeight w:val="27"/>
        </w:trPr>
        <w:tc>
          <w:tcPr>
            <w:tcW w:w="14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42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6"/>
        </w:trPr>
        <w:tc>
          <w:tcPr>
            <w:tcW w:w="14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5,592.5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996.4</w:t>
            </w:r>
          </w:p>
        </w:tc>
      </w:tr>
      <w:tr>
        <w:trPr>
          <w:trHeight w:val="27"/>
        </w:trPr>
        <w:tc>
          <w:tcPr>
            <w:tcW w:w="14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also had borrowing availability of $750.0 million under a revolving credit facility.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Sources and Uses of Cash for the Three Months Ended March 31, 2020 and 2019</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48"/>
        </w:trPr>
        <w:tc>
          <w:tcPr>
            <w:tcW w:w="8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820" w:type="dxa"/>
            <w:vAlign w:val="bottom"/>
          </w:tcPr>
          <w:p>
            <w:pPr>
              <w:spacing w:after="0"/>
              <w:rPr>
                <w:sz w:val="23"/>
                <w:szCs w:val="23"/>
                <w:color w:val="auto"/>
              </w:rPr>
            </w:pPr>
          </w:p>
        </w:tc>
        <w:tc>
          <w:tcPr>
            <w:tcW w:w="4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8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r>
      <w:tr>
        <w:trPr>
          <w:trHeight w:val="243"/>
        </w:trPr>
        <w:tc>
          <w:tcPr>
            <w:tcW w:w="8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(443.2)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(776.1)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332.9</w:t>
            </w:r>
          </w:p>
        </w:tc>
      </w:tr>
      <w:tr>
        <w:trPr>
          <w:trHeight w:val="27"/>
        </w:trPr>
        <w:tc>
          <w:tcPr>
            <w:tcW w:w="8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financing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r>
      <w:tr>
        <w:trPr>
          <w:trHeight w:val="27"/>
        </w:trPr>
        <w:tc>
          <w:tcPr>
            <w:tcW w:w="8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in the first quarter of 2020 included costs associated with (i) the expansion of our manufacturing facilities in Rensselaer, New York and Limerick, Ireland, including construction of a fill/finish facility and related equipment, and (ii) laboratory expansion and renovations at our Tarrytown, New York facilities. We expect to incur capital expenditures of $510 million to $590 million for the full year of 2020 primarily in connection with these projects.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Proceeds from issuances of Common Stock, in connection with exercises of employee stock options, were $811.4 million in the first quarter of 2020 compared to $140.6 million in the first quarter of 2019. During the first quarter of 2020, we paid an aggregate of $320.7 million to purchase shares of our Common Stock. See further descriptions under "</w:t>
      </w:r>
      <w:r>
        <w:rPr>
          <w:rFonts w:ascii="Arial" w:cs="Arial" w:eastAsia="Arial" w:hAnsi="Arial"/>
          <w:sz w:val="17"/>
          <w:szCs w:val="17"/>
          <w:i w:val="1"/>
          <w:iCs w:val="1"/>
          <w:color w:val="auto"/>
        </w:rPr>
        <w:t>Share Repurchase Program</w:t>
      </w:r>
      <w:r>
        <w:rPr>
          <w:rFonts w:ascii="Arial" w:cs="Arial" w:eastAsia="Arial" w:hAnsi="Arial"/>
          <w:sz w:val="17"/>
          <w:szCs w:val="17"/>
          <w:color w:val="auto"/>
        </w:rPr>
        <w:t>" and "</w:t>
      </w:r>
      <w:r>
        <w:rPr>
          <w:rFonts w:ascii="Arial" w:cs="Arial" w:eastAsia="Arial" w:hAnsi="Arial"/>
          <w:sz w:val="17"/>
          <w:szCs w:val="17"/>
          <w:i w:val="1"/>
          <w:iCs w:val="1"/>
          <w:color w:val="auto"/>
        </w:rPr>
        <w:t>Sanofi Funding of Certain Development Costs</w:t>
      </w:r>
      <w:r>
        <w:rPr>
          <w:rFonts w:ascii="Arial" w:cs="Arial" w:eastAsia="Arial" w:hAnsi="Arial"/>
          <w:sz w:val="17"/>
          <w:szCs w:val="17"/>
          <w:color w:val="auto"/>
        </w:rPr>
        <w:t>"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2019, our board of directors authorized a share repurchase program to repurchase up to $1.0 billion of our Common Stock. The share repurchase program permits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We plan to finance the share repurchase program with available cash.</w:t>
      </w:r>
    </w:p>
    <w:p>
      <w:pPr>
        <w:spacing w:after="0" w:line="23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first quarter of 2020, we repurchased 719,167 shares of our Common Stock under the program and recorded the cost of the shares received, or $272.8 million, as Treasury Stock. As of March 31, 2020, the Company had $473.1 million which remained available for share repurchases under the program.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Funding of Certain Development Costs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described above in "Collaboration Agreements - Collaborations with Sanofi," effective January 7, 2018, we have agreed to allow Sanofi to satisfy in whole or in part its funding obligations with respect to Libtayo development and/or Dupilumab/REGN3500 Eligible Investments by selling up to an aggregate of 1,400,000 shares (of which 740,914 shares remain available to be sold as of March 31, 2020) of our Common Stock directly or indirectly owned by Sanofi. During the first quarter of 2020, Sanofi elected to sell, and we elected to purchase (by issuing a credit towards the amount owed by Sanofi), 43,627 shares of the Company's Common Stock to satisfy Sanofi's funding obligation related to Libtayo development costs. Consequently, we recorded $21.4 million related to the shares received as Treasury Stock during the first quarter of 2020. In addition, during the first quarter of 2020, Sanofi elected to sell, and we elected to purchase (in cash), 85,287 shares of the Company's Common Stock in connection with Sanofi's funding obligation for Dupilumab/REGN3500 Eligible Investments. Consequently, we recorded the cost of the shares received, or $41.8 million, as Treasury Stock during the first quarter of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summary of our critical accounting policies and use of estimates are presented in Part II, Item 7. "Management's Discussion and Analysis of Financial Condition and Results of Operations" of our Annual Report on Form 10-K for the fiscal year ended December 31, 2019 (filed February 7, 2020). Except as described in Note 1 to our Condensed Consolidated Financial Statements included in this report, there were no material changes to our critical accounting policies and use of estimates during the three months ended March 31, 2020.</w:t>
      </w:r>
    </w:p>
    <w:p>
      <w:pPr>
        <w:sectPr>
          <w:pgSz w:w="11900" w:h="16838" w:orient="portrait"/>
          <w:cols w:equalWidth="0" w:num="1">
            <w:col w:w="11240"/>
          </w:cols>
          <w:pgMar w:left="320" w:top="130"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30" w:right="3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the future adoption of recently issued accounting standards is not expected to have a material impact on the Company's financial position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2019 (filed February 7, 2020). There have been no material changes to our market risks or to our management of such risks as of March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March 31, 2020 that has materially affected, or is reasonably likely to materially affect, our internal control over financial reporting.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called for by this item is incorporated herein by reference to the information set forth in Note 11 to our Condensed Consolidated Financial Statements included in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references to our products encompass products marketed by us and/or our collaborators under our collaboration agreements with them, unless otherwise stated or required by the context.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the effects of the COVID-19 pandemic.</w:t>
      </w:r>
    </w:p>
    <w:p>
      <w:pPr>
        <w:spacing w:after="0" w:line="2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2019, a novel strain of coronavirus, SARS-CoV-2, causing a disease referred to as COVID-19, was reported to have surfaced in Wuhan, China. It has since spread to multiple other countries; and, in March 2020, the World Health Organization declared the COVID-19 outbreak a pandemic. This pandemic has adversely affected or has the potential to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business partners and customers, and the demand for some of our marketed products.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pandemic has resulted in travel and other restrictions to reduce the spread of the disease, including governmental orders across the globe, which, among other things, direct individuals to shelter at their places of residence, direct businesses and governmental agencies to cease non-essential operations at physical locations, prohibit certain non-essential gatherings, maintain social distancing, and order cessation of non-essential travel. As a result of these recent developments, we have implemented work-from-home policies for a significant part of our employees (except those deemed critical, such as those working in our laboratories and manufacturing facilities). The effects of shelter-in-place and social distancing orders, government-imposed quarantines, and work-from-home policies may negatively impact productivity, disrupt our business, and delay our clinical programs and development timelines, the magnitude of which will depend, in part, on the length and severity of the restrictions and other</w:t>
      </w:r>
    </w:p>
    <w:p>
      <w:pPr>
        <w:sectPr>
          <w:pgSz w:w="11900" w:h="16838" w:orient="portrait"/>
          <w:cols w:equalWidth="0" w:num="1">
            <w:col w:w="11240"/>
          </w:cols>
          <w:pgMar w:left="320" w:top="130" w:right="33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30" w:right="3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limitations on our ability to conduct our business in the ordinary course. Such restrictions and limitations may also negatively impact our access to regulatory authorities (which may be affected, among other things, by travel restrictions and may be delayed in responding to inquiries, reviewing filings, and conducting inspections); our ability to perform regularly scheduled quality checks and maintenance; and our ability to obtain services from third-party specialty vendors and other providers or to access their expertise as fully and timely as needed. The COVID-19 pandemic may also result in the loss of some of our key personnel, either temporarily or permanently. In addition, our sales and marketing efforts may be impacted by postponement of face-to-face meetings and restrictions on access by non-essential personnel to hospitals or clinics, all of which could slow adoption and implementation of our marketed products, resulting in lower net product sales. For example, while the impact of shelter-in-place and social distancing orders, physicians' office closures, and delays in the treatment of patients following the COVID-19 pandemic on our net product sales of EYLEA for the three months ended March 31, 2020 was limited, overall U.S. EYLEA demand was lower in April 2020 compared to the same period of 2019. In addition to other potential impacts of the COVID-19 pandemic on net product sales, we expect to see continued adverse impact on new patient starts for all products while these measures remain in place. See Part I, Item 2. "Management's Discussion and Analysis of Financial Condition and Results of Operations - Results of Operations" for a discussion of our net product sales. Demand for some or all of our marketed products may continue to be reduced while the shelter-in-place or social distancing orders are in effect and, as a result, some of our inventory may become obsolete and may need to be written off, impacting our operating results. These and similar, and perhaps more severe, disruptions in our operations may materially adversely impact our business, operating results, and financial condition.</w:t>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Quarantines, shelter-in-place, social distancing, and similar government orders (or the perception that such orders, shutdowns, or other restrictions on the conduct of business operations could occur) related to COVID-19 or other infectious diseases are impacting personnel at our research and manufacturing facilities, our suppliers, and other third parties on which we rely, and may impact the availability or cost of materials produced by or purchased from such parties, which could result in a disruption in our supply chain. While some materials may be obtained from more than one supplier, port closures and other restrictions resulting from the COVID-19 pandemic could disrupt our supply chain or limit our ability to obtain sufficient materials for the production and development of our products and product candidates as well as our research efforts.</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infections and deaths related to COVID-19 may disrupt the United States' healthcare and healthcare regulatory systems. Such disruptions could divert healthcare resources away from, or materially delay, FDA review and potential approval of our product candidates and new indications for our marketed products. It is unknown how long these disruptions could continue. In addition, our clinical trials are likely to be affected by the COVID-19 pandemic. Site initiation and patient enrollment may be delayed due to prioritization of hospital resources toward the COVID-19 pandemic, and some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delayed or disrupted. For example, as noted above in Part I, Item 2. "Management's Discussion and Analysis of Financial Condition and Results of Operations - Overview - Programs in Clinical Development," we have had to adjust the development timelines for many of our clinical programs that are either currently enrolling patients or have not yet commenced due to the COVID-19 pandemic. The disruptions caused by the COVID-19 pandemic may impact the progress of our clinical trials, including the readouts of trial results. Further, while we are focused on developing novel therapies to address the COVID-19 pandemic, our research programs and the development of our other product candidates may need to be de-prioritized. Any elongation or de-prioritization of our research programs and clinical trials or delay in regulatory review resulting from such disruptions could materially affect the development and study of our product candidates, which would increase our operating expenses and may have a material adverse effect on our operating results.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it is currently resulting in significant disruption of global financial markets. This disruption, if sustained or recurrent, could make it more difficult for us to access capital if needed. In addition, a recession or market correction resulting from the spread of COVID-19 could materially affect our business and the value of our Common Stock.</w:t>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COVID-19 pandemic continues to rapidly evolve. The ultimate impact of this pandemic is highly uncertain and subject to change. We do not yet know the full extent of potential delays or impacts on our business, our clinical trials, healthcare systems, or the global economy as a whole. These effects could have a material impact on our operations.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extent the COVID-19 pandemic adversely affects our business, prospects, operating results, or financial condition, it may also have the effect of heightening many of the other risks described in this "Risk Factors" section.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 of Our Marketed Products, Product Candidates, and New Indications for Our Marketed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substantially dependent on the success of EYLEA and Dupixent.</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EYLEA net sales represent a substantial portion of our revenues and this concentration of our net sales in a single product makes us substantially dependent on that product. For the three months ended March 31, 2020 and 2019, EYLEA net sales in the United States represented 64% and 78% of our total revenues, respectively. If we were to experience difficulty with the commercialization of EYLEA in the United States or if Bayer were to experience any difficulty with the commercialization of EYLEA outside the United States (including as a result of the COVID-19 pandemic discussed above),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been increasingly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would be materially harmed.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that the degree of commercial success of our marketed products will continue to depend on many factors, including the following (as applicable):</w:t>
      </w:r>
    </w:p>
    <w:p>
      <w:pPr>
        <w:spacing w:after="0" w:line="89" w:lineRule="exact"/>
        <w:rPr>
          <w:sz w:val="20"/>
          <w:szCs w:val="20"/>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impact of SARS-CoV-2 (the virus that has caused the COVID-19 pandemic) on our business and the demand for our marketed products, as well as its impact on, among other things, our employees, collaborators, suppliers, and other third parties on which we rely, our ability to continue to manage our supply chain, and the global economy (as further discussed above under "Risks Related to the COVID-19 Pandemic - </w:t>
      </w:r>
      <w:r>
        <w:rPr>
          <w:rFonts w:ascii="Arial" w:cs="Arial" w:eastAsia="Arial" w:hAnsi="Arial"/>
          <w:sz w:val="18"/>
          <w:szCs w:val="18"/>
          <w:i w:val="1"/>
          <w:iCs w:val="1"/>
          <w:color w:val="auto"/>
        </w:rPr>
        <w:t>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may be adversely affected by the effects of the COVID-19 pandemic</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effectiveness of the commercial strategy in and outside the United States for the marketing of our products, including pricing strategy;</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may be introduced in the United States by various federal and state authorities);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competition for EYLEA (discussed further under "</w:t>
      </w:r>
      <w:r>
        <w:rPr>
          <w:rFonts w:ascii="Arial" w:cs="Arial" w:eastAsia="Arial" w:hAnsi="Arial"/>
          <w:sz w:val="18"/>
          <w:szCs w:val="18"/>
          <w:i w:val="1"/>
          <w:iCs w:val="1"/>
          <w:color w:val="auto"/>
        </w:rPr>
        <w:t>The commercial success of our products and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candidates is subject to significant competition - </w:t>
      </w:r>
      <w:r>
        <w:rPr>
          <w:rFonts w:ascii="Arial" w:cs="Arial" w:eastAsia="Arial" w:hAnsi="Arial"/>
          <w:sz w:val="18"/>
          <w:szCs w:val="18"/>
          <w:color w:val="auto"/>
        </w:rPr>
        <w:t>Marketed Products" below) and the willingness of retinal specialists and patients to start or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treatment with EYLEA or to switch from another product to EYLEA;</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 complications or side effects in connection with the use of our products and in clinical trials for our product</w:t>
      </w:r>
      <w:r>
        <w:rPr>
          <w:rFonts w:ascii="Arial" w:cs="Arial" w:eastAsia="Arial" w:hAnsi="Arial"/>
          <w:sz w:val="18"/>
          <w:szCs w:val="18"/>
          <w:color w:val="auto"/>
        </w:rPr>
        <w:t xml:space="preserve"> </w:t>
      </w:r>
      <w:r>
        <w:rPr>
          <w:rFonts w:ascii="Arial" w:cs="Arial" w:eastAsia="Arial" w:hAnsi="Arial"/>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our marketed products;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relating to Dupixent and Praluent (described further in Note 11 to our Condensed Consolidated Financial Statements included in this report), as well as other risks relating to our marketed products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the pending government investigations described in Note 11 to our Condensed Consolidated Financial Statements included in this report;</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jc w:val="both"/>
        <w:ind w:left="66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payor coverage.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about the risks related to the commercialization of our marketed products is provided in the risk factors below.</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30" w:right="3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and our collaborators are subject to significant ongoing regulatory obligations and oversight with respect to the products we or they commercialize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for drug products is costly, time-consuming, and highly uncertain</w:t>
      </w:r>
      <w:r>
        <w:rPr>
          <w:rFonts w:ascii="Arial" w:cs="Arial" w:eastAsia="Arial" w:hAnsi="Arial"/>
          <w:sz w:val="17"/>
          <w:szCs w:val="17"/>
          <w:color w:val="auto"/>
        </w:rPr>
        <w:t>"), the applicable marketing approval may be withdrawn,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Our or our collaborators'</w:t>
      </w:r>
      <w:r>
        <w:rPr>
          <w:rFonts w:ascii="Arial" w:cs="Arial" w:eastAsia="Arial" w:hAnsi="Arial"/>
          <w:sz w:val="17"/>
          <w:szCs w:val="17"/>
          <w:color w:val="auto"/>
        </w:rPr>
        <w:t xml:space="preserve"> </w:t>
      </w:r>
      <w:r>
        <w:rPr>
          <w:rFonts w:ascii="Arial" w:cs="Arial" w:eastAsia="Arial" w:hAnsi="Arial"/>
          <w:sz w:val="17"/>
          <w:szCs w:val="17"/>
          <w:i w:val="1"/>
          <w:iCs w:val="1"/>
          <w:color w:val="auto"/>
        </w:rPr>
        <w:t>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2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of our marketed products are dependent on the availability and extent of reimbursement from third-party payors, and changes to such reimbursement may materially harm our business, prospects, operating results, and financial condition.</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similar reimbursement mechanisms and programs in those countries.</w:t>
      </w: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future revenues and profitability will be adversely affected in a material manner if such third-party payors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(which will likely be exacerbated as a result of the COVID-19 pandemic), our currently marketed products and product candidates are likely to be subject to continued pricing pressures, which may have an adverse impact on our business, prospects, operating results, and financial condition.</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pharmacy benefits managers, and recognition by insurance companies and the Centers for Medicare &amp; Medicaid Services (the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Government and other third-party payors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w:t>
      </w:r>
      <w:r>
        <w:rPr>
          <w:rFonts w:ascii="Arial" w:cs="Arial" w:eastAsia="Arial" w:hAnsi="Arial"/>
          <w:sz w:val="16"/>
          <w:szCs w:val="16"/>
          <w:i w:val="1"/>
          <w:iCs w:val="1"/>
          <w:color w:val="auto"/>
        </w:rPr>
        <w:t>i.e.</w:t>
      </w:r>
      <w:r>
        <w:rPr>
          <w:rFonts w:ascii="Arial" w:cs="Arial" w:eastAsia="Arial" w:hAnsi="Arial"/>
          <w:sz w:val="16"/>
          <w:szCs w:val="16"/>
          <w:color w:val="auto"/>
        </w:rPr>
        <w:t>,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 this trend may be further accelerated as a result of the COVID-19 pandemic.</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there have been several recent U.S. Congressional inquiries and proposed federal and state legislation and policies designed to, among other things, bring more transparency to drug pricing, review the relationship between pricing and manufacturer patient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programs, reduce the out-of-pocket cost of prescription drugs, and reform government program reimbursement methodologies for drugs. At the federal level, some of the Trump administration's prior budget proposals contained drug price control measures that may be included in future legislation, including, for example, measures to permit Medicare Part D plans to negotiate the price of certain drugs under Medicare Part B (such as EYLEA); to allow some states to negotiate drug prices under Medicaid; and to eliminate cost sharing for generic drugs for low-income patients. Additionally, on May 11, 2018, President Trump laid out his administration's "Blueprint to Lower Drug Prices and Reduce Out-of-Pocket Costs" to reduce the cost of prescription drugs while preserving innovation and cures. The Department of Health and Human Services has been soliciting feedback on some of these measures and may implement others impacting our business under its existing authority. CMS has also recently sought public comment on how best to leverage its authority provided under the Competitive Acquisition Program and introduce competition into Medicare Part B by allowing CMS to bring on vendors to negotiate payment amounts for Medicare Part B drugs. In addition, since January 1, 2019, CMS has allowed Medicare Advantage ("MA") plans to use step therapy for Part B drugs (such as EYLEA). On October 25, 2018, President Trump announced that CMS was evaluating a program that proposes to set the Medicare payment amount for Part B single-source drugs and biologics to more closely align with international drug prices (also referred to as reference or international price index ("IPI") drug pricing) and pay physicians and hospitals participating in such program a set drug add-on payment for administered drugs. CMS also issued an advance notice of proposed rulemaking that requested public comment on the proposed program, which is contemplated to initially cover fifty percent of Medicare Part B spending on separately payable Part B drugs (such as EYLEA), with the IPI-based price for each such drug to be phased in over a period of five years; notice of proposed rulemaking on this program is pending review by the Office of Management and Budget. In addition, in July 2019, President Trump indicated that his administration was considering an executive order to establish a "most favored nation" pricing plan. While the scope and details of this contemplated executive action (including whether and how its mechanism may differ from that of the proposed IPI drug pricing program discussed above) are not clear, this seems to signal that the U.S. administration will continue to seek new measures to constrain drug costs and Medicare payments for drugs. Similarly, various members of the current U.S. Congress and 2020 presidential candidates have indicated that lowering drug prices continues to be a legislative and political priority, and some have introduced proposals aimed at drug pricing.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proposals, initiatives, and developments described above) could have a material adverse effect on the sales of EYLEA or our other marketed products. Economic pressure on state budgets may also have a similar impact.</w:t>
      </w:r>
    </w:p>
    <w:p>
      <w:pPr>
        <w:spacing w:after="0" w:line="3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success of our products and product candidates is subject to significant competition.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merge with larger pharmaceutical or biotechnology companies. There is significant actual and potential future competition for each of our marketed products.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EYLEA faces significant competition in the marketplace. For example, EYLEA competes in one or more of its approved indications with other VEGF inhibitors, including Novartis and Genentech/Roche's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(ranibizumab) and Novartis' Beovu</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(brolucizumab). Ophthalmologists are also using off-label, third-party repackaged versions of Genentech/Roche's approved VEGF antagonist, bevacizumab, for the treatment of certain of EYLEA's indications, and we are aware of another company developing an ophthalmic formulation of such product. In DME and RVO, EYLEA also competes with intravitreal implants of corticosteroids. We are also aware of a number of companies working on the development of product candidates and extended delivery devices for the potential treatment of one or more of EYLEA's indications, including those that act by blocking VEGF and VEGF receptors (including therapies designed to extend the treatment interval) and/or other targets (such as Ang2). In addition, we are aware of several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Dupixent's current and potential future indications is also competitive. In atopic dermatitis, there are several topical ointments or agents either approved or in development. In addition, a number of companies are developing antibodies against IL-13, IL-13Ra1, OX40, IL-31R, and/or IL-1alpha. Several companies are also studying JAK inhibitors for atopic dermatitis. In asthma, competitors to Dupixent include antibodies against the IL-5 ligand or the IL-5 receptor or immunoglobulin E; and some of these antibodies, if approved in this indication, may also compete with Dupixent in CRSwNP. Dupixent also faces competition from orally administered small molecule agents and inhaled products in asthma and potential future indications. There are several other potentially competitive products in development that may compete with Dupixent in either or both of the atopic dermatitis and asthma indications, as well as potential future indications, including antibodies against thymic stromal lymphopoietin ("TSLP"), the IL-33 ligand, or the IL-33 receptor (ST2).</w:t>
      </w:r>
    </w:p>
    <w:p>
      <w:pPr>
        <w:spacing w:after="0" w:line="24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Libtayo also faces significant competition. There are several competitors that are marketing and/or developing antibodies against PD-1 and/or PDL-1, including Merck's Keytruda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(pembrolizumab), Bristol-Myers Squibb's Opdivo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(nivolumab), Roche's Tecentriq</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(atezolizumab), and AstraZeneca's Imfinzi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(durvalumab).</w:t>
      </w:r>
    </w:p>
    <w:p>
      <w:pPr>
        <w:spacing w:after="0" w:line="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also significant actual and potential future competition for other products marketed by us and/or our collaborators under our collaboration agreements with them. For example, there are several companies that are marketing and/or developing antibodies against PCSK9 and IL-6 and/or IL-6R, which currently (or, for antibodies in development, may in the future if approved) compete with Praluent and Kevzara,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Candidates</w:t>
      </w:r>
    </w:p>
    <w:p>
      <w:pPr>
        <w:spacing w:after="0" w:line="27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Our other late-stage and earlier-stage clinical candidates in development are all fully human antibodies, which were generated using our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technology. Our antibody generation technologies and other late-stage and earlier-stage clinical candidates face competition from many pharmaceutical and biotechnology companies using various technologies.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collaborations with Bayer and Sanofi for commercializing some of our marketed products.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Co-Promotion and Distribution Agreement with Bayer's Japanese affiliate, as in effect from time to time) for sales, marketing, and distribution of EYLEA in countries outside the United States.</w:t>
      </w:r>
    </w:p>
    <w:p>
      <w:pPr>
        <w:spacing w:after="0" w:line="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under the terms of our Antibody Collaboration and our IO Collaboration, we and Sanofi co-commercialize Dupixent and Libtayo in the United States. As a result, we rely in part on Sanofi's sales and marketing organization in the United States for these products. If we and Sanofi fail to coordinate our United States sales and marketing efforts effectively, sales of any of such products may be materially affected. Sanofi also maintains other important responsibilities relating to Dupixent in the United States. For example, Sanofi records product sales for Dupixent in the United States and leads negotiations with payors relating to this product. We also rely on Sanofi for sales, marketing, and distribution of Dupixent and Libtayo in countries outside the United States. Effective April 1, 2020, we and Sanofi amended the Antibody Collaboration to remove Praluent from the LCA such that, among other things, the LCA no longer governs the development, manufacture, or commercialization of Praluent. Effective as of the same date, we and Sanofi entered into the Praluent Cross License &amp; Commercialization Agreement whereby we, at our sole cost, are solely responsible for the development and commercialization of Praluent in the United States, and Sanofi, at its sole cost, is solely responsible for the development and commercialization of Praluent outside of the United States; and Sanofi pays us a 5% royalty on Sanofi's net product sales of Praluent outside the United States until March 31, 2032.</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Arial" w:cs="Arial" w:eastAsia="Arial" w:hAnsi="Arial"/>
          <w:sz w:val="17"/>
          <w:szCs w:val="17"/>
          <w:i w:val="1"/>
          <w:iCs w:val="1"/>
          <w:color w:val="auto"/>
        </w:rPr>
        <w:t>If our collaboration with Bayer for EYLEA is terminated, or Bayer materially breaches its</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7"/>
          <w:szCs w:val="17"/>
          <w:color w:val="auto"/>
        </w:rPr>
        <w:t>" below and "Risks Related to Our Reliance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Third Parties - </w:t>
      </w:r>
      <w:r>
        <w:rPr>
          <w:rFonts w:ascii="Arial" w:cs="Arial" w:eastAsia="Arial" w:hAnsi="Arial"/>
          <w:sz w:val="17"/>
          <w:szCs w:val="17"/>
          <w:i w:val="1"/>
          <w:iCs w:val="1"/>
          <w:color w:val="auto"/>
        </w:rPr>
        <w:t>If our Antibody Collaboration or our IO Collaboration with Sanofi is terminated, our business, prospects, operating results,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our ability to develop, manufacture, and commercialize certain of our products and product candidates in the time expected, or at all, would be materially harmed</w:t>
      </w:r>
      <w:r>
        <w:rPr>
          <w:rFonts w:ascii="Arial" w:cs="Arial" w:eastAsia="Arial" w:hAnsi="Arial"/>
          <w:sz w:val="17"/>
          <w:szCs w:val="17"/>
          <w:color w:val="auto"/>
        </w:rPr>
        <w:t>" below.</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sell EYLEA, Libtayo, and ARCALYST in the United States to several distributors and specialty pharmacies. Under this distribution model, the distributors and specialty pharmacies generally take physical delivery of product and generally sell the product directly to healthcare providers. For the three months ended March 31, 2020, our gross product sales of such products to two customers accounted on a combined basis for 90% of our total gross product revenue. We expect this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we are unable to establish commercial capabilities outside the United States for products we intend to commercialize or co-commercialize outside the United States, our business, prospects, operating results, and financial condition may be adversely affected.</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We will need to establish commercial capabilities outside the United States as a result of any exercise of our option to co-commercialize a product outside the United States. For example, we recently exercised our option under the Antibody Collaboration to co-commercialize Dupixent in certain jurisdictions outside the United States. In addition, there may be other circumstances in which we need to establish commercial capabilities outside the United States, including because we decide to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commercialize or co-commercialize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or the co-commercialization of a product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sell or market products without regulatory approval.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According to the FDA policies under the Prescription Drug User Fee Act, the FDA system of review times for new drugs includes standard review and priority review. Standard review can be accomplished 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additional information, see "Risks Related to Manufacturing and Supply - </w:t>
      </w:r>
      <w:r>
        <w:rPr>
          <w:rFonts w:ascii="Arial" w:cs="Arial" w:eastAsia="Arial" w:hAnsi="Arial"/>
          <w:sz w:val="17"/>
          <w:szCs w:val="17"/>
          <w:i w:val="1"/>
          <w:iCs w:val="1"/>
          <w:color w:val="auto"/>
        </w:rPr>
        <w:t>Our or our collaborators' failure to meet the stringent</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Our business, prospects, operating results, and financial condition may be materially harmed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noncompliance with the requirements and regulations described in this paragraph.</w:t>
      </w:r>
    </w:p>
    <w:p>
      <w:pPr>
        <w:spacing w:after="0" w:line="2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and may ask for additional data in order to begin a clinical study. Whether or not we obtain FDA approval for a product in the United States, we must obtain approval of the product by the comparable regulatory authorities in foreign countries before we can market that product or any other product in those countries.</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 requirements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desired indication(s) would preclude the successful development of those candidates for such indication(s), in which event our business, prospects, operating results, and financial condition may be materially harmed.</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DMCs based on their review of such interim trial results. For example, in April 2018, the DMC monitoring the ongoing safety and efficacy of our Phase 3 clinical trials of fasinumab recommended that the higher dose-regimens be discontinued based on the risk-benefit assessment and that the program may continue with lower dose-regimens of fasinumab. As a result, the osteoarthritis trials were modified accordingly and we discontinued dosing patients in the clinical study of fasinumab in chronic low back pain in patients with concomitant osteoarthritis of the knee and hip since this study was using only higher doses. The recommended termination or material modification of any of our ongoing late-stage clinical trials by a DMC could negatively impact the future development of our product candidate(s), and our business, prospects, operating results, and financial condition may be materially harmed.</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With respect to EYLEA, there are many potential safety concerns associated with significant blockade of VEGF that may limit our ability to further successfully commercialize EYLEA. These serious and potentially life-threatening risks, based on clinical and preclinical experience of VEGF inhibitors, include bleeding, intestinal perforation, hypertension, proteinuria, congestive heart</w:t>
      </w:r>
    </w:p>
    <w:p>
      <w:pPr>
        <w:sectPr>
          <w:pgSz w:w="11900" w:h="16838" w:orient="portrait"/>
          <w:cols w:equalWidth="0" w:num="1">
            <w:col w:w="11240"/>
          </w:cols>
          <w:pgMar w:left="320" w:top="130"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30" w:right="33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Dupixent and Libtayo are being studied in additional indications, as shown in the table under Part I, Item 2. "Management's Discussion and </w:t>
      </w:r>
      <w:r>
        <w:rPr>
          <w:rFonts w:ascii="Arial" w:cs="Arial" w:eastAsia="Arial" w:hAnsi="Arial"/>
          <w:sz w:val="16"/>
          <w:szCs w:val="16"/>
          <w:color w:val="212529"/>
        </w:rPr>
        <w:t>Analysis of</w:t>
      </w:r>
      <w:r>
        <w:rPr>
          <w:rFonts w:ascii="Arial" w:cs="Arial" w:eastAsia="Arial" w:hAnsi="Arial"/>
          <w:sz w:val="16"/>
          <w:szCs w:val="16"/>
          <w:color w:val="auto"/>
        </w:rPr>
        <w:t xml:space="preserve"> </w:t>
      </w:r>
      <w:r>
        <w:rPr>
          <w:rFonts w:ascii="Arial" w:cs="Arial" w:eastAsia="Arial" w:hAnsi="Arial"/>
          <w:sz w:val="16"/>
          <w:szCs w:val="16"/>
          <w:color w:val="212529"/>
        </w:rPr>
        <w:t xml:space="preserve">Financial Condition and Results of Operations </w:t>
      </w:r>
      <w:r>
        <w:rPr>
          <w:rFonts w:ascii="Arial" w:cs="Arial" w:eastAsia="Arial" w:hAnsi="Arial"/>
          <w:sz w:val="16"/>
          <w:szCs w:val="16"/>
          <w:color w:val="000000"/>
        </w:rPr>
        <w:t>- Programs in Clinical Development." There is no guarantee that marketing approval of Dupixent or Libtayo</w:t>
      </w:r>
      <w:r>
        <w:rPr>
          <w:rFonts w:ascii="Arial" w:cs="Arial" w:eastAsia="Arial" w:hAnsi="Arial"/>
          <w:sz w:val="16"/>
          <w:szCs w:val="16"/>
          <w:color w:val="212529"/>
        </w:rPr>
        <w:t xml:space="preserve"> </w:t>
      </w:r>
      <w:r>
        <w:rPr>
          <w:rFonts w:ascii="Arial" w:cs="Arial" w:eastAsia="Arial" w:hAnsi="Arial"/>
          <w:sz w:val="16"/>
          <w:szCs w:val="16"/>
          <w:color w:val="000000"/>
        </w:rPr>
        <w:t>(as applicable) in any of these indications will be successfully obtained. The side effects previously reported for Dupixent include hypersensitivity reactions, conjunctivitis and keratitis, injection-site reactions, eye and eyelid inflammation, cold sores, oropharyngeal pain, and eosinophilia; and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2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is the subject of opposition proceedings in the European Patent Office (the "EPO") (currently pending before its Boards of Appeal), as described in Note 11 to our Condensed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under the America Invents Act of 2011 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For example, on February 11, 2020, anonymous parties filed two requests for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 </w:t>
      </w:r>
      <w:r>
        <w:rPr>
          <w:rFonts w:ascii="Arial" w:cs="Arial" w:eastAsia="Arial" w:hAnsi="Arial"/>
          <w:sz w:val="16"/>
          <w:szCs w:val="16"/>
          <w:color w:val="auto"/>
        </w:rPr>
        <w:t>reexamination of two of our patents - U.S. Patent Nos. 10,406,226 (the "'226 Patent") and 10,464,992 (the "'992 Patent"). The '226 Patent concerns</w:t>
      </w:r>
      <w:r>
        <w:rPr>
          <w:rFonts w:ascii="Arial" w:cs="Arial" w:eastAsia="Arial" w:hAnsi="Arial"/>
          <w:sz w:val="16"/>
          <w:szCs w:val="16"/>
          <w:i w:val="1"/>
          <w:iCs w:val="1"/>
          <w:color w:val="auto"/>
        </w:rPr>
        <w:t xml:space="preserve"> </w:t>
      </w:r>
      <w:r>
        <w:rPr>
          <w:rFonts w:ascii="Arial" w:cs="Arial" w:eastAsia="Arial" w:hAnsi="Arial"/>
          <w:sz w:val="16"/>
          <w:szCs w:val="16"/>
          <w:color w:val="auto"/>
        </w:rPr>
        <w:t>methods for manufacturing VEGF antagonist fusion proteins, including aflibercept, and the '992 Patent concerns formulations and vials containing VEGF antagonist fusion proteins, including aflibercept. The USPTO has granted both requests to initiate reexamination proceedings.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or any other of our technologies, either because of the way the antibodies are discovered or produced or because of a proprietary composition covering an antibody or the antibody's target.</w:t>
      </w:r>
    </w:p>
    <w:p>
      <w:pPr>
        <w:spacing w:after="0" w:line="23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been in the past, are currently, and may in the future be involved in patent litigation and other proceedings involving patents and other intellectual property. For example, we and/or Sanofi are currently party to patent infringement proceedings initiated by Amgen against us and/or Sanofi relating to Praluent and patent infringement proceedings relating to Dupixent, as described in Note 11 to our Condensed Consolidated Financial Statements. In addition, we are currently party to patent infringement proceedings initiated by us relating to our patents that concern genetically altered mice capable of producing chimeric antibodies that are part human and part mouse, as described in Note 11 to our Condensed Consolidated Financial Statements.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Libtayo (cemiplimab), Praluent (alirocumab), and Kevzara (sarilumab), our late-stage antibody-based pipeline includes fasinumab, an antibody to NGF; evinacumab, an antibody to ANGPTL3; REGN-EB3, a multi-antibody therapy for Ebola; garetosmab, an antibody to Activin A; pozelimab, an antibody to C5; and REGN1979, a bispecific antibody targeting CD20 and CD3.</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6"/>
          <w:szCs w:val="16"/>
          <w:i w:val="1"/>
          <w:iCs w:val="1"/>
          <w:color w:val="auto"/>
        </w:rPr>
        <w:t>If we cannot protect the</w:t>
      </w:r>
      <w:r>
        <w:rPr>
          <w:rFonts w:ascii="Arial" w:cs="Arial" w:eastAsia="Arial" w:hAnsi="Arial"/>
          <w:sz w:val="16"/>
          <w:szCs w:val="16"/>
          <w:color w:val="auto"/>
        </w:rPr>
        <w:t xml:space="preserve"> </w:t>
      </w:r>
      <w:r>
        <w:rPr>
          <w:rFonts w:ascii="Arial" w:cs="Arial" w:eastAsia="Arial" w:hAnsi="Arial"/>
          <w:sz w:val="16"/>
          <w:szCs w:val="16"/>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Arial" w:cs="Arial" w:eastAsia="Arial" w:hAnsi="Arial"/>
          <w:sz w:val="16"/>
          <w:szCs w:val="16"/>
          <w:color w:val="auto"/>
        </w:rPr>
        <w:t>" the scope and enforceability of our patent rights may vary from country to country. The failure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federal Patient Protection and Affordable Care Act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23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We are aware of several companies developing biosimilar versions of EYLEA. In the United States, the regulatory exclusivity period for EYLEA (</w:t>
      </w:r>
      <w:r>
        <w:rPr>
          <w:rFonts w:ascii="Arial" w:cs="Arial" w:eastAsia="Arial" w:hAnsi="Arial"/>
          <w:sz w:val="17"/>
          <w:szCs w:val="17"/>
          <w:i w:val="1"/>
          <w:iCs w:val="1"/>
          <w:color w:val="auto"/>
        </w:rPr>
        <w:t>i.e.</w:t>
      </w:r>
      <w:r>
        <w:rPr>
          <w:rFonts w:ascii="Arial" w:cs="Arial" w:eastAsia="Arial" w:hAnsi="Arial"/>
          <w:sz w:val="17"/>
          <w:szCs w:val="17"/>
          <w:color w:val="auto"/>
        </w:rPr>
        <w:t>, the period during which no biosimilar product can be approved by the FDA) expires on November 18, 2023, with the possibility of an additional six months of regulatory exclusivity (</w:t>
      </w:r>
      <w:r>
        <w:rPr>
          <w:rFonts w:ascii="Arial" w:cs="Arial" w:eastAsia="Arial" w:hAnsi="Arial"/>
          <w:sz w:val="17"/>
          <w:szCs w:val="17"/>
          <w:i w:val="1"/>
          <w:iCs w:val="1"/>
          <w:color w:val="auto"/>
        </w:rPr>
        <w:t>i.e.</w:t>
      </w:r>
      <w:r>
        <w:rPr>
          <w:rFonts w:ascii="Arial" w:cs="Arial" w:eastAsia="Arial" w:hAnsi="Arial"/>
          <w:sz w:val="17"/>
          <w:szCs w:val="17"/>
          <w:color w:val="auto"/>
        </w:rPr>
        <w:t>, until May 18, 2024) if the FDA grants pediatric exclusivity based on our completion of certain studies evaluating EYLEA in pediatric patients with retinopathy of prematurity and submission of the data from these studies to the FDA no later than 15 months before the date on which regulatory exclusivity would otherwise expire. The loss of market exclusivity for a product (such as EYLEA) would likely materially and negatively affect revenues from product sales of that product and thus our financial results and condition.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late-stage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including with respect to drug-delivery devices (such as a pre-filled syringe, patch pump, auto-injector, or other delivery system).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taken initial steps.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and could also delay or require us to discontinue one or more of our clinical development programs. As a result, our business, prospects, operating results, and financial condition could be materially harmed.</w:t>
      </w:r>
    </w:p>
    <w:p>
      <w:pPr>
        <w:spacing w:after="0" w:line="2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23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w:t>
      </w:r>
    </w:p>
    <w:p>
      <w:pPr>
        <w:sectPr>
          <w:pgSz w:w="11900" w:h="16838" w:orient="portrait"/>
          <w:cols w:equalWidth="0" w:num="1">
            <w:col w:w="11240"/>
          </w:cols>
          <w:pgMar w:left="320" w:top="130"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130" w:right="33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11 to our Condensed Consolidated Financial Statements included in this report, we are cooperating with pending government investigations concerning certain of our business activities. Any adverse finding, allegation, or exercise of enforcement or regulatory discretion in such investigations could harm our business, prospects, operating results, and financial condition.</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continue to dedicate significant resources to comply with these requirements and need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federal and state laws and agency regulations could have a materially negative impact on our business. These include:</w:t>
      </w:r>
    </w:p>
    <w:p>
      <w:pPr>
        <w:spacing w:after="0" w:line="103"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Trump administration and Congress could carry out significant changes in legislation, regulation, and government policy (including with respect to the possible repeal of all or portions of the PPACA, government reimbursement changes and drug price control measures, and changes in the existing treaty and trade relationships with other countries), as evidenced by statements and actions of President Trump and certain members of Congress (including those discussed above under "Risks Related to Commercialization of Our Marketed Products, Product Candidates, and New Indications for Our Marketed Products - </w:t>
      </w:r>
      <w:r>
        <w:rPr>
          <w:rFonts w:ascii="Arial" w:cs="Arial" w:eastAsia="Arial" w:hAnsi="Arial"/>
          <w:sz w:val="17"/>
          <w:szCs w:val="17"/>
          <w:i w:val="1"/>
          <w:iCs w:val="1"/>
          <w:color w:val="auto"/>
        </w:rPr>
        <w:t>Sales of our marketed products are dependent on the availability and extent of reimbursement from third-party payors, and changes to such</w:t>
      </w:r>
      <w:r>
        <w:rPr>
          <w:rFonts w:ascii="Arial" w:cs="Arial" w:eastAsia="Arial" w:hAnsi="Arial"/>
          <w:sz w:val="17"/>
          <w:szCs w:val="17"/>
          <w:color w:val="auto"/>
        </w:rPr>
        <w:t xml:space="preserve"> </w:t>
      </w:r>
      <w:r>
        <w:rPr>
          <w:rFonts w:ascii="Arial" w:cs="Arial" w:eastAsia="Arial" w:hAnsi="Arial"/>
          <w:sz w:val="17"/>
          <w:szCs w:val="17"/>
          <w:i w:val="1"/>
          <w:iCs w:val="1"/>
          <w:color w:val="auto"/>
        </w:rPr>
        <w:t>reimbursement may materially harm our business, prospects, operating results, and financial condition</w:t>
      </w:r>
      <w:r>
        <w:rPr>
          <w:rFonts w:ascii="Arial" w:cs="Arial" w:eastAsia="Arial" w:hAnsi="Arial"/>
          <w:sz w:val="17"/>
          <w:szCs w:val="17"/>
          <w:color w:val="auto"/>
        </w:rPr>
        <w:t>"). While it is not possible to predict whether and</w:t>
      </w:r>
      <w:r>
        <w:rPr>
          <w:rFonts w:ascii="Arial" w:cs="Arial" w:eastAsia="Arial" w:hAnsi="Arial"/>
          <w:sz w:val="17"/>
          <w:szCs w:val="17"/>
          <w:i w:val="1"/>
          <w:iCs w:val="1"/>
          <w:color w:val="auto"/>
        </w:rPr>
        <w:t xml:space="preserve"> </w:t>
      </w:r>
      <w:r>
        <w:rPr>
          <w:rFonts w:ascii="Arial" w:cs="Arial" w:eastAsia="Arial" w:hAnsi="Arial"/>
          <w:sz w:val="17"/>
          <w:szCs w:val="17"/>
          <w:color w:val="auto"/>
        </w:rPr>
        <w:t>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effective January 31, 2020, the United Kingdom commenced an exit from the EU, commonly referred to as "Brexit." During a transition period (set to expire on December 31, 2020), the British government will continue to negotiate the terms of the United Kingdom's future relationship with the EU. The outcome of these negotiations is uncertain, and we do not know to what extent Brexit will ultimately impact the business and regulatory environment in the United Kingdom, the rest of the EU, or other countries.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Recommendations by the Organization for Economic Co-operation and Development and the European Union Anti-Tax Avoidance Directive require companies to disclose more information to tax authorities on operations around the world, which may lead to greater audit scrutiny. Even though we regularly assess the information provided to tax authorities in determining the appropriateness of our tax reserves, such tax authorities could take a position that is contrary to our expectations, and the result could adversely affect our provision for income tax and our current rate.</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personal information we collect from individuals, data brokers, or research institutions or obtain from clinical trials sponsored by us or our collaborators.</w:t>
      </w:r>
    </w:p>
    <w:p>
      <w:pPr>
        <w:spacing w:after="0" w:line="2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Most U.S.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we could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There are instances where we collect and maintain sensitive personally identifiable information, which may include health information outside of the scope of HIPAA. This information may be received throughout the clinical trial process, in the course of our research collaborations, directly from individuals who enroll in our patient assistance programs, and from our own employees in a pandemic response process (such as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COVID-19 pandemic). In the case of a breach of personal information we may be subject to state breach notification laws requiring notification of affected individuals and state regulators.</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patient assistance programs and product marketing activities as part of which we collect California resident personal data are subject to the California Consumer Privacy Act of 2018 (the "CCPA"). The CCPA is a consumer protection law that provides California residents with personal data privacy rights and became effective on January 1, 2020. The CCPA requires us, among other things, to update our notices and develop new processes internally and with our partners. There are fines, penalties, and a private right of action resulting from non-compliance with the CCPA. Several other U.S. states have introduced similar consumer protection laws that may go into effect in the near future.</w:t>
      </w:r>
    </w:p>
    <w:p>
      <w:pPr>
        <w:spacing w:after="0" w:line="2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clinical trial programs and research collaborations outside the U.S. (such as our consortium with a group of companies to fund the generation of genetic exome sequence data from the UK Biobank health resource) implicate international data protection laws, including the European Union's General Data Protection Regulation (the "GDPR").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for the most serious infringements). In addition to the GDPR, certain EU Member States have issued or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new risk of substantial financial penalties for data breach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23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Furthermore, health privacy laws, data breach notification laws, consumer protection laws, data localization laws, and genetic testing laws may apply directly to our operations and/or those of our collaborators and may impose restrictions on our collection, use, and dissemination of individuals' health and other personal information. Moreover, individuals about whom we or our collaborators obtain health or other personal information, as well as the providers and third parties who share this information with us, may have statutory or contractual rights that limit our ability to use and disclose the information. We are likely to be required to expend significant capital 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or any collaborators fail to comply with applicable federal, state, local, or foreign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funding and support from Sanofi to develop, manufacture, and commercialize certain of our products and product candidates. With respect to the products that we are co-developing with Sanofi under our Antibody Collaboration (currently consisting of Dupixent, Kevzara, and REGN3500), Sanofi funds a significant portion of development expenses incurred in</w:t>
      </w:r>
    </w:p>
    <w:p>
      <w:pPr>
        <w:sectPr>
          <w:pgSz w:w="11900" w:h="16838" w:orient="portrait"/>
          <w:cols w:equalWidth="0" w:num="1">
            <w:col w:w="11240"/>
          </w:cols>
          <w:pgMar w:left="320" w:top="130"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30" w:right="3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amendment and restatement of our IO Discovery and Development Agreement with Sanofi (which forms part of our IO Collaboration), we have all rights to, and we fund and conduct on our own all research, development, manufacturing, and commercialization activities to support, all of our immuno-oncology product candidates other than MUC16xCD3 Program antibodies (such as REGN4018) and BCMAxCD3 Program antibodies (such as REGN5458 and REGN5459). If Sanofi does not elect to co-develop MUC16xCD3 Program antibodies or BCMAxCD3 Program antibodies under our IO Collaboration, or opts out of their development under our IO Collaboration, we will be required to fund and conduct on our own all such efforts to support those product candidates, unless we enter into arrangements with other parties.</w:t>
      </w:r>
    </w:p>
    <w:p>
      <w:pPr>
        <w:spacing w:after="0" w:line="2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Sanofi elects to co-develop BCMAxCD3 Program antibodies and/or MUC16xCD3 Program antibodies under our IO Collaboration, Sanofi will initially fund the development expenses incurred in connection with the development of BCMAxCD3 Program antibodies, for which Sanofi will be the principal controlling party, and half of the development expenses incurred in connection with the clinical development of MUC16xCD3 Program antibodies, for which we will be the principal controlling party. Under our IO Collaboration, Sanofi also funds half of the development expenses incurred in connection with the clinical development of Libtayo, subject to an agreed-upon development budget. In addition, if Sanofi elects to co-develop BCMAxCD3 Program antibodies, Sanofi will lead much of the clinical development efforts and assist with obtaining and maintaining regulatory approval. We also rely on Sanofi to lead commercialization efforts outside the United States for Libtayo. Following regulatory approval, we will rely on Sanofi to lead (i) the commercialization efforts in the United States for BCMAxCD3 Program antibodies and (ii) the commercialization efforts outside the United States for MUC16xCD3 Program antibodies and BCMAxCD3 Program antibodies.</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or our IO Collaboration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 commercial capabilities outside the United States for</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Antibody Collaboration or the IO Collaboration would create substantial new and additional risks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 development and commercialization of the products subject to such collaborations, particularly outside the United States.</w:t>
      </w:r>
    </w:p>
    <w:p>
      <w:pPr>
        <w:spacing w:after="0" w:line="226"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as in effect from time to time,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Arial" w:cs="Arial" w:eastAsia="Arial" w:hAnsi="Arial"/>
          <w:sz w:val="16"/>
          <w:szCs w:val="16"/>
          <w:i w:val="1"/>
          <w:iCs w:val="1"/>
          <w:color w:val="auto"/>
        </w:rPr>
        <w:t>If we are unable to establish</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 capabilities outside the United States for products we intend to commercialize or co-commercialize outside the United States, our business, prospects, operating results, and financial condition may be adversely affected</w:t>
      </w:r>
      <w:r>
        <w:rPr>
          <w:rFonts w:ascii="Arial" w:cs="Arial" w:eastAsia="Arial" w:hAnsi="Arial"/>
          <w:sz w:val="16"/>
          <w:szCs w:val="16"/>
          <w:color w:val="auto"/>
        </w:rPr>
        <w:t>" above). Termination of the Bayer collaboration agreement would create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new and additional risks to the successful commercialization of EYLEA outside the United States.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due in part to the COVID-19 pandemic and our implementation of work-from-home policies for a significant part of our employees.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30" w:right="3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cannot sustain profitability, we may be unable to continue our operations. In the absence of substantial revenue from the sale of products on an ongoing basis, including our net product sales of EYLEA and funding we receive under our collaboration agreements (including our share of profits in connection with commercialization of EYLEA and Dupixent under our collaboration agreements with Bayer and Sanofi, respectively),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our current and anticipated EYLEA net product sales and funding we are entitled to receive under our collaboration agreements (including our share of profits in connection with commercialization of EYLEA and Dupixent under our collaboration agreements with Bayer and Sanofi, respectively),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a $720.0 million lease financing for our existing corporate headquarters and other rentable area consisting of approximately 150 acres of predominately office buildings and laboratory space located in Tarrytown, New York,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Canadian dollar,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2020, we had $2.208 billion in cash and cash equivalents and $5.032 billion in marketable securities (including $562.0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w:t>
      </w:r>
    </w:p>
    <w:p>
      <w:pPr>
        <w:sectPr>
          <w:pgSz w:w="11900" w:h="16838" w:orient="portrait"/>
          <w:cols w:equalWidth="0" w:num="1">
            <w:col w:w="11240"/>
          </w:cols>
          <w:pgMar w:left="320" w:top="130"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30" w:right="3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elimination of LIBOR could adversely affect our business, operating results, and financial condition.</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July 2017, the United Kingdom regulator that regulates the London Interbank Offered Rate ("LIBOR") announced its intention to phase out LIBOR rates by the end of 2021. No consensus exists as to what rate or rates may become accepted alternatives to LIBOR or whether LIBOR rates will cease to be published or supported before or after 2021. A transition away from LIBOR as a benchmark for establishing the applicable interest rate may adversely affect our outstanding variable-rate indebtedness and interest rate swaps, as well as floating-rate debt securities we hold. For example, if a published U.S. dollar LIBOR rate is unavailable after 2021, the rent payments for the leased facilities in Tarrytown, New York, which are indexed to LIBOR, will be determined using various alternative methods, any of which may result in interest obligations which are more than, or do not otherwise correlate over time with, the payments that would have been made on such debt if U.S. dollar LIBOR was available in its current form.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product sales of our marketed products (as recorded by us or our collaborators), in particular EYLEA, Dupixent, and Libtayo, as well as our overall operating results;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Dupixent, and Libtayo;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net product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any of our marketed products or product candidates or new indications for our marketed products;</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 (</w:t>
      </w:r>
      <w:r>
        <w:rPr>
          <w:rFonts w:ascii="Arial" w:cs="Arial" w:eastAsia="Arial" w:hAnsi="Arial"/>
          <w:sz w:val="18"/>
          <w:szCs w:val="18"/>
          <w:i w:val="1"/>
          <w:iCs w:val="1"/>
          <w:color w:val="auto"/>
        </w:rPr>
        <w:t>i.e.</w:t>
      </w:r>
      <w:r>
        <w:rPr>
          <w:rFonts w:ascii="Arial" w:cs="Arial" w:eastAsia="Arial" w:hAnsi="Arial"/>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repurchase our Common Stock under any share repurchase program on favorable terms or at all;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ectPr>
          <w:pgSz w:w="11900" w:h="16838" w:orient="portrait"/>
          <w:cols w:equalWidth="0" w:num="1">
            <w:col w:w="11240"/>
          </w:cols>
          <w:pgMar w:left="320" w:top="130" w:right="3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240"/>
          </w:cols>
          <w:pgMar w:left="320" w:top="130" w:right="3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by our significant shareholders or us may depress our stock price and impair our ability to raise funds in new share offerings</w:t>
      </w:r>
      <w:r>
        <w:rPr>
          <w:rFonts w:ascii="Arial" w:cs="Arial" w:eastAsia="Arial" w:hAnsi="Arial"/>
          <w:sz w:val="17"/>
          <w:szCs w:val="17"/>
          <w:color w:val="auto"/>
        </w:rPr>
        <w:t>" below, a large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is owned by a small number of our principal shareholders. As a result, the public float of our Common Stock (</w:t>
      </w:r>
      <w:r>
        <w:rPr>
          <w:rFonts w:ascii="Arial" w:cs="Arial" w:eastAsia="Arial" w:hAnsi="Arial"/>
          <w:sz w:val="17"/>
          <w:szCs w:val="17"/>
          <w:i w:val="1"/>
          <w:iCs w:val="1"/>
          <w:color w:val="auto"/>
        </w:rPr>
        <w:t>i.e.</w:t>
      </w:r>
      <w:r>
        <w:rPr>
          <w:rFonts w:ascii="Arial" w:cs="Arial" w:eastAsia="Arial" w:hAnsi="Arial"/>
          <w:sz w:val="17"/>
          <w:szCs w:val="17"/>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8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April 14, 2020, our five largest shareholders (including our largest shareholder Sanofi) plus Dr. Schleifer, our Chief Executive Officer, beneficially owned approximately 45.9% of our outstanding shares of Common Stock, assuming, in the case of our Chief Executive Officer, the conversion of his Class A Stock into Common Stock and the exercise of all options held by him which are exercisable within 60 days of April 14, 2020. As of April 14, 2020, Sanofi beneficially owned 23,221,451 shares of our Common Stock, representing approximately 21.0%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are subject to a "lock-up" and may not be sold until December 20, 2020 (other than with respect to an aggregate of up to 740,914 shares, as to which we have agreed to waive the lock-up during the term of the letter agreement with Sanofi described below under "</w:t>
      </w:r>
      <w:r>
        <w:rPr>
          <w:rFonts w:ascii="Arial" w:cs="Arial" w:eastAsia="Arial" w:hAnsi="Arial"/>
          <w:sz w:val="16"/>
          <w:szCs w:val="16"/>
          <w:i w:val="1"/>
          <w:iCs w:val="1"/>
          <w:color w:val="auto"/>
        </w:rPr>
        <w:t>Our existing shareholders may be able to exert</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 influence over matters requiring shareholder approval and over our management</w:t>
      </w:r>
      <w:r>
        <w:rPr>
          <w:rFonts w:ascii="Arial" w:cs="Arial" w:eastAsia="Arial" w:hAnsi="Arial"/>
          <w:sz w:val="16"/>
          <w:szCs w:val="16"/>
          <w:color w:val="auto"/>
        </w:rPr>
        <w:t>" and which currently remain available to be sold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letter agreement). These restrictions on dispositions are subject to earlier termination upon the occurrence of certain events, such as the consummation of a change-of-control transaction involving us or a dissolution or liquidation of our Company. In an amendment to its Schedule 13D filed on December 9, 2019, Sanofi disclosed that, following expiration of the "lock-up," it may in its discretion dispose of or collateralize all or a portion of the Common Stock beneficially owned by it at any time or from time to time in accordance with the terms of the amended and restated investor agreement. If Sanofi, our other significant shareholders, or we sell substantial amounts of our Common Stock in the public market (including, in the case of Sanofi, as a result of the lock-up waiver referred to above),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we will continue to repurchase shares of our Common Stock or that we will repurchase shares at favorable prices.</w:t>
      </w:r>
    </w:p>
    <w:p>
      <w:pPr>
        <w:spacing w:after="0" w:line="3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board of directors previously authorized a share repurchase program to repurchase up to $1.0 billion of our Common Stock (of which $473.1 million remained available as of March 31, 2020).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continue to repurchase shares of our Common Stock at favorable prices, if at all.</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April 14, 2020, holders of Class A Stock held 14.3%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14, 2020:</w:t>
      </w:r>
    </w:p>
    <w:p>
      <w:pPr>
        <w:spacing w:after="0" w:line="97" w:lineRule="exact"/>
        <w:rPr>
          <w:sz w:val="20"/>
          <w:szCs w:val="20"/>
          <w:color w:val="auto"/>
        </w:rPr>
      </w:pPr>
    </w:p>
    <w:p>
      <w:pPr>
        <w:jc w:val="both"/>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9.2% of our outstanding shares of Common Stock, assuming conversion of their Class A Stock into Common Stock and the exercise of all options held by such persons which are exercisable within 60 days of April 14, 2020, and 19.8% of the combined voting power of our outstanding shares of Common Stock and Class A Stock, assuming the exercise of all options held by such persons which are exercisable within 60 days of April 14, 2020; and</w:t>
      </w:r>
    </w:p>
    <w:p>
      <w:pPr>
        <w:spacing w:after="0" w:line="2" w:lineRule="exact"/>
        <w:rPr>
          <w:rFonts w:ascii="Arial" w:cs="Arial" w:eastAsia="Arial" w:hAnsi="Arial"/>
          <w:sz w:val="18"/>
          <w:szCs w:val="18"/>
          <w:color w:val="auto"/>
        </w:rPr>
      </w:pPr>
    </w:p>
    <w:p>
      <w:pPr>
        <w:jc w:val="both"/>
        <w:ind w:left="660" w:hanging="328"/>
        <w:spacing w:after="0" w:line="25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five largest shareholders (including our largest shareholder Sanofi) plus Dr. Schleifer, our Chief Executive Officer, beneficially owned approximately 45.9% of our outstanding shares of Common Stock, assuming, in the case of our Chief Executive Officer, the conversion of his Class A Stock into Common Stock and the exercise of all options held by him which are exercisable within 60 days of April 14, 2020. In addition, these five shareholders plus our Chief Executive Officer held approximately 51.9% of the combined voting power of our outstanding shares of Common Stock and Class A Stock, assuming the exercise of all options held by our Chief Executive Officer which are exercisable within 60 days of April 14, 2020.</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described below) Sanofi maintains an equity interest in us that is the lower of (i) the highest percentage ownership Sanofi attains following its acquisition of 20% of our outstanding shares of Class A Stock and Common Stock (taken together) (which occurred in April 2014), and (ii) 25% of our outstanding shares of Class A Stock and Common Stock (taken together) (the "Highest Percentage Threshold"). This designee is required to be "independent" of our Company, as determined under NASDAQ rules, and not to be a current or former officer, director, employee, or paid consultant of Sanofi. The current Sanofi designee, N. Anthony Coles, M.D., is a Class II director whose current term expires at the 2020 annual shareholder meeting and who has been nominated for reelection as a Class III director at our 2020 annual shareholder meeting for a term expiring at the 2021 annual shareholder meeting.</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January 7, 2018, we and Sanofi and certain of Sanofi's direct and indirect subsidiaries entered into a letter agreement in connection with (a) the increase of the development budget amount for Libtayo set forth in the IO License and Collaboration Agreement and (b) the allocation of additional funds to certain proposed activities relating to the Dupilumab/REGN3500 Eligible Investments. Pursuant to the letter agreement, we have agreed, among other things, to grant a limited waiver of Sanofi's obligation to maintain the Highest Percentage Threshold during the term of the letter agreement in order to allow Sanofi to satisfy in whole or in part (a) its funding obligations with respect to the Libtayo development costs under the IO License and Collaboration Agreement for the quarterly periods commencing on October 1, 2017 and ending on September 30, 2020 by selling up to 800,000 shares of our Common Stock directly or indirectly owned by Sanofi (of which 330,253 currently remains available)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(of which 410,661 currently remains available).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In addition, we and Sanofi have agreed that, upon termination of the letter agreement, the amended and restated investor agreement will be amended to define "Highest Percentage Threshold" as the lower of (i) 25% of our outstanding shares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30" w:right="3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Class A Stock and Common Stock (taken together) and (ii) the higher of (a) Sanofi's percentage ownership of Class A Stock and Common Stock (taken together) on such termination date and (b) the highest percentage ownership of our outstanding shares of Class A Stock and Common Stock (taken together) Sanofi attains following such termination date.</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76"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influence over matters requiring shareholder approval and over our management.</w:t>
      </w:r>
      <w:r>
        <w:rPr>
          <w:rFonts w:ascii="Arial" w:cs="Arial" w:eastAsia="Arial" w:hAnsi="Arial"/>
          <w:sz w:val="18"/>
          <w:szCs w:val="18"/>
          <w:color w:val="auto"/>
        </w:rPr>
        <w:t>"</w:t>
      </w:r>
    </w:p>
    <w:p>
      <w:pPr>
        <w:spacing w:after="0" w:line="1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Similarly, pursuant to our 2016 ANG2 license and collaboration agreement with Bayer (which was terminated on November 1, 2018 by agreement of the parties but whose "standstill" provisions continue to be in effect as described below),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November 1, 2023;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 A similar "standstill" prohibition applies to Bayer pursuant to our 2014 PDGFR-beta license and collaboration agreement with Bayer (which agreement was terminated on July 31, 2017 by agreement of the parties but whose "standstill" provisions continue to be in effect until July 31, 2022 unless they expire earlier upon the occurrence of certain specified events).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30" w:right="3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7"/>
          <w:szCs w:val="17"/>
          <w:i w:val="1"/>
          <w:iCs w:val="1"/>
          <w:color w:val="auto"/>
        </w:rPr>
        <w:t>Our existing shareholders may be able to exert significant influence over matters requiring shareholder approval and over our</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w:t>
      </w:r>
      <w:r>
        <w:rPr>
          <w:rFonts w:ascii="Arial" w:cs="Arial" w:eastAsia="Arial" w:hAnsi="Arial"/>
          <w:sz w:val="17"/>
          <w:szCs w:val="17"/>
          <w:color w:val="auto"/>
        </w:rPr>
        <w:t>," a Sanofi designee currently serves on our board of directors. These contractual provisions may also have the effect of deterring, delaying, or</w:t>
      </w:r>
      <w:r>
        <w:rPr>
          <w:rFonts w:ascii="Arial" w:cs="Arial" w:eastAsia="Arial" w:hAnsi="Arial"/>
          <w:sz w:val="17"/>
          <w:szCs w:val="17"/>
          <w:i w:val="1"/>
          <w:iCs w:val="1"/>
          <w:color w:val="auto"/>
        </w:rPr>
        <w:t xml:space="preserve"> </w:t>
      </w:r>
      <w:r>
        <w:rPr>
          <w:rFonts w:ascii="Arial" w:cs="Arial" w:eastAsia="Arial" w:hAnsi="Arial"/>
          <w:sz w:val="17"/>
          <w:szCs w:val="17"/>
          <w:color w:val="auto"/>
        </w:rPr>
        <w:t>preventing an acquisition or other change in control.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table below reflects shares of Common Stock we repurchased under our share repurchase program, as well as Common Stock we elected to purchase from Sanofi pursuant to the terms of the Letter Agreement relating to Sanofi's funding obligation in connection with (i) Libtayo development costs incurred under the IO License and Collaboration Agreement and (ii) certain activities relating to dupilumab and REGN3500 incurred under the LCA, during the first quarter of 2020. Refer to Part I, Item 2. "Liquidity and Capital Resources - </w:t>
      </w:r>
      <w:r>
        <w:rPr>
          <w:rFonts w:ascii="Arial" w:cs="Arial" w:eastAsia="Arial" w:hAnsi="Arial"/>
          <w:sz w:val="18"/>
          <w:szCs w:val="18"/>
          <w:i w:val="1"/>
          <w:iCs w:val="1"/>
          <w:color w:val="auto"/>
        </w:rPr>
        <w:t>Share Repurchase Program</w:t>
      </w:r>
      <w:r>
        <w:rPr>
          <w:rFonts w:ascii="Arial" w:cs="Arial" w:eastAsia="Arial" w:hAnsi="Arial"/>
          <w:sz w:val="18"/>
          <w:szCs w:val="18"/>
          <w:color w:val="auto"/>
        </w:rPr>
        <w:t xml:space="preserve">" and "Liquidity and Capital Resources - </w:t>
      </w:r>
      <w:r>
        <w:rPr>
          <w:rFonts w:ascii="Arial" w:cs="Arial" w:eastAsia="Arial" w:hAnsi="Arial"/>
          <w:sz w:val="18"/>
          <w:szCs w:val="18"/>
          <w:i w:val="1"/>
          <w:iCs w:val="1"/>
          <w:color w:val="auto"/>
        </w:rPr>
        <w:t>Sanofi</w:t>
      </w:r>
      <w:r>
        <w:rPr>
          <w:rFonts w:ascii="Arial" w:cs="Arial" w:eastAsia="Arial" w:hAnsi="Arial"/>
          <w:sz w:val="18"/>
          <w:szCs w:val="18"/>
          <w:color w:val="auto"/>
        </w:rPr>
        <w:t xml:space="preserve"> </w:t>
      </w:r>
      <w:r>
        <w:rPr>
          <w:rFonts w:ascii="Arial" w:cs="Arial" w:eastAsia="Arial" w:hAnsi="Arial"/>
          <w:sz w:val="18"/>
          <w:szCs w:val="18"/>
          <w:i w:val="1"/>
          <w:iCs w:val="1"/>
          <w:color w:val="auto"/>
        </w:rPr>
        <w:t>Funding of Certain Development Costs</w:t>
      </w:r>
      <w:r>
        <w:rPr>
          <w:rFonts w:ascii="Arial" w:cs="Arial" w:eastAsia="Arial" w:hAnsi="Arial"/>
          <w:sz w:val="18"/>
          <w:szCs w:val="18"/>
          <w:color w:val="auto"/>
        </w:rPr>
        <w:t>" for further information.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3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 Value</w:t>
            </w:r>
          </w:p>
        </w:tc>
      </w:tr>
      <w:tr>
        <w:trPr>
          <w:trHeight w:val="216"/>
        </w:trPr>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 a</w:t>
            </w:r>
          </w:p>
        </w:tc>
        <w:tc>
          <w:tcPr>
            <w:tcW w:w="3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of Shares that May Yet Be</w:t>
            </w:r>
          </w:p>
        </w:tc>
      </w:tr>
      <w:tr>
        <w:trPr>
          <w:trHeight w:val="216"/>
        </w:trPr>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Total Number of Shares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Average Price Paid per</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3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Period</w:t>
            </w: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auto"/>
              </w:rPr>
              <w:t>Purchased</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4"/>
              </w:rPr>
              <w:t>Program</w:t>
            </w:r>
          </w:p>
        </w:tc>
        <w:tc>
          <w:tcPr>
            <w:tcW w:w="3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1"/>
              </w:rPr>
              <w:t>Program</w:t>
            </w:r>
          </w:p>
        </w:tc>
      </w:tr>
      <w:tr>
        <w:trPr>
          <w:trHeight w:val="27"/>
        </w:trPr>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20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1/1/2020–1/31/2020</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385,019</w:t>
            </w: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353.47</w:t>
            </w:r>
          </w:p>
        </w:tc>
        <w:tc>
          <w:tcPr>
            <w:tcW w:w="3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385,019</w:t>
            </w:r>
          </w:p>
        </w:tc>
        <w:tc>
          <w:tcPr>
            <w:tcW w:w="3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609,875,630</w:t>
            </w:r>
          </w:p>
        </w:tc>
      </w:tr>
      <w:tr>
        <w:trPr>
          <w:trHeight w:val="243"/>
        </w:trPr>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2/1/2020–2/29/2020</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198,160</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382.69</w:t>
            </w:r>
          </w:p>
        </w:tc>
        <w:tc>
          <w:tcPr>
            <w:tcW w:w="32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198,160</w:t>
            </w:r>
          </w:p>
        </w:tc>
        <w:tc>
          <w:tcPr>
            <w:tcW w:w="32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534,041,574</w:t>
            </w:r>
          </w:p>
        </w:tc>
      </w:tr>
      <w:tr>
        <w:trPr>
          <w:trHeight w:val="27"/>
        </w:trPr>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20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3/1/2020–3/31/2020</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264,902</w:t>
            </w:r>
          </w:p>
        </w:tc>
        <w:tc>
          <w:tcPr>
            <w:tcW w:w="460" w:type="dxa"/>
            <w:vAlign w:val="bottom"/>
            <w:gridSpan w:val="2"/>
            <w:shd w:val="clear" w:color="auto" w:fill="CCEEFF"/>
          </w:tcPr>
          <w:p>
            <w:pPr>
              <w:jc w:val="right"/>
              <w:ind w:right="20"/>
              <w:spacing w:after="0" w:line="269" w:lineRule="exact"/>
              <w:rPr>
                <w:sz w:val="20"/>
                <w:szCs w:val="20"/>
                <w:color w:val="auto"/>
              </w:rPr>
            </w:pPr>
            <w:r>
              <w:rPr>
                <w:rFonts w:ascii="Arial" w:cs="Arial" w:eastAsia="Arial" w:hAnsi="Arial"/>
                <w:sz w:val="12"/>
                <w:szCs w:val="12"/>
                <w:color w:val="auto"/>
              </w:rPr>
              <w:t xml:space="preserve">(a)   </w:t>
            </w:r>
            <w:r>
              <w:rPr>
                <w:rFonts w:ascii="Arial" w:cs="Arial" w:eastAsia="Arial" w:hAnsi="Arial"/>
                <w:sz w:val="31"/>
                <w:szCs w:val="31"/>
                <w:color w:val="auto"/>
                <w:vertAlign w:val="subscript"/>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468.27</w:t>
            </w:r>
          </w:p>
        </w:tc>
        <w:tc>
          <w:tcPr>
            <w:tcW w:w="320" w:type="dxa"/>
            <w:vAlign w:val="bottom"/>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135,988</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473,117,435</w:t>
            </w:r>
          </w:p>
        </w:tc>
      </w:tr>
      <w:tr>
        <w:trPr>
          <w:trHeight w:val="237"/>
        </w:trPr>
        <w:tc>
          <w:tcPr>
            <w:tcW w:w="20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848,081</w:t>
            </w:r>
          </w:p>
        </w:tc>
        <w:tc>
          <w:tcPr>
            <w:tcW w:w="460" w:type="dxa"/>
            <w:vAlign w:val="bottom"/>
            <w:gridSpan w:val="2"/>
          </w:tcPr>
          <w:p>
            <w:pPr>
              <w:jc w:val="right"/>
              <w:ind w:right="300"/>
              <w:spacing w:after="0"/>
              <w:rPr>
                <w:sz w:val="20"/>
                <w:szCs w:val="20"/>
                <w:color w:val="auto"/>
              </w:rPr>
            </w:pPr>
            <w:r>
              <w:rPr>
                <w:rFonts w:ascii="Arial" w:cs="Arial" w:eastAsia="Arial" w:hAnsi="Arial"/>
                <w:sz w:val="13"/>
                <w:szCs w:val="13"/>
                <w:color w:val="auto"/>
                <w:w w:val="87"/>
              </w:rPr>
              <w:t>(a)</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719,167</w:t>
            </w:r>
          </w:p>
        </w:tc>
        <w:tc>
          <w:tcPr>
            <w:tcW w:w="320" w:type="dxa"/>
            <w:vAlign w:val="bottom"/>
          </w:tcPr>
          <w:p>
            <w:pPr>
              <w:ind w:left="20"/>
              <w:spacing w:after="0"/>
              <w:rPr>
                <w:sz w:val="20"/>
                <w:szCs w:val="20"/>
                <w:color w:val="auto"/>
              </w:rPr>
            </w:pPr>
            <w:r>
              <w:rPr>
                <w:rFonts w:ascii="Arial" w:cs="Arial" w:eastAsia="Arial" w:hAnsi="Arial"/>
                <w:sz w:val="13"/>
                <w:szCs w:val="13"/>
                <w:color w:val="auto"/>
              </w:rPr>
              <w:t>(a)</w:t>
            </w:r>
          </w:p>
        </w:tc>
        <w:tc>
          <w:tcPr>
            <w:tcW w:w="2120" w:type="dxa"/>
            <w:vAlign w:val="bottom"/>
          </w:tcPr>
          <w:p>
            <w:pPr>
              <w:spacing w:after="0"/>
              <w:rPr>
                <w:sz w:val="20"/>
                <w:szCs w:val="20"/>
                <w:color w:val="auto"/>
              </w:rPr>
            </w:pPr>
          </w:p>
        </w:tc>
      </w:tr>
    </w:tbl>
    <w:p>
      <w:pPr>
        <w:spacing w:after="0" w:line="224" w:lineRule="exact"/>
        <w:rPr>
          <w:sz w:val="20"/>
          <w:szCs w:val="20"/>
          <w:color w:val="auto"/>
        </w:rPr>
      </w:pPr>
    </w:p>
    <w:p>
      <w:pPr>
        <w:ind w:left="280" w:right="140" w:hanging="2"/>
        <w:spacing w:after="0" w:line="253" w:lineRule="auto"/>
        <w:tabs>
          <w:tab w:leader="none" w:pos="413" w:val="left"/>
        </w:tabs>
        <w:numPr>
          <w:ilvl w:val="0"/>
          <w:numId w:val="25"/>
        </w:numPr>
        <w:rPr>
          <w:rFonts w:ascii="Arial" w:cs="Arial" w:eastAsia="Arial" w:hAnsi="Arial"/>
          <w:sz w:val="9"/>
          <w:szCs w:val="9"/>
          <w:color w:val="auto"/>
        </w:rPr>
      </w:pPr>
      <w:r>
        <w:rPr>
          <w:rFonts w:ascii="Arial" w:cs="Arial" w:eastAsia="Arial" w:hAnsi="Arial"/>
          <w:sz w:val="14"/>
          <w:szCs w:val="14"/>
          <w:color w:val="auto"/>
        </w:rPr>
        <w:t>The difference between the total number of shares purchased and the total number of shares purchased as part of a publicly announced program is related to Common Stock we elected to purchase from Sanofi (as described above).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30" w:right="3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3"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w:t>
      </w:r>
    </w:p>
    <w:p>
      <w:pPr>
        <w:spacing w:after="0" w:line="302" w:lineRule="exact"/>
        <w:rPr>
          <w:sz w:val="20"/>
          <w:szCs w:val="20"/>
          <w:color w:val="auto"/>
        </w:rPr>
      </w:pPr>
    </w:p>
    <w:p>
      <w:pPr>
        <w:ind w:left="960"/>
        <w:spacing w:after="0"/>
        <w:rPr>
          <w:sz w:val="20"/>
          <w:szCs w:val="20"/>
          <w:color w:val="auto"/>
        </w:rPr>
      </w:pPr>
      <w:r>
        <w:rPr>
          <w:rFonts w:ascii="Arial" w:cs="Arial" w:eastAsia="Arial" w:hAnsi="Arial"/>
          <w:sz w:val="18"/>
          <w:szCs w:val="18"/>
          <w:b w:val="1"/>
          <w:bCs w:val="1"/>
          <w:u w:val="single" w:color="auto"/>
          <w:color w:val="auto"/>
        </w:rPr>
        <w:t>Exhibit</w:t>
      </w:r>
    </w:p>
    <w:p>
      <w:pPr>
        <w:spacing w:after="0" w:line="27" w:lineRule="exact"/>
        <w:rPr>
          <w:sz w:val="20"/>
          <w:szCs w:val="20"/>
          <w:color w:val="auto"/>
        </w:rPr>
      </w:pPr>
    </w:p>
    <w:p>
      <w:pPr>
        <w:ind w:left="960"/>
        <w:spacing w:after="0"/>
        <w:tabs>
          <w:tab w:leader="none" w:pos="198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22860</wp:posOffset>
            </wp:positionV>
            <wp:extent cx="594931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49315" cy="171450"/>
                    </a:xfrm>
                    <a:prstGeom prst="rect">
                      <a:avLst/>
                    </a:prstGeom>
                    <a:noFill/>
                  </pic:spPr>
                </pic:pic>
              </a:graphicData>
            </a:graphic>
          </wp:anchor>
        </w:drawing>
      </w:r>
    </w:p>
    <w:p>
      <w:pPr>
        <w:spacing w:after="0" w:line="29" w:lineRule="exact"/>
        <w:rPr>
          <w:sz w:val="20"/>
          <w:szCs w:val="20"/>
          <w:color w:val="auto"/>
        </w:rPr>
      </w:pPr>
    </w:p>
    <w:p>
      <w:pPr>
        <w:ind w:left="2000" w:hanging="1034"/>
        <w:spacing w:after="0"/>
        <w:tabs>
          <w:tab w:leader="none" w:pos="2000" w:val="left"/>
        </w:tabs>
        <w:numPr>
          <w:ilvl w:val="0"/>
          <w:numId w:val="27"/>
        </w:numPr>
        <w:rPr>
          <w:rFonts w:ascii="Arial" w:cs="Arial" w:eastAsia="Arial" w:hAnsi="Arial"/>
          <w:sz w:val="18"/>
          <w:szCs w:val="18"/>
          <w:color w:val="0000FF"/>
        </w:rPr>
      </w:pPr>
      <w:hyperlink w:anchor="page77">
        <w:r>
          <w:rPr>
            <w:rFonts w:ascii="Arial" w:cs="Arial" w:eastAsia="Arial" w:hAnsi="Arial"/>
            <w:sz w:val="18"/>
            <w:szCs w:val="18"/>
            <w:u w:val="single" w:color="auto"/>
            <w:color w:val="0000FF"/>
          </w:rPr>
          <w:t>Preferability letter from PricewaterhouseCoopers LLP regarding change in accounting principle</w:t>
        </w:r>
        <w:r>
          <w:rPr>
            <w:rFonts w:ascii="Arial" w:cs="Arial" w:eastAsia="Arial" w:hAnsi="Arial"/>
            <w:sz w:val="18"/>
            <w:szCs w:val="18"/>
            <w:color w:val="0000FF"/>
          </w:rPr>
          <w:t>.</w:t>
        </w:r>
      </w:hyperlink>
    </w:p>
    <w:p>
      <w:pPr>
        <w:spacing w:after="0" w:line="63" w:lineRule="exact"/>
        <w:rPr>
          <w:sz w:val="20"/>
          <w:szCs w:val="20"/>
          <w:color w:val="auto"/>
        </w:rPr>
      </w:pPr>
    </w:p>
    <w:p>
      <w:pPr>
        <w:ind w:left="960"/>
        <w:spacing w:after="0"/>
        <w:tabs>
          <w:tab w:leader="none" w:pos="198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78">
        <w:r>
          <w:rPr>
            <w:rFonts w:ascii="Arial" w:cs="Arial" w:eastAsia="Arial" w:hAnsi="Arial"/>
            <w:sz w:val="17"/>
            <w:szCs w:val="17"/>
            <w:u w:val="single" w:color="auto"/>
            <w:color w:val="0000FF"/>
          </w:rPr>
          <w:t>Certification of Principal Executive Officer pursuant to Rule 13a-14(a) under the Securities Exchange Act of</w:t>
        </w:r>
      </w:hyperlink>
    </w:p>
    <w:p>
      <w:pPr>
        <w:spacing w:after="0" w:line="23" w:lineRule="exact"/>
        <w:rPr>
          <w:sz w:val="20"/>
          <w:szCs w:val="20"/>
          <w:color w:val="auto"/>
        </w:rPr>
      </w:pPr>
    </w:p>
    <w:p>
      <w:pPr>
        <w:ind w:left="200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22860</wp:posOffset>
            </wp:positionV>
            <wp:extent cx="59493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49315" cy="171450"/>
                    </a:xfrm>
                    <a:prstGeom prst="rect">
                      <a:avLst/>
                    </a:prstGeom>
                    <a:noFill/>
                  </pic:spPr>
                </pic:pic>
              </a:graphicData>
            </a:graphic>
          </wp:anchor>
        </w:drawing>
      </w:r>
    </w:p>
    <w:p>
      <w:pPr>
        <w:spacing w:after="0" w:line="29" w:lineRule="exact"/>
        <w:rPr>
          <w:sz w:val="20"/>
          <w:szCs w:val="20"/>
          <w:color w:val="auto"/>
        </w:rPr>
      </w:pPr>
    </w:p>
    <w:p>
      <w:pPr>
        <w:ind w:left="960"/>
        <w:spacing w:after="0"/>
        <w:tabs>
          <w:tab w:leader="none" w:pos="19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80">
        <w:r>
          <w:rPr>
            <w:rFonts w:ascii="Arial" w:cs="Arial" w:eastAsia="Arial" w:hAnsi="Arial"/>
            <w:sz w:val="16"/>
            <w:szCs w:val="16"/>
            <w:u w:val="single" w:color="auto"/>
            <w:color w:val="0000FF"/>
          </w:rPr>
          <w:t>Certification of Principal Financial Officer pursuant to Rule 13a-14(a) under the Securities Exchange Act of 1934.</w:t>
        </w:r>
      </w:hyperlink>
    </w:p>
    <w:p>
      <w:pPr>
        <w:spacing w:after="0" w:line="63" w:lineRule="exact"/>
        <w:rPr>
          <w:sz w:val="20"/>
          <w:szCs w:val="20"/>
          <w:color w:val="auto"/>
        </w:rPr>
      </w:pPr>
    </w:p>
    <w:p>
      <w:pPr>
        <w:ind w:left="2000" w:hanging="1034"/>
        <w:spacing w:after="0"/>
        <w:tabs>
          <w:tab w:leader="none" w:pos="2000" w:val="left"/>
        </w:tabs>
        <w:numPr>
          <w:ilvl w:val="0"/>
          <w:numId w:val="28"/>
        </w:numPr>
        <w:rPr>
          <w:rFonts w:ascii="Arial" w:cs="Arial" w:eastAsia="Arial" w:hAnsi="Arial"/>
          <w:sz w:val="17"/>
          <w:szCs w:val="17"/>
          <w:color w:val="0000FF"/>
        </w:rPr>
      </w:pPr>
      <w:hyperlink w:anchor="page82">
        <w:r>
          <w:rPr>
            <w:rFonts w:ascii="Arial" w:cs="Arial" w:eastAsia="Arial" w:hAnsi="Arial"/>
            <w:sz w:val="17"/>
            <w:szCs w:val="17"/>
            <w:u w:val="single" w:color="auto"/>
            <w:color w:val="0000FF"/>
          </w:rPr>
          <w:t>Certification of Principal Executive Officer and Principal Financial Officer pursuant to 18 U.S.C. Section 1350</w:t>
        </w:r>
        <w:r>
          <w:rPr>
            <w:rFonts w:ascii="Arial" w:cs="Arial" w:eastAsia="Arial" w:hAnsi="Arial"/>
            <w:sz w:val="17"/>
            <w:szCs w:val="17"/>
            <w:color w:val="0000FF"/>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39370</wp:posOffset>
            </wp:positionV>
            <wp:extent cx="5949315" cy="9944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49315" cy="994410"/>
                    </a:xfrm>
                    <a:prstGeom prst="rect">
                      <a:avLst/>
                    </a:prstGeom>
                    <a:noFill/>
                  </pic:spPr>
                </pic:pic>
              </a:graphicData>
            </a:graphic>
          </wp:anchor>
        </w:drawing>
      </w:r>
    </w:p>
    <w:p>
      <w:pPr>
        <w:spacing w:after="0" w:line="55" w:lineRule="exact"/>
        <w:rPr>
          <w:sz w:val="20"/>
          <w:szCs w:val="20"/>
          <w:color w:val="auto"/>
        </w:rPr>
      </w:pPr>
    </w:p>
    <w:p>
      <w:pPr>
        <w:ind w:left="2000" w:hanging="1034"/>
        <w:spacing w:after="0" w:line="291" w:lineRule="auto"/>
        <w:tabs>
          <w:tab w:leader="none" w:pos="2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formatted in Inline Extensible Business Reporting Language ("Inline XBRL"): (i) the Registrant's Condensed Consolidated Balance Sheets as of March 31, 2020 and December 31, 2019; (ii) the Registrant's Condensed Consolidated Statements of Operations and Comprehensive Income for the three months ended March 31, 2020 and 2019; (iii) the Registrant's Condensed Consolidated Statements of Stockholders’ Equity for the three months ended March 31, 2020 and 2019; (iv) the Registrant's Condensed Consolidated Statements of Cash Flows for the three months ended March 31, 2020 and 2019; and (v) the notes to the Registrant's Condensed Consolidated Financial Statements.</w:t>
      </w:r>
    </w:p>
    <w:p>
      <w:pPr>
        <w:spacing w:after="0" w:line="4" w:lineRule="exact"/>
        <w:rPr>
          <w:sz w:val="20"/>
          <w:szCs w:val="20"/>
          <w:color w:val="auto"/>
        </w:rPr>
      </w:pPr>
    </w:p>
    <w:p>
      <w:pPr>
        <w:ind w:left="5540" w:right="1680" w:hanging="4574"/>
        <w:spacing w:after="0" w:line="809" w:lineRule="auto"/>
        <w:tabs>
          <w:tab w:leader="none" w:pos="20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74</w:t>
      </w:r>
    </w:p>
    <w:p>
      <w:pPr>
        <w:sectPr>
          <w:pgSz w:w="11900" w:h="16838" w:orient="portrait"/>
          <w:cols w:equalWidth="0" w:num="1">
            <w:col w:w="10260"/>
          </w:cols>
          <w:pgMar w:left="320" w:top="130" w:right="131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180" w:val="left"/>
          <w:tab w:leader="none" w:pos="4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Executive Vice President, Finance and</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30"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May 5, 2020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NY 10591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providing this letter to you for inclusion as an exhibit to Regeneron Pharmaceuticals, Inc.’s (the “Company”) Quarterly Report on Form 10-Q for the period ended March 31, 2020 (the “Form 10-Q”) pursuant to Item 601 of Regulation S-K.</w:t>
      </w:r>
    </w:p>
    <w:p>
      <w:pPr>
        <w:spacing w:after="0" w:line="3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have been provided a copy of the Company’s Form 10-Q. Note 1 therein describes changes in accounting principle for (1) presenting cost reimbursements received from collaborative partners previously presented as Collaboration revenue to a reduction of the related expense (Research and development or Selling, general, and administrative) and (2) presenting upfront and development milestone payments previously presented as Collaboration revenue to other operating income. It should be understood that the preferability of one acceptable method of accounting over another for the presentation of amounts received from collaborative partners who are not deemed to be the Company’s customers has not been addressed in any authoritative accounting literature, and in expressing our concurrence below we have relied on management’s determination that this change in accounting principle is preferable. 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such change represents, in the Company’s circumstances, a change to a preferable accounting principle in conformity with Accounting Standards Codification 250,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not audited any financial statements of the Company as of any date or for any period subsequent to December 31, 2019. Accordingly, our comments are subject to change upon completion of an audit of the financial statements covering the period of the accounting change.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ectPr>
          <w:pgSz w:w="11900" w:h="16838" w:orient="portrait"/>
          <w:cols w:equalWidth="0" w:num="1">
            <w:col w:w="11240"/>
          </w:cols>
          <w:pgMar w:left="320" w:top="55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jc w:val="both"/>
        <w:ind w:left="340" w:right="440" w:hanging="332"/>
        <w:spacing w:after="0" w:line="31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57"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20" w:hanging="332"/>
        <w:spacing w:after="0" w:line="31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60" w:hanging="324"/>
        <w:spacing w:after="0" w:line="310"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310"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95"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310"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40" w:hanging="332"/>
        <w:spacing w:after="0" w:line="357"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780" w:hanging="324"/>
        <w:spacing w:after="0" w:line="395"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32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625"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7"/>
        </w:trPr>
        <w:tc>
          <w:tcPr>
            <w:tcW w:w="4360" w:type="dxa"/>
            <w:vAlign w:val="bottom"/>
          </w:tcPr>
          <w:p>
            <w:pPr>
              <w:ind w:left="380"/>
              <w:spacing w:after="0"/>
              <w:rPr>
                <w:sz w:val="20"/>
                <w:szCs w:val="20"/>
                <w:color w:val="auto"/>
              </w:rPr>
            </w:pPr>
            <w:r>
              <w:rPr>
                <w:rFonts w:ascii="Arial" w:cs="Arial" w:eastAsia="Arial" w:hAnsi="Arial"/>
                <w:sz w:val="18"/>
                <w:szCs w:val="18"/>
                <w:color w:val="auto"/>
              </w:rPr>
              <w:t>Date: May 5, 2020</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Leonard S. Schleifer</w:t>
            </w:r>
          </w:p>
        </w:tc>
        <w:tc>
          <w:tcPr>
            <w:tcW w:w="5180" w:type="dxa"/>
            <w:vAlign w:val="bottom"/>
          </w:tcPr>
          <w:p>
            <w:pPr>
              <w:spacing w:after="0"/>
              <w:rPr>
                <w:sz w:val="19"/>
                <w:szCs w:val="19"/>
                <w:color w:val="auto"/>
              </w:rPr>
            </w:pPr>
          </w:p>
        </w:tc>
      </w:tr>
      <w:tr>
        <w:trPr>
          <w:trHeight w:val="318"/>
        </w:trPr>
        <w:tc>
          <w:tcPr>
            <w:tcW w:w="43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r>
      <w:tr>
        <w:trPr>
          <w:trHeight w:val="297"/>
        </w:trPr>
        <w:tc>
          <w:tcPr>
            <w:tcW w:w="43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43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09"/>
        </w:trPr>
        <w:tc>
          <w:tcPr>
            <w:tcW w:w="436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1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240"/>
          </w:cols>
          <w:pgMar w:left="320" w:top="723"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jc w:val="both"/>
        <w:ind w:left="340" w:right="440" w:hanging="332"/>
        <w:spacing w:after="0" w:line="31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57"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20" w:hanging="332"/>
        <w:spacing w:after="0" w:line="31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60" w:hanging="324"/>
        <w:spacing w:after="0" w:line="310"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310"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95"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310"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40" w:hanging="332"/>
        <w:spacing w:after="0" w:line="357"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780" w:hanging="324"/>
        <w:spacing w:after="0" w:line="395" w:lineRule="auto"/>
        <w:tabs>
          <w:tab w:leader="none" w:pos="9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80" w:hanging="324"/>
        <w:spacing w:after="0" w:line="32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625" w:right="339" w:bottom="1440" w:gutter="0" w:footer="0" w:header="0"/>
        </w:sectPr>
      </w:pPr>
    </w:p>
    <w:bookmarkStart w:id="80" w:name="page81"/>
    <w:bookmarkEnd w:id="80"/>
    <w:p>
      <w:pPr>
        <w:spacing w:after="0"/>
        <w:tabs>
          <w:tab w:leader="none" w:pos="3960" w:val="left"/>
        </w:tabs>
        <w:rPr>
          <w:sz w:val="20"/>
          <w:szCs w:val="20"/>
          <w:color w:val="auto"/>
        </w:rPr>
      </w:pPr>
      <w:r>
        <w:rPr>
          <w:rFonts w:ascii="Arial" w:cs="Arial" w:eastAsia="Arial" w:hAnsi="Arial"/>
          <w:sz w:val="18"/>
          <w:szCs w:val="18"/>
          <w:color w:val="auto"/>
        </w:rPr>
        <w:t>Date: May 5, 2020</w:t>
      </w:r>
      <w:r>
        <w:rPr>
          <w:sz w:val="20"/>
          <w:szCs w:val="20"/>
          <w:color w:val="auto"/>
        </w:rPr>
        <w:tab/>
      </w:r>
      <w:r>
        <w:rPr>
          <w:rFonts w:ascii="Arial" w:cs="Arial" w:eastAsia="Arial" w:hAnsi="Arial"/>
          <w:sz w:val="16"/>
          <w:szCs w:val="16"/>
          <w:u w:val="single" w:color="auto"/>
          <w:color w:val="auto"/>
        </w:rPr>
        <w:t>/s/ Robert E. Landry</w:t>
      </w:r>
    </w:p>
    <w:p>
      <w:pPr>
        <w:spacing w:after="0" w:line="9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jc w:val="right"/>
        <w:ind w:right="2559"/>
        <w:spacing w:after="0"/>
        <w:rPr>
          <w:sz w:val="20"/>
          <w:szCs w:val="20"/>
          <w:color w:val="auto"/>
        </w:rPr>
      </w:pPr>
      <w:r>
        <w:rPr>
          <w:rFonts w:ascii="Arial" w:cs="Arial" w:eastAsia="Arial" w:hAnsi="Arial"/>
          <w:sz w:val="18"/>
          <w:szCs w:val="18"/>
          <w:color w:val="auto"/>
        </w:rPr>
        <w:t>Executive Vice President, Finance and Chief</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460375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59"/>
          </w:cols>
          <w:pgMar w:left="700" w:top="760"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spacing w:after="0" w:line="32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March 31, 2020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May 5, 2020</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Executive Vice President, Finance and Chief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May 5, 2020</w:t>
      </w:r>
    </w:p>
    <w:sectPr>
      <w:pgSz w:w="11900" w:h="16838" w:orient="portrait"/>
      <w:cols w:equalWidth="0" w:num="1">
        <w:col w:w="11240"/>
      </w:cols>
      <w:pgMar w:left="320" w:top="6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25"/>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decimal"/>
      <w:start w:val="18"/>
    </w:lvl>
  </w:abstractNum>
  <w:abstractNum w:abstractNumId="27">
    <w:nsid w:val="1E7FF521"/>
    <w:multiLevelType w:val="hybridMultilevel"/>
    <w:lvl w:ilvl="0">
      <w:lvlJc w:val="left"/>
      <w:lvlText w:val="%1"/>
      <w:numFmt w:val="decimal"/>
      <w:start w:val="32"/>
    </w:lvl>
  </w:abstractNum>
  <w:abstractNum w:abstractNumId="28">
    <w:nsid w:val="7C3DBD3D"/>
    <w:multiLevelType w:val="hybridMultilevel"/>
    <w:lvl w:ilvl="0">
      <w:lvlJc w:val="left"/>
      <w:lvlText w:val="%1"/>
      <w:numFmt w:val="decimal"/>
      <w:start w:val="101"/>
    </w:lvl>
  </w:abstractNum>
  <w:abstractNum w:abstractNumId="29">
    <w:nsid w:val="737B8DDC"/>
    <w:multiLevelType w:val="hybridMultilevel"/>
    <w:lvl w:ilvl="0">
      <w:lvlJc w:val="left"/>
      <w:lvlText w:val="%1"/>
      <w:numFmt w:val="decimal"/>
      <w:start w:val="104"/>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2020-05-05T06:54:01Z</dcterms:created>
  <dcterms:modified xsi:type="dcterms:W3CDTF">2020-05-05T06:54:01Z</dcterms:modified>
</cp:coreProperties>
</file>