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26" w:lineRule="exact"/>
        <w:rPr>
          <w:sz w:val="24"/>
          <w:szCs w:val="24"/>
          <w:color w:val="auto"/>
        </w:rPr>
      </w:pPr>
    </w:p>
    <w:p>
      <w:pPr>
        <w:ind w:left="360" w:right="2300" w:hanging="336"/>
        <w:spacing w:after="0" w:line="265"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2021</w:t>
      </w:r>
    </w:p>
    <w:p>
      <w:pPr>
        <w:ind w:left="166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OR</w:t>
      </w:r>
    </w:p>
    <w:p>
      <w:pPr>
        <w:spacing w:after="0" w:line="26" w:lineRule="exact"/>
        <w:rPr>
          <w:sz w:val="24"/>
          <w:szCs w:val="24"/>
          <w:color w:val="auto"/>
        </w:rPr>
      </w:pPr>
    </w:p>
    <w:p>
      <w:pPr>
        <w:ind w:left="360" w:right="2280" w:hanging="336"/>
        <w:spacing w:after="0" w:line="290" w:lineRule="auto"/>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0-19034</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REGENERON PHARMACEUTICALS, INC.</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60" w:type="dxa"/>
            <w:vAlign w:val="bottom"/>
            <w:gridSpan w:val="5"/>
          </w:tcPr>
          <w:p>
            <w:pPr>
              <w:jc w:val="center"/>
              <w:ind w:right="2340"/>
              <w:spacing w:after="0"/>
              <w:rPr>
                <w:sz w:val="20"/>
                <w:szCs w:val="20"/>
                <w:color w:val="auto"/>
              </w:rPr>
            </w:pPr>
            <w:r>
              <w:rPr>
                <w:rFonts w:ascii="Arial" w:cs="Arial" w:eastAsia="Arial" w:hAnsi="Arial"/>
                <w:sz w:val="18"/>
                <w:szCs w:val="18"/>
                <w:i w:val="1"/>
                <w:iCs w:val="1"/>
                <w:color w:val="auto"/>
                <w:w w:val="90"/>
              </w:rPr>
              <w:t>(Exact name of registrant as specified in its charter)</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2980" w:type="dxa"/>
            <w:vAlign w:val="bottom"/>
            <w:gridSpan w:val="2"/>
          </w:tcPr>
          <w:p>
            <w:pPr>
              <w:jc w:val="center"/>
              <w:ind w:right="1511"/>
              <w:spacing w:after="0"/>
              <w:rPr>
                <w:sz w:val="20"/>
                <w:szCs w:val="20"/>
                <w:color w:val="auto"/>
              </w:rPr>
            </w:pPr>
            <w:r>
              <w:rPr>
                <w:rFonts w:ascii="Arial" w:cs="Arial" w:eastAsia="Arial" w:hAnsi="Arial"/>
                <w:sz w:val="18"/>
                <w:szCs w:val="18"/>
                <w:b w:val="1"/>
                <w:bCs w:val="1"/>
                <w:color w:val="auto"/>
                <w:w w:val="90"/>
              </w:rPr>
              <w:t>New York</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20" w:type="dxa"/>
            <w:vAlign w:val="bottom"/>
          </w:tcPr>
          <w:p>
            <w:pPr>
              <w:jc w:val="right"/>
              <w:ind w:right="1100"/>
              <w:spacing w:after="0"/>
              <w:rPr>
                <w:sz w:val="20"/>
                <w:szCs w:val="20"/>
                <w:color w:val="auto"/>
              </w:rPr>
            </w:pPr>
            <w:r>
              <w:rPr>
                <w:rFonts w:ascii="Arial" w:cs="Arial" w:eastAsia="Arial" w:hAnsi="Arial"/>
                <w:sz w:val="18"/>
                <w:szCs w:val="18"/>
                <w:b w:val="1"/>
                <w:bCs w:val="1"/>
                <w:color w:val="auto"/>
              </w:rPr>
              <w:t>13-3444607</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40" w:type="dxa"/>
            <w:vAlign w:val="bottom"/>
            <w:gridSpan w:val="3"/>
          </w:tcPr>
          <w:p>
            <w:pPr>
              <w:jc w:val="center"/>
              <w:ind w:left="378"/>
              <w:spacing w:after="0"/>
              <w:rPr>
                <w:sz w:val="20"/>
                <w:szCs w:val="20"/>
                <w:color w:val="auto"/>
              </w:rPr>
            </w:pPr>
            <w:r>
              <w:rPr>
                <w:rFonts w:ascii="Arial" w:cs="Arial" w:eastAsia="Arial" w:hAnsi="Arial"/>
                <w:sz w:val="18"/>
                <w:szCs w:val="18"/>
                <w:i w:val="1"/>
                <w:iCs w:val="1"/>
                <w:color w:val="auto"/>
                <w:w w:val="93"/>
              </w:rPr>
              <w:t>(State or other jurisdiction of incorporation or organization)</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1"/>
              </w:rPr>
              <w:t>(I.R.S. Employer Identification No.)</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2060" w:type="dxa"/>
            <w:vAlign w:val="bottom"/>
          </w:tcPr>
          <w:p>
            <w:pPr>
              <w:spacing w:after="0"/>
              <w:rPr>
                <w:sz w:val="24"/>
                <w:szCs w:val="24"/>
                <w:color w:val="auto"/>
              </w:rPr>
            </w:pPr>
          </w:p>
        </w:tc>
        <w:tc>
          <w:tcPr>
            <w:tcW w:w="814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91"/>
              </w:rPr>
              <w:t>777 Old Saw Mill River Road, Tarrytown, New York 10591-6707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60" w:type="dxa"/>
            <w:vAlign w:val="bottom"/>
            <w:gridSpan w:val="5"/>
          </w:tcPr>
          <w:p>
            <w:pPr>
              <w:jc w:val="center"/>
              <w:ind w:right="2340"/>
              <w:spacing w:after="0"/>
              <w:rPr>
                <w:sz w:val="20"/>
                <w:szCs w:val="20"/>
                <w:color w:val="auto"/>
              </w:rPr>
            </w:pPr>
            <w:r>
              <w:rPr>
                <w:rFonts w:ascii="Arial" w:cs="Arial" w:eastAsia="Arial" w:hAnsi="Arial"/>
                <w:sz w:val="18"/>
                <w:szCs w:val="18"/>
                <w:i w:val="1"/>
                <w:iCs w:val="1"/>
                <w:color w:val="auto"/>
                <w:w w:val="90"/>
              </w:rPr>
              <w:t>(Address of principal executive offices, including zip code)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(914) 847-7000</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60" w:type="dxa"/>
            <w:vAlign w:val="bottom"/>
            <w:gridSpan w:val="5"/>
          </w:tcPr>
          <w:p>
            <w:pPr>
              <w:jc w:val="center"/>
              <w:ind w:right="2320"/>
              <w:spacing w:after="0"/>
              <w:rPr>
                <w:sz w:val="20"/>
                <w:szCs w:val="20"/>
                <w:color w:val="auto"/>
              </w:rPr>
            </w:pPr>
            <w:r>
              <w:rPr>
                <w:rFonts w:ascii="Arial" w:cs="Arial" w:eastAsia="Arial" w:hAnsi="Arial"/>
                <w:sz w:val="18"/>
                <w:szCs w:val="18"/>
                <w:i w:val="1"/>
                <w:iCs w:val="1"/>
                <w:color w:val="auto"/>
                <w:w w:val="89"/>
              </w:rPr>
              <w:t>(Registrant's telephone number, including area code)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60" w:type="dxa"/>
            <w:vAlign w:val="bottom"/>
            <w:gridSpan w:val="5"/>
          </w:tcPr>
          <w:p>
            <w:pPr>
              <w:jc w:val="center"/>
              <w:ind w:right="2320"/>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60" w:type="dxa"/>
            <w:vAlign w:val="bottom"/>
          </w:tcPr>
          <w:p>
            <w:pPr>
              <w:spacing w:after="0"/>
              <w:rPr>
                <w:sz w:val="24"/>
                <w:szCs w:val="24"/>
                <w:color w:val="auto"/>
              </w:rPr>
            </w:pPr>
          </w:p>
        </w:tc>
        <w:tc>
          <w:tcPr>
            <w:tcW w:w="2980" w:type="dxa"/>
            <w:vAlign w:val="bottom"/>
            <w:gridSpan w:val="2"/>
          </w:tcPr>
          <w:p>
            <w:pPr>
              <w:jc w:val="center"/>
              <w:ind w:right="1611"/>
              <w:spacing w:after="0"/>
              <w:rPr>
                <w:sz w:val="20"/>
                <w:szCs w:val="20"/>
                <w:color w:val="auto"/>
              </w:rPr>
            </w:pPr>
            <w:r>
              <w:rPr>
                <w:rFonts w:ascii="Arial" w:cs="Arial" w:eastAsia="Arial" w:hAnsi="Arial"/>
                <w:sz w:val="18"/>
                <w:szCs w:val="18"/>
                <w:i w:val="1"/>
                <w:iCs w:val="1"/>
                <w:color w:val="auto"/>
                <w:w w:val="88"/>
              </w:rPr>
              <w:t>Title of each class</w:t>
            </w: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i w:val="1"/>
                <w:iCs w:val="1"/>
                <w:color w:val="auto"/>
                <w:w w:val="88"/>
              </w:rPr>
              <w:t>Trading Symbol</w:t>
            </w:r>
          </w:p>
        </w:tc>
        <w:tc>
          <w:tcPr>
            <w:tcW w:w="32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87"/>
              </w:rPr>
              <w:t>Name of each exchange on which registered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gridSpan w:val="3"/>
          </w:tcPr>
          <w:p>
            <w:pPr>
              <w:jc w:val="center"/>
              <w:ind w:left="278"/>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9"/>
              </w:rPr>
              <w:t>REGN</w:t>
            </w:r>
          </w:p>
        </w:tc>
        <w:tc>
          <w:tcPr>
            <w:tcW w:w="3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NASDAQ Global Select Market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10200" w:type="dxa"/>
            <w:vAlign w:val="bottom"/>
            <w:gridSpan w:val="7"/>
          </w:tcPr>
          <w:p>
            <w:pPr>
              <w:spacing w:after="0"/>
              <w:rPr>
                <w:sz w:val="20"/>
                <w:szCs w:val="20"/>
                <w:color w:val="auto"/>
              </w:rPr>
            </w:pPr>
            <w:r>
              <w:rPr>
                <w:rFonts w:ascii="Arial" w:cs="Arial" w:eastAsia="Arial" w:hAnsi="Arial"/>
                <w:sz w:val="16"/>
                <w:szCs w:val="16"/>
                <w:color w:val="auto"/>
                <w:w w:val="99"/>
              </w:rPr>
              <w:t>Indicate by check mark whether the registrant (1) has filed all reports required to be filed by Section 13 or 15(d) of the Securities Exchange Act of</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200" w:type="dxa"/>
            <w:vAlign w:val="bottom"/>
            <w:gridSpan w:val="7"/>
          </w:tcPr>
          <w:p>
            <w:pPr>
              <w:spacing w:after="0" w:line="157" w:lineRule="exact"/>
              <w:rPr>
                <w:sz w:val="20"/>
                <w:szCs w:val="20"/>
                <w:color w:val="auto"/>
              </w:rPr>
            </w:pPr>
            <w:r>
              <w:rPr>
                <w:rFonts w:ascii="Arial" w:cs="Arial" w:eastAsia="Arial" w:hAnsi="Arial"/>
                <w:sz w:val="16"/>
                <w:szCs w:val="16"/>
                <w:color w:val="auto"/>
                <w:w w:val="99"/>
              </w:rPr>
              <w:t>1934 during the preceding 12 months (or for such shorter period that the registrant was required to file such reports), and (2) has been subject to</w:t>
            </w:r>
          </w:p>
        </w:tc>
        <w:tc>
          <w:tcPr>
            <w:tcW w:w="500" w:type="dxa"/>
            <w:vAlign w:val="bottom"/>
            <w:vMerge w:val="restart"/>
          </w:tcPr>
          <w:p>
            <w:pPr>
              <w:ind w:left="140"/>
              <w:spacing w:after="0" w:line="196" w:lineRule="exact"/>
              <w:rPr>
                <w:sz w:val="20"/>
                <w:szCs w:val="20"/>
                <w:color w:val="auto"/>
              </w:rPr>
            </w:pPr>
            <w:r>
              <w:rPr>
                <w:rFonts w:ascii="Arial" w:cs="Arial" w:eastAsia="Arial" w:hAnsi="Arial"/>
                <w:sz w:val="12"/>
                <w:szCs w:val="12"/>
                <w:color w:val="auto"/>
                <w:w w:val="95"/>
              </w:rPr>
              <w:t xml:space="preserve">No </w:t>
            </w:r>
            <w:r>
              <w:rPr>
                <w:rFonts w:ascii="MS PGothic" w:cs="MS PGothic" w:eastAsia="MS PGothic" w:hAnsi="MS PGothic"/>
                <w:sz w:val="17"/>
                <w:szCs w:val="17"/>
                <w:color w:val="auto"/>
                <w:w w:val="95"/>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Arial" w:cs="Arial" w:eastAsia="Arial" w:hAnsi="Arial"/>
                <w:sz w:val="16"/>
                <w:szCs w:val="16"/>
                <w:color w:val="auto"/>
              </w:rPr>
              <w:t>such filing requirements for the past 90 days.</w:t>
            </w: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60" w:type="dxa"/>
            <w:vAlign w:val="bottom"/>
            <w:gridSpan w:val="2"/>
          </w:tcPr>
          <w:p>
            <w:pPr>
              <w:ind w:left="2740"/>
              <w:spacing w:after="0" w:line="196"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7"/>
                <w:szCs w:val="17"/>
                <w:color w:val="auto"/>
              </w:rPr>
              <w:t>☒</w:t>
            </w: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10200" w:type="dxa"/>
            <w:vAlign w:val="bottom"/>
            <w:gridSpan w:val="7"/>
          </w:tcPr>
          <w:p>
            <w:pPr>
              <w:spacing w:after="0" w:line="160" w:lineRule="exact"/>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0" w:type="dxa"/>
            <w:vAlign w:val="bottom"/>
            <w:gridSpan w:val="7"/>
          </w:tcPr>
          <w:p>
            <w:pPr>
              <w:spacing w:after="0" w:line="157" w:lineRule="exact"/>
              <w:rPr>
                <w:sz w:val="20"/>
                <w:szCs w:val="20"/>
                <w:color w:val="auto"/>
              </w:rPr>
            </w:pPr>
            <w:r>
              <w:rPr>
                <w:rFonts w:ascii="Arial" w:cs="Arial" w:eastAsia="Arial" w:hAnsi="Arial"/>
                <w:sz w:val="16"/>
                <w:szCs w:val="16"/>
                <w:color w:val="auto"/>
              </w:rPr>
              <w:t>405 of Regulation S-T (§232.405 of this chapter) during the preceding 12 months (or for such shorter period that the registrant was required to</w:t>
            </w:r>
          </w:p>
        </w:tc>
        <w:tc>
          <w:tcPr>
            <w:tcW w:w="500" w:type="dxa"/>
            <w:vAlign w:val="bottom"/>
            <w:vMerge w:val="restart"/>
          </w:tcPr>
          <w:p>
            <w:pPr>
              <w:ind w:left="140"/>
              <w:spacing w:after="0" w:line="196" w:lineRule="exact"/>
              <w:rPr>
                <w:sz w:val="20"/>
                <w:szCs w:val="20"/>
                <w:color w:val="auto"/>
              </w:rPr>
            </w:pPr>
            <w:r>
              <w:rPr>
                <w:rFonts w:ascii="Arial" w:cs="Arial" w:eastAsia="Arial" w:hAnsi="Arial"/>
                <w:sz w:val="12"/>
                <w:szCs w:val="12"/>
                <w:color w:val="auto"/>
                <w:w w:val="95"/>
              </w:rPr>
              <w:t xml:space="preserve">No </w:t>
            </w:r>
            <w:r>
              <w:rPr>
                <w:rFonts w:ascii="MS PGothic" w:cs="MS PGothic" w:eastAsia="MS PGothic" w:hAnsi="MS PGothic"/>
                <w:sz w:val="17"/>
                <w:szCs w:val="17"/>
                <w:color w:val="auto"/>
                <w:w w:val="95"/>
              </w:rPr>
              <w:t>☐</w:t>
            </w:r>
          </w:p>
        </w:tc>
        <w:tc>
          <w:tcPr>
            <w:tcW w:w="0" w:type="dxa"/>
            <w:vAlign w:val="bottom"/>
          </w:tcPr>
          <w:p>
            <w:pPr>
              <w:spacing w:after="0"/>
              <w:rPr>
                <w:sz w:val="1"/>
                <w:szCs w:val="1"/>
                <w:color w:val="auto"/>
              </w:rPr>
            </w:pPr>
          </w:p>
        </w:tc>
      </w:tr>
      <w:tr>
        <w:trPr>
          <w:trHeight w:val="279"/>
        </w:trPr>
        <w:tc>
          <w:tcPr>
            <w:tcW w:w="5040" w:type="dxa"/>
            <w:vAlign w:val="bottom"/>
            <w:gridSpan w:val="3"/>
          </w:tcPr>
          <w:p>
            <w:pPr>
              <w:spacing w:after="0"/>
              <w:rPr>
                <w:sz w:val="20"/>
                <w:szCs w:val="20"/>
                <w:color w:val="auto"/>
              </w:rPr>
            </w:pPr>
            <w:r>
              <w:rPr>
                <w:rFonts w:ascii="Arial" w:cs="Arial" w:eastAsia="Arial" w:hAnsi="Arial"/>
                <w:sz w:val="16"/>
                <w:szCs w:val="16"/>
                <w:color w:val="auto"/>
              </w:rPr>
              <w:t>submit such files).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gridSpan w:val="2"/>
          </w:tcPr>
          <w:p>
            <w:pPr>
              <w:ind w:left="2740"/>
              <w:spacing w:after="0" w:line="196"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7"/>
                <w:szCs w:val="17"/>
                <w:color w:val="auto"/>
              </w:rPr>
              <w:t>☒</w:t>
            </w: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jc w:val="both"/>
        <w:ind w:left="20" w:right="280"/>
        <w:spacing w:after="0" w:line="22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300"/>
              <w:spacing w:after="0"/>
              <w:rPr>
                <w:sz w:val="20"/>
                <w:szCs w:val="20"/>
                <w:color w:val="auto"/>
              </w:rPr>
            </w:pPr>
            <w:r>
              <w:rPr>
                <w:rFonts w:ascii="Arial" w:cs="Arial" w:eastAsia="Arial" w:hAnsi="Arial"/>
                <w:sz w:val="16"/>
                <w:szCs w:val="16"/>
                <w:color w:val="auto"/>
              </w:rPr>
              <w:t>Large accelerated</w:t>
            </w:r>
          </w:p>
        </w:tc>
        <w:tc>
          <w:tcPr>
            <w:tcW w:w="1700" w:type="dxa"/>
            <w:vAlign w:val="bottom"/>
            <w:vMerge w:val="restart"/>
          </w:tcPr>
          <w:p>
            <w:pPr>
              <w:ind w:left="180"/>
              <w:spacing w:after="0" w:line="19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7"/>
                <w:szCs w:val="17"/>
                <w:color w:val="auto"/>
              </w:rPr>
              <w:t>☐</w:t>
            </w:r>
          </w:p>
        </w:tc>
        <w:tc>
          <w:tcPr>
            <w:tcW w:w="1960" w:type="dxa"/>
            <w:vAlign w:val="bottom"/>
            <w:vMerge w:val="restart"/>
          </w:tcPr>
          <w:p>
            <w:pPr>
              <w:ind w:left="280"/>
              <w:spacing w:after="0" w:line="196" w:lineRule="exact"/>
              <w:rPr>
                <w:sz w:val="20"/>
                <w:szCs w:val="20"/>
                <w:color w:val="auto"/>
              </w:rPr>
            </w:pPr>
            <w:r>
              <w:rPr>
                <w:rFonts w:ascii="Arial" w:cs="Arial" w:eastAsia="Arial" w:hAnsi="Arial"/>
                <w:sz w:val="16"/>
                <w:szCs w:val="16"/>
                <w:color w:val="auto"/>
                <w:w w:val="98"/>
              </w:rPr>
              <w:t xml:space="preserve">Non-accelerated filer </w:t>
            </w:r>
            <w:r>
              <w:rPr>
                <w:rFonts w:ascii="MS PGothic" w:cs="MS PGothic" w:eastAsia="MS PGothic" w:hAnsi="MS PGothic"/>
                <w:sz w:val="17"/>
                <w:szCs w:val="17"/>
                <w:color w:val="auto"/>
                <w:w w:val="98"/>
              </w:rPr>
              <w:t>☐</w:t>
            </w:r>
          </w:p>
        </w:tc>
        <w:tc>
          <w:tcPr>
            <w:tcW w:w="2260" w:type="dxa"/>
            <w:vAlign w:val="bottom"/>
            <w:vMerge w:val="restart"/>
          </w:tcPr>
          <w:p>
            <w:pPr>
              <w:ind w:left="160"/>
              <w:spacing w:after="0" w:line="196" w:lineRule="exact"/>
              <w:rPr>
                <w:sz w:val="20"/>
                <w:szCs w:val="20"/>
                <w:color w:val="auto"/>
              </w:rPr>
            </w:pPr>
            <w:r>
              <w:rPr>
                <w:rFonts w:ascii="Arial" w:cs="Arial" w:eastAsia="Arial" w:hAnsi="Arial"/>
                <w:sz w:val="16"/>
                <w:szCs w:val="16"/>
                <w:color w:val="auto"/>
                <w:w w:val="97"/>
              </w:rPr>
              <w:t xml:space="preserve">Smaller reporting company </w:t>
            </w:r>
            <w:r>
              <w:rPr>
                <w:rFonts w:ascii="MS PGothic" w:cs="MS PGothic" w:eastAsia="MS PGothic" w:hAnsi="MS PGothic"/>
                <w:sz w:val="17"/>
                <w:szCs w:val="17"/>
                <w:color w:val="auto"/>
                <w:w w:val="97"/>
              </w:rPr>
              <w:t>☐</w:t>
            </w:r>
          </w:p>
        </w:tc>
        <w:tc>
          <w:tcPr>
            <w:tcW w:w="2480" w:type="dxa"/>
            <w:vAlign w:val="bottom"/>
            <w:vMerge w:val="restart"/>
          </w:tcPr>
          <w:p>
            <w:pPr>
              <w:jc w:val="right"/>
              <w:ind w:right="303"/>
              <w:spacing w:after="0" w:line="196" w:lineRule="exact"/>
              <w:rPr>
                <w:sz w:val="20"/>
                <w:szCs w:val="20"/>
                <w:color w:val="auto"/>
              </w:rPr>
            </w:pPr>
            <w:r>
              <w:rPr>
                <w:rFonts w:ascii="Arial" w:cs="Arial" w:eastAsia="Arial" w:hAnsi="Arial"/>
                <w:sz w:val="16"/>
                <w:szCs w:val="16"/>
                <w:color w:val="auto"/>
                <w:w w:val="98"/>
              </w:rPr>
              <w:t xml:space="preserve">Emerging growth company </w:t>
            </w:r>
            <w:r>
              <w:rPr>
                <w:rFonts w:ascii="MS PGothic" w:cs="MS PGothic" w:eastAsia="MS PGothic" w:hAnsi="MS PGothic"/>
                <w:sz w:val="17"/>
                <w:szCs w:val="17"/>
                <w:color w:val="auto"/>
                <w:w w:val="9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780" w:type="dxa"/>
            <w:vAlign w:val="bottom"/>
          </w:tcPr>
          <w:p>
            <w:pPr>
              <w:ind w:left="1160"/>
              <w:spacing w:after="0" w:line="196"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2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180" w:type="dxa"/>
            <w:vAlign w:val="bottom"/>
            <w:gridSpan w:val="5"/>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00" w:type="dxa"/>
            <w:vAlign w:val="bottom"/>
            <w:gridSpan w:val="4"/>
          </w:tcPr>
          <w:p>
            <w:pPr>
              <w:spacing w:after="0"/>
              <w:rPr>
                <w:sz w:val="20"/>
                <w:szCs w:val="20"/>
                <w:color w:val="auto"/>
              </w:rPr>
            </w:pPr>
            <w:r>
              <w:rPr>
                <w:rFonts w:ascii="Arial" w:cs="Arial" w:eastAsia="Arial" w:hAnsi="Arial"/>
                <w:sz w:val="16"/>
                <w:szCs w:val="16"/>
                <w:color w:val="auto"/>
              </w:rPr>
              <w:t>any new or revised financial accounting standards provided pursuant to Section 13(a) of the Exchange Act.</w:t>
            </w:r>
          </w:p>
        </w:tc>
        <w:tc>
          <w:tcPr>
            <w:tcW w:w="2480" w:type="dxa"/>
            <w:vAlign w:val="bottom"/>
          </w:tcPr>
          <w:p>
            <w:pPr>
              <w:jc w:val="right"/>
              <w:ind w:right="103"/>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700" w:type="dxa"/>
            <w:vAlign w:val="bottom"/>
            <w:gridSpan w:val="4"/>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2480" w:type="dxa"/>
            <w:vAlign w:val="bottom"/>
          </w:tcPr>
          <w:p>
            <w:pPr>
              <w:jc w:val="right"/>
              <w:ind w:right="103"/>
              <w:spacing w:after="0" w:line="196"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7"/>
                <w:szCs w:val="17"/>
                <w:color w:val="auto"/>
              </w:rPr>
              <w:t>☐</w:t>
            </w:r>
          </w:p>
        </w:tc>
        <w:tc>
          <w:tcPr>
            <w:tcW w:w="520" w:type="dxa"/>
            <w:vAlign w:val="bottom"/>
          </w:tcPr>
          <w:p>
            <w:pPr>
              <w:ind w:left="160"/>
              <w:spacing w:after="0" w:line="196" w:lineRule="exact"/>
              <w:rPr>
                <w:sz w:val="20"/>
                <w:szCs w:val="20"/>
                <w:color w:val="auto"/>
              </w:rPr>
            </w:pPr>
            <w:r>
              <w:rPr>
                <w:rFonts w:ascii="Arial" w:cs="Arial" w:eastAsia="Arial" w:hAnsi="Arial"/>
                <w:sz w:val="12"/>
                <w:szCs w:val="12"/>
                <w:color w:val="auto"/>
                <w:w w:val="95"/>
              </w:rPr>
              <w:t xml:space="preserve">No </w:t>
            </w:r>
            <w:r>
              <w:rPr>
                <w:rFonts w:ascii="MS PGothic" w:cs="MS PGothic" w:eastAsia="MS PGothic" w:hAnsi="MS PGothic"/>
                <w:sz w:val="17"/>
                <w:szCs w:val="17"/>
                <w:color w:val="auto"/>
                <w:w w:val="95"/>
              </w:rPr>
              <w:t>☒</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The number of shares outstanding of each of the registrant's classes of common stock as of July 23, 2021:</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Class of Common Stock</w:t>
            </w:r>
          </w:p>
        </w:tc>
        <w:tc>
          <w:tcPr>
            <w:tcW w:w="320" w:type="dxa"/>
            <w:vAlign w:val="bottom"/>
          </w:tcPr>
          <w:p>
            <w:pPr>
              <w:spacing w:after="0"/>
              <w:rPr>
                <w:sz w:val="18"/>
                <w:szCs w:val="18"/>
                <w:color w:val="auto"/>
              </w:rPr>
            </w:pPr>
          </w:p>
        </w:tc>
        <w:tc>
          <w:tcPr>
            <w:tcW w:w="32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Number of Shares</w:t>
            </w:r>
          </w:p>
        </w:tc>
        <w:tc>
          <w:tcPr>
            <w:tcW w:w="2220" w:type="dxa"/>
            <w:vAlign w:val="bottom"/>
          </w:tcPr>
          <w:p>
            <w:pPr>
              <w:spacing w:after="0"/>
              <w:rPr>
                <w:sz w:val="18"/>
                <w:szCs w:val="18"/>
                <w:color w:val="auto"/>
              </w:rPr>
            </w:pPr>
          </w:p>
        </w:tc>
      </w:tr>
      <w:tr>
        <w:trPr>
          <w:trHeight w:val="204"/>
        </w:trPr>
        <w:tc>
          <w:tcPr>
            <w:tcW w:w="2240" w:type="dxa"/>
            <w:vAlign w:val="bottom"/>
          </w:tcPr>
          <w:p>
            <w:pPr>
              <w:spacing w:after="0"/>
              <w:rPr>
                <w:sz w:val="17"/>
                <w:szCs w:val="17"/>
                <w:color w:val="auto"/>
              </w:rPr>
            </w:pPr>
          </w:p>
        </w:tc>
        <w:tc>
          <w:tcPr>
            <w:tcW w:w="358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Class A Stock, $.001 par value</w:t>
            </w:r>
          </w:p>
        </w:tc>
        <w:tc>
          <w:tcPr>
            <w:tcW w:w="3200" w:type="dxa"/>
            <w:vAlign w:val="bottom"/>
          </w:tcPr>
          <w:p>
            <w:pPr>
              <w:jc w:val="right"/>
              <w:ind w:right="1200"/>
              <w:spacing w:after="0"/>
              <w:rPr>
                <w:sz w:val="20"/>
                <w:szCs w:val="20"/>
                <w:color w:val="auto"/>
              </w:rPr>
            </w:pPr>
            <w:r>
              <w:rPr>
                <w:rFonts w:ascii="Arial" w:cs="Arial" w:eastAsia="Arial" w:hAnsi="Arial"/>
                <w:sz w:val="16"/>
                <w:szCs w:val="16"/>
                <w:color w:val="auto"/>
              </w:rPr>
              <w:t>1,848,970</w:t>
            </w:r>
          </w:p>
        </w:tc>
        <w:tc>
          <w:tcPr>
            <w:tcW w:w="2220" w:type="dxa"/>
            <w:vAlign w:val="bottom"/>
          </w:tcPr>
          <w:p>
            <w:pPr>
              <w:spacing w:after="0"/>
              <w:rPr>
                <w:sz w:val="17"/>
                <w:szCs w:val="17"/>
                <w:color w:val="auto"/>
              </w:rPr>
            </w:pPr>
          </w:p>
        </w:tc>
      </w:t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Common Stock, $.001 par value</w:t>
            </w:r>
          </w:p>
        </w:tc>
        <w:tc>
          <w:tcPr>
            <w:tcW w:w="3200" w:type="dxa"/>
            <w:vAlign w:val="bottom"/>
          </w:tcPr>
          <w:p>
            <w:pPr>
              <w:jc w:val="right"/>
              <w:ind w:right="1120"/>
              <w:spacing w:after="0"/>
              <w:rPr>
                <w:sz w:val="20"/>
                <w:szCs w:val="20"/>
                <w:color w:val="auto"/>
              </w:rPr>
            </w:pPr>
            <w:r>
              <w:rPr>
                <w:rFonts w:ascii="Arial" w:cs="Arial" w:eastAsia="Arial" w:hAnsi="Arial"/>
                <w:sz w:val="16"/>
                <w:szCs w:val="16"/>
                <w:color w:val="auto"/>
              </w:rPr>
              <w:t>105,106,409</w:t>
            </w:r>
          </w:p>
        </w:tc>
        <w:tc>
          <w:tcPr>
            <w:tcW w:w="2220" w:type="dxa"/>
            <w:vAlign w:val="bottom"/>
          </w:tcPr>
          <w:p>
            <w:pPr>
              <w:spacing w:after="0"/>
              <w:rPr>
                <w:sz w:val="18"/>
                <w:szCs w:val="18"/>
                <w:color w:val="auto"/>
              </w:rPr>
            </w:pPr>
          </w:p>
        </w:tc>
      </w:tr>
      <w:tr>
        <w:trPr>
          <w:trHeight w:val="1013"/>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gridSpan w:val="7"/>
          </w:tcPr>
          <w:p>
            <w:pPr>
              <w:ind w:left="380"/>
              <w:spacing w:after="0"/>
              <w:rPr>
                <w:sz w:val="20"/>
                <w:szCs w:val="20"/>
                <w:color w:val="auto"/>
              </w:rPr>
            </w:pPr>
            <w:r>
              <w:rPr>
                <w:rFonts w:ascii="Arial" w:cs="Arial" w:eastAsia="Arial" w:hAnsi="Arial"/>
                <w:sz w:val="18"/>
                <w:szCs w:val="18"/>
                <w:b w:val="1"/>
                <w:bCs w:val="1"/>
                <w:color w:val="auto"/>
              </w:rPr>
              <w:t>Page Numbers</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7320" w:type="dxa"/>
            <w:vAlign w:val="bottom"/>
            <w:gridSpan w:val="20"/>
            <w:shd w:val="clear" w:color="auto" w:fill="CCEEFF"/>
          </w:tcPr>
          <w:p>
            <w:pPr>
              <w:spacing w:after="0" w:line="187"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1020" w:type="dxa"/>
            <w:vAlign w:val="bottom"/>
            <w:gridSpan w:val="5"/>
            <w:shd w:val="clear" w:color="auto" w:fill="CCEEFF"/>
          </w:tcPr>
          <w:p>
            <w:pPr>
              <w:jc w:val="center"/>
              <w:ind w:left="751"/>
              <w:spacing w:after="0" w:line="18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2021 and December 31, 2020</w:t>
              </w:r>
            </w:hyperlink>
          </w:p>
        </w:tc>
        <w:tc>
          <w:tcPr>
            <w:tcW w:w="1020" w:type="dxa"/>
            <w:vAlign w:val="bottom"/>
            <w:gridSpan w:val="5"/>
            <w:shd w:val="clear" w:color="auto" w:fill="CCEEFF"/>
          </w:tcPr>
          <w:p>
            <w:pPr>
              <w:jc w:val="center"/>
              <w:ind w:left="751"/>
              <w:spacing w:after="0" w:line="18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320" w:type="dxa"/>
            <w:vAlign w:val="bottom"/>
            <w:gridSpan w:val="20"/>
            <w:shd w:val="clear" w:color="auto" w:fill="CCEEFF"/>
          </w:tcPr>
          <w:p>
            <w:pPr>
              <w:spacing w:after="0" w:line="187" w:lineRule="exact"/>
              <w:rPr>
                <w:rFonts w:ascii="Arial" w:cs="Arial" w:eastAsia="Arial" w:hAnsi="Arial"/>
                <w:sz w:val="18"/>
                <w:szCs w:val="18"/>
                <w:color w:val="0000FF"/>
                <w:w w:val="93"/>
              </w:rPr>
            </w:pPr>
            <w:hyperlink w:anchor="page3">
              <w:r>
                <w:rPr>
                  <w:rFonts w:ascii="Arial" w:cs="Arial" w:eastAsia="Arial" w:hAnsi="Arial"/>
                  <w:sz w:val="18"/>
                  <w:szCs w:val="18"/>
                  <w:color w:val="0000FF"/>
                  <w:w w:val="93"/>
                </w:rPr>
                <w:t>Condensed Consolidated Statements of Operations and Comprehensive Income for the Three and</w:t>
              </w:r>
            </w:hyperlink>
          </w:p>
        </w:tc>
        <w:tc>
          <w:tcPr>
            <w:tcW w:w="1020" w:type="dxa"/>
            <w:vAlign w:val="bottom"/>
            <w:gridSpan w:val="5"/>
            <w:shd w:val="clear" w:color="auto" w:fill="CCEEFF"/>
          </w:tcPr>
          <w:p>
            <w:pPr>
              <w:jc w:val="center"/>
              <w:ind w:left="751"/>
              <w:spacing w:after="0" w:line="18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920" w:type="dxa"/>
            <w:vAlign w:val="bottom"/>
            <w:tcBorders>
              <w:top w:val="single" w:sz="8" w:color="0000FF"/>
            </w:tcBorders>
            <w:gridSpan w:val="18"/>
            <w:shd w:val="clear" w:color="auto" w:fill="CCEEFF"/>
          </w:tcPr>
          <w:p>
            <w:pPr>
              <w:spacing w:after="0" w:line="154" w:lineRule="exact"/>
              <w:rPr>
                <w:rFonts w:ascii="Arial" w:cs="Arial" w:eastAsia="Arial" w:hAnsi="Arial"/>
                <w:sz w:val="17"/>
                <w:szCs w:val="17"/>
                <w:color w:val="0000FF"/>
              </w:rPr>
            </w:pPr>
            <w:hyperlink w:anchor="page3">
              <w:r>
                <w:rPr>
                  <w:rFonts w:ascii="Arial" w:cs="Arial" w:eastAsia="Arial" w:hAnsi="Arial"/>
                  <w:sz w:val="17"/>
                  <w:szCs w:val="17"/>
                  <w:color w:val="0000FF"/>
                </w:rPr>
                <w:t>Six Months Ended June 30, 2021 and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320" w:type="dxa"/>
            <w:vAlign w:val="bottom"/>
            <w:gridSpan w:val="20"/>
            <w:shd w:val="clear" w:color="auto" w:fill="CCEEFF"/>
          </w:tcPr>
          <w:p>
            <w:pPr>
              <w:spacing w:after="0" w:line="187" w:lineRule="exact"/>
              <w:rPr>
                <w:rFonts w:ascii="Arial" w:cs="Arial" w:eastAsia="Arial" w:hAnsi="Arial"/>
                <w:sz w:val="18"/>
                <w:szCs w:val="18"/>
                <w:color w:val="0000FF"/>
                <w:w w:val="93"/>
              </w:rPr>
            </w:pPr>
            <w:hyperlink w:anchor="page4">
              <w:r>
                <w:rPr>
                  <w:rFonts w:ascii="Arial" w:cs="Arial" w:eastAsia="Arial" w:hAnsi="Arial"/>
                  <w:sz w:val="18"/>
                  <w:szCs w:val="18"/>
                  <w:color w:val="0000FF"/>
                  <w:w w:val="93"/>
                </w:rPr>
                <w:t>Condensed Consolidated Statements of Stockholders' Equity for the Three and Six Months Ended</w:t>
              </w:r>
            </w:hyperlink>
          </w:p>
        </w:tc>
        <w:tc>
          <w:tcPr>
            <w:tcW w:w="1020" w:type="dxa"/>
            <w:vAlign w:val="bottom"/>
            <w:gridSpan w:val="5"/>
            <w:shd w:val="clear" w:color="auto" w:fill="CCEEFF"/>
          </w:tcPr>
          <w:p>
            <w:pPr>
              <w:jc w:val="center"/>
              <w:ind w:left="751"/>
              <w:spacing w:after="0" w:line="187"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940" w:type="dxa"/>
            <w:vAlign w:val="bottom"/>
            <w:tcBorders>
              <w:top w:val="single" w:sz="8" w:color="0000FF"/>
            </w:tcBorders>
            <w:gridSpan w:val="19"/>
            <w:shd w:val="clear" w:color="auto" w:fill="CCEEFF"/>
          </w:tcPr>
          <w:p>
            <w:pPr>
              <w:spacing w:after="0" w:line="154" w:lineRule="exact"/>
              <w:rPr>
                <w:rFonts w:ascii="Arial" w:cs="Arial" w:eastAsia="Arial" w:hAnsi="Arial"/>
                <w:sz w:val="17"/>
                <w:szCs w:val="17"/>
                <w:color w:val="0000FF"/>
              </w:rPr>
            </w:pPr>
            <w:hyperlink w:anchor="page4">
              <w:r>
                <w:rPr>
                  <w:rFonts w:ascii="Arial" w:cs="Arial" w:eastAsia="Arial" w:hAnsi="Arial"/>
                  <w:sz w:val="17"/>
                  <w:szCs w:val="17"/>
                  <w:color w:val="0000FF"/>
                </w:rPr>
                <w:t>June 30, 2021 and 2020</w:t>
              </w:r>
            </w:hyperlink>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320" w:type="dxa"/>
            <w:vAlign w:val="bottom"/>
            <w:gridSpan w:val="20"/>
            <w:shd w:val="clear" w:color="auto" w:fill="CCEEFF"/>
          </w:tcPr>
          <w:p>
            <w:pPr>
              <w:spacing w:after="0" w:line="187"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Cash Flows for the Six Months Ended June 30, 2021 and</w:t>
              </w:r>
            </w:hyperlink>
          </w:p>
        </w:tc>
        <w:tc>
          <w:tcPr>
            <w:tcW w:w="1020" w:type="dxa"/>
            <w:vAlign w:val="bottom"/>
            <w:gridSpan w:val="5"/>
            <w:shd w:val="clear" w:color="auto" w:fill="CCEEFF"/>
          </w:tcPr>
          <w:p>
            <w:pPr>
              <w:jc w:val="center"/>
              <w:ind w:left="751"/>
              <w:spacing w:after="0" w:line="187"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0000FF"/>
            </w:tcBorders>
            <w:gridSpan w:val="2"/>
            <w:shd w:val="clear" w:color="auto" w:fill="CCEEFF"/>
          </w:tcPr>
          <w:p>
            <w:pPr>
              <w:spacing w:after="0" w:line="154" w:lineRule="exact"/>
              <w:rPr>
                <w:rFonts w:ascii="Arial" w:cs="Arial" w:eastAsia="Arial" w:hAnsi="Arial"/>
                <w:sz w:val="17"/>
                <w:szCs w:val="17"/>
                <w:color w:val="0000FF"/>
              </w:rPr>
            </w:pPr>
            <w:hyperlink w:anchor="page6">
              <w:r>
                <w:rPr>
                  <w:rFonts w:ascii="Arial" w:cs="Arial" w:eastAsia="Arial" w:hAnsi="Arial"/>
                  <w:sz w:val="17"/>
                  <w:szCs w:val="17"/>
                  <w:color w:val="0000FF"/>
                </w:rPr>
                <w:t>2020</w:t>
              </w:r>
            </w:hyperlink>
          </w:p>
        </w:tc>
        <w:tc>
          <w:tcPr>
            <w:tcW w:w="16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700" w:type="dxa"/>
            <w:vAlign w:val="bottom"/>
            <w:tcBorders>
              <w:top w:val="single" w:sz="8" w:color="0000FF"/>
            </w:tcBorders>
            <w:shd w:val="clear" w:color="auto" w:fill="CCEEFF"/>
          </w:tcPr>
          <w:p>
            <w:pPr>
              <w:spacing w:after="0"/>
              <w:rPr>
                <w:sz w:val="15"/>
                <w:szCs w:val="15"/>
                <w:color w:val="auto"/>
              </w:rPr>
            </w:pPr>
          </w:p>
        </w:tc>
        <w:tc>
          <w:tcPr>
            <w:tcW w:w="88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76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5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020" w:type="dxa"/>
            <w:vAlign w:val="bottom"/>
            <w:gridSpan w:val="5"/>
            <w:shd w:val="clear" w:color="auto" w:fill="CCEEFF"/>
          </w:tcPr>
          <w:p>
            <w:pPr>
              <w:jc w:val="center"/>
              <w:ind w:left="751"/>
              <w:spacing w:after="0" w:line="187"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480" w:type="dxa"/>
            <w:vAlign w:val="bottom"/>
            <w:gridSpan w:val="6"/>
            <w:shd w:val="clear" w:color="auto" w:fill="CCEEFF"/>
          </w:tcPr>
          <w:p>
            <w:pPr>
              <w:jc w:val="center"/>
              <w:ind w:left="291"/>
              <w:spacing w:after="0" w:line="187"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50">
              <w:r>
                <w:rPr>
                  <w:rFonts w:ascii="Arial" w:cs="Arial" w:eastAsia="Arial" w:hAnsi="Arial"/>
                  <w:sz w:val="18"/>
                  <w:szCs w:val="18"/>
                  <w:color w:val="0000FF"/>
                </w:rPr>
                <w:t>Item 3.</w:t>
              </w:r>
            </w:hyperlink>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50">
              <w:r>
                <w:rPr>
                  <w:rFonts w:ascii="Arial" w:cs="Arial" w:eastAsia="Arial" w:hAnsi="Arial"/>
                  <w:sz w:val="18"/>
                  <w:szCs w:val="18"/>
                  <w:color w:val="0000FF"/>
                </w:rPr>
                <w:t>Quantitative and Qualitative Disclosures About Market Risk</w:t>
              </w:r>
            </w:hyperlink>
          </w:p>
        </w:tc>
        <w:tc>
          <w:tcPr>
            <w:tcW w:w="1480" w:type="dxa"/>
            <w:vAlign w:val="bottom"/>
            <w:gridSpan w:val="6"/>
            <w:shd w:val="clear" w:color="auto" w:fill="CCEEFF"/>
          </w:tcPr>
          <w:p>
            <w:pPr>
              <w:jc w:val="center"/>
              <w:ind w:left="291"/>
              <w:spacing w:after="0" w:line="187"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50">
              <w:r>
                <w:rPr>
                  <w:rFonts w:ascii="Arial" w:cs="Arial" w:eastAsia="Arial" w:hAnsi="Arial"/>
                  <w:sz w:val="18"/>
                  <w:szCs w:val="18"/>
                  <w:color w:val="0000FF"/>
                </w:rPr>
                <w:t>Item 4.</w:t>
              </w:r>
            </w:hyperlink>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50">
              <w:r>
                <w:rPr>
                  <w:rFonts w:ascii="Arial" w:cs="Arial" w:eastAsia="Arial" w:hAnsi="Arial"/>
                  <w:sz w:val="18"/>
                  <w:szCs w:val="18"/>
                  <w:color w:val="0000FF"/>
                </w:rPr>
                <w:t>Controls and Procedures</w:t>
              </w:r>
            </w:hyperlink>
          </w:p>
        </w:tc>
        <w:tc>
          <w:tcPr>
            <w:tcW w:w="1480" w:type="dxa"/>
            <w:vAlign w:val="bottom"/>
            <w:gridSpan w:val="6"/>
            <w:shd w:val="clear" w:color="auto" w:fill="CCEEFF"/>
          </w:tcPr>
          <w:p>
            <w:pPr>
              <w:jc w:val="center"/>
              <w:ind w:left="291"/>
              <w:spacing w:after="0" w:line="187"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PART II</w:t>
              </w:r>
            </w:hyperlink>
          </w:p>
        </w:tc>
        <w:tc>
          <w:tcPr>
            <w:tcW w:w="7320" w:type="dxa"/>
            <w:vAlign w:val="bottom"/>
            <w:gridSpan w:val="20"/>
            <w:shd w:val="clear" w:color="auto" w:fill="CCEEFF"/>
          </w:tcPr>
          <w:p>
            <w:pPr>
              <w:spacing w:after="0" w:line="187" w:lineRule="exact"/>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OTHER INFORMATION</w:t>
              </w:r>
            </w:hyperlink>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51">
              <w:r>
                <w:rPr>
                  <w:rFonts w:ascii="Arial" w:cs="Arial" w:eastAsia="Arial" w:hAnsi="Arial"/>
                  <w:sz w:val="18"/>
                  <w:szCs w:val="18"/>
                  <w:color w:val="0000FF"/>
                </w:rPr>
                <w:t>Item 1.</w:t>
              </w:r>
            </w:hyperlink>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51">
              <w:r>
                <w:rPr>
                  <w:rFonts w:ascii="Arial" w:cs="Arial" w:eastAsia="Arial" w:hAnsi="Arial"/>
                  <w:sz w:val="18"/>
                  <w:szCs w:val="18"/>
                  <w:color w:val="0000FF"/>
                </w:rPr>
                <w:t>Legal Proceedings</w:t>
              </w:r>
            </w:hyperlink>
          </w:p>
        </w:tc>
        <w:tc>
          <w:tcPr>
            <w:tcW w:w="1480" w:type="dxa"/>
            <w:vAlign w:val="bottom"/>
            <w:gridSpan w:val="6"/>
            <w:shd w:val="clear" w:color="auto" w:fill="CCEEFF"/>
          </w:tcPr>
          <w:p>
            <w:pPr>
              <w:jc w:val="center"/>
              <w:ind w:left="291"/>
              <w:spacing w:after="0" w:line="187"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51">
              <w:r>
                <w:rPr>
                  <w:rFonts w:ascii="Arial" w:cs="Arial" w:eastAsia="Arial" w:hAnsi="Arial"/>
                  <w:sz w:val="18"/>
                  <w:szCs w:val="18"/>
                  <w:color w:val="0000FF"/>
                </w:rPr>
                <w:t>Item 1A.</w:t>
              </w:r>
            </w:hyperlink>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51">
              <w:r>
                <w:rPr>
                  <w:rFonts w:ascii="Arial" w:cs="Arial" w:eastAsia="Arial" w:hAnsi="Arial"/>
                  <w:sz w:val="18"/>
                  <w:szCs w:val="18"/>
                  <w:color w:val="0000FF"/>
                </w:rPr>
                <w:t>Risk Factors</w:t>
              </w:r>
            </w:hyperlink>
          </w:p>
        </w:tc>
        <w:tc>
          <w:tcPr>
            <w:tcW w:w="1480" w:type="dxa"/>
            <w:vAlign w:val="bottom"/>
            <w:gridSpan w:val="6"/>
            <w:shd w:val="clear" w:color="auto" w:fill="CCEEFF"/>
          </w:tcPr>
          <w:p>
            <w:pPr>
              <w:jc w:val="center"/>
              <w:ind w:left="291"/>
              <w:spacing w:after="0" w:line="187"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85">
              <w:r>
                <w:rPr>
                  <w:rFonts w:ascii="Arial" w:cs="Arial" w:eastAsia="Arial" w:hAnsi="Arial"/>
                  <w:sz w:val="18"/>
                  <w:szCs w:val="18"/>
                  <w:color w:val="0000FF"/>
                </w:rPr>
                <w:t>Item 2.</w:t>
              </w:r>
            </w:hyperlink>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85">
              <w:r>
                <w:rPr>
                  <w:rFonts w:ascii="Arial" w:cs="Arial" w:eastAsia="Arial" w:hAnsi="Arial"/>
                  <w:sz w:val="18"/>
                  <w:szCs w:val="18"/>
                  <w:color w:val="0000FF"/>
                </w:rPr>
                <w:t>Unregistered Sales of Equity Securities and Use of Proceeds</w:t>
              </w:r>
            </w:hyperlink>
          </w:p>
        </w:tc>
        <w:tc>
          <w:tcPr>
            <w:tcW w:w="1480" w:type="dxa"/>
            <w:vAlign w:val="bottom"/>
            <w:gridSpan w:val="6"/>
            <w:shd w:val="clear" w:color="auto" w:fill="CCEEFF"/>
          </w:tcPr>
          <w:p>
            <w:pPr>
              <w:jc w:val="center"/>
              <w:ind w:left="291"/>
              <w:spacing w:after="0" w:line="187"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85</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207"/>
        </w:trPr>
        <w:tc>
          <w:tcPr>
            <w:tcW w:w="1180" w:type="dxa"/>
            <w:vAlign w:val="bottom"/>
            <w:gridSpan w:val="6"/>
            <w:shd w:val="clear" w:color="auto" w:fill="CCEEFF"/>
          </w:tcPr>
          <w:p>
            <w:pPr>
              <w:ind w:left="20"/>
              <w:spacing w:after="0" w:line="187" w:lineRule="exact"/>
              <w:rPr>
                <w:rFonts w:ascii="Arial" w:cs="Arial" w:eastAsia="Arial" w:hAnsi="Arial"/>
                <w:sz w:val="18"/>
                <w:szCs w:val="18"/>
                <w:color w:val="0000FF"/>
              </w:rPr>
            </w:pPr>
            <w:hyperlink w:anchor="page86">
              <w:r>
                <w:rPr>
                  <w:rFonts w:ascii="Arial" w:cs="Arial" w:eastAsia="Arial" w:hAnsi="Arial"/>
                  <w:sz w:val="18"/>
                  <w:szCs w:val="18"/>
                  <w:color w:val="0000FF"/>
                </w:rPr>
                <w:t>Item 6.</w:t>
              </w:r>
            </w:hyperlink>
          </w:p>
        </w:tc>
        <w:tc>
          <w:tcPr>
            <w:tcW w:w="7320" w:type="dxa"/>
            <w:vAlign w:val="bottom"/>
            <w:gridSpan w:val="20"/>
            <w:shd w:val="clear" w:color="auto" w:fill="CCEEFF"/>
          </w:tcPr>
          <w:p>
            <w:pPr>
              <w:spacing w:after="0" w:line="187" w:lineRule="exact"/>
              <w:rPr>
                <w:rFonts w:ascii="Arial" w:cs="Arial" w:eastAsia="Arial" w:hAnsi="Arial"/>
                <w:sz w:val="18"/>
                <w:szCs w:val="18"/>
                <w:color w:val="0000FF"/>
              </w:rPr>
            </w:pPr>
            <w:hyperlink w:anchor="page86">
              <w:r>
                <w:rPr>
                  <w:rFonts w:ascii="Arial" w:cs="Arial" w:eastAsia="Arial" w:hAnsi="Arial"/>
                  <w:sz w:val="18"/>
                  <w:szCs w:val="18"/>
                  <w:color w:val="0000FF"/>
                </w:rPr>
                <w:t>Exhibits</w:t>
              </w:r>
            </w:hyperlink>
          </w:p>
        </w:tc>
        <w:tc>
          <w:tcPr>
            <w:tcW w:w="1480" w:type="dxa"/>
            <w:vAlign w:val="bottom"/>
            <w:gridSpan w:val="6"/>
            <w:shd w:val="clear" w:color="auto" w:fill="CCEEFF"/>
          </w:tcPr>
          <w:p>
            <w:pPr>
              <w:jc w:val="center"/>
              <w:ind w:left="291"/>
              <w:spacing w:after="0" w:line="187"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c>
          <w:tcPr>
            <w:tcW w:w="220" w:type="dxa"/>
            <w:vAlign w:val="bottom"/>
            <w:shd w:val="clear" w:color="auto" w:fill="CCEEFF"/>
          </w:tcPr>
          <w:p>
            <w:pPr>
              <w:spacing w:after="0"/>
              <w:rPr>
                <w:sz w:val="17"/>
                <w:szCs w:val="17"/>
                <w:color w:val="auto"/>
              </w:rPr>
            </w:pPr>
          </w:p>
        </w:tc>
      </w:tr>
      <w:tr>
        <w:trPr>
          <w:trHeight w:val="160"/>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r>
      <w:tr>
        <w:trPr>
          <w:trHeight w:val="187"/>
        </w:trPr>
        <w:tc>
          <w:tcPr>
            <w:tcW w:w="8500" w:type="dxa"/>
            <w:vAlign w:val="bottom"/>
            <w:gridSpan w:val="26"/>
            <w:shd w:val="clear" w:color="auto" w:fill="CCEEFF"/>
          </w:tcPr>
          <w:p>
            <w:pPr>
              <w:ind w:left="20"/>
              <w:spacing w:after="0" w:line="187" w:lineRule="exact"/>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SIGNATURE PAGE</w:t>
              </w:r>
            </w:hyperlink>
          </w:p>
        </w:tc>
        <w:tc>
          <w:tcPr>
            <w:tcW w:w="1480" w:type="dxa"/>
            <w:vAlign w:val="bottom"/>
            <w:gridSpan w:val="6"/>
            <w:shd w:val="clear" w:color="auto" w:fill="CCEEFF"/>
          </w:tcPr>
          <w:p>
            <w:pPr>
              <w:jc w:val="center"/>
              <w:ind w:left="291"/>
              <w:spacing w:after="0" w:line="187"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86</w:t>
              </w:r>
            </w:hyperlink>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185" w:lineRule="auto"/>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r>
        <w:rPr>
          <w:rFonts w:ascii="Arial" w:cs="Arial" w:eastAsia="Arial" w:hAnsi="Arial"/>
          <w:sz w:val="18"/>
          <w:szCs w:val="18"/>
          <w:color w:val="auto"/>
        </w:rPr>
        <w:t>," "Evkeeza</w:t>
      </w:r>
      <w:r>
        <w:rPr>
          <w:rFonts w:ascii="Arial" w:cs="Arial" w:eastAsia="Arial" w:hAnsi="Arial"/>
          <w:sz w:val="23"/>
          <w:szCs w:val="23"/>
          <w:color w:val="auto"/>
          <w:vertAlign w:val="superscript"/>
        </w:rPr>
        <w:t>®</w:t>
      </w:r>
      <w:r>
        <w:rPr>
          <w:rFonts w:ascii="Arial" w:cs="Arial" w:eastAsia="Arial" w:hAnsi="Arial"/>
          <w:sz w:val="18"/>
          <w:szCs w:val="18"/>
          <w:color w:val="auto"/>
        </w:rPr>
        <w:t>," "EYLEA</w:t>
      </w:r>
      <w:r>
        <w:rPr>
          <w:rFonts w:ascii="Arial" w:cs="Arial" w:eastAsia="Arial" w:hAnsi="Arial"/>
          <w:sz w:val="23"/>
          <w:szCs w:val="23"/>
          <w:color w:val="auto"/>
          <w:vertAlign w:val="superscript"/>
        </w:rPr>
        <w:t>®</w:t>
      </w:r>
      <w:r>
        <w:rPr>
          <w:rFonts w:ascii="Arial" w:cs="Arial" w:eastAsia="Arial" w:hAnsi="Arial"/>
          <w:sz w:val="18"/>
          <w:szCs w:val="18"/>
          <w:color w:val="auto"/>
        </w:rPr>
        <w:t>," "Inmazeb</w:t>
      </w:r>
      <w:r>
        <w:rPr>
          <w:rFonts w:ascii="Arial" w:cs="Arial" w:eastAsia="Arial" w:hAnsi="Arial"/>
          <w:sz w:val="23"/>
          <w:szCs w:val="23"/>
          <w:color w:val="auto"/>
          <w:vertAlign w:val="superscript"/>
        </w:rPr>
        <w:t>™</w:t>
      </w:r>
      <w:r>
        <w:rPr>
          <w:rFonts w:ascii="Arial" w:cs="Arial" w:eastAsia="Arial" w:hAnsi="Arial"/>
          <w:sz w:val="18"/>
          <w:szCs w:val="18"/>
          <w:color w:val="auto"/>
        </w:rPr>
        <w:t>," "Libtayo</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"Praluent</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"REGEN-COV™," "Regeneron</w:t>
      </w:r>
      <w:r>
        <w:rPr>
          <w:rFonts w:ascii="Arial" w:cs="Arial" w:eastAsia="Arial" w:hAnsi="Arial"/>
          <w:sz w:val="23"/>
          <w:szCs w:val="23"/>
          <w:color w:val="auto"/>
          <w:vertAlign w:val="superscript"/>
        </w:rPr>
        <w:t>®</w:t>
      </w:r>
      <w:r>
        <w:rPr>
          <w:rFonts w:ascii="Arial" w:cs="Arial" w:eastAsia="Arial" w:hAnsi="Arial"/>
          <w:sz w:val="18"/>
          <w:szCs w:val="18"/>
          <w:color w:val="auto"/>
        </w:rPr>
        <w:t>," "Regeneron Genetics Center</w:t>
      </w:r>
      <w:r>
        <w:rPr>
          <w:rFonts w:ascii="Arial" w:cs="Arial" w:eastAsia="Arial" w:hAnsi="Arial"/>
          <w:sz w:val="23"/>
          <w:szCs w:val="23"/>
          <w:color w:val="auto"/>
          <w:vertAlign w:val="superscript"/>
        </w:rPr>
        <w:t>®</w:t>
      </w:r>
      <w:r>
        <w:rPr>
          <w:rFonts w:ascii="Arial" w:cs="Arial" w:eastAsia="Arial" w:hAnsi="Arial"/>
          <w:sz w:val="18"/>
          <w:szCs w:val="18"/>
          <w:color w:val="auto"/>
        </w:rPr>
        <w:t>," "Ronapreve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Veloci-Bi</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VelociHum</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23"/>
          <w:szCs w:val="23"/>
          <w:color w:val="auto"/>
          <w:vertAlign w:val="superscript"/>
        </w:rPr>
        <w:t>™</w:t>
      </w:r>
      <w:r>
        <w:rPr>
          <w:rFonts w:ascii="Arial" w:cs="Arial" w:eastAsia="Arial" w:hAnsi="Arial"/>
          <w:sz w:val="18"/>
          <w:szCs w:val="18"/>
          <w:color w:val="auto"/>
        </w:rPr>
        <w:t>," and "ZALTRAP</w:t>
      </w:r>
      <w:r>
        <w:rPr>
          <w:rFonts w:ascii="Arial" w:cs="Arial" w:eastAsia="Arial" w:hAnsi="Arial"/>
          <w:sz w:val="23"/>
          <w:szCs w:val="23"/>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710565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92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1"/>
        </w:trPr>
        <w:tc>
          <w:tcPr>
            <w:tcW w:w="8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9,779.1</w:t>
            </w:r>
          </w:p>
        </w:tc>
        <w:tc>
          <w:tcPr>
            <w:tcW w:w="0" w:type="dxa"/>
            <w:vAlign w:val="bottom"/>
          </w:tcPr>
          <w:p>
            <w:pPr>
              <w:spacing w:after="0"/>
              <w:rPr>
                <w:sz w:val="1"/>
                <w:szCs w:val="1"/>
                <w:color w:val="auto"/>
              </w:rPr>
            </w:pPr>
          </w:p>
        </w:tc>
      </w:tr>
      <w:tr>
        <w:trPr>
          <w:trHeight w:val="200"/>
        </w:trPr>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370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2,697.4</w:t>
            </w:r>
          </w:p>
        </w:tc>
        <w:tc>
          <w:tcPr>
            <w:tcW w:w="0" w:type="dxa"/>
            <w:vAlign w:val="bottom"/>
          </w:tcPr>
          <w:p>
            <w:pPr>
              <w:spacing w:after="0"/>
              <w:rPr>
                <w:sz w:val="1"/>
                <w:szCs w:val="1"/>
                <w:color w:val="auto"/>
              </w:rPr>
            </w:pPr>
          </w:p>
        </w:tc>
      </w:tr>
      <w:tr>
        <w:trPr>
          <w:trHeight w:val="200"/>
        </w:trPr>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2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6,138.0</w:t>
            </w: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260" w:type="dxa"/>
            <w:vAlign w:val="bottom"/>
          </w:tcPr>
          <w:p>
            <w:pPr>
              <w:ind w:left="220"/>
              <w:spacing w:after="0" w:line="174" w:lineRule="exact"/>
              <w:rPr>
                <w:sz w:val="20"/>
                <w:szCs w:val="20"/>
                <w:color w:val="auto"/>
              </w:rPr>
            </w:pPr>
            <w:r>
              <w:rPr>
                <w:rFonts w:ascii="Arial" w:cs="Arial" w:eastAsia="Arial" w:hAnsi="Arial"/>
                <w:sz w:val="18"/>
                <w:szCs w:val="18"/>
                <w:color w:val="auto"/>
                <w:w w:val="93"/>
              </w:rPr>
              <w:t>Class A Stock, convertible, $.001 par value; 40,000,000 shares authorized; shares issued and outstanding -</w:t>
            </w:r>
          </w:p>
        </w:tc>
        <w:tc>
          <w:tcPr>
            <w:tcW w:w="2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260" w:type="dxa"/>
            <w:vAlign w:val="bottom"/>
          </w:tcPr>
          <w:p>
            <w:pPr>
              <w:ind w:left="380"/>
              <w:spacing w:after="0"/>
              <w:rPr>
                <w:sz w:val="20"/>
                <w:szCs w:val="20"/>
                <w:color w:val="auto"/>
              </w:rPr>
            </w:pPr>
            <w:r>
              <w:rPr>
                <w:rFonts w:ascii="Arial" w:cs="Arial" w:eastAsia="Arial" w:hAnsi="Arial"/>
                <w:sz w:val="18"/>
                <w:szCs w:val="18"/>
                <w:color w:val="auto"/>
              </w:rPr>
              <w:t>1,848,970 in 2021 and 2020</w:t>
            </w: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6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4"/>
              </w:rPr>
              <w:t>Common Stock, $.001 par value; 320,000,000 shares authorized; shares issued - 122,527,112 in 2021 and</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121,533,460 in 2020</w:t>
            </w: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6,716.2</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10,893.0</w:t>
            </w:r>
          </w:p>
        </w:tc>
        <w:tc>
          <w:tcPr>
            <w:tcW w:w="0" w:type="dxa"/>
            <w:vAlign w:val="bottom"/>
          </w:tcPr>
          <w:p>
            <w:pPr>
              <w:spacing w:after="0"/>
              <w:rPr>
                <w:sz w:val="1"/>
                <w:szCs w:val="1"/>
                <w:color w:val="auto"/>
              </w:rPr>
            </w:pPr>
          </w:p>
        </w:tc>
      </w:tr>
      <w:tr>
        <w:trPr>
          <w:trHeight w:val="227"/>
        </w:trPr>
        <w:tc>
          <w:tcPr>
            <w:tcW w:w="82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17,656,256 shares in 2021 and 16,431,520 shares in 2020</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(6,613.3)</w:t>
            </w:r>
          </w:p>
        </w:tc>
        <w:tc>
          <w:tcPr>
            <w:tcW w:w="0" w:type="dxa"/>
            <w:vAlign w:val="bottom"/>
          </w:tcPr>
          <w:p>
            <w:pPr>
              <w:spacing w:after="0"/>
              <w:rPr>
                <w:sz w:val="1"/>
                <w:szCs w:val="1"/>
                <w:color w:val="auto"/>
              </w:rPr>
            </w:pPr>
          </w:p>
        </w:tc>
      </w:tr>
      <w:tr>
        <w:trPr>
          <w:trHeight w:val="22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41275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75"/>
        </w:trPr>
        <w:tc>
          <w:tcPr>
            <w:tcW w:w="114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3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REGENERON PHARMACEUTICALS, INC.</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7"/>
        </w:trPr>
        <w:tc>
          <w:tcPr>
            <w:tcW w:w="10300" w:type="dxa"/>
            <w:vAlign w:val="bottom"/>
            <w:gridSpan w:val="13"/>
          </w:tcPr>
          <w:p>
            <w:pPr>
              <w:jc w:val="center"/>
              <w:ind w:left="871"/>
              <w:spacing w:after="0"/>
              <w:rPr>
                <w:sz w:val="20"/>
                <w:szCs w:val="20"/>
                <w:color w:val="auto"/>
              </w:rPr>
            </w:pPr>
            <w:r>
              <w:rPr>
                <w:rFonts w:ascii="Arial" w:cs="Arial" w:eastAsia="Arial" w:hAnsi="Arial"/>
                <w:sz w:val="18"/>
                <w:szCs w:val="18"/>
                <w:b w:val="1"/>
                <w:bCs w:val="1"/>
                <w:color w:val="auto"/>
                <w:w w:val="97"/>
              </w:rPr>
              <w:t>CONDENSED CONSOLIDATED STATEMENTS OF OPERATIONS AND COMPREHENSIVE INCOME (Unaudited)</w:t>
            </w:r>
          </w:p>
        </w:tc>
        <w:tc>
          <w:tcPr>
            <w:tcW w:w="940" w:type="dxa"/>
            <w:vAlign w:val="bottom"/>
          </w:tcPr>
          <w:p>
            <w:pPr>
              <w:spacing w:after="0"/>
              <w:rPr>
                <w:sz w:val="18"/>
                <w:szCs w:val="18"/>
                <w:color w:val="auto"/>
              </w:rPr>
            </w:pPr>
          </w:p>
        </w:tc>
      </w:tr>
      <w:tr>
        <w:trPr>
          <w:trHeight w:val="226"/>
        </w:trPr>
        <w:tc>
          <w:tcPr>
            <w:tcW w:w="1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80" w:type="dxa"/>
            <w:vAlign w:val="bottom"/>
            <w:gridSpan w:val="4"/>
          </w:tcPr>
          <w:p>
            <w:pPr>
              <w:jc w:val="center"/>
              <w:ind w:left="271"/>
              <w:spacing w:after="0"/>
              <w:rPr>
                <w:sz w:val="20"/>
                <w:szCs w:val="20"/>
                <w:color w:val="auto"/>
              </w:rPr>
            </w:pPr>
            <w:r>
              <w:rPr>
                <w:rFonts w:ascii="Arial" w:cs="Arial" w:eastAsia="Arial" w:hAnsi="Arial"/>
                <w:sz w:val="18"/>
                <w:szCs w:val="18"/>
                <w:b w:val="1"/>
                <w:bCs w:val="1"/>
                <w:i w:val="1"/>
                <w:iCs w:val="1"/>
                <w:color w:val="auto"/>
                <w:w w:val="86"/>
              </w:rPr>
              <w:t>(In millions, except per share data)</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5"/>
        </w:trPr>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460" w:type="dxa"/>
            <w:vAlign w:val="bottom"/>
            <w:gridSpan w:val="4"/>
          </w:tcPr>
          <w:p>
            <w:pPr>
              <w:jc w:val="right"/>
              <w:ind w:right="611"/>
              <w:spacing w:after="0"/>
              <w:rPr>
                <w:sz w:val="20"/>
                <w:szCs w:val="20"/>
                <w:color w:val="auto"/>
              </w:rPr>
            </w:pPr>
            <w:r>
              <w:rPr>
                <w:rFonts w:ascii="Arial" w:cs="Arial" w:eastAsia="Arial" w:hAnsi="Arial"/>
                <w:sz w:val="18"/>
                <w:szCs w:val="18"/>
                <w:b w:val="1"/>
                <w:bCs w:val="1"/>
                <w:color w:val="auto"/>
              </w:rPr>
              <w:t>Six Months Ended</w:t>
            </w:r>
          </w:p>
        </w:tc>
      </w:tr>
      <w:tr>
        <w:trPr>
          <w:trHeight w:val="227"/>
        </w:trPr>
        <w:tc>
          <w:tcPr>
            <w:tcW w:w="1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20"/>
        </w:trPr>
        <w:tc>
          <w:tcPr>
            <w:tcW w:w="1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r>
      <w:tr>
        <w:trPr>
          <w:trHeight w:val="20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1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product sales</w:t>
            </w:r>
          </w:p>
        </w:tc>
        <w:tc>
          <w:tcPr>
            <w:tcW w:w="2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2,463.6</w:t>
            </w:r>
          </w:p>
        </w:tc>
      </w:tr>
      <w:tr>
        <w:trPr>
          <w:trHeight w:val="227"/>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Collaboration revenue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1,041.6</w:t>
            </w: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20"/>
        </w:trPr>
        <w:tc>
          <w:tcPr>
            <w:tcW w:w="1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3,780.2</w:t>
            </w:r>
          </w:p>
        </w:tc>
      </w:tr>
      <w:tr>
        <w:trPr>
          <w:trHeight w:val="194"/>
        </w:trPr>
        <w:tc>
          <w:tcPr>
            <w:tcW w:w="11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w:t>
            </w:r>
          </w:p>
        </w:tc>
      </w:tr>
      <w:tr>
        <w:trPr>
          <w:trHeight w:val="227"/>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715.6</w:t>
            </w: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27"/>
        </w:trPr>
        <w:tc>
          <w:tcPr>
            <w:tcW w:w="3800" w:type="dxa"/>
            <w:vAlign w:val="bottom"/>
            <w:gridSpan w:val="2"/>
          </w:tcPr>
          <w:p>
            <w:pPr>
              <w:ind w:left="220"/>
              <w:spacing w:after="0"/>
              <w:rPr>
                <w:sz w:val="20"/>
                <w:szCs w:val="20"/>
                <w:color w:val="auto"/>
              </w:rPr>
            </w:pPr>
            <w:r>
              <w:rPr>
                <w:rFonts w:ascii="Arial" w:cs="Arial" w:eastAsia="Arial" w:hAnsi="Arial"/>
                <w:sz w:val="18"/>
                <w:szCs w:val="18"/>
                <w:color w:val="auto"/>
                <w:w w:val="91"/>
              </w:rPr>
              <w:t>Cost of collaboration and contract manufacturing</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311.5</w:t>
            </w: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operating (income) expense, net</w:t>
            </w: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0"/>
        </w:trPr>
        <w:tc>
          <w:tcPr>
            <w:tcW w:w="1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2,423.7</w:t>
            </w:r>
          </w:p>
        </w:tc>
      </w:tr>
      <w:tr>
        <w:trPr>
          <w:trHeight w:val="194"/>
        </w:trPr>
        <w:tc>
          <w:tcPr>
            <w:tcW w:w="11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1,356.5</w:t>
            </w:r>
          </w:p>
        </w:tc>
      </w:tr>
      <w:tr>
        <w:trPr>
          <w:trHeight w:val="214"/>
        </w:trPr>
        <w:tc>
          <w:tcPr>
            <w:tcW w:w="380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27"/>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expense</w:t>
            </w:r>
          </w:p>
        </w:tc>
        <w:tc>
          <w:tcPr>
            <w:tcW w:w="1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0"/>
        </w:trPr>
        <w:tc>
          <w:tcPr>
            <w:tcW w:w="114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194"/>
        </w:trPr>
        <w:tc>
          <w:tcPr>
            <w:tcW w:w="1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r>
      <w:tr>
        <w:trPr>
          <w:trHeight w:val="213"/>
        </w:trPr>
        <w:tc>
          <w:tcPr>
            <w:tcW w:w="380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194"/>
        </w:trPr>
        <w:tc>
          <w:tcPr>
            <w:tcW w:w="1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w:t>
            </w: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Net income per share - diluted</w:t>
            </w:r>
          </w:p>
        </w:tc>
        <w:tc>
          <w:tcPr>
            <w:tcW w:w="21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13.03</w:t>
            </w:r>
          </w:p>
        </w:tc>
      </w:tr>
      <w:tr>
        <w:trPr>
          <w:trHeight w:val="214"/>
        </w:trPr>
        <w:tc>
          <w:tcPr>
            <w:tcW w:w="380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13"/>
        </w:trPr>
        <w:tc>
          <w:tcPr>
            <w:tcW w:w="380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4,214.1</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1,521.9</w:t>
            </w:r>
          </w:p>
        </w:tc>
      </w:tr>
      <w:tr>
        <w:trPr>
          <w:trHeight w:val="22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Unrealized (loss) gain on debt securities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7"/>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1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18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1,536.3</w:t>
            </w:r>
          </w:p>
        </w:tc>
      </w:tr>
      <w:tr>
        <w:trPr>
          <w:trHeight w:val="20"/>
        </w:trPr>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41275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REGENERON PHARMACEUTICALS,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(In millions)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94"/>
              </w:rPr>
              <w:t>Additional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w w:val="97"/>
              </w:rPr>
              <w:t>Class A Stock</w:t>
            </w:r>
          </w:p>
        </w:tc>
        <w:tc>
          <w:tcPr>
            <w:tcW w:w="80" w:type="dxa"/>
            <w:vAlign w:val="bottom"/>
            <w:vMerge w:val="restart"/>
          </w:tcPr>
          <w:p>
            <w:pPr>
              <w:spacing w:after="0"/>
              <w:rPr>
                <w:sz w:val="13"/>
                <w:szCs w:val="13"/>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3"/>
              </w:rPr>
              <w:t>Common Stock</w:t>
            </w:r>
          </w:p>
        </w:tc>
        <w:tc>
          <w:tcPr>
            <w:tcW w:w="80" w:type="dxa"/>
            <w:vAlign w:val="bottom"/>
            <w:vMerge w:val="restart"/>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300"/>
              <w:spacing w:after="0" w:line="160" w:lineRule="exact"/>
              <w:rPr>
                <w:sz w:val="20"/>
                <w:szCs w:val="20"/>
                <w:color w:val="auto"/>
              </w:rPr>
            </w:pPr>
            <w:r>
              <w:rPr>
                <w:rFonts w:ascii="Arial" w:cs="Arial" w:eastAsia="Arial" w:hAnsi="Arial"/>
                <w:sz w:val="16"/>
                <w:szCs w:val="16"/>
                <w:b w:val="1"/>
                <w:bCs w:val="1"/>
                <w:color w:val="auto"/>
                <w:w w:val="98"/>
              </w:rPr>
              <w:t>Other</w:t>
            </w:r>
          </w:p>
        </w:tc>
        <w:tc>
          <w:tcPr>
            <w:tcW w:w="1400" w:type="dxa"/>
            <w:vAlign w:val="bottom"/>
            <w:gridSpan w:val="3"/>
            <w:vMerge w:val="restart"/>
          </w:tcPr>
          <w:p>
            <w:pPr>
              <w:jc w:val="right"/>
              <w:ind w:right="92"/>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ind w:left="140"/>
              <w:spacing w:after="0" w:line="140" w:lineRule="exact"/>
              <w:rPr>
                <w:sz w:val="20"/>
                <w:szCs w:val="20"/>
                <w:color w:val="auto"/>
              </w:rPr>
            </w:pPr>
            <w:r>
              <w:rPr>
                <w:rFonts w:ascii="Arial" w:cs="Arial" w:eastAsia="Arial" w:hAnsi="Arial"/>
                <w:sz w:val="16"/>
                <w:szCs w:val="16"/>
                <w:b w:val="1"/>
                <w:bCs w:val="1"/>
                <w:color w:val="auto"/>
              </w:rPr>
              <w:t>Paid-in</w:t>
            </w:r>
          </w:p>
        </w:tc>
        <w:tc>
          <w:tcPr>
            <w:tcW w:w="880" w:type="dxa"/>
            <w:vAlign w:val="bottom"/>
            <w:gridSpan w:val="2"/>
          </w:tcPr>
          <w:p>
            <w:pPr>
              <w:ind w:left="100"/>
              <w:spacing w:after="0" w:line="140" w:lineRule="exact"/>
              <w:rPr>
                <w:sz w:val="20"/>
                <w:szCs w:val="20"/>
                <w:color w:val="auto"/>
              </w:rPr>
            </w:pPr>
            <w:r>
              <w:rPr>
                <w:rFonts w:ascii="Arial" w:cs="Arial" w:eastAsia="Arial" w:hAnsi="Arial"/>
                <w:sz w:val="16"/>
                <w:szCs w:val="16"/>
                <w:b w:val="1"/>
                <w:bCs w:val="1"/>
                <w:color w:val="auto"/>
              </w:rPr>
              <w:t>Retained</w:t>
            </w:r>
          </w:p>
        </w:tc>
        <w:tc>
          <w:tcPr>
            <w:tcW w:w="1180" w:type="dxa"/>
            <w:vAlign w:val="bottom"/>
            <w:gridSpan w:val="3"/>
          </w:tcPr>
          <w:p>
            <w:pPr>
              <w:jc w:val="center"/>
              <w:ind w:right="80"/>
              <w:spacing w:after="0" w:line="140" w:lineRule="exact"/>
              <w:rPr>
                <w:sz w:val="20"/>
                <w:szCs w:val="20"/>
                <w:color w:val="auto"/>
              </w:rPr>
            </w:pPr>
            <w:r>
              <w:rPr>
                <w:rFonts w:ascii="Arial" w:cs="Arial" w:eastAsia="Arial" w:hAnsi="Arial"/>
                <w:sz w:val="16"/>
                <w:szCs w:val="16"/>
                <w:b w:val="1"/>
                <w:bCs w:val="1"/>
                <w:color w:val="auto"/>
                <w:w w:val="88"/>
              </w:rPr>
              <w:t>Comprehensive</w:t>
            </w:r>
          </w:p>
        </w:tc>
        <w:tc>
          <w:tcPr>
            <w:tcW w:w="140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tcPr>
          <w:p>
            <w:pPr>
              <w:ind w:left="20"/>
              <w:spacing w:after="0" w:line="140"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4"/>
        </w:trPr>
        <w:tc>
          <w:tcPr>
            <w:tcW w:w="30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Shares</w:t>
            </w: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6"/>
              </w:rPr>
              <w:t>Shares</w:t>
            </w: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Capital</w:t>
            </w: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620" w:type="dxa"/>
            <w:vAlign w:val="bottom"/>
            <w:gridSpan w:val="2"/>
          </w:tcPr>
          <w:p>
            <w:pPr>
              <w:ind w:left="4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7"/>
                <w:szCs w:val="17"/>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$ 6,716.2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$10,893.0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$(6,613.3)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line="164" w:lineRule="exact"/>
              <w:rPr>
                <w:sz w:val="20"/>
                <w:szCs w:val="20"/>
                <w:color w:val="auto"/>
              </w:rPr>
            </w:pPr>
            <w:r>
              <w:rPr>
                <w:rFonts w:ascii="Arial" w:cs="Arial" w:eastAsia="Arial" w:hAnsi="Arial"/>
                <w:sz w:val="16"/>
                <w:szCs w:val="16"/>
                <w:color w:val="auto"/>
                <w:w w:val="94"/>
              </w:rPr>
              <w:t>Issuance of Common Stock for equity awards</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9"/>
        </w:trPr>
        <w:tc>
          <w:tcPr>
            <w:tcW w:w="3080" w:type="dxa"/>
            <w:vAlign w:val="bottom"/>
          </w:tcPr>
          <w:p>
            <w:pPr>
              <w:ind w:left="180"/>
              <w:spacing w:after="0"/>
              <w:rPr>
                <w:sz w:val="20"/>
                <w:szCs w:val="20"/>
                <w:color w:val="auto"/>
              </w:rPr>
            </w:pPr>
            <w:r>
              <w:rPr>
                <w:rFonts w:ascii="Arial" w:cs="Arial" w:eastAsia="Arial" w:hAnsi="Arial"/>
                <w:sz w:val="16"/>
                <w:szCs w:val="16"/>
                <w:color w:val="auto"/>
              </w:rPr>
              <w:t>granted under long-term incentive 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0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8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stock options and vesting of restricted</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line="164" w:lineRule="exact"/>
              <w:rPr>
                <w:sz w:val="20"/>
                <w:szCs w:val="20"/>
                <w:color w:val="auto"/>
              </w:rPr>
            </w:pPr>
            <w:r>
              <w:rPr>
                <w:rFonts w:ascii="Arial" w:cs="Arial" w:eastAsia="Arial" w:hAnsi="Arial"/>
                <w:sz w:val="16"/>
                <w:szCs w:val="16"/>
                <w:color w:val="auto"/>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3080" w:type="dxa"/>
            <w:vAlign w:val="bottom"/>
          </w:tcPr>
          <w:p>
            <w:pPr>
              <w:ind w:left="180"/>
              <w:spacing w:after="0"/>
              <w:rPr>
                <w:sz w:val="20"/>
                <w:szCs w:val="20"/>
                <w:color w:val="auto"/>
              </w:rPr>
            </w:pPr>
            <w:r>
              <w:rPr>
                <w:rFonts w:ascii="Arial" w:cs="Arial" w:eastAsia="Arial" w:hAnsi="Arial"/>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12,008.2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11,977.0</w:t>
            </w: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4" w:lineRule="exact"/>
              <w:rPr>
                <w:sz w:val="20"/>
                <w:szCs w:val="20"/>
                <w:color w:val="auto"/>
              </w:rPr>
            </w:pPr>
            <w:r>
              <w:rPr>
                <w:rFonts w:ascii="Arial" w:cs="Arial" w:eastAsia="Arial" w:hAnsi="Arial"/>
                <w:sz w:val="16"/>
                <w:szCs w:val="16"/>
                <w:color w:val="auto"/>
                <w:w w:val="94"/>
              </w:rPr>
              <w:t>Issuance of Common Stock for equity awards</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09"/>
        </w:trPr>
        <w:tc>
          <w:tcPr>
            <w:tcW w:w="3080" w:type="dxa"/>
            <w:vAlign w:val="bottom"/>
          </w:tcPr>
          <w:p>
            <w:pPr>
              <w:ind w:left="180"/>
              <w:spacing w:after="0"/>
              <w:rPr>
                <w:sz w:val="20"/>
                <w:szCs w:val="20"/>
                <w:color w:val="auto"/>
              </w:rPr>
            </w:pPr>
            <w:r>
              <w:rPr>
                <w:rFonts w:ascii="Arial" w:cs="Arial" w:eastAsia="Arial" w:hAnsi="Arial"/>
                <w:sz w:val="16"/>
                <w:szCs w:val="16"/>
                <w:color w:val="auto"/>
              </w:rPr>
              <w:t>granted under long-term incentive 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0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8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stock options and vesting of restricted</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080" w:type="dxa"/>
            <w:vAlign w:val="bottom"/>
          </w:tcPr>
          <w:p>
            <w:pPr>
              <w:ind w:left="20"/>
              <w:spacing w:after="0" w:line="164" w:lineRule="exact"/>
              <w:rPr>
                <w:sz w:val="20"/>
                <w:szCs w:val="20"/>
                <w:color w:val="auto"/>
              </w:rPr>
            </w:pPr>
            <w:r>
              <w:rPr>
                <w:rFonts w:ascii="Arial" w:cs="Arial" w:eastAsia="Arial" w:hAnsi="Arial"/>
                <w:sz w:val="16"/>
                <w:szCs w:val="16"/>
                <w:color w:val="auto"/>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9"/>
        </w:trPr>
        <w:tc>
          <w:tcPr>
            <w:tcW w:w="3080" w:type="dxa"/>
            <w:vAlign w:val="bottom"/>
          </w:tcPr>
          <w:p>
            <w:pPr>
              <w:ind w:left="180"/>
              <w:spacing w:after="0"/>
              <w:rPr>
                <w:sz w:val="20"/>
                <w:szCs w:val="20"/>
                <w:color w:val="auto"/>
              </w:rPr>
            </w:pPr>
            <w:r>
              <w:rPr>
                <w:rFonts w:ascii="Arial" w:cs="Arial" w:eastAsia="Arial" w:hAnsi="Arial"/>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Arial" w:cs="Arial" w:eastAsia="Arial" w:hAnsi="Arial"/>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0" w:type="dxa"/>
            <w:vAlign w:val="bottom"/>
          </w:tcPr>
          <w:p>
            <w:pPr>
              <w:spacing w:after="0"/>
              <w:rPr>
                <w:sz w:val="1"/>
                <w:szCs w:val="1"/>
                <w:color w:val="auto"/>
              </w:rPr>
            </w:pPr>
          </w:p>
        </w:tc>
      </w:tr>
      <w:tr>
        <w:trPr>
          <w:trHeight w:val="227"/>
        </w:trPr>
        <w:tc>
          <w:tcPr>
            <w:tcW w:w="308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5"/>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$ 7,225.8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15,107.1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(7,221.4)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3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28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8"/>
        </w:trPr>
        <w:tc>
          <w:tcPr>
            <w:tcW w:w="12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240" w:type="dxa"/>
            <w:vAlign w:val="bottom"/>
            <w:gridSpan w:val="20"/>
          </w:tcPr>
          <w:p>
            <w:pPr>
              <w:jc w:val="right"/>
              <w:spacing w:after="0"/>
              <w:rPr>
                <w:sz w:val="20"/>
                <w:szCs w:val="20"/>
                <w:color w:val="auto"/>
              </w:rPr>
            </w:pPr>
            <w:r>
              <w:rPr>
                <w:rFonts w:ascii="Arial" w:cs="Arial" w:eastAsia="Arial" w:hAnsi="Arial"/>
                <w:sz w:val="16"/>
                <w:szCs w:val="16"/>
                <w:b w:val="1"/>
                <w:bCs w:val="1"/>
                <w:color w:val="auto"/>
              </w:rPr>
              <w:t xml:space="preserve">CONDENSED CONSOLIDATED STATEMENTS OF STOCKHOLDERS' EQUITY (Unaudited) </w:t>
            </w:r>
            <w:r>
              <w:rPr>
                <w:rFonts w:ascii="Arial" w:cs="Arial" w:eastAsia="Arial" w:hAnsi="Arial"/>
                <w:sz w:val="16"/>
                <w:szCs w:val="16"/>
                <w:b w:val="1"/>
                <w:bCs w:val="1"/>
                <w:i w:val="1"/>
                <w:iCs w:val="1"/>
                <w:color w:val="auto"/>
              </w:rPr>
              <w:t>(continued)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gridSpan w:val="4"/>
          </w:tcPr>
          <w:p>
            <w:pPr>
              <w:ind w:left="140"/>
              <w:spacing w:after="0"/>
              <w:rPr>
                <w:sz w:val="20"/>
                <w:szCs w:val="20"/>
                <w:color w:val="auto"/>
              </w:rPr>
            </w:pPr>
            <w:r>
              <w:rPr>
                <w:rFonts w:ascii="Arial" w:cs="Arial" w:eastAsia="Arial" w:hAnsi="Arial"/>
                <w:sz w:val="16"/>
                <w:szCs w:val="16"/>
                <w:b w:val="1"/>
                <w:bCs w:val="1"/>
                <w:color w:val="auto"/>
              </w:rPr>
              <w:t>Class A Stock</w:t>
            </w:r>
          </w:p>
        </w:tc>
        <w:tc>
          <w:tcPr>
            <w:tcW w:w="1260" w:type="dxa"/>
            <w:vAlign w:val="bottom"/>
            <w:gridSpan w:val="5"/>
          </w:tcPr>
          <w:p>
            <w:pPr>
              <w:ind w:left="60"/>
              <w:spacing w:after="0"/>
              <w:rPr>
                <w:sz w:val="20"/>
                <w:szCs w:val="20"/>
                <w:color w:val="auto"/>
              </w:rPr>
            </w:pPr>
            <w:r>
              <w:rPr>
                <w:rFonts w:ascii="Arial" w:cs="Arial" w:eastAsia="Arial" w:hAnsi="Arial"/>
                <w:sz w:val="16"/>
                <w:szCs w:val="16"/>
                <w:b w:val="1"/>
                <w:bCs w:val="1"/>
                <w:color w:val="auto"/>
              </w:rPr>
              <w:t>Common Stock</w:t>
            </w: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80" w:type="dxa"/>
            <w:vAlign w:val="bottom"/>
            <w:gridSpan w:val="5"/>
          </w:tcPr>
          <w:p>
            <w:pPr>
              <w:ind w:left="180"/>
              <w:spacing w:after="0"/>
              <w:rPr>
                <w:sz w:val="20"/>
                <w:szCs w:val="20"/>
                <w:color w:val="auto"/>
              </w:rPr>
            </w:pPr>
            <w:r>
              <w:rPr>
                <w:rFonts w:ascii="Arial" w:cs="Arial" w:eastAsia="Arial" w:hAnsi="Arial"/>
                <w:sz w:val="16"/>
                <w:szCs w:val="16"/>
                <w:b w:val="1"/>
                <w:bCs w:val="1"/>
                <w:color w:val="auto"/>
              </w:rPr>
              <w:t>Treasury Stock</w:t>
            </w:r>
          </w:p>
        </w:tc>
        <w:tc>
          <w:tcPr>
            <w:tcW w:w="1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3"/>
        </w:trPr>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jc w:val="center"/>
              <w:ind w:right="80"/>
              <w:spacing w:after="0" w:line="107" w:lineRule="exact"/>
              <w:rPr>
                <w:sz w:val="20"/>
                <w:szCs w:val="20"/>
                <w:color w:val="auto"/>
              </w:rPr>
            </w:pPr>
            <w:r>
              <w:rPr>
                <w:rFonts w:ascii="Arial" w:cs="Arial" w:eastAsia="Arial" w:hAnsi="Arial"/>
                <w:sz w:val="12"/>
                <w:szCs w:val="12"/>
                <w:b w:val="1"/>
                <w:bCs w:val="1"/>
                <w:color w:val="auto"/>
              </w:rPr>
              <w:t>Paid-in</w:t>
            </w:r>
          </w:p>
        </w:tc>
        <w:tc>
          <w:tcPr>
            <w:tcW w:w="800" w:type="dxa"/>
            <w:vAlign w:val="bottom"/>
            <w:gridSpan w:val="2"/>
            <w:vMerge w:val="restart"/>
          </w:tcPr>
          <w:p>
            <w:pPr>
              <w:ind w:left="60"/>
              <w:spacing w:after="0" w:line="107" w:lineRule="exact"/>
              <w:rPr>
                <w:sz w:val="20"/>
                <w:szCs w:val="20"/>
                <w:color w:val="auto"/>
              </w:rPr>
            </w:pPr>
            <w:r>
              <w:rPr>
                <w:rFonts w:ascii="Arial" w:cs="Arial" w:eastAsia="Arial" w:hAnsi="Arial"/>
                <w:sz w:val="12"/>
                <w:szCs w:val="12"/>
                <w:b w:val="1"/>
                <w:bCs w:val="1"/>
                <w:color w:val="auto"/>
              </w:rPr>
              <w:t>Retained</w:t>
            </w:r>
          </w:p>
        </w:tc>
        <w:tc>
          <w:tcPr>
            <w:tcW w:w="1180" w:type="dxa"/>
            <w:vAlign w:val="bottom"/>
            <w:gridSpan w:val="3"/>
            <w:vMerge w:val="restart"/>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restart"/>
          </w:tcPr>
          <w:p>
            <w:pPr>
              <w:ind w:left="20"/>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89"/>
              </w:rPr>
              <w:t>Shares</w:t>
            </w:r>
          </w:p>
        </w:tc>
        <w:tc>
          <w:tcPr>
            <w:tcW w:w="6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86"/>
              </w:rPr>
              <w:t>Shares</w:t>
            </w:r>
          </w:p>
        </w:tc>
        <w:tc>
          <w:tcPr>
            <w:tcW w:w="6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Capital</w:t>
            </w: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$ 4,428.6</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$7,379.8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11,089.7</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3160" w:type="dxa"/>
            <w:vAlign w:val="bottom"/>
            <w:gridSpan w:val="2"/>
          </w:tcPr>
          <w:p>
            <w:pPr>
              <w:ind w:left="20"/>
              <w:spacing w:after="0" w:line="164" w:lineRule="exact"/>
              <w:rPr>
                <w:sz w:val="20"/>
                <w:szCs w:val="20"/>
                <w:color w:val="auto"/>
              </w:rPr>
            </w:pPr>
            <w:r>
              <w:rPr>
                <w:rFonts w:ascii="Arial" w:cs="Arial" w:eastAsia="Arial" w:hAnsi="Arial"/>
                <w:sz w:val="16"/>
                <w:szCs w:val="16"/>
                <w:color w:val="auto"/>
                <w:w w:val="96"/>
              </w:rPr>
              <w:t>Issuance of Common Stock for equity awards</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817.4</w:t>
            </w:r>
          </w:p>
        </w:tc>
        <w:tc>
          <w:tcPr>
            <w:tcW w:w="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Arial" w:cs="Arial" w:eastAsia="Arial" w:hAnsi="Arial"/>
                <w:sz w:val="16"/>
                <w:szCs w:val="16"/>
                <w:color w:val="auto"/>
              </w:rPr>
              <w:t>granted under long-term incentive 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31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31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6"/>
                <w:szCs w:val="16"/>
                <w:color w:val="auto"/>
                <w:w w:val="95"/>
              </w:rPr>
              <w:t>stock options and vesting of restricted stock</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w w:val="91"/>
              </w:rPr>
              <w:t>(155.1)</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316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Arial" w:cs="Arial" w:eastAsia="Arial" w:hAnsi="Arial"/>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5,211.4</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(1,073.8)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12,133.0</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3160" w:type="dxa"/>
            <w:vAlign w:val="bottom"/>
            <w:gridSpan w:val="2"/>
          </w:tcPr>
          <w:p>
            <w:pPr>
              <w:ind w:left="20"/>
              <w:spacing w:after="0" w:line="144" w:lineRule="exact"/>
              <w:rPr>
                <w:sz w:val="20"/>
                <w:szCs w:val="20"/>
                <w:color w:val="auto"/>
              </w:rPr>
            </w:pPr>
            <w:r>
              <w:rPr>
                <w:rFonts w:ascii="Arial" w:cs="Arial" w:eastAsia="Arial" w:hAnsi="Arial"/>
                <w:sz w:val="16"/>
                <w:szCs w:val="16"/>
                <w:color w:val="auto"/>
                <w:w w:val="96"/>
              </w:rPr>
              <w:t>Issuance of Common Stock for equity awards</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1,355.5</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1,355.5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Arial" w:cs="Arial" w:eastAsia="Arial" w:hAnsi="Arial"/>
                <w:sz w:val="16"/>
                <w:szCs w:val="16"/>
                <w:color w:val="auto"/>
              </w:rPr>
              <w:t>granted under long-term incentive plans</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31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Common Stock tendered upon exercise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3160" w:type="dxa"/>
            <w:vAlign w:val="bottom"/>
            <w:gridSpan w:val="2"/>
            <w:shd w:val="clear" w:color="auto" w:fill="CCEEFF"/>
          </w:tcPr>
          <w:p>
            <w:pPr>
              <w:ind w:left="180"/>
              <w:spacing w:after="0" w:line="160" w:lineRule="exact"/>
              <w:rPr>
                <w:sz w:val="20"/>
                <w:szCs w:val="20"/>
                <w:color w:val="auto"/>
              </w:rPr>
            </w:pPr>
            <w:r>
              <w:rPr>
                <w:rFonts w:ascii="Arial" w:cs="Arial" w:eastAsia="Arial" w:hAnsi="Arial"/>
                <w:sz w:val="16"/>
                <w:szCs w:val="16"/>
                <w:color w:val="auto"/>
                <w:w w:val="95"/>
              </w:rPr>
              <w:t>stock options and vesting of restricted stock</w:t>
            </w: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w w:val="91"/>
              </w:rPr>
              <w:t>(416.5)</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for employee tax obligations</w:t>
            </w:r>
          </w:p>
        </w:tc>
        <w:tc>
          <w:tcPr>
            <w:tcW w:w="60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316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Issuance/distribution of Common Stock for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Arial" w:cs="Arial" w:eastAsia="Arial" w:hAnsi="Arial"/>
                <w:sz w:val="16"/>
                <w:szCs w:val="16"/>
                <w:color w:val="auto"/>
              </w:rPr>
              <w:t>401(k) Savings Plan</w:t>
            </w:r>
          </w:p>
        </w:tc>
        <w:tc>
          <w:tcPr>
            <w:tcW w:w="60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(5,071.8)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(5,071.8)</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0"/>
                <w:szCs w:val="20"/>
                <w:color w:val="auto"/>
              </w:rPr>
            </w:pPr>
          </w:p>
        </w:tc>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$ 6,263.0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8,901.7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(6,142.9)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9,057.4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19050</wp:posOffset>
            </wp:positionV>
            <wp:extent cx="6981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11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44450</wp:posOffset>
            </wp:positionV>
            <wp:extent cx="6981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119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356"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0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75"/>
        </w:trPr>
        <w:tc>
          <w:tcPr>
            <w:tcW w:w="1140" w:type="dxa"/>
            <w:vAlign w:val="bottom"/>
            <w:tcBorders>
              <w:top w:val="single" w:sz="8" w:color="0000FF"/>
            </w:tcBorders>
          </w:tcPr>
          <w:p>
            <w:pPr>
              <w:spacing w:after="0"/>
              <w:rPr>
                <w:sz w:val="24"/>
                <w:szCs w:val="24"/>
                <w:color w:val="auto"/>
              </w:rPr>
            </w:pPr>
          </w:p>
        </w:tc>
        <w:tc>
          <w:tcPr>
            <w:tcW w:w="6920" w:type="dxa"/>
            <w:vAlign w:val="bottom"/>
          </w:tcPr>
          <w:p>
            <w:pPr>
              <w:jc w:val="center"/>
              <w:ind w:left="1951"/>
              <w:spacing w:after="0"/>
              <w:rPr>
                <w:sz w:val="20"/>
                <w:szCs w:val="20"/>
                <w:color w:val="auto"/>
              </w:rPr>
            </w:pPr>
            <w:r>
              <w:rPr>
                <w:rFonts w:ascii="Arial" w:cs="Arial" w:eastAsia="Arial" w:hAnsi="Arial"/>
                <w:sz w:val="18"/>
                <w:szCs w:val="18"/>
                <w:b w:val="1"/>
                <w:bCs w:val="1"/>
                <w:color w:val="auto"/>
                <w:w w:val="99"/>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8480" w:type="dxa"/>
            <w:vAlign w:val="bottom"/>
            <w:gridSpan w:val="4"/>
          </w:tcPr>
          <w:p>
            <w:pPr>
              <w:jc w:val="center"/>
              <w:ind w:left="411"/>
              <w:spacing w:after="0"/>
              <w:rPr>
                <w:sz w:val="20"/>
                <w:szCs w:val="20"/>
                <w:color w:val="auto"/>
              </w:rPr>
            </w:pPr>
            <w:r>
              <w:rPr>
                <w:rFonts w:ascii="Arial" w:cs="Arial" w:eastAsia="Arial" w:hAnsi="Arial"/>
                <w:sz w:val="18"/>
                <w:szCs w:val="18"/>
                <w:b w:val="1"/>
                <w:bCs w:val="1"/>
                <w:color w:val="auto"/>
                <w:w w:val="96"/>
              </w:rPr>
              <w:t>CONDENSED CONSOLIDATED STATEMENTS OF CASH FLOWS (Unaudited)</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6"/>
        </w:trPr>
        <w:tc>
          <w:tcPr>
            <w:tcW w:w="1140" w:type="dxa"/>
            <w:vAlign w:val="bottom"/>
          </w:tcPr>
          <w:p>
            <w:pPr>
              <w:spacing w:after="0"/>
              <w:rPr>
                <w:sz w:val="19"/>
                <w:szCs w:val="19"/>
                <w:color w:val="auto"/>
              </w:rPr>
            </w:pPr>
          </w:p>
        </w:tc>
        <w:tc>
          <w:tcPr>
            <w:tcW w:w="6920" w:type="dxa"/>
            <w:vAlign w:val="bottom"/>
          </w:tcPr>
          <w:p>
            <w:pPr>
              <w:jc w:val="center"/>
              <w:ind w:left="1951"/>
              <w:spacing w:after="0"/>
              <w:rPr>
                <w:sz w:val="20"/>
                <w:szCs w:val="20"/>
                <w:color w:val="auto"/>
              </w:rPr>
            </w:pPr>
            <w:r>
              <w:rPr>
                <w:rFonts w:ascii="Arial" w:cs="Arial" w:eastAsia="Arial" w:hAnsi="Arial"/>
                <w:sz w:val="18"/>
                <w:szCs w:val="18"/>
                <w:b w:val="1"/>
                <w:bCs w:val="1"/>
                <w:i w:val="1"/>
                <w:iCs w:val="1"/>
                <w:color w:val="auto"/>
                <w:w w:val="91"/>
              </w:rPr>
              <w:t>(In millions)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5"/>
        </w:trPr>
        <w:tc>
          <w:tcPr>
            <w:tcW w:w="11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jc w:val="right"/>
              <w:ind w:right="731"/>
              <w:spacing w:after="0"/>
              <w:rPr>
                <w:sz w:val="20"/>
                <w:szCs w:val="20"/>
                <w:color w:val="auto"/>
              </w:rPr>
            </w:pPr>
            <w:r>
              <w:rPr>
                <w:rFonts w:ascii="Arial" w:cs="Arial" w:eastAsia="Arial" w:hAnsi="Arial"/>
                <w:sz w:val="18"/>
                <w:szCs w:val="18"/>
                <w:b w:val="1"/>
                <w:bCs w:val="1"/>
                <w:color w:val="auto"/>
              </w:rPr>
              <w:t>Six Months Ended</w:t>
            </w:r>
          </w:p>
        </w:tc>
      </w:tr>
      <w:tr>
        <w:trPr>
          <w:trHeight w:val="227"/>
        </w:trPr>
        <w:tc>
          <w:tcPr>
            <w:tcW w:w="11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20"/>
        </w:trPr>
        <w:tc>
          <w:tcPr>
            <w:tcW w:w="114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07"/>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4,214.1</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1,521.9</w:t>
            </w: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8060" w:type="dxa"/>
            <w:vAlign w:val="bottom"/>
            <w:gridSpan w:val="2"/>
          </w:tcPr>
          <w:p>
            <w:pPr>
              <w:ind w:left="4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27"/>
        </w:trPr>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Non-cash compensation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r>
      <w:tr>
        <w:trPr>
          <w:trHeight w:val="227"/>
        </w:trPr>
        <w:tc>
          <w:tcPr>
            <w:tcW w:w="8060" w:type="dxa"/>
            <w:vAlign w:val="bottom"/>
            <w:gridSpan w:val="2"/>
          </w:tcPr>
          <w:p>
            <w:pPr>
              <w:ind w:left="460"/>
              <w:spacing w:after="0"/>
              <w:rPr>
                <w:sz w:val="20"/>
                <w:szCs w:val="20"/>
                <w:color w:val="auto"/>
              </w:rPr>
            </w:pPr>
            <w:r>
              <w:rPr>
                <w:rFonts w:ascii="Arial" w:cs="Arial" w:eastAsia="Arial" w:hAnsi="Arial"/>
                <w:sz w:val="18"/>
                <w:szCs w:val="18"/>
                <w:color w:val="auto"/>
              </w:rPr>
              <w:t>Gains on marketable and other securities,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27"/>
        </w:trPr>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non-cash items,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7"/>
        </w:trPr>
        <w:tc>
          <w:tcPr>
            <w:tcW w:w="8060" w:type="dxa"/>
            <w:vAlign w:val="bottom"/>
            <w:gridSpan w:val="2"/>
          </w:tcPr>
          <w:p>
            <w:pPr>
              <w:ind w:left="46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27"/>
        </w:trPr>
        <w:tc>
          <w:tcPr>
            <w:tcW w:w="8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8060" w:type="dxa"/>
            <w:vAlign w:val="bottom"/>
            <w:gridSpan w:val="2"/>
          </w:tcPr>
          <w:p>
            <w:pPr>
              <w:ind w:left="660"/>
              <w:spacing w:after="0"/>
              <w:rPr>
                <w:sz w:val="20"/>
                <w:szCs w:val="20"/>
                <w:color w:val="auto"/>
              </w:rPr>
            </w:pPr>
            <w:r>
              <w:rPr>
                <w:rFonts w:ascii="Arial" w:cs="Arial" w:eastAsia="Arial" w:hAnsi="Arial"/>
                <w:sz w:val="18"/>
                <w:szCs w:val="18"/>
                <w:color w:val="auto"/>
              </w:rPr>
              <w:t>Increase in accounts receivable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7"/>
        </w:trPr>
        <w:tc>
          <w:tcPr>
            <w:tcW w:w="8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Increase in 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r>
      <w:tr>
        <w:trPr>
          <w:trHeight w:val="227"/>
        </w:trPr>
        <w:tc>
          <w:tcPr>
            <w:tcW w:w="8060" w:type="dxa"/>
            <w:vAlign w:val="bottom"/>
            <w:gridSpan w:val="2"/>
          </w:tcPr>
          <w:p>
            <w:pPr>
              <w:ind w:left="66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7"/>
        </w:trPr>
        <w:tc>
          <w:tcPr>
            <w:tcW w:w="8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7"/>
        </w:trPr>
        <w:tc>
          <w:tcPr>
            <w:tcW w:w="80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2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20"/>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1,641.4</w:t>
            </w:r>
          </w:p>
        </w:tc>
      </w:tr>
      <w:tr>
        <w:trPr>
          <w:trHeight w:val="194"/>
        </w:trPr>
        <w:tc>
          <w:tcPr>
            <w:tcW w:w="1140" w:type="dxa"/>
            <w:vAlign w:val="bottom"/>
            <w:shd w:val="clear" w:color="auto" w:fill="CCEEFF"/>
          </w:tcPr>
          <w:p>
            <w:pPr>
              <w:spacing w:after="0"/>
              <w:rPr>
                <w:sz w:val="16"/>
                <w:szCs w:val="16"/>
                <w:color w:val="auto"/>
              </w:rPr>
            </w:pPr>
          </w:p>
        </w:tc>
        <w:tc>
          <w:tcPr>
            <w:tcW w:w="6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w:t>
            </w:r>
          </w:p>
        </w:tc>
      </w:tr>
      <w:tr>
        <w:trPr>
          <w:trHeight w:val="22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Sales or maturities of marketable and other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2,843.7</w:t>
            </w: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0"/>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w:t>
            </w:r>
          </w:p>
        </w:tc>
      </w:tr>
      <w:tr>
        <w:trPr>
          <w:trHeight w:val="194"/>
        </w:trPr>
        <w:tc>
          <w:tcPr>
            <w:tcW w:w="1140" w:type="dxa"/>
            <w:vAlign w:val="bottom"/>
            <w:shd w:val="clear" w:color="auto" w:fill="CCEEFF"/>
          </w:tcPr>
          <w:p>
            <w:pPr>
              <w:spacing w:after="0"/>
              <w:rPr>
                <w:sz w:val="16"/>
                <w:szCs w:val="16"/>
                <w:color w:val="auto"/>
              </w:rPr>
            </w:pPr>
          </w:p>
        </w:tc>
        <w:tc>
          <w:tcPr>
            <w:tcW w:w="6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7"/>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bridge loan facility</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2,168.0</w:t>
            </w:r>
          </w:p>
        </w:tc>
      </w:tr>
      <w:tr>
        <w:trPr>
          <w:trHeight w:val="227"/>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r>
      <w:tr>
        <w:trPr>
          <w:trHeight w:val="227"/>
        </w:trPr>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(5,373.6)</w:t>
            </w:r>
          </w:p>
        </w:tc>
      </w:tr>
      <w:tr>
        <w:trPr>
          <w:trHeight w:val="22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(2,277.2)</w:t>
            </w:r>
          </w:p>
        </w:tc>
      </w:tr>
      <w:tr>
        <w:trPr>
          <w:trHeight w:val="194"/>
        </w:trPr>
        <w:tc>
          <w:tcPr>
            <w:tcW w:w="11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7"/>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r>
      <w:tr>
        <w:trPr>
          <w:trHeight w:val="213"/>
        </w:trPr>
        <w:tc>
          <w:tcPr>
            <w:tcW w:w="80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r>
      <w:tr>
        <w:trPr>
          <w:trHeight w:val="194"/>
        </w:trPr>
        <w:tc>
          <w:tcPr>
            <w:tcW w:w="11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2"/>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2,004.7</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031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41275</wp:posOffset>
            </wp:positionV>
            <wp:extent cx="7031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356" w:right="49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2020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w:t>
      </w: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08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160" w:type="dxa"/>
            <w:vAlign w:val="bottom"/>
            <w:gridSpan w:val="5"/>
          </w:tcPr>
          <w:p>
            <w:pPr>
              <w:jc w:val="right"/>
              <w:ind w:right="391"/>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80" w:type="dxa"/>
            <w:vAlign w:val="bottom"/>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80" w:type="dxa"/>
            <w:vAlign w:val="bottom"/>
            <w:gridSpan w:val="3"/>
          </w:tcPr>
          <w:p>
            <w:pPr>
              <w:ind w:left="20"/>
              <w:spacing w:after="0" w:line="180" w:lineRule="exact"/>
              <w:rPr>
                <w:sz w:val="20"/>
                <w:szCs w:val="20"/>
                <w:color w:val="auto"/>
              </w:rPr>
            </w:pPr>
            <w:r>
              <w:rPr>
                <w:rFonts w:ascii="Arial" w:cs="Arial" w:eastAsia="Arial" w:hAnsi="Arial"/>
                <w:sz w:val="18"/>
                <w:szCs w:val="18"/>
                <w:b w:val="1"/>
                <w:bCs w:val="1"/>
                <w:color w:val="auto"/>
              </w:rPr>
              <w:t>Net Product Sales in the United States</w:t>
            </w:r>
          </w:p>
        </w:tc>
        <w:tc>
          <w:tcPr>
            <w:tcW w:w="260" w:type="dxa"/>
            <w:vAlign w:val="bottom"/>
          </w:tcPr>
          <w:p>
            <w:pPr>
              <w:spacing w:after="0"/>
              <w:rPr>
                <w:sz w:val="15"/>
                <w:szCs w:val="15"/>
                <w:color w:val="auto"/>
              </w:rPr>
            </w:pPr>
          </w:p>
        </w:tc>
        <w:tc>
          <w:tcPr>
            <w:tcW w:w="1020" w:type="dxa"/>
            <w:vAlign w:val="bottom"/>
          </w:tcPr>
          <w:p>
            <w:pPr>
              <w:jc w:val="right"/>
              <w:ind w:right="391"/>
              <w:spacing w:after="0" w:line="180"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311"/>
              <w:spacing w:after="0" w:line="180"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151"/>
              <w:spacing w:after="0" w:line="180"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191"/>
              <w:spacing w:after="0" w:line="180" w:lineRule="exact"/>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080" w:type="dxa"/>
            <w:vAlign w:val="bottom"/>
            <w:gridSpan w:val="3"/>
            <w:shd w:val="clear" w:color="auto" w:fill="CCEEFF"/>
          </w:tcPr>
          <w:p>
            <w:pPr>
              <w:ind w:left="20"/>
              <w:spacing w:after="0" w:line="22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3"/>
          </w:tcPr>
          <w:p>
            <w:pPr>
              <w:ind w:left="20"/>
              <w:spacing w:after="0" w:line="226"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3"/>
            <w:shd w:val="clear" w:color="auto" w:fill="CCEEFF"/>
          </w:tcPr>
          <w:p>
            <w:pPr>
              <w:ind w:left="20"/>
              <w:spacing w:after="0" w:line="226"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REGEN-COV™</w:t>
            </w:r>
          </w:p>
        </w:tc>
        <w:tc>
          <w:tcPr>
            <w:tcW w:w="26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2,591.2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3"/>
            <w:shd w:val="clear" w:color="auto" w:fill="CCEEFF"/>
          </w:tcPr>
          <w:p>
            <w:pPr>
              <w:ind w:left="20"/>
              <w:spacing w:after="0" w:line="226"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gridSpan w:val="3"/>
          </w:tcPr>
          <w:p>
            <w:pPr>
              <w:ind w:left="20"/>
              <w:spacing w:after="0" w:line="226"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4,137.8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5,862.1</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240" w:right="1080" w:hanging="8"/>
        <w:spacing w:after="0" w:line="199" w:lineRule="auto"/>
        <w:tabs>
          <w:tab w:leader="none" w:pos="1338"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Effective April 1, 2020, the Company became solely responsible for the development and commercialization of Praluent in the United States and records net product sales of Praluent in the United States. Previously, Sanofi recorded net product sales of Praluent in the United States. See Note 3 for further details.</w:t>
      </w:r>
    </w:p>
    <w:p>
      <w:pPr>
        <w:spacing w:after="0" w:line="9" w:lineRule="exact"/>
        <w:rPr>
          <w:sz w:val="20"/>
          <w:szCs w:val="20"/>
          <w:color w:val="auto"/>
        </w:rPr>
      </w:pPr>
    </w:p>
    <w:p>
      <w:pPr>
        <w:ind w:left="1240" w:right="1300" w:hanging="8"/>
        <w:spacing w:after="0" w:line="195" w:lineRule="auto"/>
        <w:tabs>
          <w:tab w:leader="none" w:pos="1395"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As of June 30, 2021 and December 31, 2020, the Company had $5.881 billion and $3.112 billion, respectively, of trade accounts receivable that were recorded within Accounts receivable, net.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the three and six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Sales to each of these customers as a percentage of the Company's total gross product revenue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80" w:type="dxa"/>
            <w:vAlign w:val="bottom"/>
            <w:gridSpan w:val="4"/>
          </w:tcPr>
          <w:p>
            <w:pPr>
              <w:ind w:left="400"/>
              <w:spacing w:after="0"/>
              <w:rPr>
                <w:sz w:val="20"/>
                <w:szCs w:val="20"/>
                <w:color w:val="auto"/>
              </w:rPr>
            </w:pPr>
            <w:r>
              <w:rPr>
                <w:rFonts w:ascii="Arial" w:cs="Arial" w:eastAsia="Arial" w:hAnsi="Arial"/>
                <w:sz w:val="18"/>
                <w:szCs w:val="18"/>
                <w:b w:val="1"/>
                <w:bCs w:val="1"/>
                <w:color w:val="auto"/>
                <w:w w:val="93"/>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gridSpan w:val="5"/>
          </w:tcPr>
          <w:p>
            <w:pPr>
              <w:jc w:val="center"/>
              <w:ind w:right="11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gridSpan w:val="3"/>
          </w:tcPr>
          <w:p>
            <w:pPr>
              <w:jc w:val="center"/>
              <w:ind w:left="771"/>
              <w:spacing w:after="0"/>
              <w:rPr>
                <w:sz w:val="20"/>
                <w:szCs w:val="20"/>
                <w:color w:val="auto"/>
              </w:rPr>
            </w:pPr>
            <w:r>
              <w:rPr>
                <w:rFonts w:ascii="Arial" w:cs="Arial" w:eastAsia="Arial" w:hAnsi="Arial"/>
                <w:sz w:val="18"/>
                <w:szCs w:val="18"/>
                <w:b w:val="1"/>
                <w:bCs w:val="1"/>
                <w:color w:val="auto"/>
                <w:w w:val="85"/>
              </w:rPr>
              <w:t>June 30,</w:t>
            </w:r>
          </w:p>
        </w:tc>
        <w:tc>
          <w:tcPr>
            <w:tcW w:w="86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gridSpan w:val="2"/>
          </w:tcPr>
          <w:p>
            <w:pPr>
              <w:spacing w:after="0"/>
              <w:rPr>
                <w:sz w:val="19"/>
                <w:szCs w:val="19"/>
                <w:color w:val="auto"/>
              </w:rPr>
            </w:pPr>
          </w:p>
        </w:tc>
        <w:tc>
          <w:tcPr>
            <w:tcW w:w="780" w:type="dxa"/>
            <w:vAlign w:val="bottom"/>
          </w:tcPr>
          <w:p>
            <w:pPr>
              <w:ind w:left="420"/>
              <w:spacing w:after="0"/>
              <w:rPr>
                <w:sz w:val="20"/>
                <w:szCs w:val="20"/>
                <w:color w:val="auto"/>
              </w:rPr>
            </w:pPr>
            <w:r>
              <w:rPr>
                <w:rFonts w:ascii="Arial" w:cs="Arial" w:eastAsia="Arial" w:hAnsi="Arial"/>
                <w:sz w:val="18"/>
                <w:szCs w:val="18"/>
                <w:b w:val="1"/>
                <w:bCs w:val="1"/>
                <w:color w:val="auto"/>
                <w:w w:val="84"/>
              </w:rPr>
              <w:t>2021</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400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Besse Medical, a subsidiary of AmerisourceBergen</w:t>
            </w: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22 %</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53 %</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ind w:left="460"/>
              <w:spacing w:after="0"/>
              <w:rPr>
                <w:sz w:val="20"/>
                <w:szCs w:val="20"/>
                <w:color w:val="auto"/>
              </w:rPr>
            </w:pPr>
            <w:r>
              <w:rPr>
                <w:rFonts w:ascii="Arial" w:cs="Arial" w:eastAsia="Arial" w:hAnsi="Arial"/>
                <w:sz w:val="18"/>
                <w:szCs w:val="18"/>
                <w:color w:val="auto"/>
                <w:w w:val="92"/>
              </w:rPr>
              <w:t>53 %</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400" w:type="dxa"/>
            <w:vAlign w:val="bottom"/>
          </w:tcPr>
          <w:p>
            <w:pPr>
              <w:jc w:val="right"/>
              <w:spacing w:after="0"/>
              <w:rPr>
                <w:sz w:val="20"/>
                <w:szCs w:val="20"/>
                <w:color w:val="auto"/>
              </w:rPr>
            </w:pPr>
            <w:r>
              <w:rPr>
                <w:rFonts w:ascii="Arial" w:cs="Arial" w:eastAsia="Arial" w:hAnsi="Arial"/>
                <w:sz w:val="18"/>
                <w:szCs w:val="18"/>
                <w:color w:val="auto"/>
                <w:w w:val="87"/>
              </w:rPr>
              <w:t>14 %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2"/>
              </w:rPr>
              <w:t>32 %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w w:val="92"/>
              </w:rPr>
              <w:t>34 %</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80" w:type="dxa"/>
            <w:vAlign w:val="bottom"/>
          </w:tcPr>
          <w:p>
            <w:pPr>
              <w:spacing w:after="0"/>
              <w:rPr>
                <w:sz w:val="19"/>
                <w:szCs w:val="19"/>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(see Note 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6"/>
        </w:trPr>
        <w:tc>
          <w:tcPr>
            <w:tcW w:w="5860" w:type="dxa"/>
            <w:vAlign w:val="bottom"/>
            <w:gridSpan w:val="3"/>
          </w:tcPr>
          <w:p>
            <w:pPr>
              <w:jc w:val="right"/>
              <w:ind w:right="111"/>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License, and Other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collaborations with Sanofi are detailed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1940" w:type="dxa"/>
            <w:vAlign w:val="bottom"/>
            <w:gridSpan w:val="4"/>
          </w:tcPr>
          <w:p>
            <w:pPr>
              <w:jc w:val="right"/>
              <w:ind w:right="311"/>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line="20" w:lineRule="exact"/>
              <w:rPr>
                <w:sz w:val="1"/>
                <w:szCs w:val="1"/>
                <w:color w:val="auto"/>
              </w:rPr>
            </w:pPr>
          </w:p>
        </w:tc>
      </w:tr>
      <w:tr>
        <w:trPr>
          <w:trHeight w:val="227"/>
        </w:trPr>
        <w:tc>
          <w:tcPr>
            <w:tcW w:w="4000" w:type="dxa"/>
            <w:vAlign w:val="bottom"/>
            <w:vMerge w:val="continue"/>
          </w:tcPr>
          <w:p>
            <w:pPr>
              <w:spacing w:after="0"/>
              <w:rPr>
                <w:sz w:val="19"/>
                <w:szCs w:val="19"/>
                <w:color w:val="auto"/>
              </w:rPr>
            </w:pPr>
          </w:p>
        </w:tc>
        <w:tc>
          <w:tcPr>
            <w:tcW w:w="2820" w:type="dxa"/>
            <w:vAlign w:val="bottom"/>
            <w:gridSpan w:val="2"/>
          </w:tcPr>
          <w:p>
            <w:pPr>
              <w:ind w:left="840"/>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Regeneron's share of profits in connection with</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5"/>
                <w:szCs w:val="15"/>
                <w:color w:val="auto"/>
              </w:rPr>
            </w:pP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588.2</w:t>
            </w:r>
          </w:p>
        </w:tc>
        <w:tc>
          <w:tcPr>
            <w:tcW w:w="100" w:type="dxa"/>
            <w:vAlign w:val="bottom"/>
          </w:tcPr>
          <w:p>
            <w:pPr>
              <w:spacing w:after="0"/>
              <w:rPr>
                <w:sz w:val="15"/>
                <w:szCs w:val="15"/>
                <w:color w:val="auto"/>
              </w:rPr>
            </w:pPr>
          </w:p>
        </w:tc>
        <w:tc>
          <w:tcPr>
            <w:tcW w:w="300" w:type="dxa"/>
            <w:vAlign w:val="bottom"/>
            <w:vMerge w:val="restart"/>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commercialization of antibodies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6"/>
              </w:rPr>
              <w:t>Reimbursement for manufacturing of commercial</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supplies</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Reimbursement of research and development</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Reduction of Research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5"/>
                <w:szCs w:val="15"/>
                <w:color w:val="auto"/>
              </w:rPr>
            </w:pP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5"/>
                <w:szCs w:val="15"/>
                <w:color w:val="auto"/>
              </w:rPr>
            </w:pPr>
          </w:p>
        </w:tc>
        <w:tc>
          <w:tcPr>
            <w:tcW w:w="300" w:type="dxa"/>
            <w:vAlign w:val="bottom"/>
            <w:vMerge w:val="restart"/>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Regeneron's obligation for its share of Sanofi</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Research and development expense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expenses</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Reimbursement of commercialization-related</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Reduction of Selling, general,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5"/>
                <w:szCs w:val="15"/>
                <w:color w:val="auto"/>
              </w:rPr>
            </w:pP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5"/>
                <w:szCs w:val="15"/>
                <w:color w:val="auto"/>
              </w:rPr>
            </w:pPr>
          </w:p>
        </w:tc>
        <w:tc>
          <w:tcPr>
            <w:tcW w:w="300" w:type="dxa"/>
            <w:vAlign w:val="bottom"/>
            <w:vMerge w:val="restart"/>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000" w:type="dxa"/>
            <w:vAlign w:val="bottom"/>
            <w:shd w:val="clear" w:color="auto" w:fill="CCEEFF"/>
          </w:tcPr>
          <w:p>
            <w:pPr>
              <w:spacing w:after="0"/>
              <w:rPr>
                <w:sz w:val="23"/>
                <w:szCs w:val="23"/>
                <w:color w:val="auto"/>
              </w:rPr>
            </w:pPr>
          </w:p>
        </w:tc>
        <w:tc>
          <w:tcPr>
            <w:tcW w:w="2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00" w:type="dxa"/>
            <w:vAlign w:val="bottom"/>
          </w:tcPr>
          <w:p>
            <w:pPr>
              <w:ind w:left="20"/>
              <w:spacing w:after="0"/>
              <w:rPr>
                <w:sz w:val="20"/>
                <w:szCs w:val="20"/>
                <w:color w:val="auto"/>
              </w:rPr>
            </w:pPr>
            <w:r>
              <w:rPr>
                <w:rFonts w:ascii="Arial" w:cs="Arial" w:eastAsia="Arial" w:hAnsi="Arial"/>
                <w:sz w:val="18"/>
                <w:szCs w:val="18"/>
                <w:color w:val="auto"/>
              </w:rPr>
              <w:t>Immuno-oncology:</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Regeneron's share of losses in connection with</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0" w:type="dxa"/>
            <w:vAlign w:val="bottom"/>
            <w:shd w:val="clear" w:color="auto" w:fill="CCEEFF"/>
          </w:tcPr>
          <w:p>
            <w:pPr>
              <w:ind w:left="380"/>
              <w:spacing w:after="0" w:line="174" w:lineRule="exact"/>
              <w:rPr>
                <w:sz w:val="20"/>
                <w:szCs w:val="20"/>
                <w:color w:val="auto"/>
              </w:rPr>
            </w:pPr>
            <w:r>
              <w:rPr>
                <w:rFonts w:ascii="Arial" w:cs="Arial" w:eastAsia="Arial" w:hAnsi="Arial"/>
                <w:sz w:val="18"/>
                <w:szCs w:val="18"/>
                <w:color w:val="auto"/>
                <w:w w:val="95"/>
              </w:rPr>
              <w:t>commercialization of Libtayo outside the United</w:t>
            </w:r>
          </w:p>
        </w:tc>
        <w:tc>
          <w:tcPr>
            <w:tcW w:w="2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States</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w w:val="96"/>
              </w:rPr>
              <w:t>Reimbursement for manufacturing of commercial</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5"/>
                <w:szCs w:val="15"/>
                <w:color w:val="auto"/>
              </w:rPr>
            </w:pPr>
          </w:p>
        </w:tc>
        <w:tc>
          <w:tcPr>
            <w:tcW w:w="300" w:type="dxa"/>
            <w:vAlign w:val="bottom"/>
            <w:vMerge w:val="restart"/>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supplies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Reimbursement of research and development</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Reduction of Research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Reimbursement of commercialization-related</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Reduction of Selling, general,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5"/>
                <w:szCs w:val="15"/>
                <w:color w:val="auto"/>
              </w:rPr>
            </w:pP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5"/>
                <w:szCs w:val="15"/>
                <w:color w:val="auto"/>
              </w:rPr>
            </w:pPr>
          </w:p>
        </w:tc>
        <w:tc>
          <w:tcPr>
            <w:tcW w:w="300" w:type="dxa"/>
            <w:vAlign w:val="bottom"/>
            <w:vMerge w:val="restart"/>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Regeneron's obligation for its share of Sanofi</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Selling, general, and administrative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commercial expenses</w:t>
            </w:r>
          </w:p>
        </w:tc>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ind w:left="220"/>
              <w:spacing w:after="0" w:line="174" w:lineRule="exact"/>
              <w:rPr>
                <w:sz w:val="20"/>
                <w:szCs w:val="20"/>
                <w:color w:val="auto"/>
              </w:rPr>
            </w:pPr>
            <w:r>
              <w:rPr>
                <w:rFonts w:ascii="Arial" w:cs="Arial" w:eastAsia="Arial" w:hAnsi="Arial"/>
                <w:sz w:val="18"/>
                <w:szCs w:val="18"/>
                <w:color w:val="auto"/>
              </w:rPr>
              <w:t>Regeneron's obligation for Sanofi's share of</w:t>
            </w:r>
          </w:p>
        </w:tc>
        <w:tc>
          <w:tcPr>
            <w:tcW w:w="28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Cost of goods sold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5"/>
                <w:szCs w:val="15"/>
                <w:color w:val="auto"/>
              </w:rPr>
            </w:pP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5"/>
                <w:szCs w:val="15"/>
                <w:color w:val="auto"/>
              </w:rPr>
            </w:pPr>
          </w:p>
        </w:tc>
        <w:tc>
          <w:tcPr>
            <w:tcW w:w="300" w:type="dxa"/>
            <w:vAlign w:val="bottom"/>
            <w:vMerge w:val="restart"/>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7"/>
        </w:trPr>
        <w:tc>
          <w:tcPr>
            <w:tcW w:w="4000" w:type="dxa"/>
            <w:vAlign w:val="bottom"/>
          </w:tcPr>
          <w:p>
            <w:pPr>
              <w:ind w:left="380"/>
              <w:spacing w:after="0"/>
              <w:rPr>
                <w:sz w:val="20"/>
                <w:szCs w:val="20"/>
                <w:color w:val="auto"/>
              </w:rPr>
            </w:pPr>
            <w:r>
              <w:rPr>
                <w:rFonts w:ascii="Arial" w:cs="Arial" w:eastAsia="Arial" w:hAnsi="Arial"/>
                <w:sz w:val="18"/>
                <w:szCs w:val="18"/>
                <w:color w:val="auto"/>
              </w:rPr>
              <w:t>Libtayo U.S. gross profits</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9"/>
              </w:rPr>
              <w:t>Amounts recognized in connection with up-front</w:t>
            </w:r>
          </w:p>
        </w:tc>
        <w:tc>
          <w:tcPr>
            <w:tcW w:w="28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Other operating income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payments received</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party to a global, strategic collaboration with Sanofi to research, develop, and commercialize fully human monoclonal antibodies (the</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"Antibody Collaboration"), which currently consists of Dupixent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(dupilumab), Kevzara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(sarilumab), and itepekimab</w:t>
      </w:r>
      <w:r>
        <w:rPr>
          <w:rFonts w:ascii="Arial" w:cs="Arial" w:eastAsia="Arial" w:hAnsi="Arial"/>
          <w:sz w:val="20"/>
          <w:szCs w:val="20"/>
          <w:i w:val="1"/>
          <w:iCs w:val="1"/>
          <w:color w:val="auto"/>
        </w:rPr>
        <w:t>.</w:t>
      </w:r>
      <w:r>
        <w:rPr>
          <w:rFonts w:ascii="Arial" w:cs="Arial" w:eastAsia="Arial" w:hAnsi="Arial"/>
          <w:sz w:val="17"/>
          <w:szCs w:val="17"/>
          <w:color w:val="auto"/>
        </w:rPr>
        <w:t xml:space="preserve"> Under the terms of the Antibody License and Collaboration Agreement ("LCA"), Sanofi is generally responsible for funding 80%–100% of agreed-upon development costs.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Sanofi leads commercialization activities for products under the Antibody Collaboration, subject to the Company's right to co-commercialize such products.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profit and loss sharing, the Company is entitled to receive sales milestone payments from Sanofi.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2400" w:type="dxa"/>
            <w:vAlign w:val="bottom"/>
          </w:tcPr>
          <w:p>
            <w:pPr>
              <w:spacing w:after="0"/>
              <w:rPr>
                <w:sz w:val="20"/>
                <w:szCs w:val="20"/>
                <w:color w:val="auto"/>
              </w:rPr>
            </w:pPr>
          </w:p>
        </w:tc>
        <w:tc>
          <w:tcPr>
            <w:tcW w:w="3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2140" w:type="dxa"/>
            <w:vAlign w:val="bottom"/>
          </w:tcPr>
          <w:p>
            <w:pPr>
              <w:spacing w:after="0"/>
              <w:rPr>
                <w:sz w:val="20"/>
                <w:szCs w:val="20"/>
                <w:color w:val="auto"/>
              </w:rPr>
            </w:pPr>
          </w:p>
        </w:tc>
      </w:tr>
      <w:tr>
        <w:trPr>
          <w:trHeight w:val="221"/>
        </w:trPr>
        <w:tc>
          <w:tcPr>
            <w:tcW w:w="240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2140" w:type="dxa"/>
            <w:vAlign w:val="bottom"/>
          </w:tcPr>
          <w:p>
            <w:pPr>
              <w:spacing w:after="0"/>
              <w:rPr>
                <w:sz w:val="19"/>
                <w:szCs w:val="19"/>
                <w:color w:val="auto"/>
              </w:rPr>
            </w:pPr>
          </w:p>
        </w:tc>
      </w:tr>
      <w:tr>
        <w:trPr>
          <w:trHeight w:val="226"/>
        </w:trPr>
        <w:tc>
          <w:tcPr>
            <w:tcW w:w="240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347.7</w:t>
            </w:r>
          </w:p>
        </w:tc>
        <w:tc>
          <w:tcPr>
            <w:tcW w:w="2140" w:type="dxa"/>
            <w:vAlign w:val="bottom"/>
          </w:tcPr>
          <w:p>
            <w:pPr>
              <w:spacing w:after="0"/>
              <w:rPr>
                <w:sz w:val="19"/>
                <w:szCs w:val="19"/>
                <w:color w:val="auto"/>
              </w:rPr>
            </w:pPr>
          </w:p>
        </w:tc>
      </w:tr>
      <w:tr>
        <w:trPr>
          <w:trHeight w:val="653"/>
        </w:trPr>
        <w:tc>
          <w:tcPr>
            <w:tcW w:w="2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jc w:val="right"/>
              <w:ind w:right="251"/>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5"/>
        </w:trPr>
        <w:tc>
          <w:tcPr>
            <w:tcW w:w="24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became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12 for discussion of legal proceedings related to Praluent.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is party to a collaboration with Sanofi to research, develop, and commercialize antibody-based cancer treatments in the field of immuno-oncology (the "IO Collaboration").</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Effective December 31, 2018, the Company and Sanofi entered into an Amended and Restated Immuno-oncology Discovery and Development Agreement ("Amended IO Discovery Agreement"), which narrowed the scope of the existing discovery and development activities conducted by the Company under the 2015 IO Discovery Agreement to developing therapeutic bispecific antibodies targeting (i) BCMA and CD3 (the "BCMAxCD3 Program") and (ii) MUC16 and CD3 (the "MUC16xCD3 Program") through clinical proof-of-concept. During the first quarter of 2021, Sanofi did not exercise its options to license rights to these product candidates; as a result, we retain the exclusive right to develop and commercialize such product candidates and Sanofi will receive a royalty on sales (if any). In addition, the Company has no further obligations to develop drug product candidates under the Amended IO Discovery Agreement.</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terms of the Immuno-oncology License and Collaboration Agreement, the parties are co-developing and co-commercializing Libtayo (cemiplimab), an antibody targeting the receptor known as programmed cell death protein 1 (PD-1). The parties share equally, on an ongoing basis, agreed-upon development and commercialization expenses for Libtayo. The Company has principal control over the development of Libtayo and leads commercialization activities in the United States (see Note 2 for related product sales information), while Sanofi leads commercialization activities outside of the United States. The parties share equally in profits and losses in connection with the commercialization of Libtayo.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189" w:lineRule="exact"/>
        <w:rPr>
          <w:sz w:val="20"/>
          <w:szCs w:val="20"/>
          <w:color w:val="auto"/>
        </w:rPr>
      </w:pPr>
    </w:p>
    <w:tbl>
      <w:tblPr>
        <w:tblLayout w:type="fixed"/>
        <w:tblInd w:w="2380" w:type="dxa"/>
        <w:tblCellMar>
          <w:top w:w="0" w:type="dxa"/>
          <w:left w:w="0" w:type="dxa"/>
          <w:bottom w:w="0" w:type="dxa"/>
          <w:right w:w="0" w:type="dxa"/>
        </w:tblCellMar>
      </w:tblPr>
      <w:tr>
        <w:trPr>
          <w:trHeight w:val="227"/>
        </w:trPr>
        <w:tc>
          <w:tcPr>
            <w:tcW w:w="3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b w:val="1"/>
                <w:bCs w:val="1"/>
                <w:color w:val="auto"/>
                <w:w w:val="93"/>
              </w:rPr>
              <w:t>December 31,</w:t>
            </w:r>
          </w:p>
        </w:tc>
      </w:tr>
      <w:tr>
        <w:trPr>
          <w:trHeight w:val="231"/>
        </w:trPr>
        <w:tc>
          <w:tcPr>
            <w:tcW w:w="312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221"/>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7"/>
        </w:trPr>
        <w:tc>
          <w:tcPr>
            <w:tcW w:w="31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5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payments received from Sanofi for which recognition has been deferred.</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aggregate amount of the estimated consideration under the IO Collaboration related to the Company's obligation that was unsatisfied (or partially unsatisfied) as of June 30, 2021 was $474.4 million. This amount is expected to be recognized over the remaining period in which the Company is obligated to satisfy its obligation in connection with performing development activities.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140"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outside the United States. All agreed upon EYLEA development expenses incurred by the Company and Bayer are shared equally. Bayer markets EYLEA outside the United States, where, for countries other than Japan, the companies share equally in profits and losses from sales of EYLEA. In Japan, the Company is currently entitled to receive a tiered percentage of between 33.5% and 40.0% of EYLEA net product sales through 2021, and thereafter, the companies will share equally in profits and losses from sales of EYLEA.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Bayer EYLEA collaboration are as follows:</w:t>
      </w:r>
    </w:p>
    <w:p>
      <w:pPr>
        <w:spacing w:after="0" w:line="26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2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7"/>
                <w:szCs w:val="17"/>
                <w:color w:val="auto"/>
              </w:rPr>
            </w:pPr>
          </w:p>
        </w:tc>
        <w:tc>
          <w:tcPr>
            <w:tcW w:w="220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7"/>
        </w:trPr>
        <w:tc>
          <w:tcPr>
            <w:tcW w:w="3380" w:type="dxa"/>
            <w:vAlign w:val="bottom"/>
          </w:tcPr>
          <w:p>
            <w:pPr>
              <w:spacing w:after="0"/>
              <w:rPr>
                <w:sz w:val="19"/>
                <w:szCs w:val="19"/>
                <w:color w:val="auto"/>
              </w:rPr>
            </w:pPr>
          </w:p>
        </w:tc>
        <w:tc>
          <w:tcPr>
            <w:tcW w:w="2200" w:type="dxa"/>
            <w:vAlign w:val="bottom"/>
            <w:gridSpan w:val="2"/>
            <w:vMerge w:val="restart"/>
          </w:tcPr>
          <w:p>
            <w:pPr>
              <w:ind w:left="680"/>
              <w:spacing w:after="0"/>
              <w:rPr>
                <w:sz w:val="20"/>
                <w:szCs w:val="20"/>
                <w:color w:val="auto"/>
              </w:rPr>
            </w:pPr>
            <w:r>
              <w:rPr>
                <w:rFonts w:ascii="Arial" w:cs="Arial" w:eastAsia="Arial" w:hAnsi="Arial"/>
                <w:sz w:val="18"/>
                <w:szCs w:val="18"/>
                <w:b w:val="1"/>
                <w:bCs w:val="1"/>
                <w:color w:val="auto"/>
              </w:rPr>
              <w:t>Statement of</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1"/>
              </w:rPr>
              <w:t>June 30,</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1"/>
              </w:rPr>
              <w:t>June 30,</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(In millions)</w:t>
            </w:r>
          </w:p>
        </w:tc>
        <w:tc>
          <w:tcPr>
            <w:tcW w:w="220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line="20" w:lineRule="exact"/>
              <w:rPr>
                <w:sz w:val="1"/>
                <w:szCs w:val="1"/>
                <w:color w:val="auto"/>
              </w:rPr>
            </w:pPr>
          </w:p>
        </w:tc>
      </w:tr>
      <w:tr>
        <w:trPr>
          <w:trHeight w:val="227"/>
        </w:trPr>
        <w:tc>
          <w:tcPr>
            <w:tcW w:w="3380" w:type="dxa"/>
            <w:vAlign w:val="bottom"/>
            <w:vMerge w:val="continue"/>
          </w:tcPr>
          <w:p>
            <w:pPr>
              <w:spacing w:after="0"/>
              <w:rPr>
                <w:sz w:val="19"/>
                <w:szCs w:val="19"/>
                <w:color w:val="auto"/>
              </w:rPr>
            </w:pPr>
          </w:p>
        </w:tc>
        <w:tc>
          <w:tcPr>
            <w:tcW w:w="22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Operations Classification</w:t>
            </w:r>
          </w:p>
        </w:tc>
        <w:tc>
          <w:tcPr>
            <w:tcW w:w="4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80" w:type="dxa"/>
            <w:vAlign w:val="bottom"/>
            <w:tcBorders>
              <w:top w:val="single" w:sz="8" w:color="CCEEFF"/>
            </w:tcBorders>
            <w:shd w:val="clear" w:color="auto" w:fill="CCEEFF"/>
          </w:tcPr>
          <w:p>
            <w:pPr>
              <w:ind w:left="20"/>
              <w:spacing w:after="0" w:line="167" w:lineRule="exact"/>
              <w:rPr>
                <w:sz w:val="20"/>
                <w:szCs w:val="20"/>
                <w:color w:val="auto"/>
              </w:rPr>
            </w:pPr>
            <w:r>
              <w:rPr>
                <w:rFonts w:ascii="Arial" w:cs="Arial" w:eastAsia="Arial" w:hAnsi="Arial"/>
                <w:sz w:val="18"/>
                <w:szCs w:val="18"/>
                <w:color w:val="auto"/>
              </w:rPr>
              <w:t>Regeneron's net profit in connection with</w:t>
            </w:r>
          </w:p>
        </w:tc>
        <w:tc>
          <w:tcPr>
            <w:tcW w:w="210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80" w:type="dxa"/>
            <w:vAlign w:val="bottom"/>
            <w:shd w:val="clear" w:color="auto" w:fill="CCEEFF"/>
          </w:tcPr>
          <w:p>
            <w:pPr>
              <w:ind w:left="180"/>
              <w:spacing w:after="0" w:line="160" w:lineRule="exact"/>
              <w:rPr>
                <w:sz w:val="20"/>
                <w:szCs w:val="20"/>
                <w:color w:val="auto"/>
              </w:rPr>
            </w:pPr>
            <w:r>
              <w:rPr>
                <w:rFonts w:ascii="Arial" w:cs="Arial" w:eastAsia="Arial" w:hAnsi="Arial"/>
                <w:sz w:val="18"/>
                <w:szCs w:val="18"/>
                <w:color w:val="auto"/>
                <w:w w:val="99"/>
              </w:rPr>
              <w:t>commercialization of EYLEA outside the</w:t>
            </w: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4" w:lineRule="exact"/>
              <w:rPr>
                <w:sz w:val="20"/>
                <w:szCs w:val="20"/>
                <w:color w:val="auto"/>
              </w:rPr>
            </w:pPr>
            <w:r>
              <w:rPr>
                <w:rFonts w:ascii="Arial" w:cs="Arial" w:eastAsia="Arial" w:hAnsi="Arial"/>
                <w:sz w:val="18"/>
                <w:szCs w:val="18"/>
                <w:color w:val="auto"/>
              </w:rPr>
              <w:t>Reimbursement for manufacturing of</w:t>
            </w:r>
          </w:p>
        </w:tc>
        <w:tc>
          <w:tcPr>
            <w:tcW w:w="22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Collaboration revenue</w:t>
            </w:r>
          </w:p>
        </w:tc>
        <w:tc>
          <w:tcPr>
            <w:tcW w:w="4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5"/>
                <w:szCs w:val="15"/>
                <w:color w:val="auto"/>
              </w:rPr>
            </w:pPr>
          </w:p>
        </w:tc>
        <w:tc>
          <w:tcPr>
            <w:tcW w:w="4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7"/>
        </w:trPr>
        <w:tc>
          <w:tcPr>
            <w:tcW w:w="3380" w:type="dxa"/>
            <w:vAlign w:val="bottom"/>
          </w:tcPr>
          <w:p>
            <w:pPr>
              <w:ind w:left="180"/>
              <w:spacing w:after="0"/>
              <w:rPr>
                <w:sz w:val="20"/>
                <w:szCs w:val="20"/>
                <w:color w:val="auto"/>
              </w:rPr>
            </w:pPr>
            <w:r>
              <w:rPr>
                <w:rFonts w:ascii="Arial" w:cs="Arial" w:eastAsia="Arial" w:hAnsi="Arial"/>
                <w:sz w:val="18"/>
                <w:szCs w:val="18"/>
                <w:color w:val="auto"/>
              </w:rPr>
              <w:t>commercial supplies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3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Reimbursement of research and development</w:t>
            </w:r>
          </w:p>
        </w:tc>
        <w:tc>
          <w:tcPr>
            <w:tcW w:w="22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Reduction of Research and</w:t>
            </w:r>
          </w:p>
        </w:tc>
        <w:tc>
          <w:tcPr>
            <w:tcW w:w="4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4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4" w:lineRule="exact"/>
              <w:rPr>
                <w:sz w:val="20"/>
                <w:szCs w:val="20"/>
                <w:color w:val="auto"/>
              </w:rPr>
            </w:pPr>
            <w:r>
              <w:rPr>
                <w:rFonts w:ascii="Arial" w:cs="Arial" w:eastAsia="Arial" w:hAnsi="Arial"/>
                <w:sz w:val="18"/>
                <w:szCs w:val="18"/>
                <w:color w:val="auto"/>
                <w:w w:val="94"/>
              </w:rPr>
              <w:t>Regeneron's obligation for its share of Bayer</w:t>
            </w:r>
          </w:p>
        </w:tc>
        <w:tc>
          <w:tcPr>
            <w:tcW w:w="220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8"/>
              </w:rPr>
              <w:t>Research and development</w:t>
            </w:r>
          </w:p>
        </w:tc>
        <w:tc>
          <w:tcPr>
            <w:tcW w:w="4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4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320"/>
              <w:spacing w:after="0"/>
              <w:rPr>
                <w:sz w:val="20"/>
                <w:szCs w:val="20"/>
                <w:color w:val="auto"/>
              </w:rPr>
            </w:pPr>
            <w:r>
              <w:rPr>
                <w:rFonts w:ascii="Arial" w:cs="Arial" w:eastAsia="Arial" w:hAnsi="Arial"/>
                <w:sz w:val="18"/>
                <w:szCs w:val="18"/>
                <w:color w:val="auto"/>
                <w:w w:val="89"/>
              </w:rPr>
              <w:t>(23.4)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6"/>
        </w:trPr>
        <w:tc>
          <w:tcPr>
            <w:tcW w:w="33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20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4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our Bayer EYLEA collaboration:</w:t>
      </w:r>
    </w:p>
    <w:p>
      <w:pPr>
        <w:spacing w:after="0" w:line="176" w:lineRule="exact"/>
        <w:rPr>
          <w:sz w:val="20"/>
          <w:szCs w:val="20"/>
          <w:color w:val="auto"/>
        </w:rPr>
      </w:pPr>
    </w:p>
    <w:tbl>
      <w:tblPr>
        <w:tblLayout w:type="fixed"/>
        <w:tblInd w:w="240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r>
      <w:tr>
        <w:trPr>
          <w:trHeight w:val="221"/>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26"/>
        </w:trPr>
        <w:tc>
          <w:tcPr>
            <w:tcW w:w="3100" w:type="dxa"/>
            <w:vAlign w:val="bottom"/>
          </w:tcPr>
          <w:p>
            <w:pPr>
              <w:spacing w:after="0"/>
              <w:rPr>
                <w:sz w:val="20"/>
                <w:szCs w:val="20"/>
                <w:color w:val="auto"/>
              </w:rPr>
            </w:pPr>
            <w:r>
              <w:rPr>
                <w:rFonts w:ascii="Arial" w:cs="Arial" w:eastAsia="Arial" w:hAnsi="Arial"/>
                <w:sz w:val="18"/>
                <w:szCs w:val="18"/>
                <w:color w:val="auto"/>
              </w:rPr>
              <w:t>Deferred revenue</w:t>
            </w: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99.7</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153"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color w:val="auto"/>
        </w:rPr>
        <w:t>The Company and Teva are parties to a collaboration agreement (the "Teva Collaboration Agreement") to develop and commercialize fasinumab globally, excluding certain Asian countries that are subject to our collaboration agreement with Mitsubishi Tanabe Pharma Corporation. The Company leads global development activities, and the parties share development costs equally, on an ongoing basis, under a global development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 with Teva are as follows: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140" w:type="dxa"/>
            <w:vAlign w:val="bottom"/>
            <w:gridSpan w:val="4"/>
          </w:tcPr>
          <w:p>
            <w:pPr>
              <w:jc w:val="right"/>
              <w:ind w:right="41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19"/>
                <w:szCs w:val="19"/>
                <w:color w:val="auto"/>
              </w:rPr>
            </w:pPr>
          </w:p>
        </w:tc>
        <w:tc>
          <w:tcPr>
            <w:tcW w:w="25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Statement of Operations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5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line="20" w:lineRule="exact"/>
              <w:rPr>
                <w:sz w:val="1"/>
                <w:szCs w:val="1"/>
                <w:color w:val="auto"/>
              </w:rPr>
            </w:pPr>
          </w:p>
        </w:tc>
      </w:tr>
      <w:tr>
        <w:trPr>
          <w:trHeight w:val="227"/>
        </w:trPr>
        <w:tc>
          <w:tcPr>
            <w:tcW w:w="4000" w:type="dxa"/>
            <w:vAlign w:val="bottom"/>
            <w:vMerge w:val="continue"/>
          </w:tcPr>
          <w:p>
            <w:pPr>
              <w:spacing w:after="0"/>
              <w:rPr>
                <w:sz w:val="19"/>
                <w:szCs w:val="19"/>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Classification</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00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8"/>
                <w:szCs w:val="18"/>
                <w:color w:val="auto"/>
              </w:rPr>
              <w:t>Reimbursement of research and development</w:t>
            </w:r>
          </w:p>
        </w:tc>
        <w:tc>
          <w:tcPr>
            <w:tcW w:w="246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rPr>
              <w:t>Reduction of Research and</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line="174" w:lineRule="exact"/>
              <w:rPr>
                <w:sz w:val="20"/>
                <w:szCs w:val="20"/>
                <w:color w:val="auto"/>
              </w:rPr>
            </w:pPr>
            <w:r>
              <w:rPr>
                <w:rFonts w:ascii="Arial" w:cs="Arial" w:eastAsia="Arial" w:hAnsi="Arial"/>
                <w:sz w:val="18"/>
                <w:szCs w:val="18"/>
                <w:color w:val="auto"/>
                <w:w w:val="96"/>
              </w:rPr>
              <w:t>Amounts recognized in connection with up-front and</w:t>
            </w:r>
          </w:p>
        </w:tc>
        <w:tc>
          <w:tcPr>
            <w:tcW w:w="256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Other operating income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5"/>
                <w:szCs w:val="15"/>
                <w:color w:val="auto"/>
              </w:rPr>
            </w:pPr>
          </w:p>
        </w:tc>
        <w:tc>
          <w:tcPr>
            <w:tcW w:w="280" w:type="dxa"/>
            <w:vAlign w:val="bottom"/>
            <w:vMerge w:val="restart"/>
          </w:tcPr>
          <w:p>
            <w:pPr>
              <w:jc w:val="right"/>
              <w:ind w:right="91"/>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5"/>
                <w:szCs w:val="15"/>
                <w:color w:val="auto"/>
              </w:rPr>
            </w:pP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5"/>
                <w:szCs w:val="15"/>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6"/>
        </w:trPr>
        <w:tc>
          <w:tcPr>
            <w:tcW w:w="4000" w:type="dxa"/>
            <w:vAlign w:val="bottom"/>
          </w:tcPr>
          <w:p>
            <w:pPr>
              <w:ind w:left="160"/>
              <w:spacing w:after="0"/>
              <w:rPr>
                <w:sz w:val="20"/>
                <w:szCs w:val="20"/>
                <w:color w:val="auto"/>
              </w:rPr>
            </w:pPr>
            <w:r>
              <w:rPr>
                <w:rFonts w:ascii="Arial" w:cs="Arial" w:eastAsia="Arial" w:hAnsi="Arial"/>
                <w:sz w:val="18"/>
                <w:szCs w:val="18"/>
                <w:color w:val="auto"/>
              </w:rPr>
              <w:t>development milestone payments received</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189" w:lineRule="exact"/>
        <w:rPr>
          <w:sz w:val="20"/>
          <w:szCs w:val="20"/>
          <w:color w:val="auto"/>
        </w:rPr>
      </w:pPr>
    </w:p>
    <w:tbl>
      <w:tblPr>
        <w:tblLayout w:type="fixed"/>
        <w:tblInd w:w="240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9"/>
                <w:szCs w:val="19"/>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3100" w:type="dxa"/>
            <w:vAlign w:val="bottom"/>
            <w:tcBorders>
              <w:bottom w:val="single" w:sz="8" w:color="CCEEFF"/>
            </w:tcBorders>
          </w:tcPr>
          <w:p>
            <w:pPr>
              <w:ind w:left="24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r>
      <w:tr>
        <w:trPr>
          <w:trHeight w:val="221"/>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6"/>
        </w:trPr>
        <w:tc>
          <w:tcPr>
            <w:tcW w:w="3100" w:type="dxa"/>
            <w:vAlign w:val="bottom"/>
          </w:tcPr>
          <w:p>
            <w:pPr>
              <w:spacing w:after="0"/>
              <w:rPr>
                <w:sz w:val="20"/>
                <w:szCs w:val="20"/>
                <w:color w:val="auto"/>
              </w:rPr>
            </w:pPr>
            <w:r>
              <w:rPr>
                <w:rFonts w:ascii="Arial" w:cs="Arial" w:eastAsia="Arial" w:hAnsi="Arial"/>
                <w:sz w:val="18"/>
                <w:szCs w:val="18"/>
                <w:color w:val="auto"/>
              </w:rPr>
              <w:t>Other liabilities</w:t>
            </w: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66.8</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and development milestone payments received from Teva for which recognition has been deferred.</w:t>
      </w: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370"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The aggregate amount of the estimated consideration under the Teva Collaboration Agreement related to the Company's obligation that was unsatisfied (or partially unsatisfied) as of June 30, 2021 was $105.1 million. This amount is expected to be recognized over the remaining period in which the Company is obligated to satisfy its obligation in connection with performing development activities.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 Government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153"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In the first quarter of 2020, we announced an expansion of our Other Transaction Agreement with the Biomedical Advanced Research Development Authority ("BARDA"), pursuant to which the U.S. Department of Health and Human Services ("HHS") was obligated to fund certain of our costs incurred for research and development activities related to COVID-19 treatments.</w:t>
      </w:r>
    </w:p>
    <w:p>
      <w:pPr>
        <w:spacing w:after="0" w:line="106" w:lineRule="exact"/>
        <w:rPr>
          <w:sz w:val="20"/>
          <w:szCs w:val="20"/>
          <w:color w:val="auto"/>
        </w:rPr>
      </w:pPr>
    </w:p>
    <w:p>
      <w:pPr>
        <w:jc w:val="both"/>
        <w:ind w:right="120"/>
        <w:spacing w:after="0" w:line="270" w:lineRule="auto"/>
        <w:rPr>
          <w:sz w:val="20"/>
          <w:szCs w:val="20"/>
          <w:color w:val="auto"/>
        </w:rPr>
      </w:pPr>
      <w:r>
        <w:rPr>
          <w:rFonts w:ascii="Arial" w:cs="Arial" w:eastAsia="Arial" w:hAnsi="Arial"/>
          <w:sz w:val="18"/>
          <w:szCs w:val="18"/>
          <w:color w:val="auto"/>
        </w:rPr>
        <w:t>In July 2020, we entered into an agreement with entities acting at the direction of BARDA and the U.S. Department of Defense to manufacture and deliver filled and finished drug product of REGEN-COV to the U.S. government.</w:t>
      </w:r>
    </w:p>
    <w:p>
      <w:pPr>
        <w:spacing w:after="0" w:line="108"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all filled and finished doses of drug product delivered by June 30, 2021, and agreed to acquire such doses at the lowest treatment dose authorized or approved by the FDA for the indication authorized under the Emergency Use Authorization ("EUA").</w:t>
      </w:r>
    </w:p>
    <w:p>
      <w:pPr>
        <w:spacing w:after="0" w:line="108"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The Company has completed its final deliveries of drug product under the agreements described above. See Note 2 for REGEN-COV net product sales recognized in connection with these agreements during the three and six months ended June 30,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Roche</w:t>
      </w:r>
    </w:p>
    <w:p>
      <w:pPr>
        <w:spacing w:after="0" w:line="140" w:lineRule="exact"/>
        <w:rPr>
          <w:sz w:val="20"/>
          <w:szCs w:val="20"/>
          <w:color w:val="auto"/>
        </w:rPr>
      </w:pPr>
    </w:p>
    <w:p>
      <w:pPr>
        <w:jc w:val="both"/>
        <w:ind w:right="100"/>
        <w:spacing w:after="0" w:line="236" w:lineRule="auto"/>
        <w:rPr>
          <w:sz w:val="20"/>
          <w:szCs w:val="20"/>
          <w:color w:val="auto"/>
        </w:rPr>
      </w:pPr>
      <w:r>
        <w:rPr>
          <w:rFonts w:ascii="Arial" w:cs="Arial" w:eastAsia="Arial" w:hAnsi="Arial"/>
          <w:sz w:val="17"/>
          <w:szCs w:val="17"/>
          <w:color w:val="auto"/>
        </w:rPr>
        <w:t>In August 2020, we entered into a collaboration agreement (the "Roche Collaboration Agreement") with Roche to develop, manufacture, and distribute the casirivimab and imdevimab antibody cocktail (known as REGEN-COV in the United States and Ronapreve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other countries). We lead global development activities for casirivimab and imdevimab, and the parties jointly fund certain ongoing studies, as well as any mutually agreed additional new global studies to evaluate further the potential of casirivimab and imdevimab in treating or preventing COVID-19.</w:t>
      </w:r>
    </w:p>
    <w:p>
      <w:pPr>
        <w:spacing w:after="0" w:line="122"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Roche Collaboration Agreement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20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w w:val="97"/>
              </w:rPr>
              <w:t>Statement of Operations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74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(In millions)</w:t>
            </w:r>
          </w:p>
        </w:tc>
        <w:tc>
          <w:tcPr>
            <w:tcW w:w="240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line="20" w:lineRule="exact"/>
              <w:rPr>
                <w:sz w:val="1"/>
                <w:szCs w:val="1"/>
                <w:color w:val="auto"/>
              </w:rPr>
            </w:pPr>
          </w:p>
        </w:tc>
      </w:tr>
      <w:tr>
        <w:trPr>
          <w:trHeight w:val="227"/>
        </w:trPr>
        <w:tc>
          <w:tcPr>
            <w:tcW w:w="240" w:type="dxa"/>
            <w:vAlign w:val="bottom"/>
          </w:tcPr>
          <w:p>
            <w:pPr>
              <w:spacing w:after="0"/>
              <w:rPr>
                <w:sz w:val="19"/>
                <w:szCs w:val="19"/>
                <w:color w:val="auto"/>
              </w:rPr>
            </w:pPr>
          </w:p>
        </w:tc>
        <w:tc>
          <w:tcPr>
            <w:tcW w:w="3740" w:type="dxa"/>
            <w:vAlign w:val="bottom"/>
            <w:tcBorders>
              <w:bottom w:val="single" w:sz="8" w:color="CCEEFF"/>
            </w:tcBorders>
            <w:vMerge w:val="continue"/>
          </w:tcPr>
          <w:p>
            <w:pPr>
              <w:spacing w:after="0"/>
              <w:rPr>
                <w:sz w:val="19"/>
                <w:szCs w:val="19"/>
                <w:color w:val="auto"/>
              </w:rPr>
            </w:pPr>
          </w:p>
        </w:tc>
        <w:tc>
          <w:tcPr>
            <w:tcW w:w="23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374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5"/>
              </w:rPr>
              <w:t>Regeneron's share of gross profits in connection</w:t>
            </w:r>
          </w:p>
        </w:tc>
        <w:tc>
          <w:tcPr>
            <w:tcW w:w="230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w w:val="72"/>
              </w:rPr>
              <w:t>—</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sales of casirivimab and imdevimab</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3740" w:type="dxa"/>
            <w:vAlign w:val="bottom"/>
          </w:tcPr>
          <w:p>
            <w:pPr>
              <w:ind w:left="20"/>
              <w:spacing w:after="0" w:line="174" w:lineRule="exact"/>
              <w:rPr>
                <w:sz w:val="20"/>
                <w:szCs w:val="20"/>
                <w:color w:val="auto"/>
              </w:rPr>
            </w:pPr>
            <w:r>
              <w:rPr>
                <w:rFonts w:ascii="Arial" w:cs="Arial" w:eastAsia="Arial" w:hAnsi="Arial"/>
                <w:sz w:val="18"/>
                <w:szCs w:val="18"/>
                <w:color w:val="auto"/>
              </w:rPr>
              <w:t>Reimbursement of research and development</w:t>
            </w:r>
          </w:p>
        </w:tc>
        <w:tc>
          <w:tcPr>
            <w:tcW w:w="24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Reduction of Research and</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127.8</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vMerge w:val="restart"/>
          </w:tcPr>
          <w:p>
            <w:pPr>
              <w:ind w:left="540"/>
              <w:spacing w:after="0"/>
              <w:rPr>
                <w:sz w:val="20"/>
                <w:szCs w:val="20"/>
                <w:color w:val="auto"/>
              </w:rPr>
            </w:pPr>
            <w:r>
              <w:rPr>
                <w:rFonts w:ascii="Arial" w:cs="Arial" w:eastAsia="Arial" w:hAnsi="Arial"/>
                <w:sz w:val="11"/>
                <w:szCs w:val="11"/>
                <w:color w:val="auto"/>
                <w:w w:val="72"/>
              </w:rPr>
              <w:t>—</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4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93"/>
        </w:trPr>
        <w:tc>
          <w:tcPr>
            <w:tcW w:w="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00" w:type="dxa"/>
            <w:vAlign w:val="bottom"/>
          </w:tcPr>
          <w:p>
            <w:pPr>
              <w:ind w:left="15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70"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Roche Collaboration Agreement:</w:t>
      </w:r>
    </w:p>
    <w:p>
      <w:pPr>
        <w:spacing w:after="0" w:line="189" w:lineRule="exact"/>
        <w:rPr>
          <w:sz w:val="20"/>
          <w:szCs w:val="20"/>
          <w:color w:val="auto"/>
        </w:rPr>
      </w:pPr>
    </w:p>
    <w:tbl>
      <w:tblPr>
        <w:tblLayout w:type="fixed"/>
        <w:tblInd w:w="2400" w:type="dxa"/>
        <w:tblCellMar>
          <w:top w:w="0" w:type="dxa"/>
          <w:left w:w="0" w:type="dxa"/>
          <w:bottom w:w="0" w:type="dxa"/>
          <w:right w:w="0" w:type="dxa"/>
        </w:tblCellMar>
      </w:tblPr>
      <w:tr>
        <w:trPr>
          <w:trHeight w:val="227"/>
        </w:trPr>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June 30,</w:t>
            </w:r>
          </w:p>
        </w:tc>
        <w:tc>
          <w:tcPr>
            <w:tcW w:w="420" w:type="dxa"/>
            <w:vAlign w:val="bottom"/>
          </w:tcPr>
          <w:p>
            <w:pPr>
              <w:spacing w:after="0"/>
              <w:rPr>
                <w:sz w:val="19"/>
                <w:szCs w:val="19"/>
                <w:color w:val="auto"/>
              </w:rPr>
            </w:pPr>
          </w:p>
        </w:tc>
        <w:tc>
          <w:tcPr>
            <w:tcW w:w="136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3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r>
      <w:tr>
        <w:trPr>
          <w:trHeight w:val="221"/>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Intellia</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 2016, we entered into a license and collaboration agreement with Intellia Therapeutics, Inc. to advance CRISPR/Cas9 gene-editing technology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development. The parties collaborate to conduct research for the discovery, development, and commercialization of new therapies, in addition to the research and technology development of the CRISPR/Cas9 platform.</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In May 2020, we expanded our existing collaboration with Intellia to provide us with rights to develop products for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CRISPR/Cas9-based therapeutic targets and for the parties to jointly develop potential products for the treatment of hemophilia A and B. In addition, we also received non-exclusive rights to independently develop and commercialize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In connection with the agreement, we made a $70.0 million up-front payment and purchased 925,218 shares of Intellia common stock for an aggregate purchase price of $30.0 million. The up-front payment and the amount paid in excess of the fair market value of the shares purchased, or $15.0 million, were recorded to Research and development expense during the three months ended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5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431"/>
              <w:spacing w:after="0"/>
              <w:rPr>
                <w:sz w:val="20"/>
                <w:szCs w:val="20"/>
                <w:color w:val="auto"/>
              </w:rPr>
            </w:pPr>
            <w:r>
              <w:rPr>
                <w:rFonts w:ascii="Arial" w:cs="Arial" w:eastAsia="Arial" w:hAnsi="Arial"/>
                <w:sz w:val="18"/>
                <w:szCs w:val="18"/>
                <w:b w:val="1"/>
                <w:bCs w:val="1"/>
                <w:color w:val="auto"/>
              </w:rPr>
              <w:t>Six Months Ended</w:t>
            </w:r>
          </w:p>
        </w:tc>
      </w:tr>
      <w:tr>
        <w:trPr>
          <w:trHeight w:val="227"/>
        </w:trPr>
        <w:tc>
          <w:tcPr>
            <w:tcW w:w="4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2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2020</w:t>
            </w:r>
          </w:p>
        </w:tc>
      </w:tr>
      <w:tr>
        <w:trPr>
          <w:trHeight w:val="22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 basic and diluted</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w:t>
            </w:r>
          </w:p>
        </w:tc>
      </w:tr>
      <w:tr>
        <w:trPr>
          <w:trHeight w:val="267"/>
        </w:trPr>
        <w:tc>
          <w:tcPr>
            <w:tcW w:w="4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27"/>
        </w:trPr>
        <w:tc>
          <w:tcPr>
            <w:tcW w:w="46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7"/>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Restricted stock awards and restricted stock units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5"/>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26"/>
        </w:trPr>
        <w:tc>
          <w:tcPr>
            <w:tcW w:w="46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13.03</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418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89"/>
              </w:rPr>
              <w:t>Six Months Ended</w:t>
            </w:r>
          </w:p>
        </w:tc>
      </w:tr>
      <w:tr>
        <w:trPr>
          <w:trHeight w:val="227"/>
        </w:trPr>
        <w:tc>
          <w:tcPr>
            <w:tcW w:w="20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1"/>
              </w:rPr>
              <w:t>June 30,</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19"/>
                <w:szCs w:val="19"/>
                <w:color w:val="auto"/>
              </w:rPr>
            </w:pPr>
          </w:p>
        </w:tc>
        <w:tc>
          <w:tcPr>
            <w:tcW w:w="2020" w:type="dxa"/>
            <w:vAlign w:val="bottom"/>
          </w:tcPr>
          <w:p>
            <w:pPr>
              <w:spacing w:after="0"/>
              <w:rPr>
                <w:sz w:val="19"/>
                <w:szCs w:val="19"/>
                <w:color w:val="auto"/>
              </w:rPr>
            </w:pPr>
          </w:p>
        </w:tc>
      </w:tr>
      <w:tr>
        <w:trPr>
          <w:trHeight w:val="220"/>
        </w:trPr>
        <w:tc>
          <w:tcPr>
            <w:tcW w:w="202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4"/>
              </w:rPr>
              <w:t>2020</w:t>
            </w:r>
          </w:p>
        </w:tc>
        <w:tc>
          <w:tcPr>
            <w:tcW w:w="2020" w:type="dxa"/>
            <w:vAlign w:val="bottom"/>
          </w:tcPr>
          <w:p>
            <w:pPr>
              <w:spacing w:after="0"/>
              <w:rPr>
                <w:sz w:val="19"/>
                <w:szCs w:val="19"/>
                <w:color w:val="auto"/>
              </w:rPr>
            </w:pPr>
          </w:p>
        </w:tc>
      </w:tr>
      <w:tr>
        <w:trPr>
          <w:trHeight w:val="220"/>
        </w:trPr>
        <w:tc>
          <w:tcPr>
            <w:tcW w:w="202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20" w:type="dxa"/>
            <w:vAlign w:val="bottom"/>
          </w:tcPr>
          <w:p>
            <w:pPr>
              <w:spacing w:after="0"/>
              <w:rPr>
                <w:sz w:val="19"/>
                <w:szCs w:val="19"/>
                <w:color w:val="auto"/>
              </w:rPr>
            </w:pPr>
          </w:p>
        </w:tc>
      </w:tr>
      <w:tr>
        <w:trPr>
          <w:trHeight w:val="799"/>
        </w:trPr>
        <w:tc>
          <w:tcPr>
            <w:tcW w:w="2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5"/>
        </w:trPr>
        <w:tc>
          <w:tcPr>
            <w:tcW w:w="20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Marketable securities as of June 30, 2021 and December 31, 2020 consist of both available-for-sale debt securities of investment grade issuers (see below and Note 6) as well as equity securities of publicly traded companies (see Note 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8"/>
                <w:szCs w:val="18"/>
                <w:b w:val="1"/>
                <w:bCs w:val="1"/>
                <w:color w:val="auto"/>
                <w:w w:val="92"/>
              </w:rPr>
              <w:t>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b w:val="1"/>
                <w:bCs w:val="1"/>
                <w:color w:val="auto"/>
              </w:rPr>
              <w:t>Fair</w:t>
            </w:r>
          </w:p>
        </w:tc>
      </w:tr>
      <w:tr>
        <w:trPr>
          <w:trHeight w:val="182"/>
        </w:trPr>
        <w:tc>
          <w:tcPr>
            <w:tcW w:w="506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As of June 30, 2021</w:t>
            </w:r>
          </w:p>
        </w:tc>
        <w:tc>
          <w:tcPr>
            <w:tcW w:w="160" w:type="dxa"/>
            <w:vAlign w:val="bottom"/>
          </w:tcPr>
          <w:p>
            <w:pPr>
              <w:spacing w:after="0"/>
              <w:rPr>
                <w:sz w:val="15"/>
                <w:szCs w:val="15"/>
                <w:color w:val="auto"/>
              </w:rPr>
            </w:pPr>
          </w:p>
        </w:tc>
        <w:tc>
          <w:tcPr>
            <w:tcW w:w="1260" w:type="dxa"/>
            <w:vAlign w:val="bottom"/>
            <w:gridSpan w:val="2"/>
          </w:tcPr>
          <w:p>
            <w:pPr>
              <w:ind w:left="100"/>
              <w:spacing w:after="0" w:line="182" w:lineRule="exact"/>
              <w:rPr>
                <w:sz w:val="20"/>
                <w:szCs w:val="20"/>
                <w:color w:val="auto"/>
              </w:rPr>
            </w:pPr>
            <w:r>
              <w:rPr>
                <w:rFonts w:ascii="Arial" w:cs="Arial" w:eastAsia="Arial" w:hAnsi="Arial"/>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1"/>
              <w:spacing w:after="0" w:line="182" w:lineRule="exact"/>
              <w:rPr>
                <w:sz w:val="20"/>
                <w:szCs w:val="20"/>
                <w:color w:val="auto"/>
              </w:rPr>
            </w:pPr>
            <w:r>
              <w:rPr>
                <w:rFonts w:ascii="Arial" w:cs="Arial" w:eastAsia="Arial" w:hAnsi="Arial"/>
                <w:sz w:val="18"/>
                <w:szCs w:val="18"/>
                <w:b w:val="1"/>
                <w:bCs w:val="1"/>
                <w:color w:val="auto"/>
              </w:rPr>
              <w:t>Value</w:t>
            </w: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3,706.7</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20"/>
        </w:trPr>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4,315.5</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25.8</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4,337.6</w:t>
            </w: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87"/>
        </w:trPr>
        <w:tc>
          <w:tcPr>
            <w:tcW w:w="5060" w:type="dxa"/>
            <w:vAlign w:val="bottom"/>
            <w:gridSpan w:val="3"/>
          </w:tcPr>
          <w:p>
            <w:pPr>
              <w:spacing w:after="0" w:line="187" w:lineRule="exact"/>
              <w:rPr>
                <w:sz w:val="20"/>
                <w:szCs w:val="20"/>
                <w:color w:val="auto"/>
              </w:rPr>
            </w:pPr>
            <w:r>
              <w:rPr>
                <w:rFonts w:ascii="Arial" w:cs="Arial" w:eastAsia="Arial" w:hAnsi="Arial"/>
                <w:sz w:val="18"/>
                <w:szCs w:val="18"/>
                <w:b w:val="1"/>
                <w:bCs w:val="1"/>
                <w:color w:val="auto"/>
              </w:rPr>
              <w:t>As of December 31, 2020</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14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37.5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Sovereign bonds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7"/>
        </w:trPr>
        <w:tc>
          <w:tcPr>
            <w:tcW w:w="506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27"/>
        </w:trPr>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20"/>
        </w:trPr>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3,649.2</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40.1</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June 30, 2021 mature at various dates through June 2026. The fair values of available-for-sale debt securities by contractual maturity consist of the following:</w:t>
      </w:r>
    </w:p>
    <w:p>
      <w:pPr>
        <w:spacing w:after="0" w:line="249" w:lineRule="exact"/>
        <w:rPr>
          <w:sz w:val="20"/>
          <w:szCs w:val="20"/>
          <w:color w:val="auto"/>
        </w:rPr>
      </w:pPr>
    </w:p>
    <w:tbl>
      <w:tblPr>
        <w:tblLayout w:type="fixed"/>
        <w:tblInd w:w="2120" w:type="dxa"/>
        <w:tblCellMar>
          <w:top w:w="0" w:type="dxa"/>
          <w:left w:w="0" w:type="dxa"/>
          <w:bottom w:w="0" w:type="dxa"/>
          <w:right w:w="0" w:type="dxa"/>
        </w:tblCellMar>
      </w:tblPr>
      <w:tr>
        <w:trPr>
          <w:trHeight w:val="227"/>
        </w:trPr>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3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r>
      <w:tr>
        <w:trPr>
          <w:trHeight w:val="221"/>
        </w:trPr>
        <w:tc>
          <w:tcPr>
            <w:tcW w:w="3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Maturities within one year</w:t>
            </w: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r>
      <w:tr>
        <w:trPr>
          <w:trHeight w:val="227"/>
        </w:trPr>
        <w:tc>
          <w:tcPr>
            <w:tcW w:w="3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w w:val="99"/>
              </w:rPr>
              <w:t>Maturities after one year through five years</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2,295.8</w:t>
            </w:r>
          </w:p>
        </w:tc>
      </w:tr>
      <w:tr>
        <w:trPr>
          <w:trHeight w:val="245"/>
        </w:trPr>
        <w:tc>
          <w:tcPr>
            <w:tcW w:w="36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Less than 12 Months</w:t>
            </w:r>
          </w:p>
        </w:tc>
        <w:tc>
          <w:tcPr>
            <w:tcW w:w="2600" w:type="dxa"/>
            <w:vAlign w:val="bottom"/>
            <w:gridSpan w:val="4"/>
          </w:tcPr>
          <w:p>
            <w:pPr>
              <w:ind w:left="400"/>
              <w:spacing w:after="0"/>
              <w:rPr>
                <w:sz w:val="20"/>
                <w:szCs w:val="20"/>
                <w:color w:val="auto"/>
              </w:rPr>
            </w:pPr>
            <w:r>
              <w:rPr>
                <w:rFonts w:ascii="Arial" w:cs="Arial" w:eastAsia="Arial" w:hAnsi="Arial"/>
                <w:sz w:val="18"/>
                <w:szCs w:val="18"/>
                <w:b w:val="1"/>
                <w:bCs w:val="1"/>
                <w:color w:val="auto"/>
              </w:rPr>
              <w:t>12 Months or Greater</w:t>
            </w:r>
          </w:p>
        </w:tc>
        <w:tc>
          <w:tcPr>
            <w:tcW w:w="1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500" w:type="dxa"/>
            <w:vAlign w:val="bottom"/>
            <w:gridSpan w:val="4"/>
          </w:tcPr>
          <w:p>
            <w:pPr>
              <w:ind w:left="20"/>
              <w:spacing w:after="0" w:line="168" w:lineRule="exact"/>
              <w:rPr>
                <w:sz w:val="20"/>
                <w:szCs w:val="20"/>
                <w:color w:val="auto"/>
              </w:rPr>
            </w:pPr>
            <w:r>
              <w:rPr>
                <w:rFonts w:ascii="Arial" w:cs="Arial" w:eastAsia="Arial" w:hAnsi="Arial"/>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51"/>
              <w:spacing w:after="0" w:line="168"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4"/>
                <w:szCs w:val="14"/>
                <w:color w:val="auto"/>
              </w:rPr>
            </w:pPr>
          </w:p>
        </w:tc>
        <w:tc>
          <w:tcPr>
            <w:tcW w:w="12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Fair Value</w:t>
            </w:r>
          </w:p>
        </w:tc>
        <w:tc>
          <w:tcPr>
            <w:tcW w:w="1200" w:type="dxa"/>
            <w:vAlign w:val="bottom"/>
            <w:tcBorders>
              <w:top w:val="single" w:sz="8" w:color="auto"/>
            </w:tcBorders>
          </w:tcPr>
          <w:p>
            <w:pPr>
              <w:ind w:left="200"/>
              <w:spacing w:after="0" w:line="168"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1"/>
              <w:spacing w:after="0" w:line="168"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187"/>
        </w:trPr>
        <w:tc>
          <w:tcPr>
            <w:tcW w:w="3500" w:type="dxa"/>
            <w:vAlign w:val="bottom"/>
            <w:gridSpan w:val="4"/>
          </w:tcPr>
          <w:p>
            <w:pPr>
              <w:ind w:left="20"/>
              <w:spacing w:after="0" w:line="187" w:lineRule="exact"/>
              <w:rPr>
                <w:sz w:val="20"/>
                <w:szCs w:val="20"/>
                <w:color w:val="auto"/>
              </w:rPr>
            </w:pPr>
            <w:r>
              <w:rPr>
                <w:rFonts w:ascii="Arial" w:cs="Arial" w:eastAsia="Arial" w:hAnsi="Arial"/>
                <w:sz w:val="18"/>
                <w:szCs w:val="18"/>
                <w:b w:val="1"/>
                <w:bCs w:val="1"/>
                <w:color w:val="auto"/>
              </w:rPr>
              <w:t>As of June 30, 2021</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7" w:lineRule="exact"/>
              <w:rPr>
                <w:sz w:val="20"/>
                <w:szCs w:val="20"/>
                <w:color w:val="auto"/>
              </w:rPr>
            </w:pPr>
            <w:r>
              <w:rPr>
                <w:rFonts w:ascii="Arial" w:cs="Arial" w:eastAsia="Arial" w:hAnsi="Arial"/>
                <w:sz w:val="18"/>
                <w:szCs w:val="18"/>
                <w:b w:val="1"/>
                <w:bCs w:val="1"/>
                <w:color w:val="auto"/>
                <w:w w:val="80"/>
              </w:rPr>
              <w:t>Loss</w:t>
            </w:r>
          </w:p>
        </w:tc>
        <w:tc>
          <w:tcPr>
            <w:tcW w:w="1280" w:type="dxa"/>
            <w:vAlign w:val="bottom"/>
            <w:gridSpan w:val="2"/>
            <w:vMerge w:val="continue"/>
          </w:tcPr>
          <w:p>
            <w:pPr>
              <w:spacing w:after="0"/>
              <w:rPr>
                <w:sz w:val="16"/>
                <w:szCs w:val="16"/>
                <w:color w:val="auto"/>
              </w:rPr>
            </w:pPr>
          </w:p>
        </w:tc>
        <w:tc>
          <w:tcPr>
            <w:tcW w:w="1320" w:type="dxa"/>
            <w:vAlign w:val="bottom"/>
            <w:gridSpan w:val="2"/>
          </w:tcPr>
          <w:p>
            <w:pPr>
              <w:ind w:left="440"/>
              <w:spacing w:after="0" w:line="187" w:lineRule="exact"/>
              <w:rPr>
                <w:sz w:val="20"/>
                <w:szCs w:val="20"/>
                <w:color w:val="auto"/>
              </w:rPr>
            </w:pPr>
            <w:r>
              <w:rPr>
                <w:rFonts w:ascii="Arial" w:cs="Arial" w:eastAsia="Arial" w:hAnsi="Arial"/>
                <w:sz w:val="18"/>
                <w:szCs w:val="18"/>
                <w:b w:val="1"/>
                <w:bCs w:val="1"/>
                <w:color w:val="auto"/>
              </w:rPr>
              <w:t>Loss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1"/>
              <w:spacing w:after="0" w:line="187"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3"/>
        </w:trPr>
        <w:tc>
          <w:tcPr>
            <w:tcW w:w="3500" w:type="dxa"/>
            <w:vAlign w:val="bottom"/>
            <w:gridSpan w:val="4"/>
          </w:tcPr>
          <w:p>
            <w:pPr>
              <w:ind w:left="20"/>
              <w:spacing w:after="0" w:line="174" w:lineRule="exact"/>
              <w:rPr>
                <w:sz w:val="20"/>
                <w:szCs w:val="20"/>
                <w:color w:val="auto"/>
              </w:rPr>
            </w:pPr>
            <w:r>
              <w:rPr>
                <w:rFonts w:ascii="Arial" w:cs="Arial" w:eastAsia="Arial" w:hAnsi="Arial"/>
                <w:sz w:val="18"/>
                <w:szCs w:val="18"/>
                <w:color w:val="auto"/>
              </w:rPr>
              <w:t>U.S. government and government agency</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gridSpan w:val="3"/>
          </w:tcPr>
          <w:p>
            <w:pPr>
              <w:ind w:left="1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500" w:type="dxa"/>
            <w:vAlign w:val="bottom"/>
            <w:gridSpan w:val="4"/>
          </w:tcPr>
          <w:p>
            <w:pPr>
              <w:ind w:left="20"/>
              <w:spacing w:after="0" w:line="187" w:lineRule="exact"/>
              <w:rPr>
                <w:sz w:val="20"/>
                <w:szCs w:val="20"/>
                <w:color w:val="auto"/>
              </w:rPr>
            </w:pPr>
            <w:r>
              <w:rPr>
                <w:rFonts w:ascii="Arial" w:cs="Arial" w:eastAsia="Arial" w:hAnsi="Arial"/>
                <w:sz w:val="18"/>
                <w:szCs w:val="18"/>
                <w:b w:val="1"/>
                <w:bCs w:val="1"/>
                <w:color w:val="auto"/>
              </w:rPr>
              <w:t>As of December 31, 2020</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and six months ended June 30, 2021, realized gains and losses on sales of marketable securities were not material. For the three and six months ended June 30, 2020, realized gains on sales of marketable securities were $28.0 million and $28.3 million, respectively, and realized losses were not material.</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With respect to marketable securities, for the three and six months ended June 30, 2021 and 2020, amounts reclassified from Accumulated other comprehensive income into Other income (expense), net were related to realized gains and losses on sales of available-for-sale debt securities.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108" w:lineRule="exact"/>
        <w:rPr>
          <w:sz w:val="20"/>
          <w:szCs w:val="20"/>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19"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18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8"/>
                <w:szCs w:val="18"/>
                <w:b w:val="1"/>
                <w:bCs w:val="1"/>
                <w:color w:val="auto"/>
                <w:w w:val="92"/>
              </w:rPr>
              <w:t>Fair Value Measurements at Reporting Date</w:t>
            </w:r>
          </w:p>
        </w:tc>
      </w:tr>
      <w:tr>
        <w:trPr>
          <w:trHeight w:val="182"/>
        </w:trPr>
        <w:tc>
          <w:tcPr>
            <w:tcW w:w="5180" w:type="dxa"/>
            <w:vAlign w:val="bottom"/>
            <w:gridSpan w:val="4"/>
          </w:tcPr>
          <w:p>
            <w:pPr>
              <w:ind w:left="20"/>
              <w:spacing w:after="0" w:line="182" w:lineRule="exact"/>
              <w:rPr>
                <w:sz w:val="20"/>
                <w:szCs w:val="20"/>
                <w:color w:val="auto"/>
              </w:rPr>
            </w:pPr>
            <w:r>
              <w:rPr>
                <w:rFonts w:ascii="Arial" w:cs="Arial" w:eastAsia="Arial" w:hAnsi="Arial"/>
                <w:sz w:val="18"/>
                <w:szCs w:val="18"/>
                <w:b w:val="1"/>
                <w:bCs w:val="1"/>
                <w:color w:val="auto"/>
              </w:rPr>
              <w:t>As of June 30, 2021</w:t>
            </w:r>
          </w:p>
        </w:tc>
        <w:tc>
          <w:tcPr>
            <w:tcW w:w="260" w:type="dxa"/>
            <w:vAlign w:val="bottom"/>
          </w:tcPr>
          <w:p>
            <w:pPr>
              <w:spacing w:after="0"/>
              <w:rPr>
                <w:sz w:val="15"/>
                <w:szCs w:val="15"/>
                <w:color w:val="auto"/>
              </w:rPr>
            </w:pPr>
          </w:p>
        </w:tc>
        <w:tc>
          <w:tcPr>
            <w:tcW w:w="154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15"/>
                <w:szCs w:val="15"/>
                <w:color w:val="auto"/>
              </w:rPr>
            </w:pPr>
          </w:p>
        </w:tc>
        <w:tc>
          <w:tcPr>
            <w:tcW w:w="1500" w:type="dxa"/>
            <w:vAlign w:val="bottom"/>
            <w:gridSpan w:val="2"/>
          </w:tcPr>
          <w:p>
            <w:pPr>
              <w:ind w:left="240"/>
              <w:spacing w:after="0" w:line="182" w:lineRule="exact"/>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15"/>
                <w:szCs w:val="15"/>
                <w:color w:val="auto"/>
              </w:rPr>
            </w:pPr>
          </w:p>
        </w:tc>
        <w:tc>
          <w:tcPr>
            <w:tcW w:w="1380" w:type="dxa"/>
            <w:vAlign w:val="bottom"/>
          </w:tcPr>
          <w:p>
            <w:pPr>
              <w:jc w:val="right"/>
              <w:ind w:right="511"/>
              <w:spacing w:after="0" w:line="182" w:lineRule="exact"/>
              <w:rPr>
                <w:sz w:val="20"/>
                <w:szCs w:val="20"/>
                <w:color w:val="auto"/>
              </w:rPr>
            </w:pPr>
            <w:r>
              <w:rPr>
                <w:rFonts w:ascii="Arial" w:cs="Arial" w:eastAsia="Arial" w:hAnsi="Arial"/>
                <w:sz w:val="18"/>
                <w:szCs w:val="18"/>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7"/>
        </w:trPr>
        <w:tc>
          <w:tcPr>
            <w:tcW w:w="5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3,706.7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3,706.7</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Sovereign bonds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27"/>
        </w:trPr>
        <w:tc>
          <w:tcPr>
            <w:tcW w:w="5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securities (unrestricted)</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Equity securities (restricted)</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7"/>
        </w:trPr>
        <w:tc>
          <w:tcPr>
            <w:tcW w:w="5180" w:type="dxa"/>
            <w:vAlign w:val="bottom"/>
            <w:gridSpan w:val="4"/>
            <w:shd w:val="clear" w:color="auto" w:fill="CCEEFF"/>
          </w:tcPr>
          <w:p>
            <w:pPr>
              <w:ind w:left="20"/>
              <w:spacing w:after="0" w:line="187" w:lineRule="exact"/>
              <w:rPr>
                <w:sz w:val="20"/>
                <w:szCs w:val="20"/>
                <w:color w:val="auto"/>
              </w:rPr>
            </w:pPr>
            <w:r>
              <w:rPr>
                <w:rFonts w:ascii="Arial" w:cs="Arial" w:eastAsia="Arial" w:hAnsi="Arial"/>
                <w:sz w:val="18"/>
                <w:szCs w:val="18"/>
                <w:b w:val="1"/>
                <w:bCs w:val="1"/>
                <w:color w:val="auto"/>
              </w:rPr>
              <w:t>As of December 31, 2020</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5180" w:type="dxa"/>
            <w:vAlign w:val="bottom"/>
            <w:gridSpan w:val="4"/>
          </w:tcPr>
          <w:p>
            <w:pPr>
              <w:ind w:left="20"/>
              <w:spacing w:after="0"/>
              <w:rPr>
                <w:sz w:val="20"/>
                <w:szCs w:val="20"/>
                <w:color w:val="auto"/>
              </w:rPr>
            </w:pPr>
            <w:r>
              <w:rPr>
                <w:rFonts w:ascii="Arial" w:cs="Arial" w:eastAsia="Arial" w:hAnsi="Arial"/>
                <w:sz w:val="18"/>
                <w:szCs w:val="18"/>
                <w:color w:val="auto"/>
              </w:rPr>
              <w:t>Available-for-sale debt securities: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Sovereign bonds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7"/>
        </w:trPr>
        <w:tc>
          <w:tcPr>
            <w:tcW w:w="20" w:type="dxa"/>
            <w:vAlign w:val="bottom"/>
          </w:tcPr>
          <w:p>
            <w:pPr>
              <w:spacing w:after="0"/>
              <w:rPr>
                <w:sz w:val="19"/>
                <w:szCs w:val="19"/>
                <w:color w:val="auto"/>
              </w:rPr>
            </w:pPr>
          </w:p>
        </w:tc>
        <w:tc>
          <w:tcPr>
            <w:tcW w:w="5160" w:type="dxa"/>
            <w:vAlign w:val="bottom"/>
            <w:gridSpan w:val="3"/>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27"/>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27"/>
        </w:trPr>
        <w:tc>
          <w:tcPr>
            <w:tcW w:w="5180" w:type="dxa"/>
            <w:vAlign w:val="bottom"/>
            <w:gridSpan w:val="4"/>
          </w:tcPr>
          <w:p>
            <w:pPr>
              <w:ind w:left="20"/>
              <w:spacing w:after="0"/>
              <w:rPr>
                <w:sz w:val="20"/>
                <w:szCs w:val="20"/>
                <w:color w:val="auto"/>
              </w:rPr>
            </w:pPr>
            <w:r>
              <w:rPr>
                <w:rFonts w:ascii="Arial" w:cs="Arial" w:eastAsia="Arial" w:hAnsi="Arial"/>
                <w:sz w:val="18"/>
                <w:szCs w:val="18"/>
                <w:color w:val="auto"/>
              </w:rPr>
              <w:t>Equity securities (unrestricted)</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securities (restricted)</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3,689.1</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certain restricted equity securities as of June 30, 2021 which are subject to transfer restrictions that expire at various dates through 2024.</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three and six months ended June 30, 2021, we recorded $409.0 million and $552.9 million of net unrealized gains, respectively, on equity securities in Other income (expense), net. During the three and six months ended June 30, 2020, we recorded $228.1 million and $171.3 million of net unrealized gains, respectively, on equity securities in Other income (expense), net.</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the investments summarized in the table above, as of June 30, 2021 and December 31, 2020, the Company had $40.0 million and $59.2 million, respectively, in equity investments that do not have a readily determinable fair value. These investments are recorded within Other noncurrent assets.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fair value of our long-term debt (see Note 8), which was determined based on Level 2 inputs, was estimated to be $1.868 billion and $1.958 billion as of June 30, 2021 and December 31, 2020, respectively.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7"/>
        </w:trPr>
        <w:tc>
          <w:tcPr>
            <w:tcW w:w="542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7"/>
        </w:trPr>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December 31,</w:t>
            </w:r>
          </w:p>
        </w:tc>
      </w:tr>
      <w:tr>
        <w:trPr>
          <w:trHeight w:val="231"/>
        </w:trPr>
        <w:tc>
          <w:tcPr>
            <w:tcW w:w="2520" w:type="dxa"/>
            <w:vAlign w:val="bottom"/>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r>
      <w:tr>
        <w:trPr>
          <w:trHeight w:val="221"/>
        </w:trPr>
        <w:tc>
          <w:tcPr>
            <w:tcW w:w="25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r>
      <w:tr>
        <w:trPr>
          <w:trHeight w:val="227"/>
        </w:trPr>
        <w:tc>
          <w:tcPr>
            <w:tcW w:w="25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904.6</w:t>
            </w:r>
          </w:p>
        </w:tc>
      </w:tr>
      <w:tr>
        <w:trPr>
          <w:trHeight w:val="227"/>
        </w:trPr>
        <w:tc>
          <w:tcPr>
            <w:tcW w:w="25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27"/>
        </w:trPr>
        <w:tc>
          <w:tcPr>
            <w:tcW w:w="2520" w:type="dxa"/>
            <w:vAlign w:val="bottom"/>
          </w:tcPr>
          <w:p>
            <w:pPr>
              <w:spacing w:after="0"/>
              <w:rPr>
                <w:sz w:val="19"/>
                <w:szCs w:val="19"/>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costs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w:t>
            </w:r>
          </w:p>
        </w:tc>
      </w:tr>
      <w:tr>
        <w:trPr>
          <w:trHeight w:val="245"/>
        </w:trPr>
        <w:tc>
          <w:tcPr>
            <w:tcW w:w="2520" w:type="dxa"/>
            <w:vAlign w:val="bottom"/>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r>
      <w:tr>
        <w:trPr>
          <w:trHeight w:val="20"/>
        </w:trPr>
        <w:tc>
          <w:tcPr>
            <w:tcW w:w="25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and six months ended June 30, 2021, Cost of goods sold included inventory write-offs and reserves totaling $139.9 million and $149.3 million, respectively. For the three and six months ended June 30, 2020, such amounts were not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Facility</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described in Note 10, we purchased shares of our Common Stock from Sanofi in connection with Sanofi's secondary offering of our Common Stock held by Sanofi with a combination of cash on hand, proceeds from the sale of marketable securities, and proceeds from loans under a $1.5 billion senior unsecured bridge loan facility (the "Bridge Facility") which was entered into in May 2020. The loans under the Bridge Facility bore interest at a variable interest rate based on either the London Interbank Offered Rate or the alternate base rate, plus an applicable margin that varied with our debt rating and total leverage ratio. As of June 30, 2020, $1.5 billion remained outstanding under the Bridge Facility, and the Bridge Facility was repaid in full during the third quarter of 2020 following the closing of the issuance and sale of the Company's senior notes (as described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August 2020, we issued and sold $1.250 billion aggregate principal amount of senior unsecured notes due 2030 and $750 million aggregate principal amount of senior unsecured notes due 2050. Long-term debt in connection with our senior unsecured notes (collectively, the "Notes"), net of underwriting discounts and offering expenses, consists of the following:</w:t>
      </w:r>
    </w:p>
    <w:p>
      <w:pPr>
        <w:spacing w:after="0" w:line="156" w:lineRule="exact"/>
        <w:rPr>
          <w:sz w:val="20"/>
          <w:szCs w:val="20"/>
          <w:color w:val="auto"/>
        </w:rPr>
      </w:pPr>
    </w:p>
    <w:tbl>
      <w:tblPr>
        <w:tblLayout w:type="fixed"/>
        <w:tblInd w:w="1760" w:type="dxa"/>
        <w:tblCellMar>
          <w:top w:w="0" w:type="dxa"/>
          <w:left w:w="0" w:type="dxa"/>
          <w:bottom w:w="0" w:type="dxa"/>
          <w:right w:w="0" w:type="dxa"/>
        </w:tblCellMar>
      </w:tblPr>
      <w:tr>
        <w:trPr>
          <w:trHeight w:val="227"/>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w w:val="90"/>
              </w:rPr>
              <w:t>December 31,</w:t>
            </w:r>
          </w:p>
        </w:tc>
      </w:tr>
      <w:tr>
        <w:trPr>
          <w:trHeight w:val="231"/>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2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1.750% Senior Notes due September 2030</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w:t>
            </w:r>
          </w:p>
        </w:tc>
      </w:tr>
      <w:tr>
        <w:trPr>
          <w:trHeight w:val="22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2.800% Senior Notes due September 2050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w:t>
            </w:r>
          </w:p>
        </w:tc>
      </w:tr>
      <w:tr>
        <w:trPr>
          <w:trHeight w:val="245"/>
        </w:trPr>
        <w:tc>
          <w:tcPr>
            <w:tcW w:w="4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related to the Notes for the three and six months ended June 30, 2021 was $11.1 million and $22.2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subject to U.S. federal, state, and foreign income taxes. The Company's effective tax rate was 17.4% and 2.4% for the three months ended June 30, 2021 and 2020, respectively, and 15.8% and 4.1% for the six months ended June 30, 2021 and 2020, respectively. The Company's effective tax rate for the three and six months ended June 30, 2021 was positively impacted, compared to the U.S. federal statutory rate, primarily by income earned in foreign jurisdictions with tax rates lower than the U.S. federal statutory rate and federal tax credits for research activities. In addition, the effective tax rate for the six months ended June 30, 2021 was positively impacted by the reversal of liabilities related to uncertain tax positions. During the six months ended June 30, 2021, we reduced the amount of liabilities for uncertain tax positions related to the Company’s federal income tax returns for 2015 and 2016, and these audits are effectively settled. The Company's federal income tax returns for 2017 and 2018 are currently under audit by the Internal Revenue Service ("IRS"). The Company's effective tax rate for the three and six months ended June 30, 2020 was positively impacted, compared to the U.S. federal statutory rate, primarily by stock-based compensation, and, to a lesser extent, income earned in foreign jurisdictions with tax rates lower than the U.S. federal statutory rate and federal tax credits for research activities.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permitted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As of December 31, 2020, the Company had repurchased the entire $1.0 billion it was authorized to repurchase under the program.</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2021, our board of directors authorized a new share repurchase program to repurchase up to $1.5 billion of our Common Stock. The share repurchase program was approved under terms substantially similar to the November 2019 share repurchase program described above.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June 30, 2021, $887.9 million remained available for share repurchases under the program.</w:t>
      </w:r>
    </w:p>
    <w:p>
      <w:pPr>
        <w:spacing w:after="0" w:line="11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table below summarizes the shares of our Common Stock we repurchased under the programs during the three and six months ended June 30, 2021 and 2020 and the cost of the shares received, which were recorded as Treasury Stock.</w:t>
      </w:r>
    </w:p>
    <w:p>
      <w:pPr>
        <w:spacing w:after="0" w:line="116"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center"/>
              <w:ind w:right="191"/>
              <w:spacing w:after="0"/>
              <w:rPr>
                <w:sz w:val="20"/>
                <w:szCs w:val="20"/>
                <w:color w:val="auto"/>
              </w:rPr>
            </w:pPr>
            <w:r>
              <w:rPr>
                <w:rFonts w:ascii="Arial" w:cs="Arial" w:eastAsia="Arial" w:hAnsi="Arial"/>
                <w:sz w:val="18"/>
                <w:szCs w:val="18"/>
                <w:b w:val="1"/>
                <w:bCs w:val="1"/>
                <w:color w:val="auto"/>
                <w:w w:val="89"/>
              </w:rPr>
              <w:t>Six Months Ended</w:t>
            </w:r>
          </w:p>
        </w:tc>
      </w:tr>
      <w:tr>
        <w:trPr>
          <w:trHeight w:val="227"/>
        </w:trPr>
        <w:tc>
          <w:tcPr>
            <w:tcW w:w="3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18"/>
                <w:szCs w:val="18"/>
                <w:b w:val="1"/>
                <w:bCs w:val="1"/>
                <w:color w:val="auto"/>
                <w:w w:val="85"/>
              </w:rPr>
              <w:t>June 30,</w:t>
            </w: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19"/>
                <w:szCs w:val="19"/>
                <w:color w:val="auto"/>
              </w:rPr>
            </w:pPr>
          </w:p>
        </w:tc>
      </w:tr>
      <w:tr>
        <w:trPr>
          <w:trHeight w:val="22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2020</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6"/>
        </w:trPr>
        <w:tc>
          <w:tcPr>
            <w:tcW w:w="3820" w:type="dxa"/>
            <w:vAlign w:val="bottom"/>
          </w:tcPr>
          <w:p>
            <w:pPr>
              <w:ind w:left="20"/>
              <w:spacing w:after="0"/>
              <w:rPr>
                <w:sz w:val="20"/>
                <w:szCs w:val="20"/>
                <w:color w:val="auto"/>
              </w:rPr>
            </w:pPr>
            <w:r>
              <w:rPr>
                <w:rFonts w:ascii="Arial" w:cs="Arial" w:eastAsia="Arial" w:hAnsi="Arial"/>
                <w:sz w:val="18"/>
                <w:szCs w:val="18"/>
                <w:color w:val="auto"/>
              </w:rPr>
              <w:t>Total cost of shares received</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612.1</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272.8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15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2018, the Company and Sanofi entered into a letter agreement (the "Letter Agreement") in connection with, among other matters, the allocation of additional funds to certain activities relating to dupilumab and itepekimab (collectively, the "Dupilumab/Itepekimab Eligible Investments"). Pursuant to the Letter Agreement, we agreed to allow Sanofi to satisfy its funding obligations with respect to Dupilumab/Itepekimab Eligible Investments, as well as Libtayo development costs, for quarterly periods ending on September 30, 2020 by selling our Common Stock owned by Sanofi. During the three and six months ended June 30, 2020, Sanofi elected to sell, and we elected to purchase (by issuing a credit towards the amount owed by Sanofi), 34,050 and 77,677 shares of our Common Stock to satisfy Sanofi's funding obligation related to Libtayo development costs, respectively, and we recorded the cost of the shares received, or $20.3 million and $41.7 million, respectively, as Treasury Stock. During the three and six months ended June 30, 2020, Sanofi elected to sell, and we elected to purchase (in cash), 86,184 and 171,471 shares of our Common Stock in connection with Sanofi's funding obligation for Dupilumab/Itepekimab Eligible Investments, respectively, and recorded the cost of the shares received, or $51.5 million and $93.3 million, respectively, as Treasury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Purchased from Sanofi</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2020, a secondary offering of 13,014,646 shares of our Common Stock (the "Secondary Offering") held by Sanofi was completed. In connection with the Secondary Offering, we also purchased 9,806,805 shares directly from Sanofi for an aggregate purchase amount of $5.0 billion (the "Stock Purchase"). As a result of the Secondary Offering and the Stock Purchase, Sanofi disposed of all of its shares of our Common Stock, other than 400,000 shares that it retained as of the closing of the Secondary Offering and the Stock Purchase (a portion of which Sanofi used for the funding of certain Libtayo development costs and/or Dupilumab/Itepekimab Eligible Investments as described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Statement of Cash Flows</w:t>
      </w:r>
    </w:p>
    <w:p>
      <w:pPr>
        <w:spacing w:after="0" w:line="14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144"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8"/>
                <w:szCs w:val="18"/>
                <w:b w:val="1"/>
                <w:bCs w:val="1"/>
                <w:color w:val="auto"/>
              </w:rPr>
              <w:t>June 30,</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60" w:type="dxa"/>
            <w:vAlign w:val="bottom"/>
            <w:tcBorders>
              <w:bottom w:val="single" w:sz="8" w:color="CCEEFF"/>
            </w:tcBorders>
          </w:tcPr>
          <w:p>
            <w:pPr>
              <w:ind w:left="260"/>
              <w:spacing w:after="0"/>
              <w:rPr>
                <w:sz w:val="20"/>
                <w:szCs w:val="20"/>
                <w:color w:val="auto"/>
              </w:rPr>
            </w:pPr>
            <w:r>
              <w:rPr>
                <w:rFonts w:ascii="Arial" w:cs="Arial" w:eastAsia="Arial" w:hAnsi="Arial"/>
                <w:sz w:val="18"/>
                <w:szCs w:val="18"/>
                <w:i w:val="1"/>
                <w:iCs w:val="1"/>
                <w:color w:val="auto"/>
              </w:rPr>
              <w:t>(In millions)</w:t>
            </w: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1,992.2</w:t>
            </w:r>
          </w:p>
        </w:tc>
        <w:tc>
          <w:tcPr>
            <w:tcW w:w="0" w:type="dxa"/>
            <w:vAlign w:val="bottom"/>
          </w:tcPr>
          <w:p>
            <w:pPr>
              <w:spacing w:after="0"/>
              <w:rPr>
                <w:sz w:val="1"/>
                <w:szCs w:val="1"/>
                <w:color w:val="auto"/>
              </w:rPr>
            </w:pPr>
          </w:p>
        </w:tc>
      </w:tr>
      <w:tr>
        <w:trPr>
          <w:trHeight w:val="22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54"/>
        </w:trPr>
        <w:tc>
          <w:tcPr>
            <w:tcW w:w="53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5"/>
              </w:rPr>
              <w:t>Total cash, cash equivalents, and restricted cash shown in the Condensed</w:t>
            </w:r>
          </w:p>
        </w:tc>
        <w:tc>
          <w:tcPr>
            <w:tcW w:w="62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2,084.7</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2,004.7</w:t>
            </w:r>
          </w:p>
        </w:tc>
        <w:tc>
          <w:tcPr>
            <w:tcW w:w="0" w:type="dxa"/>
            <w:vAlign w:val="bottom"/>
          </w:tcPr>
          <w:p>
            <w:pPr>
              <w:spacing w:after="0"/>
              <w:rPr>
                <w:sz w:val="1"/>
                <w:szCs w:val="1"/>
                <w:color w:val="auto"/>
              </w:rPr>
            </w:pPr>
          </w:p>
        </w:tc>
      </w:tr>
      <w:tr>
        <w:trPr>
          <w:trHeight w:val="220"/>
        </w:trPr>
        <w:tc>
          <w:tcPr>
            <w:tcW w:w="5360" w:type="dxa"/>
            <w:vAlign w:val="bottom"/>
            <w:tcBorders>
              <w:bottom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Consolidated Statement of Cash Flows</w:t>
            </w: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included in accounts payable, accrued expenses, and other liabilities:</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2840" w:type="dxa"/>
            <w:vAlign w:val="bottom"/>
          </w:tcPr>
          <w:p>
            <w:pPr>
              <w:spacing w:after="0"/>
              <w:rPr>
                <w:sz w:val="19"/>
                <w:szCs w:val="19"/>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ind w:left="291"/>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left="391"/>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171"/>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2019</w:t>
            </w:r>
          </w:p>
        </w:tc>
      </w:tr>
      <w:tr>
        <w:trPr>
          <w:trHeight w:val="221"/>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1320" w:type="dxa"/>
            <w:vAlign w:val="bottom"/>
            <w:shd w:val="clear" w:color="auto" w:fill="CCEEFF"/>
          </w:tcPr>
          <w:p>
            <w:pPr>
              <w:jc w:val="right"/>
              <w:ind w:right="113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bl>
    <w:p>
      <w:pPr>
        <w:spacing w:after="0" w:line="11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As described in Note 10, during the three months ended June 30, 2020, we purchased (by issuing a credit towards the amount owed by Sanofi) shares of our Common Stock from Sanofi to satisfy Sanofi's funding obligation related to Libtayo development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June 30, 2021 and December 31, 2020, the Company's accruals for loss contingencies were not material. If the Company were unable to prevail in any such proceedings, its consolidated financial position, results of operations, and future cash flows may be materially impacted.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for a description of the Company's and Sanofi's arrangement regarding the costs resulting from or associated with such actions.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United States, Amgen has asserted claims of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As described in greater detail under "Second Jury Trial and Appeal" below, on February 11, 2021, the Federal Circuit (as defined below) affirmed the lower court's decision that certain of Amgen's asserted patent claims are invalid based on lack of enablement.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First Jury Trial and Appeal. </w:t>
      </w:r>
      <w:r>
        <w:rPr>
          <w:rFonts w:ascii="Arial" w:cs="Arial" w:eastAsia="Arial" w:hAnsi="Arial"/>
          <w:sz w:val="16"/>
          <w:szCs w:val="16"/>
          <w:color w:val="auto"/>
        </w:rPr>
        <w:t>The first jury trial in this litigation (the "First Trial") was held in the United States District Court for the District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Second Jury Trial and Appeal. </w:t>
      </w:r>
      <w:r>
        <w:rPr>
          <w:rFonts w:ascii="Arial" w:cs="Arial" w:eastAsia="Arial" w:hAnsi="Arial"/>
          <w:sz w:val="16"/>
          <w:szCs w:val="16"/>
          <w:color w:val="auto"/>
        </w:rPr>
        <w:t>On January 3, 2019, the District Court held oral argument in the remanded proceedings on the Company and the Sanofi</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 An oral hearing before the Federal Circuit was held on December 9, 2020. On February 11, 2021, the Federal Circuit affirmed the District Court's decision that certain of Amgen's asserted patent claims are invalid based on lack of enablement. On April 14, 2021, Amgen filed a petition for a rehearing en banc, which was denied on June 21, 2021.</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Injunctive Relief Proceedings. </w:t>
      </w:r>
      <w:r>
        <w:rPr>
          <w:rFonts w:ascii="Arial" w:cs="Arial" w:eastAsia="Arial" w:hAnsi="Arial"/>
          <w:sz w:val="18"/>
          <w:szCs w:val="18"/>
          <w:color w:val="auto"/>
        </w:rPr>
        <w:t>On March 18, 2019, Amgen filed a renewed motion for a permanent injunction to prohibit the Company and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Amgen has asserted European Patent No. 2,215,124 (the "'124 Patent"), which pertains to PCSK9 monoclonal antibodies, in the countries in Europe discussed below. As described in greater detail under "EPO Proceedings" below, in October 2020 the '124 Patent claims directed to compositions of matter and medical use were ruled invalid by the Technical Board of Appeal (the "TBA") of the European Patent Office (the "EPO"). This decision has impacted or will impact each of the infringement proceedings based on the '124 Patent discussed below.</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EPO Proceedings. </w:t>
      </w:r>
      <w:r>
        <w:rPr>
          <w:rFonts w:ascii="Arial" w:cs="Arial" w:eastAsia="Arial" w:hAnsi="Arial"/>
          <w:sz w:val="18"/>
          <w:szCs w:val="18"/>
          <w:color w:val="auto"/>
        </w:rPr>
        <w:t>The '124 Patent was subject to opposition proceedings in the EPO seeking to invalidate certain of its claims, which were initiated by</w:t>
      </w:r>
      <w:r>
        <w:rPr>
          <w:rFonts w:ascii="Arial" w:cs="Arial" w:eastAsia="Arial" w:hAnsi="Arial"/>
          <w:sz w:val="18"/>
          <w:szCs w:val="18"/>
          <w:i w:val="1"/>
          <w:iCs w:val="1"/>
          <w:color w:val="auto"/>
        </w:rPr>
        <w:t xml:space="preserve"> </w:t>
      </w:r>
      <w:r>
        <w:rPr>
          <w:rFonts w:ascii="Arial" w:cs="Arial" w:eastAsia="Arial" w:hAnsi="Arial"/>
          <w:sz w:val="18"/>
          <w:szCs w:val="18"/>
          <w:color w:val="auto"/>
        </w:rPr>
        <w:t>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TBA on November 30, 2018. An oral hearing before the TBA was held on October 28–29, 2020, at which the TBA ruled that the '124 Patent claims directed to compositions of matter and medical use relevant to Praluent were invalid based on a lack of inventive step.</w:t>
      </w:r>
    </w:p>
    <w:p>
      <w:pPr>
        <w:spacing w:after="0" w:line="13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United Kingdom. </w:t>
      </w:r>
      <w:r>
        <w:rPr>
          <w:rFonts w:ascii="Arial" w:cs="Arial" w:eastAsia="Arial" w:hAnsi="Arial"/>
          <w:sz w:val="16"/>
          <w:szCs w:val="16"/>
          <w:color w:val="auto"/>
        </w:rPr>
        <w:t>On July 25, 2016, Amgen filed a lawsuit against Regeneron, Sanofi-Aventis Groupe S.A., Sanofi-Synthelabo Limited, Aventis Pharma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Sanofi Winthrop Industrie S.A., and Sanofi-Aventis Deutschland GmbH in the English High Court of Justice, Chancery Division, Patents Court, in London, seeking a declaration of infringement of the '124 Patent by Praluent. The lawsuit also seeks a permanent injunction, damages, an accounting of profits, and costs and interest. On February 8, 2017, the court temporarily stayed this litigation on terms mutually agreed by the parties. On October 22, 2020, the court lifted the stay upon application by the Company and the Sanofi defendants, and the case will proceed in due course.</w:t>
      </w:r>
    </w:p>
    <w:p>
      <w:pPr>
        <w:spacing w:after="0" w:line="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 xml:space="preserve">Germany. </w:t>
      </w:r>
      <w:r>
        <w:rPr>
          <w:rFonts w:ascii="Arial" w:cs="Arial" w:eastAsia="Arial" w:hAnsi="Arial"/>
          <w:sz w:val="18"/>
          <w:szCs w:val="18"/>
          <w:color w:val="auto"/>
        </w:rPr>
        <w:t>On July 25, 2016, Amgen filed a lawsuit for infringement of the '124 Patent against Regeneron, Sanofi-Aventis Groupe S.A., Sanofi Winthrop</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 S.A., and Sanofi-Aventis Deutschland GmbH in the Regional Court of Düsseldorf,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above). Following Amgen's request to reopen the proceedings in light of the issuance of the Preliminary Opinion,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 "July 11 Decision"). Amgen subsequently enforced the injunction and, as a result, commercialization of Praluent in Germany was discontinued. On July 12, 2019, the Company and Sanofi appealed the July 11 Decision to the Higher Regional Court of Düsseldorf (the "Higher Regional Court"). On August 5, 2019 and October 31, 2019, the Higher Regional Court denied the Company and Sanofi's requests for a stay of preliminary enforcement of the July 11 Decision pending the appeal on the merits. On November 3, 2020, Amgen filed a motion withdrawing this lawsuit without prejudice. An oral hearing on the merits of the appeal to the Higher Regional Court was held on November 5, 2020, at which the Higher Regional Court overturned the July 11 Decision.</w:t>
      </w:r>
    </w:p>
    <w:p>
      <w:pPr>
        <w:spacing w:after="0" w:line="7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 xml:space="preserve">France. </w:t>
      </w:r>
      <w:r>
        <w:rPr>
          <w:rFonts w:ascii="Arial" w:cs="Arial" w:eastAsia="Arial" w:hAnsi="Arial"/>
          <w:sz w:val="17"/>
          <w:szCs w:val="17"/>
          <w:color w:val="auto"/>
        </w:rPr>
        <w:t>On September 26, 2016, Amgen filed a lawsuit for infringement of the '124 Patent in the Tribunal de grande instance in Paris, France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On June 22, 2021, the lawsuit was dismissed.</w:t>
      </w:r>
    </w:p>
    <w:p>
      <w:pPr>
        <w:spacing w:after="0" w:line="126"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In December 2019, Amgen also filed lawsuits in the Netherlands, Italy, and Spain for infringement of the relevant designation of the '124 Patent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such jurisdiction. The Company was not named as a defendant in any of these actions. Each of these lawsuits was dismissed in February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previously reported, on March 31, 2020, Amgen filed a lawsuit in the Tokyo District Court against Sanofi K.K. seeking damages incurred by Amgen as a result of the earlier finding of infringement of Amgen's Japanese Patent Nos. 5,906,333 and 5,705,288 by the Tokyo District Court Civil Division. The Company has not been named as a defendant in this damages 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On March 23, 2017, the Company, Sanofi-Aventis U.S. LLC, and Genzyme Corporation initiated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 In April 2019, the parties filed notices of appeal with the Federal Circuit appealing the PTAB's respective adverse final written decisions on the Additional IPR Petitions, and oral argument was held on August 5, 2020. On October 13, 2020, the Federal Circuit affirmed the PTAB's decision on the Additional IPR Petition that invalidated all 17 claims of the '487 Patent as obvious. On March 11, 2021, Immunex filed a petition for writ of certiorari with the United States Supreme Court, which was denied on June 21, 2021. The '487 Patent expired in May 2020 following Immunex's filing of a terminal disclaimer with the USPTO.</w:t>
      </w:r>
    </w:p>
    <w:p>
      <w:pPr>
        <w:spacing w:after="0" w:line="9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 On August 3, 2021, the court granted a motion to dismiss the lawsuit, dismissing all of Immunex's claims with prejudice.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and an oral hearing before the TBA has been scheduled for March 2022.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7"/>
          <w:szCs w:val="17"/>
          <w:i w:val="1"/>
          <w:iCs w:val="1"/>
          <w:color w:val="auto"/>
        </w:rPr>
        <w:t>i.e.</w:t>
      </w:r>
      <w:r>
        <w:rPr>
          <w:rFonts w:ascii="Arial" w:cs="Arial" w:eastAsia="Arial" w:hAnsi="Arial"/>
          <w:sz w:val="17"/>
          <w:szCs w:val="17"/>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and an oral hearing before the TBA has been scheduled for March 2022. The original patent term of the Immunex patents expired in May 2021.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January 7, 2021, Chengdu Kanghong Pharmaceutical Group Co., Ltd. ("Chengdu Kanghong") filed an IPR petition in the USPTO against the Company' s U.S. Patent No. 10,464,992 (the "'992 Patent") and a post-grant review petition against the Company's U.S. Patent No. 10,828,345 (the "'345 Patent") seeking declarations of invalidity of the '992 Patent and '345 Patent. On June 23, 2021, Chengdu Kanghong filed motions to dismiss each of these petitions and terminate the respective proceedings, which were granted by the USPTO on June 25, 2021.</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On February 11, 2020, anonymous parties filed two requests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the Company's U.S. Patent No. 10,406,226 and the '992 Patent, and the USPTO has granted both requests to initiate reexamination proceedings.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On May 5, 2021, Mylan Pharmaceuticals Inc. filed IPR petitions in the USPTO against the Company's U.S. Patent Nos. 9,254,338 (the "'338 Patent") and 9,669,069 (the "'069 Patent") seeking declarations of invalidity of the '338 Patent and the '069 Patent.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EYLEA (aflibercept) Injection Pre-filled Syringe</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June 19, 2020, Novartis Pharma AG, Novartis Pharmaceuticals Corporation, and Novartis Technology LLC (collectively, "Novartis") filed a complaint with the U.S. International Trade Commission (the "ITC") pursuant to Section 337 of the Tariff Act of 1930 requesting that the ITC institute an investigation relating to the importation into the United States and/or sale within the United States after importation of EYLEA pre-filled syringes ("PFS") and/or components thereof which allegedly infringe Novartis’s U.S. Patent No. 9,220,631 (the "'631 Patent"). Novartis also requested a permanent limited exclusion order forbidding entry into the United States of EYLEA PFS or components thereof; a permanent cease-and-desist order from the importation, sale, offer for sale, advertising, packaging, or solicitation of any sale by the Company of EYLEA PFS or components thereof; and a bond should the Company continue to import EYLEA PFS (if found to infringe) during, if applicable, any 60-day Presidential review period (</w:t>
      </w:r>
      <w:r>
        <w:rPr>
          <w:rFonts w:ascii="Arial" w:cs="Arial" w:eastAsia="Arial" w:hAnsi="Arial"/>
          <w:sz w:val="17"/>
          <w:szCs w:val="17"/>
          <w:i w:val="1"/>
          <w:iCs w:val="1"/>
          <w:color w:val="auto"/>
        </w:rPr>
        <w:t>i.e.</w:t>
      </w:r>
      <w:r>
        <w:rPr>
          <w:rFonts w:ascii="Arial" w:cs="Arial" w:eastAsia="Arial" w:hAnsi="Arial"/>
          <w:sz w:val="17"/>
          <w:szCs w:val="17"/>
          <w:color w:val="auto"/>
        </w:rPr>
        <w:t>, the period when the President of the United States (or his designee) can disapprove any ITC decision to issue an exclusion order or cease-and-desist order). The ITC instituted the investigation on July 22, 2020 and a trial was scheduled for April 19–23, 2021. On March 26, 2021, the staff attorney appointed by the ITC's Office of Unfair Import Investigations ("OUII")—an independent government party to the case representing the public interest—determined that the '631 Patent is invalid on several grounds. On April 8, 2021, Novartis moved to terminate the ITC investigation in its entirety based on its withdrawal of the complaint; and, on May 3, 2021, the ITC terminated the investigation.</w:t>
      </w:r>
    </w:p>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19, 2020, Novartis also filed a patent infringement lawsuit in the U.S. District Court for the Northern District of New York asserting claims of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July 30, 2020, the court granted the Company's motion to stay these proceedings until a determination in the ITC proceedings discussed above, including any appeals therefrom, becomes final. On April 8, 2021, Novartis requested that the stay of this lawsuit be lifted. On June 11, 2021, the court lifted the stay; and, on July 11, 2021, the Company filed a motion to dismiss the claim of willful infringement.</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16, 2020, the Company initiated two IPR petitions in the USPTO seeking a declaration of invalidity of the '631 Patent on two separate grounds. On January 15, 2021, the USPTO declined to institute an IPR proceeding on procedural grounds in light of the pending ITC investigation discussed above; the other IPR petition has been withdrawn. Following Novartis's motion to terminate the ITC investigation discussed above, on April 16, 2021 the Company filed a new IPR petition seeking a declaration of invalidity of the '631 Patent based on the same grounds that were the basis for the OUII staff attorney's determination discussed above.</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Related to "Most Favored Nation" Interim Final Rule</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11, 2020, the Company filed a lawsuit in the United States District Court for the Southern District of New York against the U.S. Department of Health and Human Services, the Secretary of HHS, the Centers for Medicare &amp; Medicaid Services ("CMS"), and the Administrator of CMS seeking declaratory and injunctive relief related to the interim final rule with comment period entitled "Most Favored Nation (MFN) Model" issued on November 20, 2020 by HHS, acting through CMS. On the same day, the Company filed a motion for a preliminary injunction and temporary restraining order, seeking to prevent implementation of the MFN Rule. On December 22, 2020, the court heard oral argument on the Company's motion for a preliminary injunction and temporary restraining order. On December 31, 2020, the court granted the Company's motion and issued a preliminary injunction. On February 2, 2021, the government stated to the court that the Solicitor General had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determined not to appeal the preliminary injunction. On February 10, 2021, the court entered a 90-day stay of the litigation. On May 11, 2021, the court entered an additional 90-day stay of the litigation.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fasinumab</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21, 2020, the Company and Teva Pharmaceutical Industries Limited ("Teva") filed a lawsuit against Rinat Neurosciences Corp. ("Rinat"), a wholly owned subsidiary of Pfizer Inc., in the English High Court of Justice in London, seeking invalidation and revocation of Rinat's European Patent No. 2,270,048 (the "'048 Patent"), European Patent No. 1,871,416 (the "'416 Patent"), and European Patent No. 2,305,711 (the "'711 Patent"), each of which pertains to the use of NGF monoclonal antibodies to treat certain symptoms in patients suffering from osteoarthritis. On July 21, 2020, Rinat filed its defense and counterclaim seeking a declaration of infringement of the '048 Patent by fasinumab. The counterclaim also seeks a permanent injunction, damages, an accounting of profits, and costs and interest. On December 15, 2020, Rinat filed an amended defense and counterclaim seeking a declaration of infringement of the '711 Patent by fasinumab. On May 5, 2021, the court stayed this litigation on terms mutually agreed by the parties.</w:t>
      </w:r>
    </w:p>
    <w:p>
      <w:pPr>
        <w:spacing w:after="0" w:line="1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'048 Patent is subject to opposition proceedings in the EPO, which were initiated by the Company on August 10, 2016 and two other opponents on August 11, 2016. On January 3, 2018, the Opposition Division of the EPO issued a preliminary, non-binding opinion regarding the validity of the '048 Patent, indicating that it considered the granted patent to be invalid. An oral hearing on the oppositions against the '048 Patent was held on November 29–30, 2018, at which the Opposition Division upheld the validity of the '048 Patent's claims in amended form. The Company filed a notice of appeal to the TBA of the EPO on March 7, 2019. On October 21, 2020, Teva filed a notice of intervention with the TBA to take part in the appeal proceedings as an intervener. An oral hearing before the TBA has been scheduled for April 5–6, 2022.</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'711 Patent is also subject to opposition proceedings in the EPO, which were initiated by the Company on May 1, 2018. On January 31, 2019, the Opposition Division of the EPO issued a preliminary, non-binding opinion regarding the validity of the '711 Patent, indicating that it considered the granted patent to be invalid. An oral hearing on the opposition against the '711 Patent was held on December 3, 2019, at which the Opposition Division upheld the validity of the '711 Patent's claims in amended form. The Company filed a notice of appeal to the TBA on December 20, 2019. On January 29, 2021, Teva filed a notice of intervention with the TBA to take part in the appeal proceedings as an intervener. An oral hearing before the TBA was held on July 29, 2021, at which the '711 Patent was revoked in its entirety.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REGEN-COV (casirivimab and imdevimab)</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On October 5, 2020, Allele Biotechnology and Pharmaceuticals, Inc. ("Allele") filed a lawsuit against the Company in the United States District Court for the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Matters</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Arial" w:cs="Arial" w:eastAsia="Arial" w:hAnsi="Arial"/>
          <w:sz w:val="21"/>
          <w:szCs w:val="21"/>
          <w:color w:val="auto"/>
          <w:vertAlign w:val="superscript"/>
        </w:rPr>
        <w:t>®</w:t>
      </w:r>
      <w:r>
        <w:rPr>
          <w:rFonts w:ascii="Arial" w:cs="Arial" w:eastAsia="Arial" w:hAnsi="Arial"/>
          <w:sz w:val="16"/>
          <w:szCs w:val="16"/>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filed against the Company, Regeneron Healthcare Solutions, Inc., and Sanofi-Aventis U.S. LLC by two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plaintiffs (known as relators) purportedly on behalf the United States and various states (the "State Plaintiffs"), asserting causes of action under the federal False Claims Act and state law. Also on June 3, 2021, the United States and the State Plaintiffs notified the court of their decision to decline to intervene in the case.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CMS. The CID covers the period from January 2011 through June 2021. The Company is cooperating with this investigation.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UnitedHealthcare</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17, 2020, UnitedHealthcare Insurance Company and United Healthcare Services, Inc. (collectively, "UHC") filed a lawsuit against the Company in the United States District Court for the Southern District of New York alleging UHC has been damaged by the conduct alleged in the civil complaint filed by the U.S. Attorney's Office for the District of Massachusetts discussed under "Department of Justice Matters" above. UHC alleges causes of action under state law and the federal Racketeer Influenced and Corrupt Organizations Act (the "RICO Act") and seeks monetary damages and equitable relief. On March 1, 2021, the Company filed a motion to dismiss the complaint in its entirety. On March 25, 2021, UHC filed an amended complaint; and, on April 22, 2021, the Company filed a motion to dismiss this amended complaint in its entirety.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Initiated by Humana</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July 22, 2021, Humana Inc. ("Humana") filed a lawsuit against the Company in the United States District Court for the Southern District of New York alleging Humana has been damaged by the conduct alleged in the civil complaint filed by the U.S. Attorney's Office for the District of Massachusetts discussed under "Department of Justice Matters" above. Humana alleges causes of action under state law and the RICO Act and seeks monetary damages and equitable relief.</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Demand</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or about September 30, 2020, the Company's board of directors received a demand letter from a purported shareholder of the Company. The demand alleges that Regeneron and its shareholders have been damaged by the conduct alleged in the civil complaint filed by the U.S. Attorney's Office for the District of Massachusetts discussed under "Department of Justice Matters" above. The demand letter requests that the Company's board of directors investigate alleged breaches of fiduciary duty by its officers and directors and other alleged violations of law and corporate governance practices and procedures; bring legal action against the persons responsible for causing the alleged damages; and implement and maintain an effective system of internal controls, compliance mechanisms, and corporate governance practices and procedures. The Company's board of directors, working with outside counsel, investigated and evaluated the allegations in the demand letter and has concluded that pursuing the claims alleged in the demand would not be in the Company's best interests at this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Shareholder Derivative Complaint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product candidates being developed by Regeneron and/or its collaborators (collectively, "Regeneron's Product Candidates") and research and clinical programs now underway or planned, including without limitation EYLEA</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(dupilumab) Injection, Libtayo</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(cemiplimab) Injection, Praluent</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1"/>
          <w:szCs w:val="21"/>
          <w:color w:val="auto"/>
          <w:vertAlign w:val="superscript"/>
        </w:rPr>
        <w:t>®</w:t>
      </w:r>
      <w:r>
        <w:rPr>
          <w:rFonts w:ascii="Arial" w:cs="Arial" w:eastAsia="Arial" w:hAnsi="Arial"/>
          <w:sz w:val="16"/>
          <w:szCs w:val="16"/>
          <w:i w:val="1"/>
          <w:iCs w:val="1"/>
          <w:color w:val="auto"/>
        </w:rPr>
        <w:t xml:space="preserve"> (sarilumab) Injection, Evkeeza</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(evinacumab), Inmazeb</w:t>
      </w:r>
      <w:r>
        <w:rPr>
          <w:rFonts w:ascii="Arial" w:cs="Arial" w:eastAsia="Arial" w:hAnsi="Arial"/>
          <w:sz w:val="9"/>
          <w:szCs w:val="9"/>
          <w:color w:val="auto"/>
        </w:rPr>
        <w:t>TM</w:t>
      </w:r>
      <w:r>
        <w:rPr>
          <w:rFonts w:ascii="Arial" w:cs="Arial" w:eastAsia="Arial" w:hAnsi="Arial"/>
          <w:sz w:val="16"/>
          <w:szCs w:val="16"/>
          <w:i w:val="1"/>
          <w:iCs w:val="1"/>
          <w:color w:val="auto"/>
        </w:rPr>
        <w:t xml:space="preserve"> (atoltivimab, maftivimab, and odesivimab-ebgn), REGEN-COV™ (casirivimab and imdevimab), fasinumab, garetosmab, pozelimab, odronextamab, itepekimab,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our anticipated development milestones referenced in this report;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including without limitation those listed above;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as well as Regeneron's agreement with Roche relating to the casirivimab and imdevimab antibody cocktail (known as REGEN-COV in the United States and Ronapreve</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in other countries), to be cancelled or terminated; and risks associated with intellectual property of other parties and pending or future litigation relating thereto (including without limitation the patent litigation and other related proceedings relating to EYLEA, Dupixent, Praluent, and REGEN-COV described further in Note 12 to our Condensed Consolidated Financial Statements included in this report), other litigation and other proceedings and government investigations relating to the Company and/or its operations (including without limitation those described in Note 12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hematologic conditions, infectious diseases, and rare diseases.</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0" w:type="dxa"/>
            <w:vAlign w:val="bottom"/>
            <w:gridSpan w:val="2"/>
          </w:tcPr>
          <w:p>
            <w:pPr>
              <w:spacing w:after="0"/>
              <w:rPr>
                <w:sz w:val="20"/>
                <w:szCs w:val="20"/>
                <w:color w:val="auto"/>
              </w:rPr>
            </w:pPr>
            <w:r>
              <w:rPr>
                <w:rFonts w:ascii="Arial" w:cs="Arial" w:eastAsia="Arial" w:hAnsi="Arial"/>
                <w:sz w:val="18"/>
                <w:szCs w:val="18"/>
                <w:color w:val="auto"/>
                <w:w w:val="98"/>
              </w:rPr>
              <w:t>Selected financial information is summarized as follows:</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16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220" w:type="dxa"/>
            <w:vAlign w:val="bottom"/>
            <w:gridSpan w:val="4"/>
          </w:tcPr>
          <w:p>
            <w:pPr>
              <w:jc w:val="right"/>
              <w:ind w:right="45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2760" w:type="dxa"/>
            <w:vAlign w:val="bottom"/>
          </w:tcPr>
          <w:p>
            <w:pPr>
              <w:ind w:left="260"/>
              <w:spacing w:after="0" w:line="154" w:lineRule="exact"/>
              <w:rPr>
                <w:sz w:val="20"/>
                <w:szCs w:val="20"/>
                <w:color w:val="auto"/>
              </w:rPr>
            </w:pPr>
            <w:r>
              <w:rPr>
                <w:rFonts w:ascii="Arial" w:cs="Arial" w:eastAsia="Arial" w:hAnsi="Arial"/>
                <w:sz w:val="17"/>
                <w:szCs w:val="17"/>
                <w:i w:val="1"/>
                <w:iCs w:val="1"/>
                <w:color w:val="auto"/>
              </w:rPr>
              <w:t>(In millions, except per share</w:t>
            </w:r>
          </w:p>
        </w:tc>
        <w:tc>
          <w:tcPr>
            <w:tcW w:w="460" w:type="dxa"/>
            <w:vAlign w:val="bottom"/>
          </w:tcPr>
          <w:p>
            <w:pPr>
              <w:spacing w:after="0"/>
              <w:rPr>
                <w:sz w:val="13"/>
                <w:szCs w:val="13"/>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data)</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2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3,780.2</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7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4,214.1</w:t>
            </w:r>
          </w:p>
        </w:tc>
        <w:tc>
          <w:tcPr>
            <w:tcW w:w="120" w:type="dxa"/>
            <w:vAlign w:val="bottom"/>
          </w:tcPr>
          <w:p>
            <w:pPr>
              <w:spacing w:after="0"/>
              <w:rPr>
                <w:sz w:val="19"/>
                <w:szCs w:val="19"/>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per share - diluted</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For purposes of this report, references to our products encompass products marketed or otherwise commercialized by us and/or our collaborators and references to our product candidates encompass product candidates in development by us and/or our collaborators (in the case of collaborated products or product candidates under the terms of the applicable collaboration agreements), unless otherwise stated or required by the context.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Products that have received marketing approval are summarized in the table below.</w:t>
      </w:r>
    </w:p>
    <w:p>
      <w:pPr>
        <w:spacing w:after="0" w:line="309"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r>
      <w:tr>
        <w:trPr>
          <w:trHeight w:val="234"/>
        </w:trPr>
        <w:tc>
          <w:tcPr>
            <w:tcW w:w="312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Product</w:t>
            </w:r>
          </w:p>
        </w:tc>
        <w:tc>
          <w:tcPr>
            <w:tcW w:w="18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Disease Area</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b w:val="1"/>
                <w:bCs w:val="1"/>
                <w:color w:val="auto"/>
                <w:w w:val="95"/>
              </w:rPr>
              <w:t>EU</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b w:val="1"/>
                <w:bCs w:val="1"/>
                <w:color w:val="auto"/>
                <w:w w:val="92"/>
                <w:vertAlign w:val="superscript"/>
              </w:rPr>
              <w:t>(4)</w:t>
            </w:r>
          </w:p>
        </w:tc>
      </w:tr>
      <w:tr>
        <w:trPr>
          <w:trHeight w:val="167"/>
        </w:trPr>
        <w:tc>
          <w:tcPr>
            <w:tcW w:w="312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EYLEA (aflibercept) Injection</w:t>
            </w:r>
            <w:r>
              <w:rPr>
                <w:rFonts w:ascii="Arial" w:cs="Arial" w:eastAsia="Arial" w:hAnsi="Arial"/>
                <w:sz w:val="19"/>
                <w:szCs w:val="19"/>
                <w:color w:val="auto"/>
                <w:vertAlign w:val="superscript"/>
              </w:rPr>
              <w:t>(1)</w:t>
            </w:r>
          </w:p>
        </w:tc>
        <w:tc>
          <w:tcPr>
            <w:tcW w:w="180" w:type="dxa"/>
            <w:vAlign w:val="bottom"/>
            <w:shd w:val="clear" w:color="auto" w:fill="CCEEFF"/>
          </w:tcPr>
          <w:p>
            <w:pPr>
              <w:ind w:left="60"/>
              <w:spacing w:after="0" w:line="167" w:lineRule="exact"/>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line="167" w:lineRule="exact"/>
              <w:rPr>
                <w:sz w:val="20"/>
                <w:szCs w:val="20"/>
                <w:color w:val="auto"/>
              </w:rPr>
            </w:pPr>
            <w:r>
              <w:rPr>
                <w:rFonts w:ascii="Arial" w:cs="Arial" w:eastAsia="Arial" w:hAnsi="Arial"/>
                <w:sz w:val="18"/>
                <w:szCs w:val="18"/>
                <w:color w:val="auto"/>
                <w:w w:val="92"/>
              </w:rPr>
              <w:t>Neovascular age-related macular degeneration</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line="167"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231"/>
              <w:spacing w:after="0" w:line="167"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line="167" w:lineRule="exact"/>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line="167" w:lineRule="exact"/>
              <w:rPr>
                <w:sz w:val="20"/>
                <w:szCs w:val="20"/>
                <w:color w:val="auto"/>
              </w:rPr>
            </w:pPr>
            <w:r>
              <w:rPr>
                <w:rFonts w:ascii="Arial" w:cs="Arial" w:eastAsia="Arial" w:hAnsi="Arial"/>
                <w:sz w:val="18"/>
                <w:szCs w:val="18"/>
                <w:color w:val="auto"/>
                <w:w w:val="99"/>
              </w:rPr>
              <w:t>a</w:t>
            </w:r>
          </w:p>
        </w:tc>
      </w:tr>
      <w:tr>
        <w:trPr>
          <w:trHeight w:val="226"/>
        </w:trPr>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("wet AMD")</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6"/>
        </w:trPr>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Diabetic macular edema ("DME")</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174"/>
        </w:trPr>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4" w:lineRule="exact"/>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w w:val="93"/>
              </w:rPr>
              <w:t>Macular edema following retinal vein occlusion</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173"/>
        </w:trPr>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("RVO"), which includes macular edema</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3"/>
        </w:trPr>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following central retinal vein occlusion</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3"/>
        </w:trPr>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w w:val="92"/>
              </w:rPr>
              <w:t>("CRVO") and macular edema following branch</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6"/>
        </w:trPr>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retinal vein occlusion ("BRVO")</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20" w:type="dxa"/>
            <w:vAlign w:val="bottom"/>
            <w:shd w:val="clear" w:color="auto" w:fill="CCEEFF"/>
          </w:tcPr>
          <w:p>
            <w:pPr>
              <w:spacing w:after="0"/>
              <w:rPr>
                <w:sz w:val="15"/>
                <w:szCs w:val="15"/>
                <w:color w:val="auto"/>
              </w:rPr>
            </w:pPr>
          </w:p>
        </w:tc>
        <w:tc>
          <w:tcPr>
            <w:tcW w:w="180" w:type="dxa"/>
            <w:vAlign w:val="bottom"/>
            <w:shd w:val="clear" w:color="auto" w:fill="CCEEFF"/>
          </w:tcPr>
          <w:p>
            <w:pPr>
              <w:ind w:left="60"/>
              <w:spacing w:after="0" w:line="174" w:lineRule="exact"/>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Myopic choroidal neovascularization</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226"/>
        </w:trPr>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("mCNV")</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6"/>
        </w:trPr>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Diabetic retinopathy</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3120" w:type="dxa"/>
            <w:vAlign w:val="bottom"/>
            <w:shd w:val="clear" w:color="auto" w:fill="CCEEFF"/>
          </w:tcPr>
          <w:p>
            <w:pPr>
              <w:spacing w:after="0"/>
              <w:rPr>
                <w:sz w:val="20"/>
                <w:szCs w:val="20"/>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Neovascular glaucoma ("NVG")</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spacing w:after="0"/>
              <w:rPr>
                <w:sz w:val="20"/>
                <w:szCs w:val="20"/>
                <w:color w:val="auto"/>
              </w:rPr>
            </w:pPr>
          </w:p>
        </w:tc>
      </w:tr>
      <w:tr>
        <w:trPr>
          <w:trHeight w:val="226"/>
        </w:trPr>
        <w:tc>
          <w:tcPr>
            <w:tcW w:w="3120" w:type="dxa"/>
            <w:vAlign w:val="bottom"/>
          </w:tcPr>
          <w:p>
            <w:pPr>
              <w:ind w:left="20"/>
              <w:spacing w:after="0" w:line="225"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3"/>
                <w:szCs w:val="23"/>
                <w:color w:val="auto"/>
                <w:vertAlign w:val="superscript"/>
              </w:rPr>
              <w:t>(2)</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3500" w:type="dxa"/>
            <w:vAlign w:val="bottom"/>
          </w:tcPr>
          <w:p>
            <w:pPr>
              <w:spacing w:after="0" w:line="225" w:lineRule="exact"/>
              <w:rPr>
                <w:sz w:val="20"/>
                <w:szCs w:val="20"/>
                <w:color w:val="auto"/>
              </w:rPr>
            </w:pPr>
            <w:r>
              <w:rPr>
                <w:rFonts w:ascii="Arial" w:cs="Arial" w:eastAsia="Arial" w:hAnsi="Arial"/>
                <w:sz w:val="18"/>
                <w:szCs w:val="18"/>
                <w:color w:val="auto"/>
                <w:w w:val="93"/>
              </w:rPr>
              <w:t>Atopic dermatitis (in adults and adolescents)</w:t>
            </w:r>
            <w:r>
              <w:rPr>
                <w:rFonts w:ascii="Arial" w:cs="Arial" w:eastAsia="Arial" w:hAnsi="Arial"/>
                <w:sz w:val="23"/>
                <w:szCs w:val="23"/>
                <w:color w:val="auto"/>
                <w:w w:val="93"/>
                <w:vertAlign w:val="superscript"/>
              </w:rPr>
              <w:t>(5)</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600" w:type="dxa"/>
            <w:vAlign w:val="bottom"/>
          </w:tcPr>
          <w:p>
            <w:pPr>
              <w:jc w:val="center"/>
              <w:ind w:left="231"/>
              <w:spacing w:after="0"/>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174"/>
        </w:trPr>
        <w:tc>
          <w:tcPr>
            <w:tcW w:w="3120" w:type="dxa"/>
            <w:vAlign w:val="bottom"/>
          </w:tcPr>
          <w:p>
            <w:pPr>
              <w:spacing w:after="0"/>
              <w:rPr>
                <w:sz w:val="15"/>
                <w:szCs w:val="15"/>
                <w:color w:val="auto"/>
              </w:rPr>
            </w:pPr>
          </w:p>
        </w:tc>
        <w:tc>
          <w:tcPr>
            <w:tcW w:w="3680" w:type="dxa"/>
            <w:vAlign w:val="bottom"/>
            <w:gridSpan w:val="2"/>
          </w:tcPr>
          <w:p>
            <w:pPr>
              <w:ind w:left="60"/>
              <w:spacing w:after="0" w:line="175" w:lineRule="exact"/>
              <w:rPr>
                <w:sz w:val="20"/>
                <w:szCs w:val="20"/>
                <w:color w:val="auto"/>
              </w:rPr>
            </w:pPr>
            <w:r>
              <w:rPr>
                <w:rFonts w:ascii="Arial" w:cs="Arial" w:eastAsia="Arial" w:hAnsi="Arial"/>
                <w:sz w:val="18"/>
                <w:szCs w:val="18"/>
                <w:color w:val="auto"/>
                <w:w w:val="98"/>
              </w:rPr>
              <w:t>- Atopic dermatitis (in pediatrics 6–11 years of</w:t>
            </w:r>
          </w:p>
        </w:tc>
        <w:tc>
          <w:tcPr>
            <w:tcW w:w="100" w:type="dxa"/>
            <w:vAlign w:val="bottom"/>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600" w:type="dxa"/>
            <w:vAlign w:val="bottom"/>
          </w:tcPr>
          <w:p>
            <w:pPr>
              <w:jc w:val="center"/>
              <w:ind w:left="231"/>
              <w:spacing w:after="0" w:line="175"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18"/>
                <w:szCs w:val="18"/>
                <w:color w:val="auto"/>
                <w:w w:val="99"/>
              </w:rPr>
              <w:t>a</w:t>
            </w:r>
          </w:p>
        </w:tc>
      </w:tr>
      <w:tr>
        <w:trPr>
          <w:trHeight w:val="226"/>
        </w:trPr>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age)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3120" w:type="dxa"/>
            <w:vAlign w:val="bottom"/>
          </w:tcPr>
          <w:p>
            <w:pPr>
              <w:spacing w:after="0"/>
              <w:rPr>
                <w:sz w:val="19"/>
                <w:szCs w:val="19"/>
                <w:color w:val="auto"/>
              </w:rPr>
            </w:pPr>
          </w:p>
        </w:tc>
        <w:tc>
          <w:tcPr>
            <w:tcW w:w="3680" w:type="dxa"/>
            <w:vAlign w:val="bottom"/>
            <w:gridSpan w:val="2"/>
          </w:tcPr>
          <w:p>
            <w:pPr>
              <w:ind w:left="60"/>
              <w:spacing w:after="0"/>
              <w:rPr>
                <w:sz w:val="20"/>
                <w:szCs w:val="20"/>
                <w:color w:val="auto"/>
              </w:rPr>
            </w:pPr>
            <w:r>
              <w:rPr>
                <w:rFonts w:ascii="Arial" w:cs="Arial" w:eastAsia="Arial" w:hAnsi="Arial"/>
                <w:sz w:val="18"/>
                <w:szCs w:val="18"/>
                <w:color w:val="auto"/>
              </w:rPr>
              <w:t>- Asthma (in adults and adolescents)</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9"/>
                <w:szCs w:val="19"/>
                <w:color w:val="auto"/>
              </w:rPr>
            </w:pPr>
          </w:p>
        </w:tc>
        <w:tc>
          <w:tcPr>
            <w:tcW w:w="600" w:type="dxa"/>
            <w:vAlign w:val="bottom"/>
          </w:tcPr>
          <w:p>
            <w:pPr>
              <w:jc w:val="center"/>
              <w:ind w:left="231"/>
              <w:spacing w:after="0"/>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175"/>
        </w:trPr>
        <w:tc>
          <w:tcPr>
            <w:tcW w:w="3120" w:type="dxa"/>
            <w:vAlign w:val="bottom"/>
          </w:tcPr>
          <w:p>
            <w:pPr>
              <w:spacing w:after="0"/>
              <w:rPr>
                <w:sz w:val="15"/>
                <w:szCs w:val="15"/>
                <w:color w:val="auto"/>
              </w:rPr>
            </w:pPr>
          </w:p>
        </w:tc>
        <w:tc>
          <w:tcPr>
            <w:tcW w:w="3680" w:type="dxa"/>
            <w:vAlign w:val="bottom"/>
            <w:gridSpan w:val="2"/>
          </w:tcPr>
          <w:p>
            <w:pPr>
              <w:ind w:left="60"/>
              <w:spacing w:after="0" w:line="175" w:lineRule="exact"/>
              <w:rPr>
                <w:sz w:val="20"/>
                <w:szCs w:val="20"/>
                <w:color w:val="auto"/>
              </w:rPr>
            </w:pPr>
            <w:r>
              <w:rPr>
                <w:rFonts w:ascii="Arial" w:cs="Arial" w:eastAsia="Arial" w:hAnsi="Arial"/>
                <w:sz w:val="18"/>
                <w:szCs w:val="18"/>
                <w:color w:val="auto"/>
              </w:rPr>
              <w:t>- Chronic rhinosinusitis with nasal polyposis</w:t>
            </w:r>
          </w:p>
        </w:tc>
        <w:tc>
          <w:tcPr>
            <w:tcW w:w="100" w:type="dxa"/>
            <w:vAlign w:val="bottom"/>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5"/>
                <w:szCs w:val="15"/>
                <w:color w:val="auto"/>
              </w:rPr>
            </w:pPr>
          </w:p>
        </w:tc>
        <w:tc>
          <w:tcPr>
            <w:tcW w:w="600" w:type="dxa"/>
            <w:vAlign w:val="bottom"/>
          </w:tcPr>
          <w:p>
            <w:pPr>
              <w:jc w:val="center"/>
              <w:ind w:left="231"/>
              <w:spacing w:after="0" w:line="175"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5" w:lineRule="exact"/>
              <w:rPr>
                <w:sz w:val="20"/>
                <w:szCs w:val="20"/>
                <w:color w:val="auto"/>
              </w:rPr>
            </w:pPr>
            <w:r>
              <w:rPr>
                <w:rFonts w:ascii="Arial" w:cs="Arial" w:eastAsia="Arial" w:hAnsi="Arial"/>
                <w:sz w:val="18"/>
                <w:szCs w:val="18"/>
                <w:color w:val="auto"/>
                <w:w w:val="99"/>
              </w:rPr>
              <w:t>a</w:t>
            </w:r>
          </w:p>
        </w:tc>
        <w:tc>
          <w:tcPr>
            <w:tcW w:w="920" w:type="dxa"/>
            <w:vAlign w:val="bottom"/>
          </w:tcPr>
          <w:p>
            <w:pPr>
              <w:jc w:val="center"/>
              <w:spacing w:after="0" w:line="175" w:lineRule="exact"/>
              <w:rPr>
                <w:sz w:val="20"/>
                <w:szCs w:val="20"/>
                <w:color w:val="auto"/>
              </w:rPr>
            </w:pPr>
            <w:r>
              <w:rPr>
                <w:rFonts w:ascii="Arial" w:cs="Arial" w:eastAsia="Arial" w:hAnsi="Arial"/>
                <w:sz w:val="18"/>
                <w:szCs w:val="18"/>
                <w:color w:val="auto"/>
                <w:w w:val="99"/>
              </w:rPr>
              <w:t>a</w:t>
            </w:r>
          </w:p>
        </w:tc>
      </w:tr>
      <w:tr>
        <w:trPr>
          <w:trHeight w:val="226"/>
        </w:trPr>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("CRSwNP")</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Territory</w:t>
            </w:r>
          </w:p>
        </w:tc>
        <w:tc>
          <w:tcPr>
            <w:tcW w:w="920" w:type="dxa"/>
            <w:vAlign w:val="bottom"/>
            <w:tcBorders>
              <w:bottom w:val="single" w:sz="8" w:color="auto"/>
            </w:tcBorders>
          </w:tcPr>
          <w:p>
            <w:pPr>
              <w:spacing w:after="0"/>
              <w:rPr>
                <w:sz w:val="20"/>
                <w:szCs w:val="20"/>
                <w:color w:val="auto"/>
              </w:rPr>
            </w:pPr>
          </w:p>
        </w:tc>
      </w:tr>
      <w:tr>
        <w:trPr>
          <w:trHeight w:val="234"/>
        </w:trPr>
        <w:tc>
          <w:tcPr>
            <w:tcW w:w="31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b w:val="1"/>
                <w:bCs w:val="1"/>
                <w:i w:val="1"/>
                <w:iCs w:val="1"/>
                <w:color w:val="auto"/>
              </w:rPr>
              <w:t>(continued)</w:t>
            </w:r>
          </w:p>
        </w:tc>
        <w:tc>
          <w:tcPr>
            <w:tcW w:w="160" w:type="dxa"/>
            <w:vAlign w:val="bottom"/>
            <w:tcBorders>
              <w:bottom w:val="single" w:sz="8" w:color="CCEEFF"/>
            </w:tcBorders>
          </w:tcPr>
          <w:p>
            <w:pPr>
              <w:spacing w:after="0"/>
              <w:rPr>
                <w:sz w:val="20"/>
                <w:szCs w:val="20"/>
                <w:color w:val="auto"/>
              </w:rPr>
            </w:pPr>
          </w:p>
        </w:tc>
        <w:tc>
          <w:tcPr>
            <w:tcW w:w="35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Disease Area</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b w:val="1"/>
                <w:bCs w:val="1"/>
                <w:color w:val="auto"/>
                <w:w w:val="95"/>
              </w:rPr>
              <w:t>EU</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27"/>
                <w:szCs w:val="27"/>
                <w:b w:val="1"/>
                <w:bCs w:val="1"/>
                <w:color w:val="auto"/>
                <w:vertAlign w:val="subscript"/>
              </w:rPr>
              <w:t>ROW</w:t>
            </w:r>
            <w:r>
              <w:rPr>
                <w:rFonts w:ascii="Arial" w:cs="Arial" w:eastAsia="Arial" w:hAnsi="Arial"/>
                <w:sz w:val="10"/>
                <w:szCs w:val="10"/>
                <w:b w:val="1"/>
                <w:bCs w:val="1"/>
                <w:color w:val="auto"/>
              </w:rPr>
              <w:t>(4)</w:t>
            </w:r>
          </w:p>
        </w:tc>
      </w:tr>
      <w:tr>
        <w:trPr>
          <w:trHeight w:val="167"/>
        </w:trPr>
        <w:tc>
          <w:tcPr>
            <w:tcW w:w="31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Libtayo (cemiplimab) Injection</w:t>
            </w:r>
            <w:r>
              <w:rPr>
                <w:rFonts w:ascii="Arial" w:cs="Arial" w:eastAsia="Arial" w:hAnsi="Arial"/>
                <w:sz w:val="19"/>
                <w:szCs w:val="19"/>
                <w:color w:val="auto"/>
                <w:vertAlign w:val="superscript"/>
              </w:rPr>
              <w:t>(2)</w:t>
            </w:r>
          </w:p>
        </w:tc>
        <w:tc>
          <w:tcPr>
            <w:tcW w:w="1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color w:val="auto"/>
              </w:rPr>
              <w:t>-</w:t>
            </w:r>
          </w:p>
        </w:tc>
        <w:tc>
          <w:tcPr>
            <w:tcW w:w="350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8"/>
              </w:rPr>
              <w:t>Metastatic or locally advanced first-line non-</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40"/>
              <w:spacing w:after="0" w:line="167"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31"/>
              <w:spacing w:after="0" w:line="167"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6"/>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small cell lung cancer ("NSCLC")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Metastatic or locally advanced basal cell</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226"/>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carcinoma ("BCC")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Metastatic or locally advanced cutaneous</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227"/>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squamous cell carcinoma ("CSCC")</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3"/>
        </w:trPr>
        <w:tc>
          <w:tcPr>
            <w:tcW w:w="3140" w:type="dxa"/>
            <w:vAlign w:val="bottom"/>
          </w:tcPr>
          <w:p>
            <w:pPr>
              <w:ind w:left="20"/>
              <w:spacing w:after="0" w:line="174" w:lineRule="exact"/>
              <w:rPr>
                <w:sz w:val="20"/>
                <w:szCs w:val="20"/>
                <w:color w:val="auto"/>
              </w:rPr>
            </w:pPr>
            <w:r>
              <w:rPr>
                <w:rFonts w:ascii="Arial" w:cs="Arial" w:eastAsia="Arial" w:hAnsi="Arial"/>
                <w:sz w:val="16"/>
                <w:szCs w:val="16"/>
                <w:color w:val="auto"/>
              </w:rPr>
              <w:t>Praluent (alirocumab) Injection</w:t>
            </w:r>
            <w:r>
              <w:rPr>
                <w:rFonts w:ascii="Arial" w:cs="Arial" w:eastAsia="Arial" w:hAnsi="Arial"/>
                <w:sz w:val="20"/>
                <w:szCs w:val="20"/>
                <w:color w:val="auto"/>
                <w:vertAlign w:val="superscript"/>
              </w:rPr>
              <w:t>(3)</w:t>
            </w:r>
          </w:p>
        </w:tc>
        <w:tc>
          <w:tcPr>
            <w:tcW w:w="160" w:type="dxa"/>
            <w:vAlign w:val="bottom"/>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LDL-lowering in heterozygous familial</w:t>
            </w:r>
          </w:p>
        </w:tc>
        <w:tc>
          <w:tcPr>
            <w:tcW w:w="1000" w:type="dxa"/>
            <w:vAlign w:val="bottom"/>
            <w:gridSpan w:val="2"/>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1360" w:type="dxa"/>
            <w:vAlign w:val="bottom"/>
            <w:gridSpan w:val="3"/>
          </w:tcPr>
          <w:p>
            <w:pPr>
              <w:jc w:val="center"/>
              <w:ind w:left="344"/>
              <w:spacing w:after="0"/>
              <w:rPr>
                <w:sz w:val="20"/>
                <w:szCs w:val="20"/>
                <w:color w:val="auto"/>
              </w:rPr>
            </w:pPr>
            <w:r>
              <w:rPr>
                <w:rFonts w:ascii="Arial" w:cs="Arial" w:eastAsia="Arial" w:hAnsi="Arial"/>
                <w:sz w:val="12"/>
                <w:szCs w:val="12"/>
                <w:color w:val="auto"/>
                <w:w w:val="95"/>
              </w:rPr>
              <w:t>(7)</w:t>
            </w:r>
          </w:p>
        </w:tc>
        <w:tc>
          <w:tcPr>
            <w:tcW w:w="100" w:type="dxa"/>
            <w:vAlign w:val="bottom"/>
          </w:tcPr>
          <w:p>
            <w:pPr>
              <w:spacing w:after="0"/>
              <w:rPr>
                <w:sz w:val="15"/>
                <w:szCs w:val="15"/>
                <w:color w:val="auto"/>
              </w:rPr>
            </w:pPr>
          </w:p>
        </w:tc>
        <w:tc>
          <w:tcPr>
            <w:tcW w:w="920" w:type="dxa"/>
            <w:vAlign w:val="bottom"/>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173"/>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hypercholesterolemia ("HeFH") or clinical</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atherosclerotic cardiovascular disease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("ASCVD")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4"/>
        </w:trPr>
        <w:tc>
          <w:tcPr>
            <w:tcW w:w="3140" w:type="dxa"/>
            <w:vAlign w:val="bottom"/>
          </w:tcPr>
          <w:p>
            <w:pPr>
              <w:spacing w:after="0"/>
              <w:rPr>
                <w:sz w:val="15"/>
                <w:szCs w:val="15"/>
                <w:color w:val="auto"/>
              </w:rPr>
            </w:pPr>
          </w:p>
        </w:tc>
        <w:tc>
          <w:tcPr>
            <w:tcW w:w="3780" w:type="dxa"/>
            <w:vAlign w:val="bottom"/>
            <w:gridSpan w:val="3"/>
          </w:tcPr>
          <w:p>
            <w:pPr>
              <w:ind w:left="40"/>
              <w:spacing w:after="0" w:line="175" w:lineRule="exact"/>
              <w:rPr>
                <w:sz w:val="20"/>
                <w:szCs w:val="20"/>
                <w:color w:val="auto"/>
              </w:rPr>
            </w:pPr>
            <w:r>
              <w:rPr>
                <w:rFonts w:ascii="Arial" w:cs="Arial" w:eastAsia="Arial" w:hAnsi="Arial"/>
                <w:sz w:val="18"/>
                <w:szCs w:val="18"/>
                <w:color w:val="auto"/>
              </w:rPr>
              <w:t>- Cardiovascular risk reduction in patients with</w:t>
            </w:r>
          </w:p>
        </w:tc>
        <w:tc>
          <w:tcPr>
            <w:tcW w:w="1000" w:type="dxa"/>
            <w:vAlign w:val="bottom"/>
            <w:gridSpan w:val="2"/>
          </w:tcPr>
          <w:p>
            <w:pPr>
              <w:jc w:val="center"/>
              <w:ind w:right="140"/>
              <w:spacing w:after="0" w:line="175"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31"/>
              <w:spacing w:after="0" w:line="175"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18"/>
                <w:szCs w:val="18"/>
                <w:color w:val="auto"/>
                <w:w w:val="99"/>
              </w:rPr>
              <w:t>a</w:t>
            </w:r>
          </w:p>
        </w:tc>
      </w:tr>
      <w:tr>
        <w:trPr>
          <w:trHeight w:val="226"/>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established cardiovascular disease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4"/>
        </w:trPr>
        <w:tc>
          <w:tcPr>
            <w:tcW w:w="3140" w:type="dxa"/>
            <w:vAlign w:val="bottom"/>
          </w:tcPr>
          <w:p>
            <w:pPr>
              <w:spacing w:after="0"/>
              <w:rPr>
                <w:sz w:val="15"/>
                <w:szCs w:val="15"/>
                <w:color w:val="auto"/>
              </w:rPr>
            </w:pPr>
          </w:p>
        </w:tc>
        <w:tc>
          <w:tcPr>
            <w:tcW w:w="3780" w:type="dxa"/>
            <w:vAlign w:val="bottom"/>
            <w:gridSpan w:val="3"/>
          </w:tcPr>
          <w:p>
            <w:pPr>
              <w:ind w:left="40"/>
              <w:spacing w:after="0" w:line="175" w:lineRule="exact"/>
              <w:rPr>
                <w:sz w:val="20"/>
                <w:szCs w:val="20"/>
                <w:color w:val="auto"/>
              </w:rPr>
            </w:pPr>
            <w:r>
              <w:rPr>
                <w:rFonts w:ascii="Arial" w:cs="Arial" w:eastAsia="Arial" w:hAnsi="Arial"/>
                <w:sz w:val="18"/>
                <w:szCs w:val="18"/>
                <w:color w:val="auto"/>
              </w:rPr>
              <w:t>- Homozygous familial hypercholesterolemia</w:t>
            </w:r>
          </w:p>
        </w:tc>
        <w:tc>
          <w:tcPr>
            <w:tcW w:w="1000" w:type="dxa"/>
            <w:vAlign w:val="bottom"/>
            <w:gridSpan w:val="2"/>
          </w:tcPr>
          <w:p>
            <w:pPr>
              <w:jc w:val="center"/>
              <w:ind w:right="140"/>
              <w:spacing w:after="0" w:line="175" w:lineRule="exact"/>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7"/>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("HoFH")</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31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(9)</w:t>
            </w:r>
          </w:p>
        </w:tc>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COVID-19 treatment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920" w:type="dxa"/>
            <w:vAlign w:val="bottom"/>
            <w:shd w:val="clear" w:color="auto" w:fill="CCEEFF"/>
          </w:tcPr>
          <w:p>
            <w:pPr>
              <w:spacing w:after="0"/>
              <w:rPr>
                <w:sz w:val="19"/>
                <w:szCs w:val="19"/>
                <w:color w:val="auto"/>
              </w:rPr>
            </w:pPr>
          </w:p>
        </w:tc>
      </w:tr>
      <w:tr>
        <w:trPr>
          <w:trHeight w:val="173"/>
        </w:trPr>
        <w:tc>
          <w:tcPr>
            <w:tcW w:w="3140" w:type="dxa"/>
            <w:vAlign w:val="bottom"/>
          </w:tcPr>
          <w:p>
            <w:pPr>
              <w:ind w:left="20"/>
              <w:spacing w:after="0" w:line="174" w:lineRule="exact"/>
              <w:rPr>
                <w:sz w:val="20"/>
                <w:szCs w:val="20"/>
                <w:color w:val="auto"/>
              </w:rPr>
            </w:pPr>
            <w:r>
              <w:rPr>
                <w:rFonts w:ascii="Arial" w:cs="Arial" w:eastAsia="Arial" w:hAnsi="Arial"/>
                <w:sz w:val="18"/>
                <w:szCs w:val="18"/>
                <w:color w:val="auto"/>
              </w:rPr>
              <w:t>Kevzara (sarilumab) Solution for</w:t>
            </w:r>
          </w:p>
        </w:tc>
        <w:tc>
          <w:tcPr>
            <w:tcW w:w="3780" w:type="dxa"/>
            <w:vAlign w:val="bottom"/>
            <w:gridSpan w:val="3"/>
          </w:tcPr>
          <w:p>
            <w:pPr>
              <w:ind w:left="40"/>
              <w:spacing w:after="0" w:line="174" w:lineRule="exact"/>
              <w:rPr>
                <w:sz w:val="20"/>
                <w:szCs w:val="20"/>
                <w:color w:val="auto"/>
              </w:rPr>
            </w:pPr>
            <w:r>
              <w:rPr>
                <w:rFonts w:ascii="Arial" w:cs="Arial" w:eastAsia="Arial" w:hAnsi="Arial"/>
                <w:sz w:val="18"/>
                <w:szCs w:val="18"/>
                <w:color w:val="auto"/>
              </w:rPr>
              <w:t>- Rheumatoid arthritis ("RA")</w:t>
            </w:r>
          </w:p>
        </w:tc>
        <w:tc>
          <w:tcPr>
            <w:tcW w:w="1000" w:type="dxa"/>
            <w:vAlign w:val="bottom"/>
            <w:gridSpan w:val="2"/>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4" w:lineRule="exact"/>
              <w:rPr>
                <w:sz w:val="20"/>
                <w:szCs w:val="20"/>
                <w:color w:val="auto"/>
              </w:rPr>
            </w:pPr>
            <w:r>
              <w:rPr>
                <w:rFonts w:ascii="Arial" w:cs="Arial" w:eastAsia="Arial" w:hAnsi="Arial"/>
                <w:sz w:val="18"/>
                <w:szCs w:val="18"/>
                <w:color w:val="auto"/>
                <w:w w:val="99"/>
              </w:rPr>
              <w:t>a</w:t>
            </w:r>
          </w:p>
        </w:tc>
        <w:tc>
          <w:tcPr>
            <w:tcW w:w="920" w:type="dxa"/>
            <w:vAlign w:val="bottom"/>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227"/>
        </w:trPr>
        <w:tc>
          <w:tcPr>
            <w:tcW w:w="3140" w:type="dxa"/>
            <w:vAlign w:val="bottom"/>
          </w:tcPr>
          <w:p>
            <w:pPr>
              <w:ind w:left="20"/>
              <w:spacing w:after="0" w:line="226"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Evkeeza (evinacumab) Injection</w:t>
            </w:r>
          </w:p>
        </w:tc>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HoFH (in adults and adolescents)</w:t>
            </w: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79"/>
              </w:rPr>
              <w:t>a</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3"/>
        </w:trPr>
        <w:tc>
          <w:tcPr>
            <w:tcW w:w="3140" w:type="dxa"/>
            <w:vAlign w:val="bottom"/>
          </w:tcPr>
          <w:p>
            <w:pPr>
              <w:ind w:left="20"/>
              <w:spacing w:after="0" w:line="174" w:lineRule="exact"/>
              <w:rPr>
                <w:sz w:val="20"/>
                <w:szCs w:val="20"/>
                <w:color w:val="auto"/>
              </w:rPr>
            </w:pPr>
            <w:r>
              <w:rPr>
                <w:rFonts w:ascii="Arial" w:cs="Arial" w:eastAsia="Arial" w:hAnsi="Arial"/>
                <w:sz w:val="18"/>
                <w:szCs w:val="18"/>
                <w:color w:val="auto"/>
              </w:rPr>
              <w:t>Inmazeb (atoltivimab, maftivimab, and</w:t>
            </w:r>
          </w:p>
        </w:tc>
        <w:tc>
          <w:tcPr>
            <w:tcW w:w="3780" w:type="dxa"/>
            <w:vAlign w:val="bottom"/>
            <w:gridSpan w:val="3"/>
          </w:tcPr>
          <w:p>
            <w:pPr>
              <w:ind w:left="40"/>
              <w:spacing w:after="0" w:line="174" w:lineRule="exact"/>
              <w:rPr>
                <w:sz w:val="20"/>
                <w:szCs w:val="20"/>
                <w:color w:val="auto"/>
              </w:rPr>
            </w:pPr>
            <w:r>
              <w:rPr>
                <w:rFonts w:ascii="Arial" w:cs="Arial" w:eastAsia="Arial" w:hAnsi="Arial"/>
                <w:sz w:val="18"/>
                <w:szCs w:val="18"/>
                <w:color w:val="auto"/>
              </w:rPr>
              <w:t xml:space="preserve">- Infection caused by </w:t>
            </w:r>
            <w:r>
              <w:rPr>
                <w:rFonts w:ascii="Arial" w:cs="Arial" w:eastAsia="Arial" w:hAnsi="Arial"/>
                <w:sz w:val="18"/>
                <w:szCs w:val="18"/>
                <w:i w:val="1"/>
                <w:iCs w:val="1"/>
                <w:color w:val="auto"/>
              </w:rPr>
              <w:t>Zaire ebolavirus</w:t>
            </w:r>
          </w:p>
        </w:tc>
        <w:tc>
          <w:tcPr>
            <w:tcW w:w="1000" w:type="dxa"/>
            <w:vAlign w:val="bottom"/>
            <w:gridSpan w:val="2"/>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7"/>
        </w:trPr>
        <w:tc>
          <w:tcPr>
            <w:tcW w:w="3140" w:type="dxa"/>
            <w:vAlign w:val="bottom"/>
          </w:tcPr>
          <w:p>
            <w:pPr>
              <w:ind w:left="20"/>
              <w:spacing w:after="0"/>
              <w:rPr>
                <w:sz w:val="20"/>
                <w:szCs w:val="20"/>
                <w:color w:val="auto"/>
              </w:rPr>
            </w:pPr>
            <w:r>
              <w:rPr>
                <w:rFonts w:ascii="Arial" w:cs="Arial" w:eastAsia="Arial" w:hAnsi="Arial"/>
                <w:sz w:val="18"/>
                <w:szCs w:val="18"/>
                <w:color w:val="auto"/>
              </w:rPr>
              <w:t>odesivimab-ebgn) Injection</w:t>
            </w:r>
          </w:p>
        </w:tc>
        <w:tc>
          <w:tcPr>
            <w:tcW w:w="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4"/>
        </w:trPr>
        <w:tc>
          <w:tcPr>
            <w:tcW w:w="31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ARCALYST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(rilonacept) Injection for</w:t>
            </w:r>
          </w:p>
        </w:tc>
        <w:tc>
          <w:tcPr>
            <w:tcW w:w="3780" w:type="dxa"/>
            <w:vAlign w:val="bottom"/>
            <w:gridSpan w:val="3"/>
            <w:shd w:val="clear" w:color="auto" w:fill="CCEEFF"/>
          </w:tcPr>
          <w:p>
            <w:pPr>
              <w:ind w:left="40"/>
              <w:spacing w:after="0" w:line="174" w:lineRule="exact"/>
              <w:rPr>
                <w:sz w:val="20"/>
                <w:szCs w:val="20"/>
                <w:color w:val="auto"/>
              </w:rPr>
            </w:pPr>
            <w:r>
              <w:rPr>
                <w:rFonts w:ascii="Arial" w:cs="Arial" w:eastAsia="Arial" w:hAnsi="Arial"/>
                <w:sz w:val="18"/>
                <w:szCs w:val="18"/>
                <w:color w:val="auto"/>
              </w:rPr>
              <w:t>- Cryopyrin-associated periodic syndromes</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3"/>
        </w:trPr>
        <w:tc>
          <w:tcPr>
            <w:tcW w:w="31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Subcutaneous Use</w:t>
            </w:r>
            <w:r>
              <w:rPr>
                <w:rFonts w:ascii="Arial" w:cs="Arial" w:eastAsia="Arial" w:hAnsi="Arial"/>
                <w:sz w:val="20"/>
                <w:szCs w:val="20"/>
                <w:color w:val="auto"/>
                <w:vertAlign w:val="superscript"/>
              </w:rPr>
              <w:t>(8)</w:t>
            </w:r>
          </w:p>
        </w:tc>
        <w:tc>
          <w:tcPr>
            <w:tcW w:w="16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("CAPS"), including familial cold auto-</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3"/>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7"/>
              </w:rPr>
              <w:t>inflammatory syndrome ("FCAS") and Muckle-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3"/>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Wells syndrome ("MWS") (in adults and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6"/>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adolescents)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8"/>
              </w:rPr>
              <w:t>Deficiency of interleukin-1 receptor antagonist</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6"/>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("DIRA") (in adults and pediatrics)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4"/>
        </w:trPr>
        <w:tc>
          <w:tcPr>
            <w:tcW w:w="314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Recurrent pericarditis (in adults and</w:t>
            </w:r>
          </w:p>
        </w:tc>
        <w:tc>
          <w:tcPr>
            <w:tcW w:w="1000" w:type="dxa"/>
            <w:vAlign w:val="bottom"/>
            <w:gridSpan w:val="2"/>
            <w:shd w:val="clear" w:color="auto" w:fill="CCEEFF"/>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7"/>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adolescents)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3"/>
        </w:trPr>
        <w:tc>
          <w:tcPr>
            <w:tcW w:w="3140" w:type="dxa"/>
            <w:vAlign w:val="bottom"/>
          </w:tcPr>
          <w:p>
            <w:pPr>
              <w:ind w:left="20"/>
              <w:spacing w:after="0" w:line="174" w:lineRule="exact"/>
              <w:rPr>
                <w:sz w:val="20"/>
                <w:szCs w:val="20"/>
                <w:color w:val="auto"/>
              </w:rPr>
            </w:pPr>
            <w:r>
              <w:rPr>
                <w:rFonts w:ascii="Arial" w:cs="Arial" w:eastAsia="Arial" w:hAnsi="Arial"/>
                <w:sz w:val="16"/>
                <w:szCs w:val="16"/>
                <w:color w:val="auto"/>
              </w:rPr>
              <w:t>ZALTRAP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(ziv-aflibercept) Injection for</w:t>
            </w:r>
          </w:p>
        </w:tc>
        <w:tc>
          <w:tcPr>
            <w:tcW w:w="160" w:type="dxa"/>
            <w:vAlign w:val="bottom"/>
          </w:tcPr>
          <w:p>
            <w:pPr>
              <w:ind w:left="40"/>
              <w:spacing w:after="0" w:line="174" w:lineRule="exact"/>
              <w:rPr>
                <w:sz w:val="20"/>
                <w:szCs w:val="20"/>
                <w:color w:val="auto"/>
              </w:rPr>
            </w:pPr>
            <w:r>
              <w:rPr>
                <w:rFonts w:ascii="Arial" w:cs="Arial" w:eastAsia="Arial" w:hAnsi="Arial"/>
                <w:sz w:val="18"/>
                <w:szCs w:val="18"/>
                <w:color w:val="auto"/>
              </w:rPr>
              <w:t>-</w:t>
            </w:r>
          </w:p>
        </w:tc>
        <w:tc>
          <w:tcPr>
            <w:tcW w:w="3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Metastatic colorectal cancer ("mCRC")</w:t>
            </w:r>
          </w:p>
        </w:tc>
        <w:tc>
          <w:tcPr>
            <w:tcW w:w="1000" w:type="dxa"/>
            <w:vAlign w:val="bottom"/>
            <w:gridSpan w:val="2"/>
          </w:tcPr>
          <w:p>
            <w:pPr>
              <w:jc w:val="center"/>
              <w:ind w:right="140"/>
              <w:spacing w:after="0" w:line="174" w:lineRule="exact"/>
              <w:rPr>
                <w:sz w:val="20"/>
                <w:szCs w:val="20"/>
                <w:color w:val="auto"/>
              </w:rPr>
            </w:pPr>
            <w:r>
              <w:rPr>
                <w:rFonts w:ascii="Arial" w:cs="Arial" w:eastAsia="Arial" w:hAnsi="Arial"/>
                <w:sz w:val="18"/>
                <w:szCs w:val="18"/>
                <w:color w:val="auto"/>
                <w:w w:val="99"/>
              </w:rPr>
              <w:t>a</w:t>
            </w:r>
          </w:p>
        </w:tc>
        <w:tc>
          <w:tcPr>
            <w:tcW w:w="600" w:type="dxa"/>
            <w:vAlign w:val="bottom"/>
          </w:tcPr>
          <w:p>
            <w:pPr>
              <w:jc w:val="center"/>
              <w:ind w:left="231"/>
              <w:spacing w:after="0" w:line="174" w:lineRule="exact"/>
              <w:rPr>
                <w:sz w:val="20"/>
                <w:szCs w:val="20"/>
                <w:color w:val="auto"/>
              </w:rPr>
            </w:pPr>
            <w:r>
              <w:rPr>
                <w:rFonts w:ascii="Arial" w:cs="Arial" w:eastAsia="Arial" w:hAnsi="Arial"/>
                <w:sz w:val="18"/>
                <w:szCs w:val="18"/>
                <w:color w:val="auto"/>
                <w:w w:val="79"/>
              </w:rPr>
              <w:t>a</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20"/>
              <w:spacing w:after="0" w:line="174" w:lineRule="exact"/>
              <w:rPr>
                <w:sz w:val="20"/>
                <w:szCs w:val="20"/>
                <w:color w:val="auto"/>
              </w:rPr>
            </w:pPr>
            <w:r>
              <w:rPr>
                <w:rFonts w:ascii="Arial" w:cs="Arial" w:eastAsia="Arial" w:hAnsi="Arial"/>
                <w:sz w:val="18"/>
                <w:szCs w:val="18"/>
                <w:color w:val="auto"/>
                <w:w w:val="99"/>
              </w:rPr>
              <w:t>a</w:t>
            </w:r>
          </w:p>
        </w:tc>
        <w:tc>
          <w:tcPr>
            <w:tcW w:w="920" w:type="dxa"/>
            <w:vAlign w:val="bottom"/>
          </w:tcPr>
          <w:p>
            <w:pPr>
              <w:jc w:val="center"/>
              <w:spacing w:after="0" w:line="174" w:lineRule="exact"/>
              <w:rPr>
                <w:sz w:val="20"/>
                <w:szCs w:val="20"/>
                <w:color w:val="auto"/>
              </w:rPr>
            </w:pPr>
            <w:r>
              <w:rPr>
                <w:rFonts w:ascii="Arial" w:cs="Arial" w:eastAsia="Arial" w:hAnsi="Arial"/>
                <w:sz w:val="18"/>
                <w:szCs w:val="18"/>
                <w:color w:val="auto"/>
                <w:w w:val="99"/>
              </w:rPr>
              <w:t>a</w:t>
            </w:r>
          </w:p>
        </w:tc>
      </w:tr>
      <w:tr>
        <w:trPr>
          <w:trHeight w:val="309"/>
        </w:trPr>
        <w:tc>
          <w:tcPr>
            <w:tcW w:w="3140" w:type="dxa"/>
            <w:vAlign w:val="bottom"/>
          </w:tcPr>
          <w:p>
            <w:pPr>
              <w:ind w:left="20"/>
              <w:spacing w:after="0"/>
              <w:rPr>
                <w:sz w:val="20"/>
                <w:szCs w:val="20"/>
                <w:color w:val="auto"/>
              </w:rPr>
            </w:pPr>
            <w:r>
              <w:rPr>
                <w:rFonts w:ascii="Arial" w:cs="Arial" w:eastAsia="Arial" w:hAnsi="Arial"/>
                <w:sz w:val="18"/>
                <w:szCs w:val="18"/>
                <w:color w:val="auto"/>
              </w:rPr>
              <w:t>Intravenous Infusion</w:t>
            </w:r>
            <w:r>
              <w:rPr>
                <w:rFonts w:ascii="Arial" w:cs="Arial" w:eastAsia="Arial" w:hAnsi="Arial"/>
                <w:sz w:val="23"/>
                <w:szCs w:val="23"/>
                <w:color w:val="auto"/>
                <w:vertAlign w:val="superscript"/>
              </w:rPr>
              <w:t>(6)</w:t>
            </w: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5" w:lineRule="exact"/>
        <w:rPr>
          <w:sz w:val="20"/>
          <w:szCs w:val="20"/>
          <w:color w:val="auto"/>
        </w:rPr>
      </w:pPr>
    </w:p>
    <w:p>
      <w:pPr>
        <w:ind w:left="400" w:right="240"/>
        <w:spacing w:after="0" w:line="237" w:lineRule="auto"/>
        <w:rPr>
          <w:sz w:val="20"/>
          <w:szCs w:val="20"/>
          <w:color w:val="auto"/>
        </w:rPr>
      </w:pPr>
      <w:r>
        <w:rPr>
          <w:rFonts w:ascii="Arial" w:cs="Arial" w:eastAsia="Arial" w:hAnsi="Arial"/>
          <w:sz w:val="16"/>
          <w:szCs w:val="16"/>
          <w:color w:val="auto"/>
        </w:rPr>
        <w:t>Note 1: Refer to "Net Product Sales of Regeneron-Discovered Products" section below for information regarding whether net product sales for a particular product are recorded by us or others</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Note 2: Product is approved for use in adults, unless otherwise noted, in the disease area described above</w:t>
      </w:r>
    </w:p>
    <w:p>
      <w:pPr>
        <w:spacing w:after="0" w:line="16" w:lineRule="exact"/>
        <w:rPr>
          <w:sz w:val="20"/>
          <w:szCs w:val="20"/>
          <w:color w:val="auto"/>
        </w:rPr>
      </w:pPr>
    </w:p>
    <w:p>
      <w:pPr>
        <w:ind w:left="560" w:hanging="155"/>
        <w:spacing w:after="0"/>
        <w:tabs>
          <w:tab w:leader="none" w:pos="560"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In collaboration with Bayer outside the United States</w:t>
      </w:r>
    </w:p>
    <w:p>
      <w:pPr>
        <w:spacing w:after="0" w:line="22" w:lineRule="exact"/>
        <w:rPr>
          <w:rFonts w:ascii="Arial" w:cs="Arial" w:eastAsia="Arial" w:hAnsi="Arial"/>
          <w:sz w:val="19"/>
          <w:szCs w:val="19"/>
          <w:color w:val="auto"/>
          <w:vertAlign w:val="superscript"/>
        </w:rPr>
      </w:pPr>
    </w:p>
    <w:p>
      <w:pPr>
        <w:ind w:left="580" w:hanging="175"/>
        <w:spacing w:after="0" w:line="189" w:lineRule="auto"/>
        <w:tabs>
          <w:tab w:leader="none" w:pos="5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 collaboration with Sanofi</w:t>
      </w:r>
    </w:p>
    <w:p>
      <w:pPr>
        <w:spacing w:after="0" w:line="23" w:lineRule="exact"/>
        <w:rPr>
          <w:rFonts w:ascii="Arial" w:cs="Arial" w:eastAsia="Arial" w:hAnsi="Arial"/>
          <w:sz w:val="21"/>
          <w:szCs w:val="21"/>
          <w:color w:val="auto"/>
          <w:vertAlign w:val="superscript"/>
        </w:rPr>
      </w:pPr>
    </w:p>
    <w:p>
      <w:pPr>
        <w:jc w:val="both"/>
        <w:ind w:left="400" w:right="80" w:firstLine="5"/>
        <w:spacing w:after="0" w:line="222" w:lineRule="auto"/>
        <w:tabs>
          <w:tab w:leader="none" w:pos="574"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Pursuant to a 2020 agreement, the Company is solely responsible for the development and commercialization of Praluent in the United States, and Sanofi is solely responsible for the development and commercialization of Praluent outside of the United States (and Sanofi pays us a royalty on net product sales of Praluent outside the United States).</w:t>
      </w:r>
    </w:p>
    <w:p>
      <w:pPr>
        <w:spacing w:after="0" w:line="9" w:lineRule="exact"/>
        <w:rPr>
          <w:rFonts w:ascii="Arial" w:cs="Arial" w:eastAsia="Arial" w:hAnsi="Arial"/>
          <w:sz w:val="20"/>
          <w:szCs w:val="20"/>
          <w:color w:val="auto"/>
          <w:vertAlign w:val="superscript"/>
        </w:rPr>
      </w:pPr>
    </w:p>
    <w:p>
      <w:pPr>
        <w:ind w:left="400" w:right="120" w:firstLine="5"/>
        <w:spacing w:after="0" w:line="223" w:lineRule="auto"/>
        <w:tabs>
          <w:tab w:leader="none" w:pos="574"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Rest of world. Checkmark in this column indicates that the product has received marketing approval in at least one country outside of the United States, European Union ("EU"), or Japan.</w:t>
      </w:r>
    </w:p>
    <w:p>
      <w:pPr>
        <w:spacing w:after="0" w:line="1" w:lineRule="exact"/>
        <w:rPr>
          <w:rFonts w:ascii="Arial" w:cs="Arial" w:eastAsia="Arial" w:hAnsi="Arial"/>
          <w:sz w:val="20"/>
          <w:szCs w:val="20"/>
          <w:color w:val="auto"/>
          <w:vertAlign w:val="superscript"/>
        </w:rPr>
      </w:pPr>
    </w:p>
    <w:p>
      <w:pPr>
        <w:ind w:left="580" w:hanging="175"/>
        <w:spacing w:after="0" w:line="212" w:lineRule="auto"/>
        <w:tabs>
          <w:tab w:leader="none" w:pos="5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Approval in Japan is for adults and adolescents 15 years of age and older</w:t>
      </w:r>
    </w:p>
    <w:p>
      <w:pPr>
        <w:spacing w:after="0" w:line="22" w:lineRule="exact"/>
        <w:rPr>
          <w:rFonts w:ascii="Arial" w:cs="Arial" w:eastAsia="Arial" w:hAnsi="Arial"/>
          <w:sz w:val="21"/>
          <w:szCs w:val="21"/>
          <w:color w:val="auto"/>
          <w:vertAlign w:val="superscript"/>
        </w:rPr>
      </w:pPr>
    </w:p>
    <w:p>
      <w:pPr>
        <w:ind w:left="580" w:hanging="175"/>
        <w:spacing w:after="0" w:line="185" w:lineRule="auto"/>
        <w:tabs>
          <w:tab w:leader="none" w:pos="580" w:val="left"/>
        </w:tabs>
        <w:numPr>
          <w:ilvl w:val="0"/>
          <w:numId w:val="6"/>
        </w:numPr>
        <w:rPr>
          <w:rFonts w:ascii="Arial" w:cs="Arial" w:eastAsia="Arial" w:hAnsi="Arial"/>
          <w:sz w:val="18"/>
          <w:szCs w:val="18"/>
          <w:color w:val="auto"/>
          <w:vertAlign w:val="superscript"/>
        </w:rPr>
      </w:pPr>
      <w:r>
        <w:rPr>
          <w:rFonts w:ascii="Arial" w:cs="Arial" w:eastAsia="Arial" w:hAnsi="Arial"/>
          <w:sz w:val="13"/>
          <w:szCs w:val="13"/>
          <w:color w:val="auto"/>
        </w:rPr>
        <w:t>Sanofi is solely responsible for the development and commercialization of ZALTRAP, and Sanofi pays us a percentage of aggregate net product sales of</w:t>
      </w:r>
    </w:p>
    <w:p>
      <w:pPr>
        <w:ind w:left="400"/>
        <w:spacing w:after="0"/>
        <w:rPr>
          <w:rFonts w:ascii="Arial" w:cs="Arial" w:eastAsia="Arial" w:hAnsi="Arial"/>
          <w:sz w:val="18"/>
          <w:szCs w:val="18"/>
          <w:color w:val="auto"/>
          <w:vertAlign w:val="superscript"/>
        </w:rPr>
      </w:pPr>
      <w:r>
        <w:rPr>
          <w:rFonts w:ascii="Arial" w:cs="Arial" w:eastAsia="Arial" w:hAnsi="Arial"/>
          <w:sz w:val="16"/>
          <w:szCs w:val="16"/>
          <w:color w:val="auto"/>
        </w:rPr>
        <w:t>ZALTRAP</w:t>
      </w:r>
    </w:p>
    <w:p>
      <w:pPr>
        <w:spacing w:after="0" w:line="6" w:lineRule="exact"/>
        <w:rPr>
          <w:rFonts w:ascii="Arial" w:cs="Arial" w:eastAsia="Arial" w:hAnsi="Arial"/>
          <w:sz w:val="18"/>
          <w:szCs w:val="18"/>
          <w:color w:val="auto"/>
          <w:vertAlign w:val="superscript"/>
        </w:rPr>
      </w:pPr>
    </w:p>
    <w:p>
      <w:pPr>
        <w:ind w:left="580" w:hanging="175"/>
        <w:spacing w:after="0" w:line="212" w:lineRule="auto"/>
        <w:tabs>
          <w:tab w:leader="none" w:pos="5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No longer marketed by Sanofi in Japan</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370" w:right="49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right="320" w:firstLine="5"/>
        <w:spacing w:after="0" w:line="216" w:lineRule="auto"/>
        <w:tabs>
          <w:tab w:leader="none" w:pos="579"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Pursuant to a 2017 license agreement with Kiniksa Pharmaceuticals, Ltd., we granted Kiniksa the right to develop and commercialize certain new indications for ARCALYST. In March 2021, Kiniksa received marketing approval for its first new indication of ARCALYST in the United States; consequently we granted U.S. commercial rights to ARCALYST for all previously approved indications and Kiniksa pays us a share of ARCALYST profits. Refer to "Collaboration, License, and Other Agreements - Kiniksa" section below for further details.</w:t>
      </w:r>
    </w:p>
    <w:p>
      <w:pPr>
        <w:spacing w:after="0" w:line="10" w:lineRule="exact"/>
        <w:rPr>
          <w:rFonts w:ascii="Arial" w:cs="Arial" w:eastAsia="Arial" w:hAnsi="Arial"/>
          <w:sz w:val="21"/>
          <w:szCs w:val="21"/>
          <w:color w:val="auto"/>
          <w:vertAlign w:val="superscript"/>
        </w:rPr>
      </w:pPr>
    </w:p>
    <w:p>
      <w:pPr>
        <w:ind w:left="580" w:hanging="175"/>
        <w:spacing w:after="0"/>
        <w:tabs>
          <w:tab w:leader="none" w:pos="5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Known as REGEN-COV in the United States and Ronapreve</w:t>
      </w:r>
      <w:r>
        <w:rPr>
          <w:rFonts w:ascii="Arial" w:cs="Arial" w:eastAsia="Arial" w:hAnsi="Arial"/>
          <w:sz w:val="18"/>
          <w:szCs w:val="18"/>
          <w:color w:val="auto"/>
          <w:vertAlign w:val="superscript"/>
        </w:rPr>
        <w:t>™</w:t>
      </w:r>
      <w:r>
        <w:rPr>
          <w:rFonts w:ascii="Arial" w:cs="Arial" w:eastAsia="Arial" w:hAnsi="Arial"/>
          <w:sz w:val="15"/>
          <w:szCs w:val="15"/>
          <w:color w:val="auto"/>
        </w:rPr>
        <w:t xml:space="preserve"> in other countries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REGEN-COV - Emergency and Temporary Use Authorizations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2020, the antibody cocktail casirivimab and imdevimab administered together, known as REGEN-COV in the United States, received Emergency Use Authorization ("EUA") from the U.S. Food and Drug Administration ("FDA") for the treatment of mild to moderate COVID-19 in adults, as well as in pediatric patients at least 12 years of age and weighing at least 40 kg, who have received positive results of direct SARS-CoV-2 viral testing and are at high risk for progressing to severe COVID-19 and/or hospitalization.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June 2021, the FDA updated the EUA for REGEN-COV, lowering the dose to 1,200 mg (which is half the dose originally authorized) and allowing for subcutaneous injections as an alternative when intravenous ("IV") infusion is not feasible and would lead to a delay in treatment.</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2021, the FDA also expanded the EUA to include post-exposure prophylaxis in people at high risk for progression to severe COVID-19, who are not fully vaccinated or are not expected to mount an adequate response to vaccination, and who have been exposed to a SARS-CoV-2 infected individual or are at high risk of exposure to an infected individual because of infection occurring in the same institutional setting (such as in nursing homes or prisons). For people who are not expected to mount an adequate immune response to vaccination, REGEN-COV can also now be administered monthly for the duration of ongoing exposure to SARS-CoV-2.</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EUA is temporary and does not replace a formal Biologics License Application ("BLA") submission review and approval process. This use is authorized only for the duration of the declaration that circumstances exist justifying the authorization of the emergency use, unless terminated or revoked sooner. See information regarding ongoing clinical trials of REGEN-COV in the "Programs in Clinical Development" section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the United States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2021, the European Medicines Agency's ("EMA") Committee for Medicinal Products for Human Use ("CHMP") issued a positive opinion, recommending that the casirivimab and imdevimab antibody cocktail be used to treat COVID-19 patients who do not require supplemental oxygen and are at high risk of progressing to severe COVID-19. The CHMP's positive opinion can be used by EU member states when making decisions on the possible use of the antibody cocktail at a national level prior to a market authorization.</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Emergency or temporary pandemic use authorizations are currently in place in certain other countries outside the United States, including within the European Union, India, Switzerland, and Canada.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85"/>
              </w:rPr>
              <w:t>Net Product Sales of Regeneron-Discovered Products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35"/>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7"/>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0"/>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9"/>
                <w:szCs w:val="19"/>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(Total Sales)</w:t>
            </w:r>
          </w:p>
        </w:tc>
      </w:tr>
      <w:tr>
        <w:trPr>
          <w:trHeight w:val="220"/>
        </w:trPr>
        <w:tc>
          <w:tcPr>
            <w:tcW w:w="250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1,499.0</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945.0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(h)</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(h)</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440"/>
        </w:trPr>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Six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7"/>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0"/>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9"/>
                <w:szCs w:val="19"/>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(Total Sales)</w:t>
            </w:r>
          </w:p>
        </w:tc>
      </w:tr>
      <w:tr>
        <w:trPr>
          <w:trHeight w:val="220"/>
        </w:trPr>
        <w:tc>
          <w:tcPr>
            <w:tcW w:w="250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2,108.1</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2,761.9</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1,800.2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(h)</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(h)</w:t>
            </w:r>
          </w:p>
        </w:tc>
      </w:tr>
      <w:tr>
        <w:trPr>
          <w:trHeight w:val="227"/>
        </w:trPr>
        <w:tc>
          <w:tcPr>
            <w:tcW w:w="2500" w:type="dxa"/>
            <w:vAlign w:val="bottom"/>
          </w:tcPr>
          <w:p>
            <w:pPr>
              <w:ind w:left="20"/>
              <w:spacing w:after="0" w:line="226"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27"/>
        </w:trPr>
        <w:tc>
          <w:tcPr>
            <w:tcW w:w="25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97" w:lineRule="exact"/>
        <w:rPr>
          <w:sz w:val="20"/>
          <w:szCs w:val="20"/>
          <w:color w:val="auto"/>
        </w:rPr>
      </w:pPr>
    </w:p>
    <w:p>
      <w:pPr>
        <w:ind w:left="240" w:right="320" w:hanging="2"/>
        <w:spacing w:after="0" w:line="223" w:lineRule="auto"/>
        <w:tabs>
          <w:tab w:leader="none" w:pos="408"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10" w:lineRule="exact"/>
        <w:rPr>
          <w:rFonts w:ascii="Arial" w:cs="Arial" w:eastAsia="Arial" w:hAnsi="Arial"/>
          <w:sz w:val="20"/>
          <w:szCs w:val="20"/>
          <w:color w:val="auto"/>
          <w:vertAlign w:val="superscript"/>
        </w:rPr>
      </w:pPr>
    </w:p>
    <w:p>
      <w:pPr>
        <w:ind w:left="240" w:right="560" w:hanging="2"/>
        <w:spacing w:after="0" w:line="211" w:lineRule="auto"/>
        <w:tabs>
          <w:tab w:leader="none" w:pos="414"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9" w:lineRule="exact"/>
        <w:rPr>
          <w:rFonts w:ascii="Arial" w:cs="Arial" w:eastAsia="Arial" w:hAnsi="Arial"/>
          <w:sz w:val="21"/>
          <w:szCs w:val="21"/>
          <w:color w:val="auto"/>
          <w:vertAlign w:val="superscript"/>
        </w:rPr>
      </w:pPr>
    </w:p>
    <w:p>
      <w:pPr>
        <w:ind w:left="240" w:right="120" w:hanging="2"/>
        <w:spacing w:after="0" w:line="211" w:lineRule="auto"/>
        <w:tabs>
          <w:tab w:leader="none" w:pos="408"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22" w:lineRule="exact"/>
        <w:rPr>
          <w:rFonts w:ascii="Arial" w:cs="Arial" w:eastAsia="Arial" w:hAnsi="Arial"/>
          <w:sz w:val="21"/>
          <w:szCs w:val="21"/>
          <w:color w:val="auto"/>
          <w:vertAlign w:val="superscript"/>
        </w:rPr>
      </w:pPr>
    </w:p>
    <w:p>
      <w:pPr>
        <w:ind w:left="240" w:right="140" w:hanging="2"/>
        <w:spacing w:after="0" w:line="228" w:lineRule="auto"/>
        <w:tabs>
          <w:tab w:leader="none" w:pos="419"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 Refer to "Collaboration, License, and Other Agreements - Sanofi" section below for further details.</w:t>
      </w:r>
    </w:p>
    <w:p>
      <w:pPr>
        <w:spacing w:after="0" w:line="9" w:lineRule="exact"/>
        <w:rPr>
          <w:rFonts w:ascii="Arial" w:cs="Arial" w:eastAsia="Arial" w:hAnsi="Arial"/>
          <w:sz w:val="20"/>
          <w:szCs w:val="20"/>
          <w:color w:val="auto"/>
          <w:vertAlign w:val="superscript"/>
        </w:rPr>
      </w:pPr>
    </w:p>
    <w:p>
      <w:pPr>
        <w:ind w:left="240" w:right="360" w:hanging="2"/>
        <w:spacing w:after="0" w:line="223" w:lineRule="auto"/>
        <w:tabs>
          <w:tab w:leader="none" w:pos="408"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connection with its agreements with the U.S. government. Roche records net product sales of the antibody cocktail outside the United States and the parties share gross profits from global sales. Refer to "Agreements Related to COVID-19" below for further details.</w:t>
      </w:r>
    </w:p>
    <w:p>
      <w:pPr>
        <w:spacing w:after="0" w:line="1" w:lineRule="exact"/>
        <w:rPr>
          <w:rFonts w:ascii="Arial" w:cs="Arial" w:eastAsia="Arial" w:hAnsi="Arial"/>
          <w:sz w:val="20"/>
          <w:szCs w:val="20"/>
          <w:color w:val="auto"/>
          <w:vertAlign w:val="superscript"/>
        </w:rPr>
      </w:pPr>
    </w:p>
    <w:p>
      <w:pPr>
        <w:ind w:left="400" w:hanging="162"/>
        <w:spacing w:after="0" w:line="193" w:lineRule="auto"/>
        <w:tabs>
          <w:tab w:leader="none" w:pos="40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Regeneron records net product sales of Evkeeza in the United States.</w:t>
      </w:r>
    </w:p>
    <w:p>
      <w:pPr>
        <w:spacing w:after="0" w:line="23" w:lineRule="exact"/>
        <w:rPr>
          <w:rFonts w:ascii="Arial" w:cs="Arial" w:eastAsia="Arial" w:hAnsi="Arial"/>
          <w:sz w:val="23"/>
          <w:szCs w:val="23"/>
          <w:color w:val="auto"/>
          <w:vertAlign w:val="superscript"/>
        </w:rPr>
      </w:pPr>
    </w:p>
    <w:p>
      <w:pPr>
        <w:ind w:left="240" w:right="80" w:hanging="2"/>
        <w:spacing w:after="0" w:line="209" w:lineRule="auto"/>
        <w:tabs>
          <w:tab w:leader="none" w:pos="414"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Effective April 1, 2021, Kiniksa records net product sales of ARCALYST in the United States and pays us a share of ARCALYST profits, if any. Prior to April 1, 2021, Regeneron recorded net product sales of ARCALYST in the United States. Refer to "Products" section above and "Collaboration, License, and Other Agreements - Kiniksa" section below for further details.</w:t>
      </w:r>
    </w:p>
    <w:p>
      <w:pPr>
        <w:ind w:left="420" w:hanging="182"/>
        <w:spacing w:after="0" w:line="202" w:lineRule="auto"/>
        <w:tabs>
          <w:tab w:leader="none" w:pos="420"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Percentage not meaningful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 in Clinical Development</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Product candidates in clinical development, which are being developed by us and/or our collaborators, are summarized in the table below. 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platforms. We continue to invest in the development of enabling technologies to assist in our efforts to identify, develop, manufacture, and commercialize new product candidates.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and our collaborators conduct clinical trials in multiple countries across the world. The COVID-19 pandemic and the restrictions adopted around the globe to reduce the spread of the disease have impacted and may continue to impact our clinical development programs. We continue to evaluate the impact of the COVID-19 pandemic on an individual trial basis and oversee trial management while also working to ensure patient safety and provide sufficient supply of product candidates for the studies. The ultimate impact (including possible delays in recruiting and/or obtaining data) resulting from the COVID-19 pandemic will depend, among other factors, on the extent of the pandemic in the areas with study sites and patient populations. It is possible that the COVID-19 pandemic may cause clinical disruptions beyond those we have described. In addition, there may be delays in the timing of regulatory review and other projected milestones discussed in the table below.</w:t>
      </w:r>
    </w:p>
    <w:p>
      <w:pPr>
        <w:spacing w:after="0" w:line="11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Refer to Part II, Item 1A. "Risk Factors" for a description of these and other risks and uncertainties that may affect our clinical programs, including those related to the COVID-19 pandemic.</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Clinical Program</w:t>
            </w:r>
          </w:p>
        </w:tc>
        <w:tc>
          <w:tcPr>
            <w:tcW w:w="80" w:type="dxa"/>
            <w:vAlign w:val="bottom"/>
            <w:vMerge w:val="restart"/>
          </w:tcPr>
          <w:p>
            <w:pPr>
              <w:spacing w:after="0"/>
              <w:rPr>
                <w:sz w:val="17"/>
                <w:szCs w:val="17"/>
                <w:color w:val="auto"/>
              </w:rPr>
            </w:pPr>
          </w:p>
        </w:tc>
        <w:tc>
          <w:tcPr>
            <w:tcW w:w="1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Phase 1</w:t>
            </w:r>
          </w:p>
        </w:tc>
        <w:tc>
          <w:tcPr>
            <w:tcW w:w="80" w:type="dxa"/>
            <w:vAlign w:val="bottom"/>
            <w:vMerge w:val="restart"/>
          </w:tcPr>
          <w:p>
            <w:pPr>
              <w:spacing w:after="0"/>
              <w:rPr>
                <w:sz w:val="17"/>
                <w:szCs w:val="17"/>
                <w:color w:val="auto"/>
              </w:rPr>
            </w:pPr>
          </w:p>
        </w:tc>
        <w:tc>
          <w:tcPr>
            <w:tcW w:w="14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80" w:type="dxa"/>
            <w:vAlign w:val="bottom"/>
            <w:vMerge w:val="restart"/>
          </w:tcPr>
          <w:p>
            <w:pPr>
              <w:spacing w:after="0"/>
              <w:rPr>
                <w:sz w:val="17"/>
                <w:szCs w:val="17"/>
                <w:color w:val="auto"/>
              </w:rPr>
            </w:pPr>
          </w:p>
        </w:tc>
        <w:tc>
          <w:tcPr>
            <w:tcW w:w="14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8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110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Regulatory</w:t>
            </w:r>
          </w:p>
        </w:tc>
        <w:tc>
          <w:tcPr>
            <w:tcW w:w="0" w:type="dxa"/>
            <w:vAlign w:val="bottom"/>
          </w:tcPr>
          <w:p>
            <w:pPr>
              <w:spacing w:after="0"/>
              <w:rPr>
                <w:sz w:val="1"/>
                <w:szCs w:val="1"/>
                <w:color w:val="auto"/>
              </w:rPr>
            </w:pPr>
          </w:p>
        </w:tc>
      </w:tr>
      <w:tr>
        <w:trPr>
          <w:trHeight w:val="227"/>
        </w:trPr>
        <w:tc>
          <w:tcPr>
            <w:tcW w:w="17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center"/>
              <w:ind w:right="71"/>
              <w:spacing w:after="0" w:line="226"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0" w:type="dxa"/>
            <w:vAlign w:val="bottom"/>
          </w:tcPr>
          <w:p>
            <w:pPr>
              <w:spacing w:after="0"/>
              <w:rPr>
                <w:sz w:val="1"/>
                <w:szCs w:val="1"/>
                <w:color w:val="auto"/>
              </w:rPr>
            </w:pPr>
          </w:p>
        </w:tc>
      </w:tr>
      <w:tr>
        <w:trPr>
          <w:trHeight w:val="29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ind w:left="460"/>
              <w:spacing w:after="0"/>
              <w:rPr>
                <w:sz w:val="20"/>
                <w:szCs w:val="20"/>
                <w:color w:val="auto"/>
              </w:rPr>
            </w:pPr>
            <w:r>
              <w:rPr>
                <w:rFonts w:ascii="Arial" w:cs="Arial" w:eastAsia="Arial" w:hAnsi="Arial"/>
                <w:sz w:val="18"/>
                <w:szCs w:val="18"/>
                <w:b w:val="1"/>
                <w:bCs w:val="1"/>
                <w:color w:val="auto"/>
                <w:w w:val="92"/>
              </w:rPr>
              <w:t>Ophthalmology</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7134225"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2021 Events to Date</w:t>
            </w:r>
          </w:p>
        </w:tc>
        <w:tc>
          <w:tcPr>
            <w:tcW w:w="80" w:type="dxa"/>
            <w:vAlign w:val="bottom"/>
            <w:vMerge w:val="restart"/>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Select Upcoming</w:t>
            </w:r>
          </w:p>
        </w:tc>
        <w:tc>
          <w:tcPr>
            <w:tcW w:w="0" w:type="dxa"/>
            <w:vAlign w:val="bottom"/>
          </w:tcPr>
          <w:p>
            <w:pPr>
              <w:spacing w:after="0"/>
              <w:rPr>
                <w:sz w:val="1"/>
                <w:szCs w:val="1"/>
                <w:color w:val="auto"/>
              </w:rPr>
            </w:pPr>
          </w:p>
        </w:tc>
      </w:tr>
      <w:tr>
        <w:trPr>
          <w:trHeight w:val="227"/>
        </w:trPr>
        <w:tc>
          <w:tcPr>
            <w:tcW w:w="18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40" w:type="dxa"/>
            <w:vAlign w:val="bottom"/>
            <w:tcBorders>
              <w:bottom w:val="single" w:sz="8" w:color="auto"/>
            </w:tcBorders>
          </w:tcPr>
          <w:p>
            <w:pPr>
              <w:jc w:val="center"/>
              <w:spacing w:after="0" w:line="226" w:lineRule="exact"/>
              <w:rPr>
                <w:sz w:val="20"/>
                <w:szCs w:val="20"/>
                <w:color w:val="auto"/>
              </w:rPr>
            </w:pPr>
            <w:r>
              <w:rPr>
                <w:rFonts w:ascii="Arial" w:cs="Arial" w:eastAsia="Arial" w:hAnsi="Arial"/>
                <w:sz w:val="18"/>
                <w:szCs w:val="18"/>
                <w:b w:val="1"/>
                <w:bCs w:val="1"/>
                <w:color w:val="auto"/>
                <w:w w:val="85"/>
              </w:rPr>
              <w:t>Milestones</w:t>
            </w:r>
            <w:r>
              <w:rPr>
                <w:rFonts w:ascii="Arial" w:cs="Arial" w:eastAsia="Arial" w:hAnsi="Arial"/>
                <w:sz w:val="23"/>
                <w:szCs w:val="23"/>
                <w:b w:val="1"/>
                <w:bCs w:val="1"/>
                <w:color w:val="auto"/>
                <w:w w:val="85"/>
                <w:vertAlign w:val="superscript"/>
              </w:rPr>
              <w:t>(j)</w:t>
            </w:r>
          </w:p>
        </w:tc>
        <w:tc>
          <w:tcPr>
            <w:tcW w:w="0" w:type="dxa"/>
            <w:vAlign w:val="bottom"/>
          </w:tcPr>
          <w:p>
            <w:pPr>
              <w:spacing w:after="0"/>
              <w:rPr>
                <w:sz w:val="1"/>
                <w:szCs w:val="1"/>
                <w:color w:val="auto"/>
              </w:rPr>
            </w:pPr>
          </w:p>
        </w:tc>
      </w:tr>
    </w:tbl>
    <w:p>
      <w:pPr>
        <w:spacing w:after="0" w:line="366" w:lineRule="exact"/>
        <w:rPr>
          <w:sz w:val="20"/>
          <w:szCs w:val="20"/>
          <w:color w:val="auto"/>
        </w:rPr>
      </w:pPr>
    </w:p>
    <w:p>
      <w:pPr>
        <w:sectPr>
          <w:pgSz w:w="11900" w:h="16838" w:orient="portrait"/>
          <w:cols w:equalWidth="0" w:num="2">
            <w:col w:w="7380" w:space="80"/>
            <w:col w:w="3780"/>
          </w:cols>
          <w:pgMar w:left="320" w:top="370" w:right="33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EYLEA</w:t>
      </w:r>
      <w:r>
        <w:rPr>
          <w:rFonts w:ascii="Arial" w:cs="Arial" w:eastAsia="Arial" w:hAnsi="Arial"/>
          <w:sz w:val="22"/>
          <w:szCs w:val="22"/>
          <w:b w:val="1"/>
          <w:bCs w:val="1"/>
          <w:color w:val="auto"/>
          <w:vertAlign w:val="superscript"/>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–High-dose</w:t>
            </w:r>
          </w:p>
        </w:tc>
        <w:tc>
          <w:tcPr>
            <w:tcW w:w="1420" w:type="dxa"/>
            <w:vAlign w:val="bottom"/>
          </w:tcPr>
          <w:p>
            <w:pPr>
              <w:ind w:left="100"/>
              <w:spacing w:after="0"/>
              <w:rPr>
                <w:sz w:val="20"/>
                <w:szCs w:val="20"/>
                <w:color w:val="auto"/>
              </w:rPr>
            </w:pPr>
            <w:r>
              <w:rPr>
                <w:rFonts w:ascii="Arial" w:cs="Arial" w:eastAsia="Arial" w:hAnsi="Arial"/>
                <w:sz w:val="18"/>
                <w:szCs w:val="18"/>
                <w:color w:val="auto"/>
              </w:rPr>
              <w:t>–Retinopathy of</w:t>
            </w:r>
          </w:p>
        </w:tc>
      </w:tr>
      <w:tr>
        <w:trPr>
          <w:trHeight w:val="173"/>
        </w:trPr>
        <w:tc>
          <w:tcPr>
            <w:tcW w:w="1440" w:type="dxa"/>
            <w:vAlign w:val="bottom"/>
          </w:tcPr>
          <w:p>
            <w:pPr>
              <w:spacing w:after="0" w:line="174" w:lineRule="exact"/>
              <w:rPr>
                <w:sz w:val="20"/>
                <w:szCs w:val="20"/>
                <w:color w:val="auto"/>
              </w:rPr>
            </w:pPr>
            <w:r>
              <w:rPr>
                <w:rFonts w:ascii="Arial" w:cs="Arial" w:eastAsia="Arial" w:hAnsi="Arial"/>
                <w:sz w:val="18"/>
                <w:szCs w:val="18"/>
                <w:color w:val="auto"/>
              </w:rPr>
              <w:t>formulation in wet</w:t>
            </w:r>
          </w:p>
        </w:tc>
        <w:tc>
          <w:tcPr>
            <w:tcW w:w="1420" w:type="dxa"/>
            <w:vAlign w:val="bottom"/>
          </w:tcPr>
          <w:p>
            <w:pPr>
              <w:ind w:left="100"/>
              <w:spacing w:after="0" w:line="174" w:lineRule="exact"/>
              <w:rPr>
                <w:sz w:val="20"/>
                <w:szCs w:val="20"/>
                <w:color w:val="auto"/>
              </w:rPr>
            </w:pPr>
            <w:r>
              <w:rPr>
                <w:rFonts w:ascii="Arial" w:cs="Arial" w:eastAsia="Arial" w:hAnsi="Arial"/>
                <w:sz w:val="18"/>
                <w:szCs w:val="18"/>
                <w:color w:val="auto"/>
              </w:rPr>
              <w:t>prematurity</w:t>
            </w:r>
          </w:p>
        </w:tc>
      </w:tr>
      <w:tr>
        <w:trPr>
          <w:trHeight w:val="309"/>
        </w:trPr>
        <w:tc>
          <w:tcPr>
            <w:tcW w:w="1440" w:type="dxa"/>
            <w:vAlign w:val="bottom"/>
          </w:tcPr>
          <w:p>
            <w:pPr>
              <w:spacing w:after="0"/>
              <w:rPr>
                <w:sz w:val="20"/>
                <w:szCs w:val="20"/>
                <w:color w:val="auto"/>
              </w:rPr>
            </w:pPr>
            <w:r>
              <w:rPr>
                <w:rFonts w:ascii="Arial" w:cs="Arial" w:eastAsia="Arial" w:hAnsi="Arial"/>
                <w:sz w:val="18"/>
                <w:szCs w:val="18"/>
                <w:color w:val="auto"/>
              </w:rPr>
              <w:t>AMD</w:t>
            </w:r>
          </w:p>
        </w:tc>
        <w:tc>
          <w:tcPr>
            <w:tcW w:w="1420" w:type="dxa"/>
            <w:vAlign w:val="bottom"/>
          </w:tcPr>
          <w:p>
            <w:pPr>
              <w:ind w:left="100"/>
              <w:spacing w:after="0"/>
              <w:rPr>
                <w:sz w:val="20"/>
                <w:szCs w:val="20"/>
                <w:color w:val="auto"/>
              </w:rPr>
            </w:pPr>
            <w:r>
              <w:rPr>
                <w:rFonts w:ascii="Arial" w:cs="Arial" w:eastAsia="Arial" w:hAnsi="Arial"/>
                <w:sz w:val="18"/>
                <w:szCs w:val="18"/>
                <w:color w:val="auto"/>
              </w:rPr>
              <w:t>("ROP")</w:t>
            </w:r>
            <w:r>
              <w:rPr>
                <w:rFonts w:ascii="Arial" w:cs="Arial" w:eastAsia="Arial" w:hAnsi="Arial"/>
                <w:sz w:val="23"/>
                <w:szCs w:val="23"/>
                <w:color w:val="auto"/>
                <w:vertAlign w:val="superscript"/>
              </w:rPr>
              <w:t>(c)</w:t>
            </w:r>
          </w:p>
        </w:tc>
      </w:tr>
      <w:tr>
        <w:trPr>
          <w:trHeight w:val="279"/>
        </w:trPr>
        <w:tc>
          <w:tcPr>
            <w:tcW w:w="144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–High-dose</w:t>
            </w:r>
          </w:p>
        </w:tc>
      </w:tr>
      <w:tr>
        <w:trPr>
          <w:trHeight w:val="173"/>
        </w:trPr>
        <w:tc>
          <w:tcPr>
            <w:tcW w:w="1440" w:type="dxa"/>
            <w:vAlign w:val="bottom"/>
          </w:tcPr>
          <w:p>
            <w:pPr>
              <w:spacing w:after="0"/>
              <w:rPr>
                <w:sz w:val="15"/>
                <w:szCs w:val="15"/>
                <w:color w:val="auto"/>
              </w:rPr>
            </w:pPr>
          </w:p>
        </w:tc>
        <w:tc>
          <w:tcPr>
            <w:tcW w:w="1420" w:type="dxa"/>
            <w:vAlign w:val="bottom"/>
          </w:tcPr>
          <w:p>
            <w:pPr>
              <w:ind w:left="100"/>
              <w:spacing w:after="0" w:line="174" w:lineRule="exact"/>
              <w:rPr>
                <w:sz w:val="20"/>
                <w:szCs w:val="20"/>
                <w:color w:val="auto"/>
              </w:rPr>
            </w:pPr>
            <w:r>
              <w:rPr>
                <w:rFonts w:ascii="Arial" w:cs="Arial" w:eastAsia="Arial" w:hAnsi="Arial"/>
                <w:sz w:val="18"/>
                <w:szCs w:val="18"/>
                <w:color w:val="auto"/>
                <w:w w:val="92"/>
              </w:rPr>
              <w:t>formulation in wet</w:t>
            </w:r>
          </w:p>
        </w:tc>
      </w:tr>
      <w:tr>
        <w:trPr>
          <w:trHeight w:val="226"/>
        </w:trPr>
        <w:tc>
          <w:tcPr>
            <w:tcW w:w="144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AMD</w:t>
            </w:r>
          </w:p>
        </w:tc>
      </w:tr>
      <w:tr>
        <w:trPr>
          <w:trHeight w:val="361"/>
        </w:trPr>
        <w:tc>
          <w:tcPr>
            <w:tcW w:w="144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–High-dose</w:t>
            </w:r>
          </w:p>
        </w:tc>
      </w:tr>
      <w:tr>
        <w:trPr>
          <w:trHeight w:val="173"/>
        </w:trPr>
        <w:tc>
          <w:tcPr>
            <w:tcW w:w="1440" w:type="dxa"/>
            <w:vAlign w:val="bottom"/>
          </w:tcPr>
          <w:p>
            <w:pPr>
              <w:spacing w:after="0"/>
              <w:rPr>
                <w:sz w:val="15"/>
                <w:szCs w:val="15"/>
                <w:color w:val="auto"/>
              </w:rPr>
            </w:pPr>
          </w:p>
        </w:tc>
        <w:tc>
          <w:tcPr>
            <w:tcW w:w="1420" w:type="dxa"/>
            <w:vAlign w:val="bottom"/>
          </w:tcPr>
          <w:p>
            <w:pPr>
              <w:ind w:left="100"/>
              <w:spacing w:after="0" w:line="174" w:lineRule="exact"/>
              <w:rPr>
                <w:sz w:val="20"/>
                <w:szCs w:val="20"/>
                <w:color w:val="auto"/>
              </w:rPr>
            </w:pPr>
            <w:r>
              <w:rPr>
                <w:rFonts w:ascii="Arial" w:cs="Arial" w:eastAsia="Arial" w:hAnsi="Arial"/>
                <w:sz w:val="18"/>
                <w:szCs w:val="18"/>
                <w:color w:val="auto"/>
              </w:rPr>
              <w:t>formulation in</w:t>
            </w:r>
          </w:p>
        </w:tc>
      </w:tr>
      <w:tr>
        <w:trPr>
          <w:trHeight w:val="226"/>
        </w:trPr>
        <w:tc>
          <w:tcPr>
            <w:tcW w:w="1440" w:type="dxa"/>
            <w:vAlign w:val="bottom"/>
          </w:tcPr>
          <w:p>
            <w:pPr>
              <w:spacing w:after="0"/>
              <w:rPr>
                <w:sz w:val="19"/>
                <w:szCs w:val="19"/>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rPr>
              <w:t>DME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-1329055</wp:posOffset>
            </wp:positionV>
            <wp:extent cx="7134225" cy="28721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2872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–Initial results from</w:t>
      </w:r>
    </w:p>
    <w:p>
      <w:pPr>
        <w:spacing w:after="0" w:line="201" w:lineRule="auto"/>
        <w:rPr>
          <w:sz w:val="20"/>
          <w:szCs w:val="20"/>
          <w:color w:val="auto"/>
        </w:rPr>
      </w:pPr>
      <w:r>
        <w:rPr>
          <w:rFonts w:ascii="Arial" w:cs="Arial" w:eastAsia="Arial" w:hAnsi="Arial"/>
          <w:sz w:val="18"/>
          <w:szCs w:val="18"/>
          <w:color w:val="auto"/>
        </w:rPr>
        <w:t>National Institutes of</w:t>
      </w:r>
    </w:p>
    <w:p>
      <w:pPr>
        <w:spacing w:after="0" w:line="201" w:lineRule="auto"/>
        <w:rPr>
          <w:sz w:val="20"/>
          <w:szCs w:val="20"/>
          <w:color w:val="auto"/>
        </w:rPr>
      </w:pPr>
      <w:r>
        <w:rPr>
          <w:rFonts w:ascii="Arial" w:cs="Arial" w:eastAsia="Arial" w:hAnsi="Arial"/>
          <w:sz w:val="18"/>
          <w:szCs w:val="18"/>
          <w:color w:val="auto"/>
        </w:rPr>
        <w:t>Health ("NIH")-</w:t>
      </w:r>
    </w:p>
    <w:p>
      <w:pPr>
        <w:spacing w:after="0" w:line="201" w:lineRule="auto"/>
        <w:rPr>
          <w:sz w:val="20"/>
          <w:szCs w:val="20"/>
          <w:color w:val="auto"/>
        </w:rPr>
      </w:pPr>
      <w:r>
        <w:rPr>
          <w:rFonts w:ascii="Arial" w:cs="Arial" w:eastAsia="Arial" w:hAnsi="Arial"/>
          <w:sz w:val="18"/>
          <w:szCs w:val="18"/>
          <w:color w:val="auto"/>
        </w:rPr>
        <w:t>sponsored Protocol W</w:t>
      </w:r>
    </w:p>
    <w:p>
      <w:pPr>
        <w:spacing w:after="0" w:line="201" w:lineRule="auto"/>
        <w:rPr>
          <w:sz w:val="20"/>
          <w:szCs w:val="20"/>
          <w:color w:val="auto"/>
        </w:rPr>
      </w:pPr>
      <w:r>
        <w:rPr>
          <w:rFonts w:ascii="Arial" w:cs="Arial" w:eastAsia="Arial" w:hAnsi="Arial"/>
          <w:sz w:val="18"/>
          <w:szCs w:val="18"/>
          <w:color w:val="auto"/>
        </w:rPr>
        <w:t>trial in non-proliferative</w:t>
      </w:r>
    </w:p>
    <w:p>
      <w:pPr>
        <w:spacing w:after="0" w:line="201" w:lineRule="auto"/>
        <w:rPr>
          <w:sz w:val="20"/>
          <w:szCs w:val="20"/>
          <w:color w:val="auto"/>
        </w:rPr>
      </w:pPr>
      <w:r>
        <w:rPr>
          <w:rFonts w:ascii="Arial" w:cs="Arial" w:eastAsia="Arial" w:hAnsi="Arial"/>
          <w:sz w:val="18"/>
          <w:szCs w:val="18"/>
          <w:color w:val="auto"/>
        </w:rPr>
        <w:t>diabetic retinopathy</w:t>
      </w:r>
    </w:p>
    <w:p>
      <w:pPr>
        <w:spacing w:after="0" w:line="201" w:lineRule="auto"/>
        <w:rPr>
          <w:sz w:val="20"/>
          <w:szCs w:val="20"/>
          <w:color w:val="auto"/>
        </w:rPr>
      </w:pPr>
      <w:r>
        <w:rPr>
          <w:rFonts w:ascii="Arial" w:cs="Arial" w:eastAsia="Arial" w:hAnsi="Arial"/>
          <w:sz w:val="18"/>
          <w:szCs w:val="18"/>
          <w:color w:val="auto"/>
        </w:rPr>
        <w:t>("NPDR") were</w:t>
      </w:r>
    </w:p>
    <w:p>
      <w:pPr>
        <w:spacing w:after="0" w:line="201" w:lineRule="auto"/>
        <w:rPr>
          <w:sz w:val="20"/>
          <w:szCs w:val="20"/>
          <w:color w:val="auto"/>
        </w:rPr>
      </w:pPr>
      <w:r>
        <w:rPr>
          <w:rFonts w:ascii="Arial" w:cs="Arial" w:eastAsia="Arial" w:hAnsi="Arial"/>
          <w:sz w:val="18"/>
          <w:szCs w:val="18"/>
          <w:color w:val="auto"/>
        </w:rPr>
        <w:t>announced; data</w:t>
      </w:r>
    </w:p>
    <w:p>
      <w:pPr>
        <w:spacing w:after="0" w:line="201" w:lineRule="auto"/>
        <w:rPr>
          <w:sz w:val="20"/>
          <w:szCs w:val="20"/>
          <w:color w:val="auto"/>
        </w:rPr>
      </w:pPr>
      <w:r>
        <w:rPr>
          <w:rFonts w:ascii="Arial" w:cs="Arial" w:eastAsia="Arial" w:hAnsi="Arial"/>
          <w:sz w:val="18"/>
          <w:szCs w:val="18"/>
          <w:color w:val="auto"/>
        </w:rPr>
        <w:t>confirmed results from</w:t>
      </w:r>
    </w:p>
    <w:p>
      <w:pPr>
        <w:spacing w:after="0" w:line="202" w:lineRule="auto"/>
        <w:rPr>
          <w:sz w:val="20"/>
          <w:szCs w:val="20"/>
          <w:color w:val="auto"/>
        </w:rPr>
      </w:pPr>
      <w:r>
        <w:rPr>
          <w:rFonts w:ascii="Arial" w:cs="Arial" w:eastAsia="Arial" w:hAnsi="Arial"/>
          <w:sz w:val="18"/>
          <w:szCs w:val="18"/>
          <w:color w:val="auto"/>
        </w:rPr>
        <w:t>Company-sponsored</w:t>
      </w:r>
    </w:p>
    <w:p>
      <w:pPr>
        <w:spacing w:after="0" w:line="201" w:lineRule="auto"/>
        <w:rPr>
          <w:sz w:val="20"/>
          <w:szCs w:val="20"/>
          <w:color w:val="auto"/>
        </w:rPr>
      </w:pPr>
      <w:r>
        <w:rPr>
          <w:rFonts w:ascii="Arial" w:cs="Arial" w:eastAsia="Arial" w:hAnsi="Arial"/>
          <w:sz w:val="18"/>
          <w:szCs w:val="18"/>
          <w:color w:val="auto"/>
        </w:rPr>
        <w:t>PANORAMA trial and</w:t>
      </w:r>
    </w:p>
    <w:p>
      <w:pPr>
        <w:spacing w:after="0" w:line="201" w:lineRule="auto"/>
        <w:rPr>
          <w:sz w:val="20"/>
          <w:szCs w:val="20"/>
          <w:color w:val="auto"/>
        </w:rPr>
      </w:pPr>
      <w:r>
        <w:rPr>
          <w:rFonts w:ascii="Arial" w:cs="Arial" w:eastAsia="Arial" w:hAnsi="Arial"/>
          <w:sz w:val="18"/>
          <w:szCs w:val="18"/>
          <w:color w:val="auto"/>
        </w:rPr>
        <w:t>demonstrated reduced</w:t>
      </w:r>
    </w:p>
    <w:p>
      <w:pPr>
        <w:spacing w:after="0" w:line="226" w:lineRule="auto"/>
        <w:rPr>
          <w:sz w:val="20"/>
          <w:szCs w:val="20"/>
          <w:color w:val="auto"/>
        </w:rPr>
      </w:pPr>
      <w:r>
        <w:rPr>
          <w:rFonts w:ascii="Arial" w:cs="Arial" w:eastAsia="Arial" w:hAnsi="Arial"/>
          <w:sz w:val="16"/>
          <w:szCs w:val="16"/>
          <w:color w:val="auto"/>
        </w:rPr>
        <w:t>risk of developing vision-</w:t>
      </w:r>
    </w:p>
    <w:p>
      <w:pPr>
        <w:spacing w:after="0" w:line="201" w:lineRule="auto"/>
        <w:rPr>
          <w:sz w:val="20"/>
          <w:szCs w:val="20"/>
          <w:color w:val="auto"/>
        </w:rPr>
      </w:pPr>
      <w:r>
        <w:rPr>
          <w:rFonts w:ascii="Arial" w:cs="Arial" w:eastAsia="Arial" w:hAnsi="Arial"/>
          <w:sz w:val="18"/>
          <w:szCs w:val="18"/>
          <w:color w:val="auto"/>
        </w:rPr>
        <w:t>threatening</w:t>
      </w:r>
    </w:p>
    <w:p>
      <w:pPr>
        <w:spacing w:after="0" w:line="201" w:lineRule="auto"/>
        <w:rPr>
          <w:sz w:val="20"/>
          <w:szCs w:val="20"/>
          <w:color w:val="auto"/>
        </w:rPr>
      </w:pPr>
      <w:r>
        <w:rPr>
          <w:rFonts w:ascii="Arial" w:cs="Arial" w:eastAsia="Arial" w:hAnsi="Arial"/>
          <w:sz w:val="18"/>
          <w:szCs w:val="18"/>
          <w:color w:val="auto"/>
        </w:rPr>
        <w:t>complications with</w:t>
      </w:r>
    </w:p>
    <w:p>
      <w:pPr>
        <w:spacing w:after="0" w:line="213" w:lineRule="auto"/>
        <w:rPr>
          <w:sz w:val="20"/>
          <w:szCs w:val="20"/>
          <w:color w:val="auto"/>
        </w:rPr>
      </w:pPr>
      <w:r>
        <w:rPr>
          <w:rFonts w:ascii="Arial" w:cs="Arial" w:eastAsia="Arial" w:hAnsi="Arial"/>
          <w:sz w:val="17"/>
          <w:szCs w:val="17"/>
          <w:color w:val="auto"/>
        </w:rPr>
        <w:t>every-16-weeks dosing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regimen</w:t>
      </w:r>
    </w:p>
    <w:p>
      <w:pPr>
        <w:spacing w:after="0" w:line="19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–Completed enrollment in Phase 3 study for ROP</w:t>
      </w:r>
    </w:p>
    <w:p>
      <w:pPr>
        <w:spacing w:after="0" w:line="156"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–Completed enrollment in Phase 3 studies for high-dose formulation in wet AMD and DME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–Submit supplemental BLA ("sBLA") for every-16-weeks dosing regimen in patients with NPDR (Q4 2021)</w:t>
      </w:r>
    </w:p>
    <w:p>
      <w:pPr>
        <w:spacing w:after="0" w:line="18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–Report results from Phase 2 study for high-dose formulation in wet AMD (second half 2021)</w:t>
      </w:r>
    </w:p>
    <w:p>
      <w:pPr>
        <w:spacing w:after="0" w:line="2717" w:lineRule="exact"/>
        <w:rPr>
          <w:sz w:val="20"/>
          <w:szCs w:val="20"/>
          <w:color w:val="auto"/>
        </w:rPr>
      </w:pPr>
    </w:p>
    <w:p>
      <w:pPr>
        <w:sectPr>
          <w:pgSz w:w="11900" w:h="16838" w:orient="portrait"/>
          <w:cols w:equalWidth="0" w:num="4">
            <w:col w:w="2340" w:space="720"/>
            <w:col w:w="3680" w:space="720"/>
            <w:col w:w="1840" w:space="120"/>
            <w:col w:w="1820"/>
          </w:cols>
          <w:pgMar w:left="320" w:top="370" w:right="339" w:bottom="1440" w:gutter="0" w:footer="0" w:header="0"/>
          <w:type w:val="continuous"/>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Dupixent (dupilumab)</w:t>
      </w:r>
    </w:p>
    <w:p>
      <w:pPr>
        <w:ind w:left="20"/>
        <w:spacing w:after="0" w:line="238" w:lineRule="auto"/>
        <w:rPr>
          <w:sz w:val="20"/>
          <w:szCs w:val="20"/>
          <w:color w:val="auto"/>
        </w:rPr>
      </w:pPr>
      <w:r>
        <w:rPr>
          <w:rFonts w:ascii="Arial" w:cs="Arial" w:eastAsia="Arial" w:hAnsi="Arial"/>
          <w:sz w:val="12"/>
          <w:szCs w:val="12"/>
          <w:b w:val="1"/>
          <w:bCs w:val="1"/>
          <w:color w:val="auto"/>
        </w:rPr>
        <w:t>(a)</w:t>
      </w:r>
    </w:p>
    <w:p>
      <w:pPr>
        <w:spacing w:after="0" w:line="5" w:lineRule="exact"/>
        <w:rPr>
          <w:sz w:val="20"/>
          <w:szCs w:val="20"/>
          <w:color w:val="auto"/>
        </w:rPr>
      </w:pPr>
    </w:p>
    <w:p>
      <w:pPr>
        <w:ind w:left="20" w:right="580"/>
        <w:spacing w:after="0" w:line="231" w:lineRule="auto"/>
        <w:rPr>
          <w:sz w:val="20"/>
          <w:szCs w:val="20"/>
          <w:color w:val="auto"/>
        </w:rPr>
      </w:pPr>
      <w:r>
        <w:rPr>
          <w:rFonts w:ascii="Arial" w:cs="Arial" w:eastAsia="Arial" w:hAnsi="Arial"/>
          <w:sz w:val="18"/>
          <w:szCs w:val="18"/>
          <w:i w:val="1"/>
          <w:iCs w:val="1"/>
          <w:color w:val="auto"/>
        </w:rPr>
        <w:t>Antibody to IL-4R alpha subunit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960" w:type="dxa"/>
            <w:vAlign w:val="bottom"/>
            <w:gridSpan w:val="2"/>
          </w:tcPr>
          <w:p>
            <w:pPr>
              <w:ind w:left="160"/>
              <w:spacing w:after="0"/>
              <w:rPr>
                <w:sz w:val="20"/>
                <w:szCs w:val="20"/>
                <w:color w:val="auto"/>
              </w:rPr>
            </w:pPr>
            <w:r>
              <w:rPr>
                <w:rFonts w:ascii="Arial" w:cs="Arial" w:eastAsia="Arial" w:hAnsi="Arial"/>
                <w:sz w:val="18"/>
                <w:szCs w:val="18"/>
                <w:b w:val="1"/>
                <w:bCs w:val="1"/>
                <w:color w:val="auto"/>
              </w:rPr>
              <w:t>Immunology &amp; Inflammation</w:t>
            </w:r>
          </w:p>
        </w:tc>
        <w:tc>
          <w:tcPr>
            <w:tcW w:w="0" w:type="dxa"/>
            <w:vAlign w:val="bottom"/>
          </w:tcPr>
          <w:p>
            <w:pPr>
              <w:spacing w:after="0"/>
              <w:rPr>
                <w:sz w:val="1"/>
                <w:szCs w:val="1"/>
                <w:color w:val="auto"/>
              </w:rPr>
            </w:pPr>
          </w:p>
        </w:tc>
      </w:tr>
      <w:tr>
        <w:trPr>
          <w:trHeight w:val="228"/>
        </w:trPr>
        <w:tc>
          <w:tcPr>
            <w:tcW w:w="1280" w:type="dxa"/>
            <w:vAlign w:val="bottom"/>
          </w:tcPr>
          <w:p>
            <w:pPr>
              <w:spacing w:after="0"/>
              <w:rPr>
                <w:sz w:val="20"/>
                <w:szCs w:val="20"/>
                <w:color w:val="auto"/>
              </w:rPr>
            </w:pPr>
            <w:r>
              <w:rPr>
                <w:rFonts w:ascii="Arial" w:cs="Arial" w:eastAsia="Arial" w:hAnsi="Arial"/>
                <w:sz w:val="18"/>
                <w:szCs w:val="18"/>
                <w:color w:val="auto"/>
              </w:rPr>
              <w:t>–Peanut allergy</w:t>
            </w:r>
          </w:p>
        </w:tc>
        <w:tc>
          <w:tcPr>
            <w:tcW w:w="1740" w:type="dxa"/>
            <w:vAlign w:val="bottom"/>
          </w:tcPr>
          <w:p>
            <w:pPr>
              <w:ind w:left="260"/>
              <w:spacing w:after="0"/>
              <w:rPr>
                <w:sz w:val="20"/>
                <w:szCs w:val="20"/>
                <w:color w:val="auto"/>
              </w:rPr>
            </w:pPr>
            <w:r>
              <w:rPr>
                <w:rFonts w:ascii="Arial" w:cs="Arial" w:eastAsia="Arial" w:hAnsi="Arial"/>
                <w:sz w:val="18"/>
                <w:szCs w:val="18"/>
                <w:color w:val="auto"/>
              </w:rPr>
              <w:t>–Atopic dermatitis</w:t>
            </w:r>
          </w:p>
        </w:tc>
        <w:tc>
          <w:tcPr>
            <w:tcW w:w="1220" w:type="dxa"/>
            <w:vAlign w:val="bottom"/>
          </w:tcPr>
          <w:p>
            <w:pPr>
              <w:ind w:left="80"/>
              <w:spacing w:after="0"/>
              <w:rPr>
                <w:sz w:val="20"/>
                <w:szCs w:val="20"/>
                <w:color w:val="auto"/>
              </w:rPr>
            </w:pPr>
            <w:r>
              <w:rPr>
                <w:rFonts w:ascii="Arial" w:cs="Arial" w:eastAsia="Arial" w:hAnsi="Arial"/>
                <w:sz w:val="18"/>
                <w:szCs w:val="18"/>
                <w:color w:val="auto"/>
              </w:rPr>
              <w:t>–Asthma in</w:t>
            </w:r>
          </w:p>
        </w:tc>
        <w:tc>
          <w:tcPr>
            <w:tcW w:w="0" w:type="dxa"/>
            <w:vAlign w:val="bottom"/>
          </w:tcPr>
          <w:p>
            <w:pPr>
              <w:spacing w:after="0"/>
              <w:rPr>
                <w:sz w:val="1"/>
                <w:szCs w:val="1"/>
                <w:color w:val="auto"/>
              </w:rPr>
            </w:pPr>
          </w:p>
        </w:tc>
      </w:tr>
      <w:tr>
        <w:trPr>
          <w:trHeight w:val="173"/>
        </w:trPr>
        <w:tc>
          <w:tcPr>
            <w:tcW w:w="1280" w:type="dxa"/>
            <w:vAlign w:val="bottom"/>
            <w:vMerge w:val="restart"/>
          </w:tcPr>
          <w:p>
            <w:pPr>
              <w:spacing w:after="0"/>
              <w:rPr>
                <w:sz w:val="20"/>
                <w:szCs w:val="20"/>
                <w:color w:val="auto"/>
              </w:rPr>
            </w:pPr>
            <w:r>
              <w:rPr>
                <w:rFonts w:ascii="Arial" w:cs="Arial" w:eastAsia="Arial" w:hAnsi="Arial"/>
                <w:sz w:val="18"/>
                <w:szCs w:val="18"/>
                <w:color w:val="auto"/>
              </w:rPr>
              <w:t>–Grass allergy</w:t>
            </w:r>
          </w:p>
        </w:tc>
        <w:tc>
          <w:tcPr>
            <w:tcW w:w="1740" w:type="dxa"/>
            <w:vAlign w:val="bottom"/>
          </w:tcPr>
          <w:p>
            <w:pPr>
              <w:ind w:left="260"/>
              <w:spacing w:after="0" w:line="174" w:lineRule="exact"/>
              <w:rPr>
                <w:sz w:val="20"/>
                <w:szCs w:val="20"/>
                <w:color w:val="auto"/>
              </w:rPr>
            </w:pPr>
            <w:r>
              <w:rPr>
                <w:rFonts w:ascii="Arial" w:cs="Arial" w:eastAsia="Arial" w:hAnsi="Arial"/>
                <w:sz w:val="18"/>
                <w:szCs w:val="18"/>
                <w:color w:val="auto"/>
              </w:rPr>
              <w:t>in pediatrics (6</w:t>
            </w:r>
          </w:p>
        </w:tc>
        <w:tc>
          <w:tcPr>
            <w:tcW w:w="1220" w:type="dxa"/>
            <w:vAlign w:val="bottom"/>
          </w:tcPr>
          <w:p>
            <w:pPr>
              <w:ind w:left="80"/>
              <w:spacing w:after="0" w:line="174" w:lineRule="exact"/>
              <w:rPr>
                <w:sz w:val="20"/>
                <w:szCs w:val="20"/>
                <w:color w:val="auto"/>
              </w:rPr>
            </w:pPr>
            <w:r>
              <w:rPr>
                <w:rFonts w:ascii="Arial" w:cs="Arial" w:eastAsia="Arial" w:hAnsi="Arial"/>
                <w:sz w:val="18"/>
                <w:szCs w:val="18"/>
                <w:color w:val="auto"/>
                <w:w w:val="87"/>
              </w:rPr>
              <w:t>pediatrics (6–11</w:t>
            </w:r>
          </w:p>
        </w:tc>
        <w:tc>
          <w:tcPr>
            <w:tcW w:w="0" w:type="dxa"/>
            <w:vAlign w:val="bottom"/>
          </w:tcPr>
          <w:p>
            <w:pPr>
              <w:spacing w:after="0"/>
              <w:rPr>
                <w:sz w:val="1"/>
                <w:szCs w:val="1"/>
                <w:color w:val="auto"/>
              </w:rPr>
            </w:pPr>
          </w:p>
        </w:tc>
      </w:tr>
      <w:tr>
        <w:trPr>
          <w:trHeight w:val="173"/>
        </w:trPr>
        <w:tc>
          <w:tcPr>
            <w:tcW w:w="1280" w:type="dxa"/>
            <w:vAlign w:val="bottom"/>
            <w:vMerge w:val="continue"/>
          </w:tcPr>
          <w:p>
            <w:pPr>
              <w:spacing w:after="0"/>
              <w:rPr>
                <w:sz w:val="15"/>
                <w:szCs w:val="15"/>
                <w:color w:val="auto"/>
              </w:rPr>
            </w:pPr>
          </w:p>
        </w:tc>
        <w:tc>
          <w:tcPr>
            <w:tcW w:w="1740" w:type="dxa"/>
            <w:vAlign w:val="bottom"/>
          </w:tcPr>
          <w:p>
            <w:pPr>
              <w:ind w:left="260"/>
              <w:spacing w:after="0" w:line="174" w:lineRule="exact"/>
              <w:rPr>
                <w:sz w:val="20"/>
                <w:szCs w:val="20"/>
                <w:color w:val="auto"/>
              </w:rPr>
            </w:pPr>
            <w:r>
              <w:rPr>
                <w:rFonts w:ascii="Arial" w:cs="Arial" w:eastAsia="Arial" w:hAnsi="Arial"/>
                <w:sz w:val="18"/>
                <w:szCs w:val="18"/>
                <w:color w:val="auto"/>
                <w:w w:val="98"/>
              </w:rPr>
              <w:t>months–5 years of</w:t>
            </w:r>
          </w:p>
        </w:tc>
        <w:tc>
          <w:tcPr>
            <w:tcW w:w="1220" w:type="dxa"/>
            <w:vAlign w:val="bottom"/>
          </w:tcPr>
          <w:p>
            <w:pPr>
              <w:ind w:left="80"/>
              <w:spacing w:after="0" w:line="174" w:lineRule="exact"/>
              <w:rPr>
                <w:sz w:val="20"/>
                <w:szCs w:val="20"/>
                <w:color w:val="auto"/>
              </w:rPr>
            </w:pPr>
            <w:r>
              <w:rPr>
                <w:rFonts w:ascii="Arial" w:cs="Arial" w:eastAsia="Arial" w:hAnsi="Arial"/>
                <w:sz w:val="18"/>
                <w:szCs w:val="18"/>
                <w:color w:val="auto"/>
              </w:rPr>
              <w:t>years of age)</w:t>
            </w:r>
          </w:p>
        </w:tc>
        <w:tc>
          <w:tcPr>
            <w:tcW w:w="0" w:type="dxa"/>
            <w:vAlign w:val="bottom"/>
          </w:tcPr>
          <w:p>
            <w:pPr>
              <w:spacing w:after="0"/>
              <w:rPr>
                <w:sz w:val="1"/>
                <w:szCs w:val="1"/>
                <w:color w:val="auto"/>
              </w:rPr>
            </w:pPr>
          </w:p>
        </w:tc>
      </w:tr>
      <w:tr>
        <w:trPr>
          <w:trHeight w:val="309"/>
        </w:trPr>
        <w:tc>
          <w:tcPr>
            <w:tcW w:w="128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w w:val="95"/>
              </w:rPr>
              <w:t>age) (Phase 2/3)</w:t>
            </w:r>
            <w:r>
              <w:rPr>
                <w:rFonts w:ascii="Arial" w:cs="Arial" w:eastAsia="Arial" w:hAnsi="Arial"/>
                <w:sz w:val="23"/>
                <w:szCs w:val="23"/>
                <w:color w:val="auto"/>
                <w:w w:val="95"/>
                <w:vertAlign w:val="superscript"/>
              </w:rPr>
              <w:t>(d)</w:t>
            </w:r>
          </w:p>
        </w:tc>
        <w:tc>
          <w:tcPr>
            <w:tcW w:w="1220" w:type="dxa"/>
            <w:vAlign w:val="bottom"/>
          </w:tcPr>
          <w:p>
            <w:pPr>
              <w:ind w:left="80"/>
              <w:spacing w:after="0"/>
              <w:rPr>
                <w:sz w:val="20"/>
                <w:szCs w:val="20"/>
                <w:color w:val="auto"/>
              </w:rPr>
            </w:pPr>
            <w:r>
              <w:rPr>
                <w:rFonts w:ascii="Arial" w:cs="Arial" w:eastAsia="Arial" w:hAnsi="Arial"/>
                <w:sz w:val="18"/>
                <w:szCs w:val="18"/>
                <w:color w:val="auto"/>
                <w:w w:val="99"/>
              </w:rPr>
              <w:t>(U.S. and EU)</w:t>
            </w:r>
          </w:p>
        </w:tc>
        <w:tc>
          <w:tcPr>
            <w:tcW w:w="0" w:type="dxa"/>
            <w:vAlign w:val="bottom"/>
          </w:tcPr>
          <w:p>
            <w:pPr>
              <w:spacing w:after="0"/>
              <w:rPr>
                <w:sz w:val="1"/>
                <w:szCs w:val="1"/>
                <w:color w:val="auto"/>
              </w:rPr>
            </w:pPr>
          </w:p>
        </w:tc>
      </w:tr>
      <w:tr>
        <w:trPr>
          <w:trHeight w:val="279"/>
        </w:trPr>
        <w:tc>
          <w:tcPr>
            <w:tcW w:w="128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–Asthma in</w:t>
            </w:r>
          </w:p>
        </w:tc>
        <w:tc>
          <w:tcPr>
            <w:tcW w:w="1220" w:type="dxa"/>
            <w:vAlign w:val="bottom"/>
          </w:tcPr>
          <w:p>
            <w:pPr>
              <w:ind w:left="80"/>
              <w:spacing w:after="0"/>
              <w:rPr>
                <w:sz w:val="20"/>
                <w:szCs w:val="20"/>
                <w:color w:val="auto"/>
              </w:rPr>
            </w:pPr>
            <w:r>
              <w:rPr>
                <w:rFonts w:ascii="Arial" w:cs="Arial" w:eastAsia="Arial" w:hAnsi="Arial"/>
                <w:sz w:val="18"/>
                <w:szCs w:val="18"/>
                <w:color w:val="auto"/>
                <w:w w:val="88"/>
              </w:rPr>
              <w:t>–Asthma longer</w:t>
            </w: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740" w:type="dxa"/>
            <w:vAlign w:val="bottom"/>
          </w:tcPr>
          <w:p>
            <w:pPr>
              <w:ind w:left="260"/>
              <w:spacing w:after="0" w:line="174" w:lineRule="exact"/>
              <w:rPr>
                <w:sz w:val="20"/>
                <w:szCs w:val="20"/>
                <w:color w:val="auto"/>
              </w:rPr>
            </w:pPr>
            <w:r>
              <w:rPr>
                <w:rFonts w:ascii="Arial" w:cs="Arial" w:eastAsia="Arial" w:hAnsi="Arial"/>
                <w:sz w:val="18"/>
                <w:szCs w:val="18"/>
                <w:color w:val="auto"/>
              </w:rPr>
              <w:t>pediatrics (6–11</w:t>
            </w:r>
          </w:p>
        </w:tc>
        <w:tc>
          <w:tcPr>
            <w:tcW w:w="1220" w:type="dxa"/>
            <w:vAlign w:val="bottom"/>
          </w:tcPr>
          <w:p>
            <w:pPr>
              <w:ind w:left="80"/>
              <w:spacing w:after="0" w:line="174" w:lineRule="exact"/>
              <w:rPr>
                <w:sz w:val="20"/>
                <w:szCs w:val="20"/>
                <w:color w:val="auto"/>
              </w:rPr>
            </w:pPr>
            <w:r>
              <w:rPr>
                <w:rFonts w:ascii="Arial" w:cs="Arial" w:eastAsia="Arial" w:hAnsi="Arial"/>
                <w:sz w:val="18"/>
                <w:szCs w:val="18"/>
                <w:color w:val="auto"/>
              </w:rPr>
              <w:t>term efficacy</w:t>
            </w: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740" w:type="dxa"/>
            <w:vAlign w:val="bottom"/>
          </w:tcPr>
          <w:p>
            <w:pPr>
              <w:ind w:left="260"/>
              <w:spacing w:after="0" w:line="174" w:lineRule="exact"/>
              <w:rPr>
                <w:sz w:val="20"/>
                <w:szCs w:val="20"/>
                <w:color w:val="auto"/>
              </w:rPr>
            </w:pPr>
            <w:r>
              <w:rPr>
                <w:rFonts w:ascii="Arial" w:cs="Arial" w:eastAsia="Arial" w:hAnsi="Arial"/>
                <w:sz w:val="18"/>
                <w:szCs w:val="18"/>
                <w:color w:val="auto"/>
              </w:rPr>
              <w:t>years of age)</w:t>
            </w:r>
          </w:p>
        </w:tc>
        <w:tc>
          <w:tcPr>
            <w:tcW w:w="1220" w:type="dxa"/>
            <w:vAlign w:val="bottom"/>
          </w:tcPr>
          <w:p>
            <w:pPr>
              <w:ind w:left="80"/>
              <w:spacing w:after="0" w:line="174" w:lineRule="exact"/>
              <w:rPr>
                <w:sz w:val="20"/>
                <w:szCs w:val="20"/>
                <w:color w:val="auto"/>
              </w:rPr>
            </w:pPr>
            <w:r>
              <w:rPr>
                <w:rFonts w:ascii="Arial" w:cs="Arial" w:eastAsia="Arial" w:hAnsi="Arial"/>
                <w:sz w:val="18"/>
                <w:szCs w:val="18"/>
                <w:color w:val="auto"/>
              </w:rPr>
              <w:t>and safety in</w:t>
            </w: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ind w:left="80"/>
              <w:spacing w:after="0" w:line="174" w:lineRule="exact"/>
              <w:rPr>
                <w:sz w:val="20"/>
                <w:szCs w:val="20"/>
                <w:color w:val="auto"/>
              </w:rPr>
            </w:pPr>
            <w:r>
              <w:rPr>
                <w:rFonts w:ascii="Arial" w:cs="Arial" w:eastAsia="Arial" w:hAnsi="Arial"/>
                <w:sz w:val="18"/>
                <w:szCs w:val="18"/>
                <w:color w:val="auto"/>
              </w:rPr>
              <w:t>adults and</w:t>
            </w: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1740" w:type="dxa"/>
            <w:vAlign w:val="bottom"/>
            <w:vMerge w:val="restart"/>
          </w:tcPr>
          <w:p>
            <w:pPr>
              <w:ind w:left="260"/>
              <w:spacing w:after="0"/>
              <w:rPr>
                <w:sz w:val="20"/>
                <w:szCs w:val="20"/>
                <w:color w:val="auto"/>
              </w:rPr>
            </w:pPr>
            <w:r>
              <w:rPr>
                <w:rFonts w:ascii="Arial" w:cs="Arial" w:eastAsia="Arial" w:hAnsi="Arial"/>
                <w:sz w:val="18"/>
                <w:szCs w:val="18"/>
                <w:color w:val="auto"/>
              </w:rPr>
              <w:t>–Eosinophilic</w:t>
            </w:r>
          </w:p>
        </w:tc>
        <w:tc>
          <w:tcPr>
            <w:tcW w:w="1220" w:type="dxa"/>
            <w:vAlign w:val="bottom"/>
          </w:tcPr>
          <w:p>
            <w:pPr>
              <w:ind w:left="80"/>
              <w:spacing w:after="0" w:line="174" w:lineRule="exact"/>
              <w:rPr>
                <w:sz w:val="20"/>
                <w:szCs w:val="20"/>
                <w:color w:val="auto"/>
              </w:rPr>
            </w:pPr>
            <w:r>
              <w:rPr>
                <w:rFonts w:ascii="Arial" w:cs="Arial" w:eastAsia="Arial" w:hAnsi="Arial"/>
                <w:sz w:val="18"/>
                <w:szCs w:val="18"/>
                <w:color w:val="auto"/>
              </w:rPr>
              <w:t>adolescents</w:t>
            </w:r>
          </w:p>
        </w:tc>
        <w:tc>
          <w:tcPr>
            <w:tcW w:w="0" w:type="dxa"/>
            <w:vAlign w:val="bottom"/>
          </w:tcPr>
          <w:p>
            <w:pPr>
              <w:spacing w:after="0"/>
              <w:rPr>
                <w:sz w:val="1"/>
                <w:szCs w:val="1"/>
                <w:color w:val="auto"/>
              </w:rPr>
            </w:pPr>
          </w:p>
        </w:tc>
      </w:tr>
      <w:tr>
        <w:trPr>
          <w:trHeight w:val="67"/>
        </w:trPr>
        <w:tc>
          <w:tcPr>
            <w:tcW w:w="12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740" w:type="dxa"/>
            <w:vAlign w:val="bottom"/>
          </w:tcPr>
          <w:p>
            <w:pPr>
              <w:ind w:left="260"/>
              <w:spacing w:after="0" w:line="189" w:lineRule="exact"/>
              <w:rPr>
                <w:sz w:val="20"/>
                <w:szCs w:val="20"/>
                <w:color w:val="auto"/>
              </w:rPr>
            </w:pPr>
            <w:r>
              <w:rPr>
                <w:rFonts w:ascii="Arial" w:cs="Arial" w:eastAsia="Arial" w:hAnsi="Arial"/>
                <w:sz w:val="18"/>
                <w:szCs w:val="18"/>
                <w:color w:val="auto"/>
                <w:w w:val="94"/>
              </w:rPr>
              <w:t>esophagitis ("EoE")</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-1483360</wp:posOffset>
            </wp:positionV>
            <wp:extent cx="7134225"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540"/>
        <w:spacing w:after="0" w:line="181" w:lineRule="auto"/>
        <w:rPr>
          <w:sz w:val="20"/>
          <w:szCs w:val="20"/>
          <w:color w:val="auto"/>
        </w:rPr>
      </w:pPr>
      <w:r>
        <w:rPr>
          <w:rFonts w:ascii="Arial" w:cs="Arial" w:eastAsia="Arial" w:hAnsi="Arial"/>
          <w:sz w:val="20"/>
          <w:szCs w:val="20"/>
          <w:color w:val="auto"/>
          <w:vertAlign w:val="superscript"/>
        </w:rPr>
        <w:t>(c)</w:t>
      </w:r>
      <w:r>
        <w:rPr>
          <w:rFonts w:ascii="Arial" w:cs="Arial" w:eastAsia="Arial" w:hAnsi="Arial"/>
          <w:sz w:val="16"/>
          <w:szCs w:val="16"/>
          <w:color w:val="auto"/>
        </w:rPr>
        <w:t xml:space="preserve"> in adults</w:t>
      </w:r>
      <w:r>
        <w:rPr>
          <w:rFonts w:ascii="Arial" w:cs="Arial" w:eastAsia="Arial" w:hAnsi="Arial"/>
          <w:sz w:val="20"/>
          <w:szCs w:val="20"/>
          <w:color w:val="auto"/>
          <w:vertAlign w:val="superscript"/>
        </w:rPr>
        <w:t>(d)</w:t>
      </w:r>
      <w:r>
        <w:rPr>
          <w:rFonts w:ascii="Arial" w:cs="Arial" w:eastAsia="Arial" w:hAnsi="Arial"/>
          <w:sz w:val="16"/>
          <w:szCs w:val="16"/>
          <w:color w:val="auto"/>
        </w:rPr>
        <w:t>,</w:t>
      </w:r>
    </w:p>
    <w:p>
      <w:pPr>
        <w:ind w:left="1540"/>
        <w:spacing w:after="0" w:line="181" w:lineRule="auto"/>
        <w:rPr>
          <w:sz w:val="20"/>
          <w:szCs w:val="20"/>
          <w:color w:val="auto"/>
        </w:rPr>
      </w:pPr>
      <w:r>
        <w:rPr>
          <w:rFonts w:ascii="Arial" w:cs="Arial" w:eastAsia="Arial" w:hAnsi="Arial"/>
          <w:sz w:val="16"/>
          <w:szCs w:val="16"/>
          <w:color w:val="auto"/>
        </w:rPr>
        <w:t>adolescents</w:t>
      </w:r>
      <w:r>
        <w:rPr>
          <w:rFonts w:ascii="Arial" w:cs="Arial" w:eastAsia="Arial" w:hAnsi="Arial"/>
          <w:sz w:val="20"/>
          <w:szCs w:val="20"/>
          <w:color w:val="auto"/>
          <w:vertAlign w:val="superscript"/>
        </w:rPr>
        <w:t>(d)</w:t>
      </w:r>
      <w:r>
        <w:rPr>
          <w:rFonts w:ascii="Arial" w:cs="Arial" w:eastAsia="Arial" w:hAnsi="Arial"/>
          <w:sz w:val="16"/>
          <w:szCs w:val="16"/>
          <w:color w:val="auto"/>
        </w:rPr>
        <w:t>, and</w:t>
      </w:r>
    </w:p>
    <w:p>
      <w:pPr>
        <w:ind w:left="1540"/>
        <w:spacing w:after="0"/>
        <w:rPr>
          <w:sz w:val="20"/>
          <w:szCs w:val="20"/>
          <w:color w:val="auto"/>
        </w:rPr>
      </w:pPr>
      <w:r>
        <w:rPr>
          <w:rFonts w:ascii="Arial" w:cs="Arial" w:eastAsia="Arial" w:hAnsi="Arial"/>
          <w:sz w:val="18"/>
          <w:szCs w:val="18"/>
          <w:color w:val="auto"/>
        </w:rPr>
        <w:t>pediatrics</w:t>
      </w:r>
    </w:p>
    <w:p>
      <w:pPr>
        <w:spacing w:after="0" w:line="1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–Chronic</w:t>
      </w:r>
    </w:p>
    <w:p>
      <w:pPr>
        <w:ind w:left="1540"/>
        <w:spacing w:after="0" w:line="201" w:lineRule="auto"/>
        <w:rPr>
          <w:sz w:val="20"/>
          <w:szCs w:val="20"/>
          <w:color w:val="auto"/>
        </w:rPr>
      </w:pPr>
      <w:r>
        <w:rPr>
          <w:rFonts w:ascii="Arial" w:cs="Arial" w:eastAsia="Arial" w:hAnsi="Arial"/>
          <w:sz w:val="18"/>
          <w:szCs w:val="18"/>
          <w:color w:val="auto"/>
        </w:rPr>
        <w:t>obstructive</w:t>
      </w:r>
    </w:p>
    <w:p>
      <w:pPr>
        <w:ind w:left="1540"/>
        <w:spacing w:after="0" w:line="201" w:lineRule="auto"/>
        <w:rPr>
          <w:sz w:val="20"/>
          <w:szCs w:val="20"/>
          <w:color w:val="auto"/>
        </w:rPr>
      </w:pPr>
      <w:r>
        <w:rPr>
          <w:rFonts w:ascii="Arial" w:cs="Arial" w:eastAsia="Arial" w:hAnsi="Arial"/>
          <w:sz w:val="18"/>
          <w:szCs w:val="18"/>
          <w:color w:val="auto"/>
        </w:rPr>
        <w:t>pulmonary disease</w:t>
      </w:r>
    </w:p>
    <w:p>
      <w:pPr>
        <w:ind w:left="1540"/>
        <w:spacing w:after="0"/>
        <w:rPr>
          <w:sz w:val="20"/>
          <w:szCs w:val="20"/>
          <w:color w:val="auto"/>
        </w:rPr>
      </w:pPr>
      <w:r>
        <w:rPr>
          <w:rFonts w:ascii="Arial" w:cs="Arial" w:eastAsia="Arial" w:hAnsi="Arial"/>
          <w:sz w:val="18"/>
          <w:szCs w:val="18"/>
          <w:color w:val="auto"/>
        </w:rPr>
        <w:t>("COPD")</w:t>
      </w:r>
    </w:p>
    <w:p>
      <w:pPr>
        <w:spacing w:after="0" w:line="1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–Bullous</w:t>
      </w:r>
    </w:p>
    <w:p>
      <w:pPr>
        <w:ind w:left="1540"/>
        <w:spacing w:after="0" w:line="201" w:lineRule="auto"/>
        <w:rPr>
          <w:sz w:val="20"/>
          <w:szCs w:val="20"/>
          <w:color w:val="auto"/>
        </w:rPr>
      </w:pPr>
      <w:r>
        <w:rPr>
          <w:rFonts w:ascii="Arial" w:cs="Arial" w:eastAsia="Arial" w:hAnsi="Arial"/>
          <w:sz w:val="18"/>
          <w:szCs w:val="18"/>
          <w:color w:val="auto"/>
        </w:rPr>
        <w:t>pemphigoid (Phase</w:t>
      </w:r>
    </w:p>
    <w:p>
      <w:pPr>
        <w:ind w:left="1540"/>
        <w:spacing w:after="0"/>
        <w:rPr>
          <w:sz w:val="20"/>
          <w:szCs w:val="20"/>
          <w:color w:val="auto"/>
        </w:rPr>
      </w:pPr>
      <w:r>
        <w:rPr>
          <w:rFonts w:ascii="Arial" w:cs="Arial" w:eastAsia="Arial" w:hAnsi="Arial"/>
          <w:sz w:val="18"/>
          <w:szCs w:val="18"/>
          <w:color w:val="auto"/>
        </w:rPr>
        <w:t>2/3)</w:t>
      </w:r>
      <w:r>
        <w:rPr>
          <w:rFonts w:ascii="Arial" w:cs="Arial" w:eastAsia="Arial" w:hAnsi="Arial"/>
          <w:sz w:val="23"/>
          <w:szCs w:val="23"/>
          <w:color w:val="auto"/>
          <w:vertAlign w:val="superscript"/>
        </w:rPr>
        <w:t>(c)</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–Reported that Phase 2 trial of Dupixent in combination with Aimmune Therapeutics' AR101, an oral immunotherapy, in pediatric patients with peanut allergy met its primary and key secondary endpoint</w:t>
      </w:r>
    </w:p>
    <w:p>
      <w:pPr>
        <w:spacing w:after="0" w:line="18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–Initiated Phase 3 study in hand and foot atopic dermatitis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–Report results from Phase 3 study for atopic dermatitis in pediatric patients (6 months–5 years of age) (Q3 2021)</w:t>
      </w:r>
    </w:p>
    <w:p>
      <w:pPr>
        <w:spacing w:after="0" w:line="162"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–FDA decision on sBLA (target action date of October 21, 2021) and European Commission ("EC") decision on regulatory submission (first half 2022) for asthma in pediatrics (6– 11 years of age)</w:t>
      </w:r>
    </w:p>
    <w:p>
      <w:pPr>
        <w:spacing w:after="0" w:line="19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–FDA decision on sBLA for asthma longer term efficacy and safety label update (Q4 2021)</w:t>
      </w:r>
    </w:p>
    <w:p>
      <w:pPr>
        <w:spacing w:after="0" w:line="906" w:lineRule="exact"/>
        <w:rPr>
          <w:sz w:val="20"/>
          <w:szCs w:val="20"/>
          <w:color w:val="auto"/>
        </w:rPr>
      </w:pPr>
    </w:p>
    <w:p>
      <w:pPr>
        <w:sectPr>
          <w:pgSz w:w="11900" w:h="16838" w:orient="portrait"/>
          <w:cols w:equalWidth="0" w:num="4">
            <w:col w:w="2340" w:space="720"/>
            <w:col w:w="4240" w:space="160"/>
            <w:col w:w="1720" w:space="240"/>
            <w:col w:w="1820"/>
          </w:cols>
          <w:pgMar w:left="320" w:top="370" w:right="3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235585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20"/>
          </w:cols>
          <w:pgMar w:left="320" w:top="3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Phase 3</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Regulatory</w:t>
            </w:r>
          </w:p>
        </w:tc>
        <w:tc>
          <w:tcPr>
            <w:tcW w:w="184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7"/>
              </w:rPr>
              <w:t>2021 Events to Date</w:t>
            </w:r>
          </w:p>
        </w:tc>
        <w:tc>
          <w:tcPr>
            <w:tcW w:w="0" w:type="dxa"/>
            <w:vAlign w:val="bottom"/>
          </w:tcPr>
          <w:p>
            <w:pPr>
              <w:spacing w:after="0"/>
              <w:rPr>
                <w:sz w:val="1"/>
                <w:szCs w:val="1"/>
                <w:color w:val="auto"/>
              </w:rPr>
            </w:pPr>
          </w:p>
        </w:tc>
      </w:tr>
      <w:tr>
        <w:trPr>
          <w:trHeight w:val="227"/>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0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300" w:type="dxa"/>
            <w:vAlign w:val="bottom"/>
            <w:gridSpan w:val="2"/>
          </w:tcPr>
          <w:p>
            <w:pPr>
              <w:jc w:val="center"/>
              <w:ind w:right="80"/>
              <w:spacing w:after="0" w:line="226"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b w:val="1"/>
                <w:bCs w:val="1"/>
                <w:color w:val="auto"/>
                <w:w w:val="94"/>
              </w:rPr>
              <w:t>Dupixent (dupilumab)</w:t>
            </w:r>
          </w:p>
        </w:tc>
        <w:tc>
          <w:tcPr>
            <w:tcW w:w="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rPr>
              <w:t>–Chronic</w:t>
            </w: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rPr>
              <w:t>–Presented additional</w:t>
            </w:r>
          </w:p>
        </w:tc>
        <w:tc>
          <w:tcPr>
            <w:tcW w:w="0" w:type="dxa"/>
            <w:vAlign w:val="bottom"/>
          </w:tcPr>
          <w:p>
            <w:pPr>
              <w:spacing w:after="0"/>
              <w:rPr>
                <w:sz w:val="1"/>
                <w:szCs w:val="1"/>
                <w:color w:val="auto"/>
              </w:rPr>
            </w:pPr>
          </w:p>
        </w:tc>
      </w:tr>
      <w:tr>
        <w:trPr>
          <w:trHeight w:val="106"/>
        </w:trPr>
        <w:tc>
          <w:tcPr>
            <w:tcW w:w="186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(a)</w:t>
            </w: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spontaneous</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restart"/>
          </w:tcPr>
          <w:p>
            <w:pPr>
              <w:ind w:left="20"/>
              <w:spacing w:after="0" w:line="174" w:lineRule="exact"/>
              <w:rPr>
                <w:sz w:val="20"/>
                <w:szCs w:val="20"/>
                <w:color w:val="auto"/>
              </w:rPr>
            </w:pPr>
            <w:r>
              <w:rPr>
                <w:rFonts w:ascii="Arial" w:cs="Arial" w:eastAsia="Arial" w:hAnsi="Arial"/>
                <w:sz w:val="18"/>
                <w:szCs w:val="18"/>
                <w:color w:val="auto"/>
              </w:rPr>
              <w:t>positive results from</w:t>
            </w: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(continued)</w:t>
            </w: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8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urticaria ("CSU")</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w w:val="94"/>
              </w:rPr>
              <w:t>Phase 3 trial for asthma</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w w:val="91"/>
              </w:rPr>
              <w:t>in pediatrics (6–11 years</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–Prurigo nodularis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of age) at American</w:t>
            </w:r>
          </w:p>
        </w:tc>
        <w:tc>
          <w:tcPr>
            <w:tcW w:w="0" w:type="dxa"/>
            <w:vAlign w:val="bottom"/>
          </w:tcPr>
          <w:p>
            <w:pPr>
              <w:spacing w:after="0"/>
              <w:rPr>
                <w:sz w:val="1"/>
                <w:szCs w:val="1"/>
                <w:color w:val="auto"/>
              </w:rPr>
            </w:pPr>
          </w:p>
        </w:tc>
      </w:tr>
      <w:tr>
        <w:trPr>
          <w:trHeight w:val="119"/>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restart"/>
          </w:tcPr>
          <w:p>
            <w:pPr>
              <w:ind w:left="20"/>
              <w:spacing w:after="0" w:line="174" w:lineRule="exact"/>
              <w:rPr>
                <w:sz w:val="20"/>
                <w:szCs w:val="20"/>
                <w:color w:val="auto"/>
              </w:rPr>
            </w:pPr>
            <w:r>
              <w:rPr>
                <w:rFonts w:ascii="Arial" w:cs="Arial" w:eastAsia="Arial" w:hAnsi="Arial"/>
                <w:sz w:val="18"/>
                <w:szCs w:val="18"/>
                <w:color w:val="auto"/>
              </w:rPr>
              <w:t>Thoracic Society</w:t>
            </w:r>
          </w:p>
        </w:tc>
        <w:tc>
          <w:tcPr>
            <w:tcW w:w="0" w:type="dxa"/>
            <w:vAlign w:val="bottom"/>
          </w:tcPr>
          <w:p>
            <w:pPr>
              <w:spacing w:after="0"/>
              <w:rPr>
                <w:sz w:val="1"/>
                <w:szCs w:val="1"/>
                <w:color w:val="auto"/>
              </w:rPr>
            </w:pPr>
          </w:p>
        </w:tc>
      </w:tr>
      <w:tr>
        <w:trPr>
          <w:trHeight w:val="55"/>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–Allergic</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w w:val="91"/>
              </w:rPr>
              <w:t>International Conference</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bronchopulmonary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w w:val="94"/>
              </w:rPr>
              <w:t>–Reported that Phase 3</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aspergillosis</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vMerge w:val="restart"/>
          </w:tcPr>
          <w:p>
            <w:pPr>
              <w:ind w:left="20"/>
              <w:spacing w:after="0" w:line="174" w:lineRule="exact"/>
              <w:rPr>
                <w:sz w:val="20"/>
                <w:szCs w:val="20"/>
                <w:color w:val="auto"/>
              </w:rPr>
            </w:pPr>
            <w:r>
              <w:rPr>
                <w:rFonts w:ascii="Arial" w:cs="Arial" w:eastAsia="Arial" w:hAnsi="Arial"/>
                <w:sz w:val="18"/>
                <w:szCs w:val="18"/>
                <w:color w:val="auto"/>
              </w:rPr>
              <w:t>trial in CSU met its</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("ABPA")</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vMerge w:val="restart"/>
          </w:tcPr>
          <w:p>
            <w:pPr>
              <w:ind w:left="20"/>
              <w:spacing w:after="0" w:line="174" w:lineRule="exact"/>
              <w:rPr>
                <w:sz w:val="20"/>
                <w:szCs w:val="20"/>
                <w:color w:val="auto"/>
              </w:rPr>
            </w:pPr>
            <w:r>
              <w:rPr>
                <w:rFonts w:ascii="Arial" w:cs="Arial" w:eastAsia="Arial" w:hAnsi="Arial"/>
                <w:sz w:val="18"/>
                <w:szCs w:val="18"/>
                <w:color w:val="auto"/>
              </w:rPr>
              <w:t>primary and key</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–Chronic inducible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secondary endpoints</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urticaria</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vMerge w:val="restart"/>
          </w:tcPr>
          <w:p>
            <w:pPr>
              <w:ind w:left="20"/>
              <w:spacing w:after="0"/>
              <w:rPr>
                <w:sz w:val="20"/>
                <w:szCs w:val="20"/>
                <w:color w:val="auto"/>
              </w:rPr>
            </w:pPr>
            <w:r>
              <w:rPr>
                <w:rFonts w:ascii="Arial" w:cs="Arial" w:eastAsia="Arial" w:hAnsi="Arial"/>
                <w:sz w:val="18"/>
                <w:szCs w:val="18"/>
                <w:color w:val="auto"/>
              </w:rPr>
              <w:t>–Approved by FDA for</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–Chronic</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200 mg auto-injector</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rhinosinusitis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without nasal</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polyposis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–Allergic fungal</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5"/>
              </w:rPr>
              <w:t>Kevzara (sarilumab)</w:t>
            </w:r>
            <w:r>
              <w:rPr>
                <w:rFonts w:ascii="Arial" w:cs="Arial" w:eastAsia="Arial" w:hAnsi="Arial"/>
                <w:sz w:val="23"/>
                <w:szCs w:val="23"/>
                <w:b w:val="1"/>
                <w:bCs w:val="1"/>
                <w:color w:val="auto"/>
                <w:w w:val="95"/>
                <w:vertAlign w:val="superscript"/>
              </w:rPr>
              <w:t>(a)</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rhinosinusitis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–Polyarticular-</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Antibody to IL-6R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course juvenile</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("pcJIA")</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–Systemic juvenile</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idiopathic arthritis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Itepekimab</w:t>
            </w:r>
            <w:r>
              <w:rPr>
                <w:rFonts w:ascii="Arial" w:cs="Arial" w:eastAsia="Arial" w:hAnsi="Arial"/>
                <w:sz w:val="23"/>
                <w:szCs w:val="23"/>
                <w:b w:val="1"/>
                <w:bCs w:val="1"/>
                <w:color w:val="auto"/>
                <w:vertAlign w:val="superscript"/>
              </w:rPr>
              <w:t>(a)</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("sJIA")</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–COPD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(REGN3500)</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IL-33</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9" w:lineRule="exact"/>
              <w:rPr>
                <w:sz w:val="20"/>
                <w:szCs w:val="20"/>
                <w:color w:val="auto"/>
              </w:rPr>
            </w:pPr>
            <w:r>
              <w:rPr>
                <w:rFonts w:ascii="Arial" w:cs="Arial" w:eastAsia="Arial" w:hAnsi="Arial"/>
                <w:sz w:val="16"/>
                <w:szCs w:val="16"/>
                <w:b w:val="1"/>
                <w:bCs w:val="1"/>
                <w:color w:val="auto"/>
              </w:rPr>
              <w:t>REGN1908-1909</w:t>
            </w:r>
            <w:r>
              <w:rPr>
                <w:rFonts w:ascii="Arial" w:cs="Arial" w:eastAsia="Arial" w:hAnsi="Arial"/>
                <w:sz w:val="20"/>
                <w:szCs w:val="20"/>
                <w:b w:val="1"/>
                <w:bCs w:val="1"/>
                <w:color w:val="auto"/>
                <w:vertAlign w:val="superscript"/>
              </w:rPr>
              <w:t>(f)</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8" w:lineRule="exact"/>
              <w:rPr>
                <w:sz w:val="20"/>
                <w:szCs w:val="20"/>
                <w:color w:val="auto"/>
              </w:rPr>
            </w:pPr>
            <w:r>
              <w:rPr>
                <w:rFonts w:ascii="Arial" w:cs="Arial" w:eastAsia="Arial" w:hAnsi="Arial"/>
                <w:sz w:val="18"/>
                <w:szCs w:val="18"/>
                <w:color w:val="auto"/>
              </w:rPr>
              <w:t>–Cat allergy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8" w:lineRule="exact"/>
              <w:rPr>
                <w:sz w:val="20"/>
                <w:szCs w:val="20"/>
                <w:color w:val="auto"/>
              </w:rPr>
            </w:pPr>
            <w:r>
              <w:rPr>
                <w:rFonts w:ascii="Arial" w:cs="Arial" w:eastAsia="Arial" w:hAnsi="Arial"/>
                <w:sz w:val="18"/>
                <w:szCs w:val="18"/>
                <w:color w:val="auto"/>
                <w:w w:val="94"/>
              </w:rPr>
              <w:t>–Reported that Phase 2</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Multi-antibody therapy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study in cat allergic</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to Fel d 1</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patients with mild</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w w:val="98"/>
              </w:rPr>
              <w:t>asthma met its primary</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and key secondary</w:t>
            </w:r>
          </w:p>
        </w:tc>
        <w:tc>
          <w:tcPr>
            <w:tcW w:w="0" w:type="dxa"/>
            <w:vAlign w:val="bottom"/>
          </w:tcPr>
          <w:p>
            <w:pPr>
              <w:spacing w:after="0"/>
              <w:rPr>
                <w:sz w:val="1"/>
                <w:szCs w:val="1"/>
                <w:color w:val="auto"/>
              </w:rPr>
            </w:pPr>
          </w:p>
        </w:tc>
      </w:tr>
      <w:tr>
        <w:trPr>
          <w:trHeight w:val="226"/>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8"/>
              </w:rPr>
              <w:t>REGN5713-5714-5715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r>
        <w:trPr>
          <w:trHeight w:val="174"/>
        </w:trPr>
        <w:tc>
          <w:tcPr>
            <w:tcW w:w="18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–Birch allergy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Multi-antibody therapy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to Bet v 1</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8" w:lineRule="exact"/>
              <w:rPr>
                <w:sz w:val="20"/>
                <w:szCs w:val="20"/>
                <w:color w:val="auto"/>
              </w:rPr>
            </w:pPr>
            <w:r>
              <w:rPr>
                <w:rFonts w:ascii="Arial" w:cs="Arial" w:eastAsia="Arial" w:hAnsi="Arial"/>
                <w:sz w:val="18"/>
                <w:szCs w:val="18"/>
                <w:b w:val="1"/>
                <w:bCs w:val="1"/>
                <w:color w:val="auto"/>
              </w:rPr>
              <w:t>REGN6490</w:t>
            </w:r>
          </w:p>
        </w:tc>
        <w:tc>
          <w:tcPr>
            <w:tcW w:w="1200" w:type="dxa"/>
            <w:vAlign w:val="bottom"/>
            <w:gridSpan w:val="2"/>
          </w:tcPr>
          <w:p>
            <w:pPr>
              <w:ind w:left="20"/>
              <w:spacing w:after="0" w:line="178" w:lineRule="exact"/>
              <w:rPr>
                <w:sz w:val="20"/>
                <w:szCs w:val="20"/>
                <w:color w:val="auto"/>
              </w:rPr>
            </w:pPr>
            <w:r>
              <w:rPr>
                <w:rFonts w:ascii="Arial" w:cs="Arial" w:eastAsia="Arial" w:hAnsi="Arial"/>
                <w:sz w:val="18"/>
                <w:szCs w:val="18"/>
                <w:color w:val="auto"/>
              </w:rPr>
              <w:t>–Palmo-</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Antibody to IL-36R</w:t>
            </w:r>
          </w:p>
        </w:tc>
        <w:tc>
          <w:tcPr>
            <w:tcW w:w="12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plantar</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pustulosis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-2701925</wp:posOffset>
            </wp:positionV>
            <wp:extent cx="7134225" cy="915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915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-1422400</wp:posOffset>
            </wp:positionV>
            <wp:extent cx="7134225" cy="694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6946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-363220</wp:posOffset>
            </wp:positionV>
            <wp:extent cx="7134225" cy="364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Upcoming</w:t>
      </w:r>
    </w:p>
    <w:p>
      <w:pPr>
        <w:jc w:val="center"/>
        <w:spacing w:after="0" w:line="217" w:lineRule="auto"/>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wp:posOffset>
            </wp:positionV>
            <wp:extent cx="1169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16"/>
          <w:szCs w:val="16"/>
          <w:color w:val="auto"/>
        </w:rPr>
        <w:t>–Report results from Part B of the Phase 3 study in adults and adolescents with EoE (Q4 2021)</w:t>
      </w:r>
    </w:p>
    <w:p>
      <w:pPr>
        <w:spacing w:after="0" w:line="188" w:lineRule="exact"/>
        <w:rPr>
          <w:sz w:val="20"/>
          <w:szCs w:val="20"/>
          <w:color w:val="auto"/>
        </w:rPr>
      </w:pPr>
    </w:p>
    <w:p>
      <w:pPr>
        <w:ind w:right="120"/>
        <w:spacing w:after="0" w:line="307" w:lineRule="auto"/>
        <w:rPr>
          <w:sz w:val="20"/>
          <w:szCs w:val="20"/>
          <w:color w:val="auto"/>
        </w:rPr>
      </w:pPr>
      <w:r>
        <w:rPr>
          <w:rFonts w:ascii="Arial" w:cs="Arial" w:eastAsia="Arial" w:hAnsi="Arial"/>
          <w:sz w:val="14"/>
          <w:szCs w:val="14"/>
          <w:color w:val="auto"/>
        </w:rPr>
        <w:t>–Report results from Phase 2 study in peanut allergy (first half 2022)</w:t>
      </w:r>
    </w:p>
    <w:p>
      <w:pPr>
        <w:spacing w:after="0" w:line="14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–Report results from additional Phase 3 CSU study (first half 2022)</w:t>
      </w:r>
    </w:p>
    <w:p>
      <w:pPr>
        <w:spacing w:after="0" w:line="17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–Report results from prurigo nodularis study (second half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–Report results from initial Phase 3 study in birch allergy (Q4 2021)</w:t>
      </w:r>
    </w:p>
    <w:p>
      <w:pPr>
        <w:sectPr>
          <w:pgSz w:w="11900" w:h="16838" w:orient="portrait"/>
          <w:cols w:equalWidth="0" w:num="2">
            <w:col w:w="9320" w:space="100"/>
            <w:col w:w="1800"/>
          </w:cols>
          <w:pgMar w:left="320" w:top="370" w:right="35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Clinical Program</w:t>
            </w:r>
          </w:p>
        </w:tc>
        <w:tc>
          <w:tcPr>
            <w:tcW w:w="11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Phase 1</w:t>
            </w:r>
          </w:p>
        </w:tc>
        <w:tc>
          <w:tcPr>
            <w:tcW w:w="80" w:type="dxa"/>
            <w:vAlign w:val="bottom"/>
            <w:vMerge w:val="restart"/>
          </w:tcPr>
          <w:p>
            <w:pPr>
              <w:spacing w:after="0"/>
              <w:rPr>
                <w:sz w:val="17"/>
                <w:szCs w:val="17"/>
                <w:color w:val="auto"/>
              </w:rPr>
            </w:pPr>
          </w:p>
        </w:tc>
        <w:tc>
          <w:tcPr>
            <w:tcW w:w="14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80" w:type="dxa"/>
            <w:vAlign w:val="bottom"/>
            <w:vMerge w:val="restart"/>
          </w:tcPr>
          <w:p>
            <w:pPr>
              <w:spacing w:after="0"/>
              <w:rPr>
                <w:sz w:val="17"/>
                <w:szCs w:val="17"/>
                <w:color w:val="auto"/>
              </w:rPr>
            </w:pPr>
          </w:p>
        </w:tc>
        <w:tc>
          <w:tcPr>
            <w:tcW w:w="14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80" w:type="dxa"/>
            <w:vAlign w:val="bottom"/>
            <w:vMerge w:val="restart"/>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0" w:type="dxa"/>
            <w:vAlign w:val="bottom"/>
          </w:tcPr>
          <w:p>
            <w:pPr>
              <w:spacing w:after="0"/>
              <w:rPr>
                <w:sz w:val="1"/>
                <w:szCs w:val="1"/>
                <w:color w:val="auto"/>
              </w:rPr>
            </w:pPr>
          </w:p>
        </w:tc>
      </w:tr>
      <w:tr>
        <w:trPr>
          <w:trHeight w:val="227"/>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7"/>
              </w:rPr>
              <w:t>(continued)</w:t>
            </w:r>
          </w:p>
        </w:tc>
        <w:tc>
          <w:tcPr>
            <w:tcW w:w="8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20" w:type="dxa"/>
            <w:vAlign w:val="bottom"/>
            <w:tcBorders>
              <w:bottom w:val="single" w:sz="8" w:color="auto"/>
            </w:tcBorders>
          </w:tcPr>
          <w:p>
            <w:pPr>
              <w:jc w:val="center"/>
              <w:spacing w:after="0" w:line="226"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80" w:type="dxa"/>
            <w:vAlign w:val="bottom"/>
            <w:gridSpan w:val="3"/>
          </w:tcPr>
          <w:p>
            <w:pPr>
              <w:ind w:left="180"/>
              <w:spacing w:after="0"/>
              <w:rPr>
                <w:sz w:val="20"/>
                <w:szCs w:val="20"/>
                <w:color w:val="auto"/>
              </w:rPr>
            </w:pPr>
            <w:r>
              <w:rPr>
                <w:rFonts w:ascii="Arial" w:cs="Arial" w:eastAsia="Arial" w:hAnsi="Arial"/>
                <w:sz w:val="18"/>
                <w:szCs w:val="18"/>
                <w:b w:val="1"/>
                <w:bCs w:val="1"/>
                <w:color w:val="auto"/>
              </w:rPr>
              <w:t>Solid Organ Oncology</w:t>
            </w:r>
          </w:p>
        </w:tc>
        <w:tc>
          <w:tcPr>
            <w:tcW w:w="0" w:type="dxa"/>
            <w:vAlign w:val="bottom"/>
          </w:tcPr>
          <w:p>
            <w:pPr>
              <w:spacing w:after="0"/>
              <w:rPr>
                <w:sz w:val="1"/>
                <w:szCs w:val="1"/>
                <w:color w:val="auto"/>
              </w:rPr>
            </w:pPr>
          </w:p>
        </w:tc>
      </w:tr>
      <w:tr>
        <w:trPr>
          <w:trHeight w:val="228"/>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Libtayo (cemiplimab)</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–Metastatic or</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–First-line NSCLC,</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86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(a)(h)</w:t>
            </w: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locally advanced</w:t>
            </w:r>
          </w:p>
        </w:tc>
        <w:tc>
          <w:tcPr>
            <w:tcW w:w="156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chemotherapy</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Antibody to PD-1</w:t>
            </w: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18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CSCC</w:t>
            </w:r>
            <w:r>
              <w:rPr>
                <w:rFonts w:ascii="Arial" w:cs="Arial" w:eastAsia="Arial" w:hAnsi="Arial"/>
                <w:sz w:val="23"/>
                <w:szCs w:val="23"/>
                <w:color w:val="auto"/>
                <w:vertAlign w:val="superscript"/>
              </w:rPr>
              <w:t>(d)</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combination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–Neoadjuvant</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–Second-line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CSCC</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cervical cancer</w:t>
            </w:r>
            <w:r>
              <w:rPr>
                <w:rFonts w:ascii="Arial" w:cs="Arial" w:eastAsia="Arial" w:hAnsi="Arial"/>
                <w:sz w:val="23"/>
                <w:szCs w:val="23"/>
                <w:color w:val="auto"/>
                <w:vertAlign w:val="superscript"/>
              </w:rPr>
              <w:t>(e)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–Second-line</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–Adjuvant CSCC</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cervical cancer,</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ISA101b</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combination</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-1507490</wp:posOffset>
            </wp:positionV>
            <wp:extent cx="7134225" cy="144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2021 Events to Date</w:t>
            </w:r>
          </w:p>
        </w:tc>
        <w:tc>
          <w:tcPr>
            <w:tcW w:w="80" w:type="dxa"/>
            <w:vAlign w:val="bottom"/>
            <w:vMerge w:val="restart"/>
          </w:tcPr>
          <w:p>
            <w:pPr>
              <w:spacing w:after="0"/>
              <w:rPr>
                <w:sz w:val="17"/>
                <w:szCs w:val="17"/>
                <w:color w:val="auto"/>
              </w:rPr>
            </w:pP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7"/>
        </w:trPr>
        <w:tc>
          <w:tcPr>
            <w:tcW w:w="18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40" w:type="dxa"/>
            <w:vAlign w:val="bottom"/>
            <w:tcBorders>
              <w:bottom w:val="single" w:sz="8" w:color="auto"/>
            </w:tcBorders>
          </w:tcPr>
          <w:p>
            <w:pPr>
              <w:ind w:left="460"/>
              <w:spacing w:after="0" w:line="226"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(j)</w:t>
            </w:r>
          </w:p>
        </w:tc>
        <w:tc>
          <w:tcPr>
            <w:tcW w:w="0" w:type="dxa"/>
            <w:vAlign w:val="bottom"/>
          </w:tcPr>
          <w:p>
            <w:pPr>
              <w:spacing w:after="0"/>
              <w:rPr>
                <w:sz w:val="1"/>
                <w:szCs w:val="1"/>
                <w:color w:val="auto"/>
              </w:rPr>
            </w:pPr>
          </w:p>
        </w:tc>
      </w:tr>
      <w:tr>
        <w:trPr>
          <w:trHeight w:val="487"/>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–Approved by FDA and</w:t>
            </w:r>
          </w:p>
        </w:tc>
        <w:tc>
          <w:tcPr>
            <w:tcW w:w="1840" w:type="dxa"/>
            <w:vAlign w:val="bottom"/>
          </w:tcPr>
          <w:p>
            <w:pPr>
              <w:ind w:left="20"/>
              <w:spacing w:after="0"/>
              <w:rPr>
                <w:sz w:val="20"/>
                <w:szCs w:val="20"/>
                <w:color w:val="auto"/>
              </w:rPr>
            </w:pPr>
            <w:r>
              <w:rPr>
                <w:rFonts w:ascii="Arial" w:cs="Arial" w:eastAsia="Arial" w:hAnsi="Arial"/>
                <w:sz w:val="18"/>
                <w:szCs w:val="18"/>
                <w:color w:val="auto"/>
              </w:rPr>
              <w:t>–Submit sBLA and</w:t>
            </w: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9"/>
              </w:rPr>
              <w:t>EC for first-line NSCLC,</w:t>
            </w: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w w:val="95"/>
              </w:rPr>
              <w:t>Marketing Authorization</w:t>
            </w: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monotherapy</w:t>
            </w: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Application ("MAA")</w:t>
            </w:r>
          </w:p>
        </w:tc>
        <w:tc>
          <w:tcPr>
            <w:tcW w:w="0" w:type="dxa"/>
            <w:vAlign w:val="bottom"/>
          </w:tcPr>
          <w:p>
            <w:pPr>
              <w:spacing w:after="0"/>
              <w:rPr>
                <w:sz w:val="1"/>
                <w:szCs w:val="1"/>
                <w:color w:val="auto"/>
              </w:rPr>
            </w:pPr>
          </w:p>
        </w:tc>
      </w:tr>
      <w:tr>
        <w:trPr>
          <w:trHeight w:val="173"/>
        </w:trPr>
        <w:tc>
          <w:tcPr>
            <w:tcW w:w="1940" w:type="dxa"/>
            <w:vAlign w:val="bottom"/>
            <w:gridSpan w:val="2"/>
            <w:vMerge w:val="restart"/>
          </w:tcPr>
          <w:p>
            <w:pPr>
              <w:ind w:left="20"/>
              <w:spacing w:after="0"/>
              <w:rPr>
                <w:sz w:val="20"/>
                <w:szCs w:val="20"/>
                <w:color w:val="auto"/>
              </w:rPr>
            </w:pPr>
            <w:r>
              <w:rPr>
                <w:rFonts w:ascii="Arial" w:cs="Arial" w:eastAsia="Arial" w:hAnsi="Arial"/>
                <w:sz w:val="18"/>
                <w:szCs w:val="18"/>
                <w:color w:val="auto"/>
              </w:rPr>
              <w:t>–Approved by FDA and</w:t>
            </w: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for cervical cancer</w:t>
            </w:r>
          </w:p>
        </w:tc>
        <w:tc>
          <w:tcPr>
            <w:tcW w:w="0" w:type="dxa"/>
            <w:vAlign w:val="bottom"/>
          </w:tcPr>
          <w:p>
            <w:pPr>
              <w:spacing w:after="0"/>
              <w:rPr>
                <w:sz w:val="1"/>
                <w:szCs w:val="1"/>
                <w:color w:val="auto"/>
              </w:rPr>
            </w:pPr>
          </w:p>
        </w:tc>
      </w:tr>
      <w:tr>
        <w:trPr>
          <w:trHeight w:val="173"/>
        </w:trPr>
        <w:tc>
          <w:tcPr>
            <w:tcW w:w="1940" w:type="dxa"/>
            <w:vAlign w:val="bottom"/>
            <w:gridSpan w:val="2"/>
            <w:vMerge w:val="continue"/>
          </w:tcPr>
          <w:p>
            <w:pPr>
              <w:spacing w:after="0"/>
              <w:rPr>
                <w:sz w:val="15"/>
                <w:szCs w:val="15"/>
                <w:color w:val="auto"/>
              </w:rPr>
            </w:pP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226"/>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EC for BCC</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–Reported Phase 3</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chemotherapy</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combination trial in</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NSCLC met its overall</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survival primary</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endpoint; trial stopped</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early based on</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Independent Data</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Monitoring Committee</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("IDMC")</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recommendation</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ectPr>
          <w:pgSz w:w="11900" w:h="16838" w:orient="portrait"/>
          <w:cols w:equalWidth="0" w:num="2">
            <w:col w:w="7380" w:space="80"/>
            <w:col w:w="3780"/>
          </w:cols>
          <w:pgMar w:left="320" w:top="37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040" w:type="dxa"/>
            <w:vAlign w:val="bottom"/>
          </w:tcPr>
          <w:p>
            <w:pPr>
              <w:ind w:left="2280"/>
              <w:spacing w:after="0"/>
              <w:rPr>
                <w:sz w:val="20"/>
                <w:szCs w:val="20"/>
                <w:color w:val="auto"/>
              </w:rPr>
            </w:pPr>
            <w:r>
              <w:rPr>
                <w:rFonts w:ascii="Arial" w:cs="Arial" w:eastAsia="Arial" w:hAnsi="Arial"/>
                <w:sz w:val="18"/>
                <w:szCs w:val="18"/>
                <w:color w:val="auto"/>
              </w:rPr>
              <w:t>–Reported positive</w:t>
            </w:r>
          </w:p>
        </w:tc>
      </w:tr>
      <w:tr>
        <w:trPr>
          <w:trHeight w:val="173"/>
        </w:trPr>
        <w:tc>
          <w:tcPr>
            <w:tcW w:w="17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040" w:type="dxa"/>
            <w:vAlign w:val="bottom"/>
          </w:tcPr>
          <w:p>
            <w:pPr>
              <w:ind w:left="2280"/>
              <w:spacing w:after="0" w:line="174" w:lineRule="exact"/>
              <w:rPr>
                <w:sz w:val="20"/>
                <w:szCs w:val="20"/>
                <w:color w:val="auto"/>
              </w:rPr>
            </w:pPr>
            <w:r>
              <w:rPr>
                <w:rFonts w:ascii="Arial" w:cs="Arial" w:eastAsia="Arial" w:hAnsi="Arial"/>
                <w:sz w:val="18"/>
                <w:szCs w:val="18"/>
                <w:color w:val="auto"/>
              </w:rPr>
              <w:t>results from Phase 3 trial</w:t>
            </w:r>
          </w:p>
        </w:tc>
      </w:tr>
      <w:tr>
        <w:trPr>
          <w:trHeight w:val="173"/>
        </w:trPr>
        <w:tc>
          <w:tcPr>
            <w:tcW w:w="17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040" w:type="dxa"/>
            <w:vAlign w:val="bottom"/>
          </w:tcPr>
          <w:p>
            <w:pPr>
              <w:ind w:left="2280"/>
              <w:spacing w:after="0" w:line="174" w:lineRule="exact"/>
              <w:rPr>
                <w:sz w:val="20"/>
                <w:szCs w:val="20"/>
                <w:color w:val="auto"/>
              </w:rPr>
            </w:pPr>
            <w:r>
              <w:rPr>
                <w:rFonts w:ascii="Arial" w:cs="Arial" w:eastAsia="Arial" w:hAnsi="Arial"/>
                <w:sz w:val="18"/>
                <w:szCs w:val="18"/>
                <w:color w:val="auto"/>
              </w:rPr>
              <w:t>in cervical cancer,</w:t>
            </w:r>
          </w:p>
        </w:tc>
      </w:tr>
      <w:tr>
        <w:trPr>
          <w:trHeight w:val="173"/>
        </w:trPr>
        <w:tc>
          <w:tcPr>
            <w:tcW w:w="17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040" w:type="dxa"/>
            <w:vAlign w:val="bottom"/>
          </w:tcPr>
          <w:p>
            <w:pPr>
              <w:ind w:left="2280"/>
              <w:spacing w:after="0" w:line="174" w:lineRule="exact"/>
              <w:rPr>
                <w:sz w:val="20"/>
                <w:szCs w:val="20"/>
                <w:color w:val="auto"/>
              </w:rPr>
            </w:pPr>
            <w:r>
              <w:rPr>
                <w:rFonts w:ascii="Arial" w:cs="Arial" w:eastAsia="Arial" w:hAnsi="Arial"/>
                <w:sz w:val="18"/>
                <w:szCs w:val="18"/>
                <w:color w:val="auto"/>
              </w:rPr>
              <w:t>demonstrating an overall</w:t>
            </w:r>
          </w:p>
        </w:tc>
      </w:tr>
      <w:tr>
        <w:trPr>
          <w:trHeight w:val="173"/>
        </w:trPr>
        <w:tc>
          <w:tcPr>
            <w:tcW w:w="17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040" w:type="dxa"/>
            <w:vAlign w:val="bottom"/>
          </w:tcPr>
          <w:p>
            <w:pPr>
              <w:ind w:left="2280"/>
              <w:spacing w:after="0" w:line="174" w:lineRule="exact"/>
              <w:rPr>
                <w:sz w:val="20"/>
                <w:szCs w:val="20"/>
                <w:color w:val="auto"/>
              </w:rPr>
            </w:pPr>
            <w:r>
              <w:rPr>
                <w:rFonts w:ascii="Arial" w:cs="Arial" w:eastAsia="Arial" w:hAnsi="Arial"/>
                <w:sz w:val="18"/>
                <w:szCs w:val="18"/>
                <w:color w:val="auto"/>
              </w:rPr>
              <w:t>survival benefit; trial</w:t>
            </w:r>
          </w:p>
        </w:tc>
      </w:tr>
      <w:tr>
        <w:trPr>
          <w:trHeight w:val="173"/>
        </w:trPr>
        <w:tc>
          <w:tcPr>
            <w:tcW w:w="17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040" w:type="dxa"/>
            <w:vAlign w:val="bottom"/>
          </w:tcPr>
          <w:p>
            <w:pPr>
              <w:ind w:left="2280"/>
              <w:spacing w:after="0" w:line="174" w:lineRule="exact"/>
              <w:rPr>
                <w:sz w:val="20"/>
                <w:szCs w:val="20"/>
                <w:color w:val="auto"/>
              </w:rPr>
            </w:pPr>
            <w:r>
              <w:rPr>
                <w:rFonts w:ascii="Arial" w:cs="Arial" w:eastAsia="Arial" w:hAnsi="Arial"/>
                <w:sz w:val="18"/>
                <w:szCs w:val="18"/>
                <w:color w:val="auto"/>
              </w:rPr>
              <w:t>stopped early based on</w:t>
            </w:r>
          </w:p>
        </w:tc>
      </w:tr>
      <w:tr>
        <w:trPr>
          <w:trHeight w:val="227"/>
        </w:trPr>
        <w:tc>
          <w:tcPr>
            <w:tcW w:w="1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040" w:type="dxa"/>
            <w:vAlign w:val="bottom"/>
          </w:tcPr>
          <w:p>
            <w:pPr>
              <w:ind w:left="2280"/>
              <w:spacing w:after="0"/>
              <w:rPr>
                <w:sz w:val="20"/>
                <w:szCs w:val="20"/>
                <w:color w:val="auto"/>
              </w:rPr>
            </w:pPr>
            <w:r>
              <w:rPr>
                <w:rFonts w:ascii="Arial" w:cs="Arial" w:eastAsia="Arial" w:hAnsi="Arial"/>
                <w:sz w:val="18"/>
                <w:szCs w:val="18"/>
                <w:color w:val="auto"/>
              </w:rPr>
              <w:t>IDMC recommendation</w:t>
            </w:r>
          </w:p>
        </w:tc>
      </w:tr>
      <w:tr>
        <w:trPr>
          <w:trHeight w:val="174"/>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REGN4018</w:t>
            </w:r>
            <w:r>
              <w:rPr>
                <w:rFonts w:ascii="Arial" w:cs="Arial" w:eastAsia="Arial" w:hAnsi="Arial"/>
                <w:sz w:val="20"/>
                <w:szCs w:val="20"/>
                <w:b w:val="1"/>
                <w:bCs w:val="1"/>
                <w:color w:val="auto"/>
                <w:vertAlign w:val="superscript"/>
              </w:rPr>
              <w:t>(f)</w:t>
            </w:r>
          </w:p>
        </w:tc>
        <w:tc>
          <w:tcPr>
            <w:tcW w:w="34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–Platinum-</w:t>
            </w:r>
          </w:p>
        </w:tc>
        <w:tc>
          <w:tcPr>
            <w:tcW w:w="6040" w:type="dxa"/>
            <w:vAlign w:val="bottom"/>
            <w:shd w:val="clear" w:color="auto" w:fill="CCEEFF"/>
          </w:tcPr>
          <w:p>
            <w:pPr>
              <w:ind w:left="4220"/>
              <w:spacing w:after="0" w:line="174" w:lineRule="exact"/>
              <w:rPr>
                <w:sz w:val="20"/>
                <w:szCs w:val="20"/>
                <w:color w:val="auto"/>
              </w:rPr>
            </w:pPr>
            <w:r>
              <w:rPr>
                <w:rFonts w:ascii="Arial" w:cs="Arial" w:eastAsia="Arial" w:hAnsi="Arial"/>
                <w:sz w:val="18"/>
                <w:szCs w:val="18"/>
                <w:color w:val="auto"/>
              </w:rPr>
              <w:t>–Report results from</w:t>
            </w:r>
          </w:p>
        </w:tc>
      </w:tr>
      <w:tr>
        <w:trPr>
          <w:trHeight w:val="173"/>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34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resistant</w:t>
            </w:r>
          </w:p>
        </w:tc>
        <w:tc>
          <w:tcPr>
            <w:tcW w:w="6040" w:type="dxa"/>
            <w:vAlign w:val="bottom"/>
            <w:shd w:val="clear" w:color="auto" w:fill="CCEEFF"/>
          </w:tcPr>
          <w:p>
            <w:pPr>
              <w:ind w:left="4220"/>
              <w:spacing w:after="0" w:line="174" w:lineRule="exact"/>
              <w:rPr>
                <w:sz w:val="20"/>
                <w:szCs w:val="20"/>
                <w:color w:val="auto"/>
              </w:rPr>
            </w:pPr>
            <w:r>
              <w:rPr>
                <w:rFonts w:ascii="Arial" w:cs="Arial" w:eastAsia="Arial" w:hAnsi="Arial"/>
                <w:sz w:val="18"/>
                <w:szCs w:val="18"/>
                <w:color w:val="auto"/>
              </w:rPr>
              <w:t>Phase 1 study in</w:t>
            </w:r>
          </w:p>
        </w:tc>
      </w:tr>
      <w:tr>
        <w:trPr>
          <w:trHeight w:val="173"/>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w w:val="99"/>
              </w:rPr>
              <w:t>targeting MUC16 and</w:t>
            </w:r>
          </w:p>
        </w:tc>
        <w:tc>
          <w:tcPr>
            <w:tcW w:w="34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ovarian cancer</w:t>
            </w:r>
          </w:p>
        </w:tc>
        <w:tc>
          <w:tcPr>
            <w:tcW w:w="6040" w:type="dxa"/>
            <w:vAlign w:val="bottom"/>
            <w:shd w:val="clear" w:color="auto" w:fill="CCEEFF"/>
          </w:tcPr>
          <w:p>
            <w:pPr>
              <w:ind w:left="4220"/>
              <w:spacing w:after="0" w:line="174" w:lineRule="exact"/>
              <w:rPr>
                <w:sz w:val="20"/>
                <w:szCs w:val="20"/>
                <w:color w:val="auto"/>
              </w:rPr>
            </w:pPr>
            <w:r>
              <w:rPr>
                <w:rFonts w:ascii="Arial" w:cs="Arial" w:eastAsia="Arial" w:hAnsi="Arial"/>
                <w:sz w:val="18"/>
                <w:szCs w:val="18"/>
                <w:color w:val="auto"/>
              </w:rPr>
              <w:t>platinum-resistant</w:t>
            </w:r>
          </w:p>
        </w:tc>
      </w:tr>
      <w:tr>
        <w:trPr>
          <w:trHeight w:val="227"/>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3460" w:type="dxa"/>
            <w:vAlign w:val="bottom"/>
            <w:shd w:val="clear" w:color="auto" w:fill="CCEEFF"/>
          </w:tcPr>
          <w:p>
            <w:pPr>
              <w:spacing w:after="0"/>
              <w:rPr>
                <w:sz w:val="19"/>
                <w:szCs w:val="19"/>
                <w:color w:val="auto"/>
              </w:rPr>
            </w:pPr>
          </w:p>
        </w:tc>
        <w:tc>
          <w:tcPr>
            <w:tcW w:w="6040" w:type="dxa"/>
            <w:vAlign w:val="bottom"/>
            <w:shd w:val="clear" w:color="auto" w:fill="CCEEFF"/>
          </w:tcPr>
          <w:p>
            <w:pPr>
              <w:ind w:left="4220"/>
              <w:spacing w:after="0"/>
              <w:rPr>
                <w:sz w:val="20"/>
                <w:szCs w:val="20"/>
                <w:color w:val="auto"/>
              </w:rPr>
            </w:pPr>
            <w:r>
              <w:rPr>
                <w:rFonts w:ascii="Arial" w:cs="Arial" w:eastAsia="Arial" w:hAnsi="Arial"/>
                <w:sz w:val="18"/>
                <w:szCs w:val="18"/>
                <w:color w:val="auto"/>
              </w:rPr>
              <w:t>ovarian cancer (2022)</w:t>
            </w: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b w:val="1"/>
                <w:bCs w:val="1"/>
                <w:color w:val="auto"/>
              </w:rPr>
              <w:t>REGN5668</w:t>
            </w:r>
          </w:p>
        </w:tc>
        <w:tc>
          <w:tcPr>
            <w:tcW w:w="3460" w:type="dxa"/>
            <w:vAlign w:val="bottom"/>
          </w:tcPr>
          <w:p>
            <w:pPr>
              <w:ind w:left="140"/>
              <w:spacing w:after="0" w:line="174" w:lineRule="exact"/>
              <w:rPr>
                <w:sz w:val="20"/>
                <w:szCs w:val="20"/>
                <w:color w:val="auto"/>
              </w:rPr>
            </w:pPr>
            <w:r>
              <w:rPr>
                <w:rFonts w:ascii="Arial" w:cs="Arial" w:eastAsia="Arial" w:hAnsi="Arial"/>
                <w:sz w:val="18"/>
                <w:szCs w:val="18"/>
                <w:color w:val="auto"/>
              </w:rPr>
              <w:t>–Ovarian</w:t>
            </w:r>
          </w:p>
        </w:tc>
        <w:tc>
          <w:tcPr>
            <w:tcW w:w="6040" w:type="dxa"/>
            <w:vAlign w:val="bottom"/>
          </w:tcPr>
          <w:p>
            <w:pPr>
              <w:spacing w:after="0"/>
              <w:rPr>
                <w:sz w:val="15"/>
                <w:szCs w:val="15"/>
                <w:color w:val="auto"/>
              </w:rPr>
            </w:pP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3460" w:type="dxa"/>
            <w:vAlign w:val="bottom"/>
          </w:tcPr>
          <w:p>
            <w:pPr>
              <w:ind w:left="140"/>
              <w:spacing w:after="0" w:line="174" w:lineRule="exact"/>
              <w:rPr>
                <w:sz w:val="20"/>
                <w:szCs w:val="20"/>
                <w:color w:val="auto"/>
              </w:rPr>
            </w:pPr>
            <w:r>
              <w:rPr>
                <w:rFonts w:ascii="Arial" w:cs="Arial" w:eastAsia="Arial" w:hAnsi="Arial"/>
                <w:sz w:val="18"/>
                <w:szCs w:val="18"/>
                <w:color w:val="auto"/>
              </w:rPr>
              <w:t>cancer</w:t>
            </w:r>
          </w:p>
        </w:tc>
        <w:tc>
          <w:tcPr>
            <w:tcW w:w="6040" w:type="dxa"/>
            <w:vAlign w:val="bottom"/>
          </w:tcPr>
          <w:p>
            <w:pPr>
              <w:spacing w:after="0"/>
              <w:rPr>
                <w:sz w:val="15"/>
                <w:szCs w:val="15"/>
                <w:color w:val="auto"/>
              </w:rPr>
            </w:pP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9"/>
              </w:rPr>
              <w:t>targeting MUC16 and</w:t>
            </w:r>
          </w:p>
        </w:tc>
        <w:tc>
          <w:tcPr>
            <w:tcW w:w="3460" w:type="dxa"/>
            <w:vAlign w:val="bottom"/>
          </w:tcPr>
          <w:p>
            <w:pPr>
              <w:spacing w:after="0"/>
              <w:rPr>
                <w:sz w:val="15"/>
                <w:szCs w:val="15"/>
                <w:color w:val="auto"/>
              </w:rPr>
            </w:pPr>
          </w:p>
        </w:tc>
        <w:tc>
          <w:tcPr>
            <w:tcW w:w="6040" w:type="dxa"/>
            <w:vAlign w:val="bottom"/>
          </w:tcPr>
          <w:p>
            <w:pPr>
              <w:spacing w:after="0"/>
              <w:rPr>
                <w:sz w:val="15"/>
                <w:szCs w:val="15"/>
                <w:color w:val="auto"/>
              </w:rPr>
            </w:pPr>
          </w:p>
        </w:tc>
      </w:tr>
      <w:tr>
        <w:trPr>
          <w:trHeight w:val="227"/>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CD28</w:t>
            </w:r>
          </w:p>
        </w:tc>
        <w:tc>
          <w:tcPr>
            <w:tcW w:w="346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174"/>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REGN5678</w:t>
            </w:r>
          </w:p>
        </w:tc>
        <w:tc>
          <w:tcPr>
            <w:tcW w:w="34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–Prostate</w:t>
            </w:r>
          </w:p>
        </w:tc>
        <w:tc>
          <w:tcPr>
            <w:tcW w:w="6040" w:type="dxa"/>
            <w:vAlign w:val="bottom"/>
            <w:shd w:val="clear" w:color="auto" w:fill="CCEEFF"/>
          </w:tcPr>
          <w:p>
            <w:pPr>
              <w:ind w:left="4220"/>
              <w:spacing w:after="0" w:line="174" w:lineRule="exact"/>
              <w:rPr>
                <w:sz w:val="20"/>
                <w:szCs w:val="20"/>
                <w:color w:val="auto"/>
              </w:rPr>
            </w:pPr>
            <w:r>
              <w:rPr>
                <w:rFonts w:ascii="Arial" w:cs="Arial" w:eastAsia="Arial" w:hAnsi="Arial"/>
                <w:sz w:val="18"/>
                <w:szCs w:val="18"/>
                <w:color w:val="auto"/>
              </w:rPr>
              <w:t>–Report results from</w:t>
            </w:r>
          </w:p>
        </w:tc>
      </w:tr>
      <w:tr>
        <w:trPr>
          <w:trHeight w:val="173"/>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34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cancer</w:t>
            </w:r>
          </w:p>
        </w:tc>
        <w:tc>
          <w:tcPr>
            <w:tcW w:w="6040" w:type="dxa"/>
            <w:vAlign w:val="bottom"/>
            <w:shd w:val="clear" w:color="auto" w:fill="CCEEFF"/>
          </w:tcPr>
          <w:p>
            <w:pPr>
              <w:ind w:left="4220"/>
              <w:spacing w:after="0" w:line="174" w:lineRule="exact"/>
              <w:rPr>
                <w:sz w:val="20"/>
                <w:szCs w:val="20"/>
                <w:color w:val="auto"/>
              </w:rPr>
            </w:pPr>
            <w:r>
              <w:rPr>
                <w:rFonts w:ascii="Arial" w:cs="Arial" w:eastAsia="Arial" w:hAnsi="Arial"/>
                <w:sz w:val="18"/>
                <w:szCs w:val="18"/>
                <w:color w:val="auto"/>
                <w:w w:val="88"/>
              </w:rPr>
              <w:t>Phase 1 study in prostate</w:t>
            </w:r>
          </w:p>
        </w:tc>
      </w:tr>
      <w:tr>
        <w:trPr>
          <w:trHeight w:val="173"/>
        </w:trPr>
        <w:tc>
          <w:tcPr>
            <w:tcW w:w="17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targeting PSMA and</w:t>
            </w:r>
          </w:p>
        </w:tc>
        <w:tc>
          <w:tcPr>
            <w:tcW w:w="3460" w:type="dxa"/>
            <w:vAlign w:val="bottom"/>
            <w:shd w:val="clear" w:color="auto" w:fill="CCEEFF"/>
          </w:tcPr>
          <w:p>
            <w:pPr>
              <w:spacing w:after="0"/>
              <w:rPr>
                <w:sz w:val="15"/>
                <w:szCs w:val="15"/>
                <w:color w:val="auto"/>
              </w:rPr>
            </w:pPr>
          </w:p>
        </w:tc>
        <w:tc>
          <w:tcPr>
            <w:tcW w:w="6040" w:type="dxa"/>
            <w:vAlign w:val="bottom"/>
            <w:shd w:val="clear" w:color="auto" w:fill="CCEEFF"/>
          </w:tcPr>
          <w:p>
            <w:pPr>
              <w:ind w:left="4220"/>
              <w:spacing w:after="0" w:line="174" w:lineRule="exact"/>
              <w:rPr>
                <w:sz w:val="20"/>
                <w:szCs w:val="20"/>
                <w:color w:val="auto"/>
              </w:rPr>
            </w:pPr>
            <w:r>
              <w:rPr>
                <w:rFonts w:ascii="Arial" w:cs="Arial" w:eastAsia="Arial" w:hAnsi="Arial"/>
                <w:sz w:val="18"/>
                <w:szCs w:val="18"/>
                <w:color w:val="auto"/>
              </w:rPr>
              <w:t>cancer (2022)</w:t>
            </w:r>
          </w:p>
        </w:tc>
      </w:tr>
      <w:tr>
        <w:trPr>
          <w:trHeight w:val="227"/>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CD28</w:t>
            </w:r>
          </w:p>
        </w:tc>
        <w:tc>
          <w:tcPr>
            <w:tcW w:w="346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b w:val="1"/>
                <w:bCs w:val="1"/>
                <w:color w:val="auto"/>
              </w:rPr>
              <w:t>REGN5093</w:t>
            </w:r>
          </w:p>
        </w:tc>
        <w:tc>
          <w:tcPr>
            <w:tcW w:w="3460" w:type="dxa"/>
            <w:vAlign w:val="bottom"/>
          </w:tcPr>
          <w:p>
            <w:pPr>
              <w:ind w:left="140"/>
              <w:spacing w:after="0" w:line="174" w:lineRule="exact"/>
              <w:rPr>
                <w:sz w:val="20"/>
                <w:szCs w:val="20"/>
                <w:color w:val="auto"/>
              </w:rPr>
            </w:pPr>
            <w:r>
              <w:rPr>
                <w:rFonts w:ascii="Arial" w:cs="Arial" w:eastAsia="Arial" w:hAnsi="Arial"/>
                <w:sz w:val="18"/>
                <w:szCs w:val="18"/>
                <w:color w:val="auto"/>
              </w:rPr>
              <w:t>–MET-altered</w:t>
            </w:r>
          </w:p>
        </w:tc>
        <w:tc>
          <w:tcPr>
            <w:tcW w:w="6040" w:type="dxa"/>
            <w:vAlign w:val="bottom"/>
          </w:tcPr>
          <w:p>
            <w:pPr>
              <w:spacing w:after="0"/>
              <w:rPr>
                <w:sz w:val="15"/>
                <w:szCs w:val="15"/>
                <w:color w:val="auto"/>
              </w:rPr>
            </w:pP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3460" w:type="dxa"/>
            <w:vAlign w:val="bottom"/>
          </w:tcPr>
          <w:p>
            <w:pPr>
              <w:ind w:left="140"/>
              <w:spacing w:after="0" w:line="174" w:lineRule="exact"/>
              <w:rPr>
                <w:sz w:val="20"/>
                <w:szCs w:val="20"/>
                <w:color w:val="auto"/>
              </w:rPr>
            </w:pPr>
            <w:r>
              <w:rPr>
                <w:rFonts w:ascii="Arial" w:cs="Arial" w:eastAsia="Arial" w:hAnsi="Arial"/>
                <w:sz w:val="18"/>
                <w:szCs w:val="18"/>
                <w:color w:val="auto"/>
              </w:rPr>
              <w:t>advanced</w:t>
            </w:r>
          </w:p>
        </w:tc>
        <w:tc>
          <w:tcPr>
            <w:tcW w:w="6040" w:type="dxa"/>
            <w:vAlign w:val="bottom"/>
          </w:tcPr>
          <w:p>
            <w:pPr>
              <w:spacing w:after="0"/>
              <w:rPr>
                <w:sz w:val="15"/>
                <w:szCs w:val="15"/>
                <w:color w:val="auto"/>
              </w:rPr>
            </w:pPr>
          </w:p>
        </w:tc>
      </w:tr>
      <w:tr>
        <w:trPr>
          <w:trHeight w:val="173"/>
        </w:trPr>
        <w:tc>
          <w:tcPr>
            <w:tcW w:w="174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targeting two distinct</w:t>
            </w:r>
          </w:p>
        </w:tc>
        <w:tc>
          <w:tcPr>
            <w:tcW w:w="3460" w:type="dxa"/>
            <w:vAlign w:val="bottom"/>
          </w:tcPr>
          <w:p>
            <w:pPr>
              <w:ind w:left="140"/>
              <w:spacing w:after="0" w:line="174" w:lineRule="exact"/>
              <w:rPr>
                <w:sz w:val="20"/>
                <w:szCs w:val="20"/>
                <w:color w:val="auto"/>
              </w:rPr>
            </w:pPr>
            <w:r>
              <w:rPr>
                <w:rFonts w:ascii="Arial" w:cs="Arial" w:eastAsia="Arial" w:hAnsi="Arial"/>
                <w:sz w:val="18"/>
                <w:szCs w:val="18"/>
                <w:color w:val="auto"/>
              </w:rPr>
              <w:t>NSCLC</w:t>
            </w:r>
          </w:p>
        </w:tc>
        <w:tc>
          <w:tcPr>
            <w:tcW w:w="6040" w:type="dxa"/>
            <w:vAlign w:val="bottom"/>
          </w:tcPr>
          <w:p>
            <w:pPr>
              <w:spacing w:after="0"/>
              <w:rPr>
                <w:sz w:val="15"/>
                <w:szCs w:val="15"/>
                <w:color w:val="auto"/>
              </w:rPr>
            </w:pPr>
          </w:p>
        </w:tc>
      </w:tr>
      <w:tr>
        <w:trPr>
          <w:trHeight w:val="226"/>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MET epitopes</w:t>
            </w:r>
          </w:p>
        </w:tc>
        <w:tc>
          <w:tcPr>
            <w:tcW w:w="3460" w:type="dxa"/>
            <w:vAlign w:val="bottom"/>
          </w:tcPr>
          <w:p>
            <w:pPr>
              <w:spacing w:after="0"/>
              <w:rPr>
                <w:sz w:val="19"/>
                <w:szCs w:val="19"/>
                <w:color w:val="auto"/>
              </w:rPr>
            </w:pPr>
          </w:p>
        </w:tc>
        <w:tc>
          <w:tcPr>
            <w:tcW w:w="60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Phase 1</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Regulatory</w:t>
            </w:r>
          </w:p>
        </w:tc>
        <w:tc>
          <w:tcPr>
            <w:tcW w:w="19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2021 Events to Date</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7"/>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00" w:type="dxa"/>
            <w:vAlign w:val="bottom"/>
            <w:gridSpan w:val="2"/>
          </w:tcPr>
          <w:p>
            <w:pPr>
              <w:jc w:val="center"/>
              <w:ind w:right="80"/>
              <w:spacing w:after="0" w:line="226"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1940" w:type="dxa"/>
            <w:vAlign w:val="bottom"/>
            <w:gridSpan w:val="2"/>
            <w:vMerge w:val="continue"/>
          </w:tcPr>
          <w:p>
            <w:pPr>
              <w:spacing w:after="0"/>
              <w:rPr>
                <w:sz w:val="19"/>
                <w:szCs w:val="19"/>
                <w:color w:val="auto"/>
              </w:rPr>
            </w:pPr>
          </w:p>
        </w:tc>
        <w:tc>
          <w:tcPr>
            <w:tcW w:w="1840" w:type="dxa"/>
            <w:vAlign w:val="bottom"/>
          </w:tcPr>
          <w:p>
            <w:pPr>
              <w:ind w:left="460"/>
              <w:spacing w:after="0" w:line="226"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(j)</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Fianlimab</w:t>
            </w:r>
            <w:r>
              <w:rPr>
                <w:rFonts w:ascii="Arial" w:cs="Arial" w:eastAsia="Arial" w:hAnsi="Arial"/>
                <w:sz w:val="19"/>
                <w:szCs w:val="19"/>
                <w:b w:val="1"/>
                <w:bCs w:val="1"/>
                <w:color w:val="auto"/>
                <w:vertAlign w:val="superscript"/>
              </w:rPr>
              <w:t>(f)</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w w:val="99"/>
              </w:rPr>
              <w:t>–Solid tumors</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w w:val="91"/>
              </w:rPr>
              <w:t>–Presented positive data</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w w:val="89"/>
              </w:rPr>
              <w:t>–Initiate Phase 3 study in</w:t>
            </w: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(REGN3767)</w:t>
            </w:r>
          </w:p>
        </w:tc>
        <w:tc>
          <w:tcPr>
            <w:tcW w:w="12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and advanced</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from Phase 1 trial in</w:t>
            </w: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first-line metastatic</w:t>
            </w: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Antibody to LAG-3</w:t>
            </w:r>
          </w:p>
        </w:tc>
        <w:tc>
          <w:tcPr>
            <w:tcW w:w="12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hematologic</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combination with</w:t>
            </w: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melanoma (2022)</w:t>
            </w: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malignancies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Libtayo in advanced</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melanoma at American</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Society of Clinical</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Oncology Annual</w:t>
            </w: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Meeting</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REGN6569</w:t>
            </w:r>
          </w:p>
        </w:tc>
        <w:tc>
          <w:tcPr>
            <w:tcW w:w="12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–Solid tumors</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GITR</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REGN7075</w:t>
            </w:r>
          </w:p>
        </w:tc>
        <w:tc>
          <w:tcPr>
            <w:tcW w:w="12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–Solid tumors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targeting EGFR and</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CD28</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40" w:type="dxa"/>
            <w:vAlign w:val="bottom"/>
            <w:gridSpan w:val="2"/>
            <w:shd w:val="clear" w:color="auto" w:fill="ACACAC"/>
          </w:tcPr>
          <w:p>
            <w:pPr>
              <w:jc w:val="center"/>
              <w:ind w:left="371"/>
              <w:spacing w:after="0"/>
              <w:rPr>
                <w:sz w:val="20"/>
                <w:szCs w:val="20"/>
                <w:color w:val="auto"/>
              </w:rPr>
            </w:pPr>
            <w:r>
              <w:rPr>
                <w:rFonts w:ascii="Arial" w:cs="Arial" w:eastAsia="Arial" w:hAnsi="Arial"/>
                <w:sz w:val="18"/>
                <w:szCs w:val="18"/>
                <w:b w:val="1"/>
                <w:bCs w:val="1"/>
                <w:color w:val="auto"/>
                <w:w w:val="89"/>
              </w:rPr>
              <w:t>Hematology</w:t>
            </w: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Odronextamab</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9"/>
              </w:rPr>
              <w:t>–Certain B-cell</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–B-cell non-</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w w:val="96"/>
              </w:rPr>
              <w:t>–Resumed enrollment of</w:t>
            </w:r>
          </w:p>
        </w:tc>
        <w:tc>
          <w:tcPr>
            <w:tcW w:w="1840" w:type="dxa"/>
            <w:vAlign w:val="bottom"/>
          </w:tcPr>
          <w:p>
            <w:pPr>
              <w:ind w:left="20"/>
              <w:spacing w:after="0"/>
              <w:rPr>
                <w:sz w:val="20"/>
                <w:szCs w:val="20"/>
                <w:color w:val="auto"/>
              </w:rPr>
            </w:pPr>
            <w:r>
              <w:rPr>
                <w:rFonts w:ascii="Arial" w:cs="Arial" w:eastAsia="Arial" w:hAnsi="Arial"/>
                <w:sz w:val="18"/>
                <w:szCs w:val="18"/>
                <w:color w:val="auto"/>
              </w:rPr>
              <w:t>–Initiate Phase 3</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(REGN1979)</w:t>
            </w:r>
          </w:p>
        </w:tc>
        <w:tc>
          <w:tcPr>
            <w:tcW w:w="122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malignancies</w:t>
            </w:r>
            <w:r>
              <w:rPr>
                <w:rFonts w:ascii="Arial" w:cs="Arial" w:eastAsia="Arial" w:hAnsi="Arial"/>
                <w:sz w:val="20"/>
                <w:szCs w:val="20"/>
                <w:color w:val="auto"/>
                <w:vertAlign w:val="superscript"/>
              </w:rPr>
              <w:t>(c)</w:t>
            </w: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7"/>
              </w:rPr>
              <w:t>Hodgkin lymphoma</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patients with follicular</w:t>
            </w:r>
          </w:p>
        </w:tc>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("B-NHL")</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lymphoma ("FL") and</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targeting CD20 and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(potentially pivotal</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diffuse large B-cell</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CD3</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study)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lymphoma ("DLBCL")</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following protocol</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amendments</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REGN5458</w:t>
            </w:r>
            <w:r>
              <w:rPr>
                <w:rFonts w:ascii="Arial" w:cs="Arial" w:eastAsia="Arial" w:hAnsi="Arial"/>
                <w:sz w:val="20"/>
                <w:szCs w:val="20"/>
                <w:b w:val="1"/>
                <w:bCs w:val="1"/>
                <w:color w:val="auto"/>
                <w:vertAlign w:val="superscript"/>
              </w:rPr>
              <w:t>(f)</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–Multiple myeloma</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–Expand into earlier</w:t>
            </w: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(potentially pivotal</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lines of multiple</w:t>
            </w: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targeting BCMA and</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study)</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myeloma therapy</w:t>
            </w:r>
          </w:p>
        </w:tc>
        <w:tc>
          <w:tcPr>
            <w:tcW w:w="0" w:type="dxa"/>
            <w:vAlign w:val="bottom"/>
          </w:tcPr>
          <w:p>
            <w:pPr>
              <w:spacing w:after="0"/>
              <w:rPr>
                <w:sz w:val="1"/>
                <w:szCs w:val="1"/>
                <w:color w:val="auto"/>
              </w:rPr>
            </w:pPr>
          </w:p>
        </w:tc>
      </w:tr>
      <w:tr>
        <w:trPr>
          <w:trHeight w:val="227"/>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CD3</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REGN5459</w:t>
            </w:r>
            <w:r>
              <w:rPr>
                <w:rFonts w:ascii="Arial" w:cs="Arial" w:eastAsia="Arial" w:hAnsi="Arial"/>
                <w:sz w:val="20"/>
                <w:szCs w:val="20"/>
                <w:b w:val="1"/>
                <w:bCs w:val="1"/>
                <w:color w:val="auto"/>
                <w:vertAlign w:val="superscript"/>
              </w:rPr>
              <w:t>(f)</w:t>
            </w:r>
          </w:p>
        </w:tc>
        <w:tc>
          <w:tcPr>
            <w:tcW w:w="12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–Multiple</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Bispecific antibody</w:t>
            </w:r>
          </w:p>
        </w:tc>
        <w:tc>
          <w:tcPr>
            <w:tcW w:w="12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myeloma</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targeting BCMA and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CD3</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Pozelimab</w:t>
            </w:r>
            <w:r>
              <w:rPr>
                <w:rFonts w:ascii="Arial" w:cs="Arial" w:eastAsia="Arial" w:hAnsi="Arial"/>
                <w:sz w:val="20"/>
                <w:szCs w:val="20"/>
                <w:b w:val="1"/>
                <w:bCs w:val="1"/>
                <w:color w:val="auto"/>
                <w:vertAlign w:val="superscript"/>
              </w:rPr>
              <w:t>(f)</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–CD55-deficient</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9"/>
              </w:rPr>
              <w:t>–Initiate Phase 3 study in</w:t>
            </w: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(REGN3918)</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protein-losing</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PNH, cemdisiran</w:t>
            </w: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w w:val="97"/>
              </w:rPr>
              <w:t>Antibody to C5; studied</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enteropathy</w:t>
            </w:r>
            <w:r>
              <w:rPr>
                <w:rFonts w:ascii="Arial" w:cs="Arial" w:eastAsia="Arial" w:hAnsi="Arial"/>
                <w:sz w:val="20"/>
                <w:szCs w:val="20"/>
                <w:color w:val="auto"/>
                <w:vertAlign w:val="superscript"/>
              </w:rPr>
              <w:t>(c)</w:t>
            </w:r>
            <w:r>
              <w:rPr>
                <w:rFonts w:ascii="Arial" w:cs="Arial" w:eastAsia="Arial" w:hAnsi="Arial"/>
                <w:sz w:val="16"/>
                <w:szCs w:val="16"/>
                <w:color w:val="auto"/>
              </w:rPr>
              <w:t>,</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combination (2022)</w:t>
            </w: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w w:val="99"/>
              </w:rPr>
              <w:t>as monotherapy and in</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monotherapy</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combination with</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(potentially pivotal</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rPr>
              <w:t>–Initiate Phase 3 study in</w:t>
            </w:r>
          </w:p>
        </w:tc>
        <w:tc>
          <w:tcPr>
            <w:tcW w:w="0" w:type="dxa"/>
            <w:vAlign w:val="bottom"/>
          </w:tcPr>
          <w:p>
            <w:pPr>
              <w:spacing w:after="0"/>
              <w:rPr>
                <w:sz w:val="1"/>
                <w:szCs w:val="1"/>
                <w:color w:val="auto"/>
              </w:rPr>
            </w:pPr>
          </w:p>
        </w:tc>
      </w:tr>
      <w:tr>
        <w:trPr>
          <w:trHeight w:val="67"/>
        </w:trPr>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cemdisiran</w:t>
            </w: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1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860" w:type="dxa"/>
            <w:vAlign w:val="bottom"/>
            <w:gridSpan w:val="2"/>
            <w:vMerge w:val="continue"/>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myasthenia gravis,</w:t>
            </w: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–Paroxysmal</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cemdisiran combination</w:t>
            </w: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(Q4 2021)</w:t>
            </w: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nocturnal</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hemoglobinuria</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("PNH"),</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cemdisiran</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combination</w:t>
            </w:r>
            <w:r>
              <w:rPr>
                <w:rFonts w:ascii="Arial" w:cs="Arial" w:eastAsia="Arial" w:hAnsi="Arial"/>
                <w:sz w:val="23"/>
                <w:szCs w:val="23"/>
                <w:color w:val="auto"/>
                <w:vertAlign w:val="superscript"/>
              </w:rPr>
              <w:t>(c)(o)</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Cemdisiran</w:t>
            </w:r>
            <w:r>
              <w:rPr>
                <w:rFonts w:ascii="Arial" w:cs="Arial" w:eastAsia="Arial" w:hAnsi="Arial"/>
                <w:sz w:val="20"/>
                <w:szCs w:val="20"/>
                <w:b w:val="1"/>
                <w:bCs w:val="1"/>
                <w:color w:val="auto"/>
                <w:vertAlign w:val="superscript"/>
              </w:rPr>
              <w:t>(o)</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–Immunoglobulin</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siRNA therapeutic</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 nephropathy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targeting C5</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0"/>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00"/>
          </w:cols>
          <w:pgMar w:left="320" w:top="37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Clinical Program</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Phase 1</w:t>
            </w:r>
          </w:p>
        </w:tc>
        <w:tc>
          <w:tcPr>
            <w:tcW w:w="15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Regulatory</w:t>
            </w:r>
          </w:p>
        </w:tc>
        <w:tc>
          <w:tcPr>
            <w:tcW w:w="0" w:type="dxa"/>
            <w:vAlign w:val="bottom"/>
          </w:tcPr>
          <w:p>
            <w:pPr>
              <w:spacing w:after="0"/>
              <w:rPr>
                <w:sz w:val="1"/>
                <w:szCs w:val="1"/>
                <w:color w:val="auto"/>
              </w:rPr>
            </w:pPr>
          </w:p>
        </w:tc>
      </w:tr>
      <w:tr>
        <w:trPr>
          <w:trHeight w:val="227"/>
        </w:trPr>
        <w:tc>
          <w:tcPr>
            <w:tcW w:w="186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40" w:type="dxa"/>
            <w:vAlign w:val="bottom"/>
            <w:gridSpan w:val="2"/>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220" w:type="dxa"/>
            <w:vAlign w:val="bottom"/>
          </w:tcPr>
          <w:p>
            <w:pPr>
              <w:ind w:left="280"/>
              <w:spacing w:after="0" w:line="226" w:lineRule="exact"/>
              <w:rPr>
                <w:sz w:val="20"/>
                <w:szCs w:val="20"/>
                <w:color w:val="auto"/>
              </w:rPr>
            </w:pPr>
            <w:r>
              <w:rPr>
                <w:rFonts w:ascii="Arial" w:cs="Arial" w:eastAsia="Arial" w:hAnsi="Arial"/>
                <w:sz w:val="18"/>
                <w:szCs w:val="18"/>
                <w:b w:val="1"/>
                <w:bCs w:val="1"/>
                <w:color w:val="auto"/>
              </w:rPr>
              <w:t>Review</w:t>
            </w:r>
            <w:r>
              <w:rPr>
                <w:rFonts w:ascii="Arial" w:cs="Arial" w:eastAsia="Arial" w:hAnsi="Arial"/>
                <w:sz w:val="23"/>
                <w:szCs w:val="23"/>
                <w:b w:val="1"/>
                <w:bCs w:val="1"/>
                <w:color w:val="auto"/>
                <w:vertAlign w:val="superscript"/>
              </w:rPr>
              <w:t>(i)</w:t>
            </w:r>
          </w:p>
        </w:tc>
        <w:tc>
          <w:tcPr>
            <w:tcW w:w="0" w:type="dxa"/>
            <w:vAlign w:val="bottom"/>
          </w:tcPr>
          <w:p>
            <w:pPr>
              <w:spacing w:after="0"/>
              <w:rPr>
                <w:sz w:val="1"/>
                <w:szCs w:val="1"/>
                <w:color w:val="auto"/>
              </w:rPr>
            </w:pPr>
          </w:p>
        </w:tc>
      </w:tr>
      <w:tr>
        <w:trPr>
          <w:trHeight w:val="167"/>
        </w:trPr>
        <w:tc>
          <w:tcPr>
            <w:tcW w:w="178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b w:val="1"/>
                <w:bCs w:val="1"/>
                <w:color w:val="auto"/>
              </w:rPr>
              <w:t>REGN7257</w:t>
            </w:r>
          </w:p>
        </w:tc>
        <w:tc>
          <w:tcPr>
            <w:tcW w:w="80" w:type="dxa"/>
            <w:vAlign w:val="bottom"/>
          </w:tcPr>
          <w:p>
            <w:pPr>
              <w:spacing w:after="0"/>
              <w:rPr>
                <w:sz w:val="14"/>
                <w:szCs w:val="14"/>
                <w:color w:val="auto"/>
              </w:rPr>
            </w:pPr>
          </w:p>
        </w:tc>
        <w:tc>
          <w:tcPr>
            <w:tcW w:w="1160" w:type="dxa"/>
            <w:vAlign w:val="bottom"/>
            <w:tcBorders>
              <w:top w:val="single" w:sz="8" w:color="auto"/>
            </w:tcBorders>
          </w:tcPr>
          <w:p>
            <w:pPr>
              <w:ind w:left="20"/>
              <w:spacing w:after="0" w:line="167" w:lineRule="exact"/>
              <w:rPr>
                <w:sz w:val="20"/>
                <w:szCs w:val="20"/>
                <w:color w:val="auto"/>
              </w:rPr>
            </w:pPr>
            <w:r>
              <w:rPr>
                <w:rFonts w:ascii="Arial" w:cs="Arial" w:eastAsia="Arial" w:hAnsi="Arial"/>
                <w:sz w:val="18"/>
                <w:szCs w:val="18"/>
                <w:color w:val="auto"/>
              </w:rPr>
              <w:t>–Aplastic</w:t>
            </w:r>
          </w:p>
        </w:tc>
        <w:tc>
          <w:tcPr>
            <w:tcW w:w="8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IL2Rg</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anemia</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9" w:lineRule="exact"/>
              <w:rPr>
                <w:sz w:val="20"/>
                <w:szCs w:val="20"/>
                <w:color w:val="auto"/>
              </w:rPr>
            </w:pPr>
            <w:r>
              <w:rPr>
                <w:rFonts w:ascii="Arial" w:cs="Arial" w:eastAsia="Arial" w:hAnsi="Arial"/>
                <w:sz w:val="16"/>
                <w:szCs w:val="16"/>
                <w:b w:val="1"/>
                <w:bCs w:val="1"/>
                <w:color w:val="auto"/>
              </w:rPr>
              <w:t>NTLA-2001</w:t>
            </w:r>
            <w:r>
              <w:rPr>
                <w:rFonts w:ascii="Arial" w:cs="Arial" w:eastAsia="Arial" w:hAnsi="Arial"/>
                <w:sz w:val="20"/>
                <w:szCs w:val="20"/>
                <w:b w:val="1"/>
                <w:bCs w:val="1"/>
                <w:color w:val="auto"/>
                <w:vertAlign w:val="superscript"/>
              </w:rPr>
              <w:t>(n)</w:t>
            </w:r>
          </w:p>
        </w:tc>
        <w:tc>
          <w:tcPr>
            <w:tcW w:w="1240" w:type="dxa"/>
            <w:vAlign w:val="bottom"/>
            <w:gridSpan w:val="2"/>
          </w:tcPr>
          <w:p>
            <w:pPr>
              <w:ind w:left="20"/>
              <w:spacing w:after="0" w:line="178" w:lineRule="exact"/>
              <w:rPr>
                <w:sz w:val="20"/>
                <w:szCs w:val="20"/>
                <w:color w:val="auto"/>
              </w:rPr>
            </w:pPr>
            <w:r>
              <w:rPr>
                <w:rFonts w:ascii="Arial" w:cs="Arial" w:eastAsia="Arial" w:hAnsi="Arial"/>
                <w:sz w:val="18"/>
                <w:szCs w:val="18"/>
                <w:color w:val="auto"/>
              </w:rPr>
              <w:t>–Hereditary</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TTR gene knockout</w:t>
            </w:r>
          </w:p>
        </w:tc>
        <w:tc>
          <w:tcPr>
            <w:tcW w:w="12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transthyretin</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using CRISPR/Cas9</w:t>
            </w:r>
          </w:p>
        </w:tc>
        <w:tc>
          <w:tcPr>
            <w:tcW w:w="12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amyloidosis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with</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7"/>
              </w:rPr>
              <w:t>polyneuropathy</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("ATTRv-PN")</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3"/>
          </w:tcPr>
          <w:p>
            <w:pPr>
              <w:ind w:left="320"/>
              <w:spacing w:after="0"/>
              <w:rPr>
                <w:sz w:val="20"/>
                <w:szCs w:val="20"/>
                <w:color w:val="auto"/>
              </w:rPr>
            </w:pPr>
            <w:r>
              <w:rPr>
                <w:rFonts w:ascii="Arial" w:cs="Arial" w:eastAsia="Arial" w:hAnsi="Arial"/>
                <w:sz w:val="18"/>
                <w:szCs w:val="18"/>
                <w:b w:val="1"/>
                <w:bCs w:val="1"/>
                <w:color w:val="auto"/>
              </w:rPr>
              <w:t>General Medicine</w:t>
            </w:r>
          </w:p>
        </w:tc>
        <w:tc>
          <w:tcPr>
            <w:tcW w:w="0" w:type="dxa"/>
            <w:vAlign w:val="bottom"/>
          </w:tcPr>
          <w:p>
            <w:pPr>
              <w:spacing w:after="0"/>
              <w:rPr>
                <w:sz w:val="1"/>
                <w:szCs w:val="1"/>
                <w:color w:val="auto"/>
              </w:rPr>
            </w:pPr>
          </w:p>
        </w:tc>
      </w:tr>
      <w:tr>
        <w:trPr>
          <w:trHeight w:val="228"/>
        </w:trPr>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REGEN-COV</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–COVID-19</w:t>
            </w: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–COVID-19 dose-</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–COVID-19</w:t>
            </w:r>
          </w:p>
        </w:tc>
        <w:tc>
          <w:tcPr>
            <w:tcW w:w="1220" w:type="dxa"/>
            <w:vAlign w:val="bottom"/>
          </w:tcPr>
          <w:p>
            <w:pPr>
              <w:spacing w:after="0"/>
              <w:rPr>
                <w:sz w:val="20"/>
                <w:szCs w:val="20"/>
                <w:color w:val="auto"/>
              </w:rPr>
            </w:pPr>
            <w:r>
              <w:rPr>
                <w:rFonts w:ascii="Arial" w:cs="Arial" w:eastAsia="Arial" w:hAnsi="Arial"/>
                <w:sz w:val="18"/>
                <w:szCs w:val="18"/>
                <w:color w:val="auto"/>
              </w:rPr>
              <w:t>–COVID-19</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(casirivimab and</w:t>
            </w:r>
          </w:p>
        </w:tc>
        <w:tc>
          <w:tcPr>
            <w:tcW w:w="12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multi-dose</w:t>
            </w:r>
          </w:p>
        </w:tc>
        <w:tc>
          <w:tcPr>
            <w:tcW w:w="15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ranging virology</w:t>
            </w:r>
          </w:p>
        </w:tc>
        <w:tc>
          <w:tcPr>
            <w:tcW w:w="156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treatment in non-</w:t>
            </w:r>
          </w:p>
        </w:tc>
        <w:tc>
          <w:tcPr>
            <w:tcW w:w="1220" w:type="dxa"/>
            <w:vAlign w:val="bottom"/>
          </w:tcPr>
          <w:p>
            <w:pPr>
              <w:spacing w:after="0" w:line="174" w:lineRule="exact"/>
              <w:rPr>
                <w:sz w:val="20"/>
                <w:szCs w:val="20"/>
                <w:color w:val="auto"/>
              </w:rPr>
            </w:pPr>
            <w:r>
              <w:rPr>
                <w:rFonts w:ascii="Arial" w:cs="Arial" w:eastAsia="Arial" w:hAnsi="Arial"/>
                <w:sz w:val="18"/>
                <w:szCs w:val="18"/>
                <w:color w:val="auto"/>
              </w:rPr>
              <w:t>treatment and</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20"/>
                <w:szCs w:val="20"/>
                <w:b w:val="1"/>
                <w:bCs w:val="1"/>
                <w:color w:val="auto"/>
                <w:vertAlign w:val="subscript"/>
              </w:rPr>
              <w:t>imdevimab)</w:t>
            </w:r>
            <w:r>
              <w:rPr>
                <w:rFonts w:ascii="Arial" w:cs="Arial" w:eastAsia="Arial" w:hAnsi="Arial"/>
                <w:sz w:val="9"/>
                <w:szCs w:val="9"/>
                <w:b w:val="1"/>
                <w:bCs w:val="1"/>
                <w:color w:val="auto"/>
              </w:rPr>
              <w:t>(e)(g)(l)(m)</w:t>
            </w:r>
          </w:p>
        </w:tc>
        <w:tc>
          <w:tcPr>
            <w:tcW w:w="12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safety study</w:t>
            </w:r>
          </w:p>
        </w:tc>
        <w:tc>
          <w:tcPr>
            <w:tcW w:w="15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study in non-</w:t>
            </w:r>
          </w:p>
        </w:tc>
        <w:tc>
          <w:tcPr>
            <w:tcW w:w="156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hospitalized</w:t>
            </w:r>
          </w:p>
        </w:tc>
        <w:tc>
          <w:tcPr>
            <w:tcW w:w="1220" w:type="dxa"/>
            <w:vAlign w:val="bottom"/>
          </w:tcPr>
          <w:p>
            <w:pPr>
              <w:spacing w:after="0" w:line="174" w:lineRule="exact"/>
              <w:rPr>
                <w:sz w:val="20"/>
                <w:szCs w:val="20"/>
                <w:color w:val="auto"/>
              </w:rPr>
            </w:pPr>
            <w:r>
              <w:rPr>
                <w:rFonts w:ascii="Arial" w:cs="Arial" w:eastAsia="Arial" w:hAnsi="Arial"/>
                <w:sz w:val="18"/>
                <w:szCs w:val="18"/>
                <w:color w:val="auto"/>
                <w:w w:val="92"/>
              </w:rPr>
              <w:t>prevention (U.S.</w:t>
            </w:r>
          </w:p>
        </w:tc>
        <w:tc>
          <w:tcPr>
            <w:tcW w:w="0" w:type="dxa"/>
            <w:vAlign w:val="bottom"/>
          </w:tcPr>
          <w:p>
            <w:pPr>
              <w:spacing w:after="0"/>
              <w:rPr>
                <w:sz w:val="1"/>
                <w:szCs w:val="1"/>
                <w:color w:val="auto"/>
              </w:rPr>
            </w:pPr>
          </w:p>
        </w:tc>
      </w:tr>
      <w:tr>
        <w:trPr>
          <w:trHeight w:val="173"/>
        </w:trPr>
        <w:tc>
          <w:tcPr>
            <w:tcW w:w="186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Multi-antibody therapy</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hospitalized</w:t>
            </w:r>
          </w:p>
        </w:tc>
        <w:tc>
          <w:tcPr>
            <w:tcW w:w="156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patients</w:t>
            </w:r>
          </w:p>
        </w:tc>
        <w:tc>
          <w:tcPr>
            <w:tcW w:w="1220" w:type="dxa"/>
            <w:vAlign w:val="bottom"/>
          </w:tcPr>
          <w:p>
            <w:pPr>
              <w:spacing w:after="0" w:line="174" w:lineRule="exact"/>
              <w:rPr>
                <w:sz w:val="20"/>
                <w:szCs w:val="20"/>
                <w:color w:val="auto"/>
              </w:rPr>
            </w:pPr>
            <w:r>
              <w:rPr>
                <w:rFonts w:ascii="Arial" w:cs="Arial" w:eastAsia="Arial" w:hAnsi="Arial"/>
                <w:sz w:val="18"/>
                <w:szCs w:val="18"/>
                <w:color w:val="auto"/>
              </w:rPr>
              <w:t>and EU)</w:t>
            </w:r>
          </w:p>
        </w:tc>
        <w:tc>
          <w:tcPr>
            <w:tcW w:w="0" w:type="dxa"/>
            <w:vAlign w:val="bottom"/>
          </w:tcPr>
          <w:p>
            <w:pPr>
              <w:spacing w:after="0"/>
              <w:rPr>
                <w:sz w:val="1"/>
                <w:szCs w:val="1"/>
                <w:color w:val="auto"/>
              </w:rPr>
            </w:pPr>
          </w:p>
        </w:tc>
      </w:tr>
      <w:tr>
        <w:trPr>
          <w:trHeight w:val="226"/>
        </w:trPr>
        <w:tc>
          <w:tcPr>
            <w:tcW w:w="1860" w:type="dxa"/>
            <w:vAlign w:val="bottom"/>
            <w:gridSpan w:val="2"/>
          </w:tcPr>
          <w:p>
            <w:pPr>
              <w:ind w:left="20"/>
              <w:spacing w:after="0"/>
              <w:rPr>
                <w:sz w:val="20"/>
                <w:szCs w:val="20"/>
                <w:color w:val="auto"/>
              </w:rPr>
            </w:pPr>
            <w:r>
              <w:rPr>
                <w:rFonts w:ascii="Arial" w:cs="Arial" w:eastAsia="Arial" w:hAnsi="Arial"/>
                <w:sz w:val="18"/>
                <w:szCs w:val="18"/>
                <w:i w:val="1"/>
                <w:iCs w:val="1"/>
                <w:color w:val="auto"/>
              </w:rPr>
              <w:t>to SARS-CoV-2 virus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patients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vMerge w:val="restart"/>
          </w:tcPr>
          <w:p>
            <w:pPr>
              <w:spacing w:after="0"/>
              <w:rPr>
                <w:sz w:val="20"/>
                <w:szCs w:val="20"/>
                <w:color w:val="auto"/>
              </w:rPr>
            </w:pPr>
            <w:r>
              <w:rPr>
                <w:rFonts w:ascii="Arial" w:cs="Arial" w:eastAsia="Arial" w:hAnsi="Arial"/>
                <w:sz w:val="18"/>
                <w:szCs w:val="18"/>
                <w:color w:val="auto"/>
              </w:rPr>
              <w:t>–EUA</w:t>
            </w: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restart"/>
          </w:tcPr>
          <w:p>
            <w:pPr>
              <w:ind w:left="20"/>
              <w:spacing w:after="0" w:line="188" w:lineRule="exact"/>
              <w:rPr>
                <w:sz w:val="20"/>
                <w:szCs w:val="20"/>
                <w:color w:val="auto"/>
              </w:rPr>
            </w:pPr>
            <w:r>
              <w:rPr>
                <w:rFonts w:ascii="Arial" w:cs="Arial" w:eastAsia="Arial" w:hAnsi="Arial"/>
                <w:sz w:val="18"/>
                <w:szCs w:val="18"/>
                <w:color w:val="auto"/>
              </w:rPr>
              <w:t>–COVID-19</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20" w:type="dxa"/>
            <w:vAlign w:val="bottom"/>
            <w:vMerge w:val="restart"/>
          </w:tcPr>
          <w:p>
            <w:pPr>
              <w:spacing w:after="0" w:line="174" w:lineRule="exact"/>
              <w:rPr>
                <w:sz w:val="20"/>
                <w:szCs w:val="20"/>
                <w:color w:val="auto"/>
              </w:rPr>
            </w:pPr>
            <w:r>
              <w:rPr>
                <w:rFonts w:ascii="Arial" w:cs="Arial" w:eastAsia="Arial" w:hAnsi="Arial"/>
                <w:sz w:val="18"/>
                <w:szCs w:val="18"/>
                <w:color w:val="auto"/>
              </w:rPr>
              <w:t>amendment to</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treatment in</w:t>
            </w: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20" w:type="dxa"/>
            <w:vAlign w:val="bottom"/>
            <w:vMerge w:val="restart"/>
          </w:tcPr>
          <w:p>
            <w:pPr>
              <w:spacing w:after="0" w:line="174" w:lineRule="exact"/>
              <w:rPr>
                <w:sz w:val="20"/>
                <w:szCs w:val="20"/>
                <w:color w:val="auto"/>
              </w:rPr>
            </w:pPr>
            <w:r>
              <w:rPr>
                <w:rFonts w:ascii="Arial" w:cs="Arial" w:eastAsia="Arial" w:hAnsi="Arial"/>
                <w:sz w:val="18"/>
                <w:szCs w:val="18"/>
                <w:color w:val="auto"/>
              </w:rPr>
              <w:t>add COVID-19</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2"/>
            <w:vMerge w:val="restart"/>
          </w:tcPr>
          <w:p>
            <w:pPr>
              <w:ind w:left="20"/>
              <w:spacing w:after="0" w:line="174" w:lineRule="exact"/>
              <w:rPr>
                <w:sz w:val="20"/>
                <w:szCs w:val="20"/>
                <w:color w:val="auto"/>
              </w:rPr>
            </w:pPr>
            <w:r>
              <w:rPr>
                <w:rFonts w:ascii="Arial" w:cs="Arial" w:eastAsia="Arial" w:hAnsi="Arial"/>
                <w:sz w:val="18"/>
                <w:szCs w:val="18"/>
                <w:color w:val="auto"/>
              </w:rPr>
              <w:t>hospitalized</w:t>
            </w: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220" w:type="dxa"/>
            <w:vAlign w:val="bottom"/>
            <w:vMerge w:val="restart"/>
          </w:tcPr>
          <w:p>
            <w:pPr>
              <w:spacing w:after="0" w:line="174" w:lineRule="exact"/>
              <w:rPr>
                <w:sz w:val="20"/>
                <w:szCs w:val="20"/>
                <w:color w:val="auto"/>
              </w:rPr>
            </w:pPr>
            <w:r>
              <w:rPr>
                <w:rFonts w:ascii="Arial" w:cs="Arial" w:eastAsia="Arial" w:hAnsi="Arial"/>
                <w:sz w:val="18"/>
                <w:szCs w:val="18"/>
                <w:color w:val="auto"/>
              </w:rPr>
              <w:t>treatment for</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patients</w:t>
            </w: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220" w:type="dxa"/>
            <w:vAlign w:val="bottom"/>
            <w:vMerge w:val="restart"/>
          </w:tcPr>
          <w:p>
            <w:pPr>
              <w:spacing w:after="0" w:line="174" w:lineRule="exact"/>
              <w:rPr>
                <w:sz w:val="20"/>
                <w:szCs w:val="20"/>
                <w:color w:val="auto"/>
              </w:rPr>
            </w:pPr>
            <w:r>
              <w:rPr>
                <w:rFonts w:ascii="Arial" w:cs="Arial" w:eastAsia="Arial" w:hAnsi="Arial"/>
                <w:sz w:val="18"/>
                <w:szCs w:val="18"/>
                <w:color w:val="auto"/>
              </w:rPr>
              <w:t>hospitalized</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–COVID-19</w:t>
            </w:r>
          </w:p>
        </w:tc>
        <w:tc>
          <w:tcPr>
            <w:tcW w:w="1220" w:type="dxa"/>
            <w:vAlign w:val="bottom"/>
          </w:tcPr>
          <w:p>
            <w:pPr>
              <w:spacing w:after="0" w:line="174" w:lineRule="exact"/>
              <w:rPr>
                <w:sz w:val="20"/>
                <w:szCs w:val="20"/>
                <w:color w:val="auto"/>
              </w:rPr>
            </w:pPr>
            <w:r>
              <w:rPr>
                <w:rFonts w:ascii="Arial" w:cs="Arial" w:eastAsia="Arial" w:hAnsi="Arial"/>
                <w:sz w:val="18"/>
                <w:szCs w:val="18"/>
                <w:color w:val="auto"/>
                <w:w w:val="88"/>
              </w:rPr>
              <w:t>patients and pre-</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220" w:type="dxa"/>
            <w:vAlign w:val="bottom"/>
          </w:tcPr>
          <w:p>
            <w:pPr>
              <w:spacing w:after="0" w:line="174" w:lineRule="exact"/>
              <w:rPr>
                <w:sz w:val="20"/>
                <w:szCs w:val="20"/>
                <w:color w:val="auto"/>
              </w:rPr>
            </w:pPr>
            <w:r>
              <w:rPr>
                <w:rFonts w:ascii="Arial" w:cs="Arial" w:eastAsia="Arial" w:hAnsi="Arial"/>
                <w:sz w:val="18"/>
                <w:szCs w:val="18"/>
                <w:color w:val="auto"/>
              </w:rPr>
              <w:t>exposure</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20"/>
              <w:spacing w:after="0" w:line="149" w:lineRule="exact"/>
              <w:rPr>
                <w:sz w:val="20"/>
                <w:szCs w:val="20"/>
                <w:color w:val="auto"/>
              </w:rPr>
            </w:pPr>
            <w:r>
              <w:rPr>
                <w:rFonts w:ascii="Arial" w:cs="Arial" w:eastAsia="Arial" w:hAnsi="Arial"/>
                <w:sz w:val="17"/>
                <w:szCs w:val="17"/>
                <w:color w:val="auto"/>
              </w:rPr>
              <w:t>treatment in</w:t>
            </w:r>
          </w:p>
        </w:tc>
        <w:tc>
          <w:tcPr>
            <w:tcW w:w="1220" w:type="dxa"/>
            <w:vAlign w:val="bottom"/>
          </w:tcPr>
          <w:p>
            <w:pPr>
              <w:spacing w:after="0" w:line="149" w:lineRule="exact"/>
              <w:rPr>
                <w:sz w:val="20"/>
                <w:szCs w:val="20"/>
                <w:color w:val="auto"/>
              </w:rPr>
            </w:pPr>
            <w:r>
              <w:rPr>
                <w:rFonts w:ascii="Arial" w:cs="Arial" w:eastAsia="Arial" w:hAnsi="Arial"/>
                <w:sz w:val="17"/>
                <w:szCs w:val="17"/>
                <w:color w:val="auto"/>
              </w:rPr>
              <w:t>prophylaxis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-1593215</wp:posOffset>
            </wp:positionV>
            <wp:extent cx="7134225" cy="3956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395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-2584450</wp:posOffset>
            </wp:positionV>
            <wp:extent cx="7134225" cy="262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262890"/>
                    </a:xfrm>
                    <a:prstGeom prst="rect">
                      <a:avLst/>
                    </a:prstGeom>
                    <a:noFill/>
                  </pic:spPr>
                </pic:pic>
              </a:graphicData>
            </a:graphic>
          </wp:anchor>
        </w:drawing>
      </w:r>
    </w:p>
    <w:p>
      <w:pPr>
        <w:ind w:left="4640"/>
        <w:spacing w:after="0" w:line="201" w:lineRule="auto"/>
        <w:rPr>
          <w:sz w:val="20"/>
          <w:szCs w:val="20"/>
          <w:color w:val="auto"/>
        </w:rPr>
      </w:pPr>
      <w:r>
        <w:rPr>
          <w:rFonts w:ascii="Arial" w:cs="Arial" w:eastAsia="Arial" w:hAnsi="Arial"/>
          <w:sz w:val="18"/>
          <w:szCs w:val="18"/>
          <w:color w:val="auto"/>
        </w:rPr>
        <w:t>hospitalized</w:t>
      </w:r>
    </w:p>
    <w:p>
      <w:pPr>
        <w:ind w:left="4640"/>
        <w:spacing w:after="0" w:line="201" w:lineRule="auto"/>
        <w:rPr>
          <w:sz w:val="20"/>
          <w:szCs w:val="20"/>
          <w:color w:val="auto"/>
        </w:rPr>
      </w:pPr>
      <w:r>
        <w:rPr>
          <w:rFonts w:ascii="Arial" w:cs="Arial" w:eastAsia="Arial" w:hAnsi="Arial"/>
          <w:sz w:val="18"/>
          <w:szCs w:val="18"/>
          <w:color w:val="auto"/>
        </w:rPr>
        <w:t>patients (UK-based</w:t>
      </w:r>
    </w:p>
    <w:p>
      <w:pPr>
        <w:ind w:left="4640"/>
        <w:spacing w:after="0"/>
        <w:rPr>
          <w:sz w:val="20"/>
          <w:szCs w:val="20"/>
          <w:color w:val="auto"/>
        </w:rPr>
      </w:pPr>
      <w:r>
        <w:rPr>
          <w:rFonts w:ascii="Arial" w:cs="Arial" w:eastAsia="Arial" w:hAnsi="Arial"/>
          <w:sz w:val="18"/>
          <w:szCs w:val="18"/>
          <w:color w:val="auto"/>
        </w:rPr>
        <w:t>RECOVERY trial)</w:t>
      </w:r>
    </w:p>
    <w:p>
      <w:pPr>
        <w:spacing w:after="0" w:line="17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–COVID-19</w:t>
      </w:r>
    </w:p>
    <w:p>
      <w:pPr>
        <w:ind w:left="4640"/>
        <w:spacing w:after="0"/>
        <w:rPr>
          <w:sz w:val="20"/>
          <w:szCs w:val="20"/>
          <w:color w:val="auto"/>
        </w:rPr>
      </w:pPr>
      <w:r>
        <w:rPr>
          <w:rFonts w:ascii="Arial" w:cs="Arial" w:eastAsia="Arial" w:hAnsi="Arial"/>
          <w:sz w:val="18"/>
          <w:szCs w:val="18"/>
          <w:color w:val="auto"/>
        </w:rPr>
        <w:t>prevention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9"/>
        <w:spacing w:after="0"/>
        <w:rPr>
          <w:sz w:val="20"/>
          <w:szCs w:val="20"/>
          <w:color w:val="auto"/>
        </w:rPr>
      </w:pPr>
      <w:r>
        <w:rPr>
          <w:rFonts w:ascii="Arial" w:cs="Arial" w:eastAsia="Arial" w:hAnsi="Arial"/>
          <w:sz w:val="18"/>
          <w:szCs w:val="18"/>
          <w:b w:val="1"/>
          <w:bCs w:val="1"/>
          <w:color w:val="auto"/>
        </w:rPr>
        <w:t>2021 Events to Date</w:t>
      </w:r>
    </w:p>
    <w:p>
      <w:pPr>
        <w:spacing w:after="0" w:line="200" w:lineRule="exact"/>
        <w:rPr>
          <w:sz w:val="20"/>
          <w:szCs w:val="20"/>
          <w:color w:val="auto"/>
        </w:rPr>
      </w:pPr>
    </w:p>
    <w:p>
      <w:pPr>
        <w:spacing w:after="0" w:line="23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–Reported positive interim data from Phase 1 trial in ATTRv-PN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–Reported that Phase 3 trials in non-hospitalized COVID-19 patients met primary and key secondary endpoints</w:t>
      </w:r>
    </w:p>
    <w:p>
      <w:pPr>
        <w:spacing w:after="0" w:line="12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–NIH COVID-19 Treatment Guidelines updated to strongly recommend REGEN-COV be used in non-hospitalized COVID-19 patients at high risk of clinical progression</w:t>
      </w:r>
    </w:p>
    <w:p>
      <w:pPr>
        <w:spacing w:after="0" w:line="126"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–Reported that all tested doses in Phase 2 dose-ranging study in non-hospitalized patients met the primary endpoint</w:t>
      </w:r>
    </w:p>
    <w:p>
      <w:pPr>
        <w:spacing w:after="0" w:line="95"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–FDA updated EUA, lowering dose to 1,200 mg, allowing for subcutaneous injections in certain circumstances, and to include post-exposure prophylaxis</w:t>
      </w:r>
    </w:p>
    <w:p>
      <w:pPr>
        <w:spacing w:after="0" w:line="101"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–Approved by Ministry of Health, Labour and Welfare ("MHLW") for COVID-19 treatment in Japan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 Upcoming</w:t>
      </w:r>
    </w:p>
    <w:p>
      <w:pPr>
        <w:jc w:val="center"/>
        <w:ind w:right="-19"/>
        <w:spacing w:after="0"/>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–Complete rolling BLA and MAA submissions for COVID-19 treatment and prevention (second half 2021)</w:t>
      </w:r>
    </w:p>
    <w:p>
      <w:pPr>
        <w:spacing w:after="0" w:line="5226" w:lineRule="exact"/>
        <w:rPr>
          <w:sz w:val="20"/>
          <w:szCs w:val="20"/>
          <w:color w:val="auto"/>
        </w:rPr>
      </w:pPr>
    </w:p>
    <w:p>
      <w:pPr>
        <w:sectPr>
          <w:pgSz w:w="11900" w:h="16838" w:orient="portrait"/>
          <w:cols w:equalWidth="0" w:num="3">
            <w:col w:w="7400" w:space="100"/>
            <w:col w:w="1760" w:space="180"/>
            <w:col w:w="1760"/>
          </w:cols>
          <w:pgMar w:left="320" w:top="37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235585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370" w:right="37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Clinical Program</w:t>
            </w:r>
          </w:p>
        </w:tc>
        <w:tc>
          <w:tcPr>
            <w:tcW w:w="12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Phase 1</w:t>
            </w:r>
          </w:p>
        </w:tc>
        <w:tc>
          <w:tcPr>
            <w:tcW w:w="16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Phase 3</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Regulatory</w:t>
            </w:r>
          </w:p>
        </w:tc>
        <w:tc>
          <w:tcPr>
            <w:tcW w:w="19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2021 Events to Date</w:t>
            </w:r>
          </w:p>
        </w:tc>
        <w:tc>
          <w:tcPr>
            <w:tcW w:w="182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27"/>
        </w:trPr>
        <w:tc>
          <w:tcPr>
            <w:tcW w:w="184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(continued)</w:t>
            </w:r>
          </w:p>
        </w:tc>
        <w:tc>
          <w:tcPr>
            <w:tcW w:w="122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00" w:type="dxa"/>
            <w:vAlign w:val="bottom"/>
            <w:gridSpan w:val="2"/>
          </w:tcPr>
          <w:p>
            <w:pPr>
              <w:jc w:val="center"/>
              <w:ind w:right="80"/>
              <w:spacing w:after="0" w:line="226" w:lineRule="exact"/>
              <w:rPr>
                <w:sz w:val="20"/>
                <w:szCs w:val="20"/>
                <w:color w:val="auto"/>
              </w:rPr>
            </w:pPr>
            <w:r>
              <w:rPr>
                <w:rFonts w:ascii="Arial" w:cs="Arial" w:eastAsia="Arial" w:hAnsi="Arial"/>
                <w:sz w:val="18"/>
                <w:szCs w:val="18"/>
                <w:b w:val="1"/>
                <w:bCs w:val="1"/>
                <w:color w:val="auto"/>
                <w:w w:val="86"/>
              </w:rPr>
              <w:t>Review</w:t>
            </w:r>
            <w:r>
              <w:rPr>
                <w:rFonts w:ascii="Arial" w:cs="Arial" w:eastAsia="Arial" w:hAnsi="Arial"/>
                <w:sz w:val="23"/>
                <w:szCs w:val="23"/>
                <w:b w:val="1"/>
                <w:bCs w:val="1"/>
                <w:color w:val="auto"/>
                <w:w w:val="86"/>
                <w:vertAlign w:val="superscript"/>
              </w:rPr>
              <w:t>(i)</w:t>
            </w:r>
          </w:p>
        </w:tc>
        <w:tc>
          <w:tcPr>
            <w:tcW w:w="1900" w:type="dxa"/>
            <w:vAlign w:val="bottom"/>
            <w:gridSpan w:val="2"/>
            <w:vMerge w:val="continue"/>
          </w:tcPr>
          <w:p>
            <w:pPr>
              <w:spacing w:after="0"/>
              <w:rPr>
                <w:sz w:val="19"/>
                <w:szCs w:val="19"/>
                <w:color w:val="auto"/>
              </w:rPr>
            </w:pPr>
          </w:p>
        </w:tc>
        <w:tc>
          <w:tcPr>
            <w:tcW w:w="1820" w:type="dxa"/>
            <w:vAlign w:val="bottom"/>
          </w:tcPr>
          <w:p>
            <w:pPr>
              <w:ind w:left="460"/>
              <w:spacing w:after="0" w:line="226"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3"/>
                <w:szCs w:val="23"/>
                <w:b w:val="1"/>
                <w:bCs w:val="1"/>
                <w:color w:val="auto"/>
                <w:vertAlign w:val="superscript"/>
              </w:rPr>
              <w:t>(j)</w:t>
            </w:r>
          </w:p>
        </w:tc>
        <w:tc>
          <w:tcPr>
            <w:tcW w:w="0" w:type="dxa"/>
            <w:vAlign w:val="bottom"/>
          </w:tcPr>
          <w:p>
            <w:pPr>
              <w:spacing w:after="0"/>
              <w:rPr>
                <w:sz w:val="1"/>
                <w:szCs w:val="1"/>
                <w:color w:val="auto"/>
              </w:rPr>
            </w:pPr>
          </w:p>
        </w:tc>
      </w:tr>
      <w:tr>
        <w:trPr>
          <w:trHeight w:val="167"/>
        </w:trPr>
        <w:tc>
          <w:tcPr>
            <w:tcW w:w="176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b w:val="1"/>
                <w:bCs w:val="1"/>
                <w:color w:val="auto"/>
              </w:rPr>
              <w:t>REGEN-COV</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color w:val="auto"/>
                <w:w w:val="93"/>
              </w:rPr>
              <w:t>–Reported that Phase 3</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 xml:space="preserve">(casirivimab </w:t>
            </w:r>
            <w:r>
              <w:rPr>
                <w:rFonts w:ascii="Arial" w:cs="Arial" w:eastAsia="Arial" w:hAnsi="Arial"/>
                <w:sz w:val="18"/>
                <w:szCs w:val="18"/>
                <w:color w:val="auto"/>
              </w:rPr>
              <w:t>and</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prevention trial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20"/>
                <w:szCs w:val="20"/>
                <w:b w:val="1"/>
                <w:bCs w:val="1"/>
                <w:color w:val="auto"/>
                <w:vertAlign w:val="subscript"/>
              </w:rPr>
              <w:t>imdevimab)</w:t>
            </w:r>
            <w:r>
              <w:rPr>
                <w:rFonts w:ascii="Arial" w:cs="Arial" w:eastAsia="Arial" w:hAnsi="Arial"/>
                <w:sz w:val="9"/>
                <w:szCs w:val="9"/>
                <w:color w:val="auto"/>
              </w:rPr>
              <w:t>(e)</w:t>
            </w:r>
            <w:r>
              <w:rPr>
                <w:rFonts w:ascii="Arial" w:cs="Arial" w:eastAsia="Arial" w:hAnsi="Arial"/>
                <w:sz w:val="9"/>
                <w:szCs w:val="9"/>
                <w:b w:val="1"/>
                <w:bCs w:val="1"/>
                <w:color w:val="auto"/>
              </w:rPr>
              <w:t>(g)</w:t>
            </w:r>
            <w:r>
              <w:rPr>
                <w:rFonts w:ascii="Arial" w:cs="Arial" w:eastAsia="Arial" w:hAnsi="Arial"/>
                <w:sz w:val="9"/>
                <w:szCs w:val="9"/>
                <w:color w:val="auto"/>
              </w:rPr>
              <w:t>(l)(m)</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uninfected household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(continued)</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contacts of SARS-CoV-2</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infected individuals met</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primary and key</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secondary endpoints</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–Positive results</w:t>
            </w: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reported from Phase 3</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RECOVERY trial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hospitalized patients</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w w:val="97"/>
              </w:rPr>
              <w:t>Praluent (alirocumab)</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–HeFH in</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–Approved by FDA for</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4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PCSK9</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pediatrics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HoFH</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Fasinumab</w:t>
            </w:r>
            <w:r>
              <w:rPr>
                <w:rFonts w:ascii="Arial" w:cs="Arial" w:eastAsia="Arial" w:hAnsi="Arial"/>
                <w:sz w:val="20"/>
                <w:szCs w:val="20"/>
                <w:b w:val="1"/>
                <w:bCs w:val="1"/>
                <w:color w:val="auto"/>
                <w:vertAlign w:val="superscript"/>
              </w:rPr>
              <w:t>(k)(f)</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–Osteoarthritis pain</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–Report additional</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(REGN475)</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of the knee or hip</w:t>
            </w:r>
            <w:r>
              <w:rPr>
                <w:rFonts w:ascii="Arial" w:cs="Arial" w:eastAsia="Arial" w:hAnsi="Arial"/>
                <w:sz w:val="20"/>
                <w:szCs w:val="20"/>
                <w:color w:val="auto"/>
                <w:vertAlign w:val="superscript"/>
              </w:rPr>
              <w:t>(e)</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longer-term safety</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Antibody to NGF</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results from Phase 3</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studies in osteoarthritis</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pain of the knee or hip</w:t>
            </w:r>
          </w:p>
        </w:tc>
        <w:tc>
          <w:tcPr>
            <w:tcW w:w="0" w:type="dxa"/>
            <w:vAlign w:val="bottom"/>
          </w:tcPr>
          <w:p>
            <w:pPr>
              <w:spacing w:after="0"/>
              <w:rPr>
                <w:sz w:val="1"/>
                <w:szCs w:val="1"/>
                <w:color w:val="auto"/>
              </w:rPr>
            </w:pPr>
          </w:p>
        </w:tc>
      </w:tr>
      <w:tr>
        <w:trPr>
          <w:trHeight w:val="226"/>
        </w:trPr>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361"/>
        </w:trPr>
        <w:tc>
          <w:tcPr>
            <w:tcW w:w="1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–Continue discussions</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with regulatory</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authorities and</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determine next steps for</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the program (second</w:t>
            </w:r>
          </w:p>
        </w:tc>
        <w:tc>
          <w:tcPr>
            <w:tcW w:w="0" w:type="dxa"/>
            <w:vAlign w:val="bottom"/>
          </w:tcPr>
          <w:p>
            <w:pPr>
              <w:spacing w:after="0"/>
              <w:rPr>
                <w:sz w:val="1"/>
                <w:szCs w:val="1"/>
                <w:color w:val="auto"/>
              </w:rPr>
            </w:pPr>
          </w:p>
        </w:tc>
      </w:tr>
      <w:tr>
        <w:trPr>
          <w:trHeight w:val="227"/>
        </w:trPr>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half 2021)</w:t>
            </w: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w w:val="93"/>
              </w:rPr>
              <w:t>Evkeeza (evinacumab)</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–Severe</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9"/>
              </w:rPr>
              <w:t>–Approved by FDA and</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4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(f)</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hypertriglyceridemia</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8"/>
                <w:szCs w:val="18"/>
                <w:color w:val="auto"/>
              </w:rPr>
              <w:t>EC for HoFH</w:t>
            </w: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Antibody to ANGPTL3</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8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6"/>
                <w:szCs w:val="16"/>
                <w:b w:val="1"/>
                <w:bCs w:val="1"/>
                <w:color w:val="auto"/>
              </w:rPr>
              <w:t>Garetosmab</w:t>
            </w:r>
            <w:r>
              <w:rPr>
                <w:rFonts w:ascii="Arial" w:cs="Arial" w:eastAsia="Arial" w:hAnsi="Arial"/>
                <w:sz w:val="20"/>
                <w:szCs w:val="20"/>
                <w:b w:val="1"/>
                <w:bCs w:val="1"/>
                <w:color w:val="auto"/>
                <w:vertAlign w:val="superscript"/>
              </w:rPr>
              <w:t>(f)</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–Fibrodysplasia</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–Further review trial</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(REGN2477)</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ossificans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data and determine next</w:t>
            </w: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Antibody to Activin A</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progressiva</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steps for the program</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20"/>
                <w:szCs w:val="20"/>
                <w:color w:val="auto"/>
                <w:vertAlign w:val="subscript"/>
              </w:rPr>
              <w:t>("FOP")</w:t>
            </w:r>
            <w:r>
              <w:rPr>
                <w:rFonts w:ascii="Arial" w:cs="Arial" w:eastAsia="Arial" w:hAnsi="Arial"/>
                <w:sz w:val="9"/>
                <w:szCs w:val="9"/>
                <w:color w:val="auto"/>
              </w:rPr>
              <w:t>(c)(d)(e)</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(second half 2021)</w:t>
            </w:r>
          </w:p>
        </w:tc>
        <w:tc>
          <w:tcPr>
            <w:tcW w:w="0" w:type="dxa"/>
            <w:vAlign w:val="bottom"/>
          </w:tcPr>
          <w:p>
            <w:pPr>
              <w:spacing w:after="0"/>
              <w:rPr>
                <w:sz w:val="1"/>
                <w:szCs w:val="1"/>
                <w:color w:val="auto"/>
              </w:rPr>
            </w:pPr>
          </w:p>
        </w:tc>
      </w:tr>
      <w:tr>
        <w:trPr>
          <w:trHeight w:val="173"/>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(potentially pivotal</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REGN4461</w:t>
            </w:r>
            <w:r>
              <w:rPr>
                <w:rFonts w:ascii="Arial" w:cs="Arial" w:eastAsia="Arial" w:hAnsi="Arial"/>
                <w:sz w:val="20"/>
                <w:szCs w:val="20"/>
                <w:b w:val="1"/>
                <w:bCs w:val="1"/>
                <w:color w:val="auto"/>
                <w:vertAlign w:val="superscript"/>
              </w:rPr>
              <w:t>(f)</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–Generalized</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Agonist antibody to</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lipodystrophy</w:t>
            </w:r>
            <w:r>
              <w:rPr>
                <w:rFonts w:ascii="Arial" w:cs="Arial" w:eastAsia="Arial" w:hAnsi="Arial"/>
                <w:sz w:val="20"/>
                <w:szCs w:val="20"/>
                <w:color w:val="auto"/>
                <w:vertAlign w:val="superscript"/>
              </w:rPr>
              <w:t>(e)</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leptin receptor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40" w:type="dxa"/>
            <w:vAlign w:val="bottom"/>
            <w:gridSpan w:val="2"/>
          </w:tcPr>
          <w:p>
            <w:pPr>
              <w:ind w:left="20"/>
              <w:spacing w:after="0"/>
              <w:rPr>
                <w:sz w:val="20"/>
                <w:szCs w:val="20"/>
                <w:color w:val="auto"/>
              </w:rPr>
            </w:pPr>
            <w:r>
              <w:rPr>
                <w:rFonts w:ascii="Arial" w:cs="Arial" w:eastAsia="Arial" w:hAnsi="Arial"/>
                <w:sz w:val="18"/>
                <w:szCs w:val="18"/>
                <w:i w:val="1"/>
                <w:iCs w:val="1"/>
                <w:color w:val="auto"/>
              </w:rPr>
              <w:t>("LEPR")</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REGN5381</w:t>
            </w:r>
          </w:p>
        </w:tc>
        <w:tc>
          <w:tcPr>
            <w:tcW w:w="12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–Heart failure</w:t>
            </w: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rPr>
              <w:t>Agonist antibody to</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NPR1</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ALN-HSD</w:t>
            </w:r>
            <w:r>
              <w:rPr>
                <w:rFonts w:ascii="Arial" w:cs="Arial" w:eastAsia="Arial" w:hAnsi="Arial"/>
                <w:sz w:val="20"/>
                <w:szCs w:val="20"/>
                <w:b w:val="1"/>
                <w:bCs w:val="1"/>
                <w:color w:val="auto"/>
                <w:vertAlign w:val="superscript"/>
              </w:rPr>
              <w:t>(o)</w:t>
            </w:r>
          </w:p>
        </w:tc>
        <w:tc>
          <w:tcPr>
            <w:tcW w:w="12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–Nonalcoholic</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4" w:lineRule="exact"/>
              <w:rPr>
                <w:sz w:val="20"/>
                <w:szCs w:val="20"/>
                <w:color w:val="auto"/>
              </w:rPr>
            </w:pPr>
            <w:r>
              <w:rPr>
                <w:rFonts w:ascii="Arial" w:cs="Arial" w:eastAsia="Arial" w:hAnsi="Arial"/>
                <w:sz w:val="18"/>
                <w:szCs w:val="18"/>
                <w:i w:val="1"/>
                <w:iCs w:val="1"/>
                <w:color w:val="auto"/>
              </w:rPr>
              <w:t>RNAi therapeutic</w:t>
            </w:r>
          </w:p>
        </w:tc>
        <w:tc>
          <w:tcPr>
            <w:tcW w:w="122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steatohepatitis</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40" w:type="dxa"/>
            <w:vAlign w:val="bottom"/>
            <w:gridSpan w:val="2"/>
          </w:tcPr>
          <w:p>
            <w:pPr>
              <w:ind w:left="20"/>
              <w:spacing w:after="0"/>
              <w:rPr>
                <w:sz w:val="20"/>
                <w:szCs w:val="20"/>
                <w:color w:val="auto"/>
              </w:rPr>
            </w:pPr>
            <w:r>
              <w:rPr>
                <w:rFonts w:ascii="Arial" w:cs="Arial" w:eastAsia="Arial" w:hAnsi="Arial"/>
                <w:sz w:val="18"/>
                <w:szCs w:val="18"/>
                <w:i w:val="1"/>
                <w:iCs w:val="1"/>
                <w:color w:val="auto"/>
              </w:rPr>
              <w:t>targeting HSD17B13</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("NASH")</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6"/>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ind w:left="8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40" w:right="460"/>
        <w:spacing w:after="0" w:line="235" w:lineRule="auto"/>
        <w:rPr>
          <w:sz w:val="20"/>
          <w:szCs w:val="20"/>
          <w:color w:val="auto"/>
        </w:rPr>
      </w:pPr>
      <w:r>
        <w:rPr>
          <w:rFonts w:ascii="Arial" w:cs="Arial" w:eastAsia="Arial" w:hAnsi="Arial"/>
          <w:sz w:val="16"/>
          <w:szCs w:val="16"/>
          <w:color w:val="auto"/>
        </w:rPr>
        <w:t>Note: For purposes of the table above, a program is classified in Phase 1, 2, or 3 clinical development after recruitment for the corresponding study or studies has commenced</w:t>
      </w:r>
    </w:p>
    <w:p>
      <w:pPr>
        <w:spacing w:after="0" w:line="11" w:lineRule="exact"/>
        <w:rPr>
          <w:sz w:val="20"/>
          <w:szCs w:val="20"/>
          <w:color w:val="auto"/>
        </w:rPr>
      </w:pPr>
    </w:p>
    <w:p>
      <w:pPr>
        <w:ind w:left="380" w:hanging="149"/>
        <w:spacing w:after="0"/>
        <w:tabs>
          <w:tab w:leader="none" w:pos="38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 collaboration with Sanofi</w:t>
      </w:r>
    </w:p>
    <w:p>
      <w:pPr>
        <w:spacing w:after="0" w:line="22" w:lineRule="exact"/>
        <w:rPr>
          <w:rFonts w:ascii="Arial" w:cs="Arial" w:eastAsia="Arial" w:hAnsi="Arial"/>
          <w:sz w:val="18"/>
          <w:szCs w:val="18"/>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Bayer outside of the United States</w:t>
      </w:r>
    </w:p>
    <w:p>
      <w:pPr>
        <w:spacing w:after="0" w:line="23" w:lineRule="exact"/>
        <w:rPr>
          <w:rFonts w:ascii="Arial" w:cs="Arial" w:eastAsia="Arial" w:hAnsi="Arial"/>
          <w:sz w:val="20"/>
          <w:szCs w:val="20"/>
          <w:color w:val="auto"/>
          <w:vertAlign w:val="superscript"/>
        </w:rPr>
      </w:pPr>
    </w:p>
    <w:p>
      <w:pPr>
        <w:ind w:left="400" w:hanging="169"/>
        <w:spacing w:after="0" w:line="189" w:lineRule="auto"/>
        <w:tabs>
          <w:tab w:leader="none" w:pos="4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FDA granted orphan drug designation</w:t>
      </w:r>
    </w:p>
    <w:p>
      <w:pPr>
        <w:spacing w:after="0" w:line="23" w:lineRule="exact"/>
        <w:rPr>
          <w:rFonts w:ascii="Arial" w:cs="Arial" w:eastAsia="Arial" w:hAnsi="Arial"/>
          <w:sz w:val="21"/>
          <w:szCs w:val="21"/>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FDA granted Breakthrough Therapy designation</w:t>
      </w:r>
    </w:p>
    <w:p>
      <w:pPr>
        <w:spacing w:after="0" w:line="23" w:lineRule="exact"/>
        <w:rPr>
          <w:rFonts w:ascii="Arial" w:cs="Arial" w:eastAsia="Arial" w:hAnsi="Arial"/>
          <w:sz w:val="20"/>
          <w:szCs w:val="20"/>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FDA granted Fast Track designation</w:t>
      </w:r>
    </w:p>
    <w:p>
      <w:pPr>
        <w:spacing w:after="0" w:line="23" w:lineRule="exact"/>
        <w:rPr>
          <w:rFonts w:ascii="Arial" w:cs="Arial" w:eastAsia="Arial" w:hAnsi="Arial"/>
          <w:sz w:val="20"/>
          <w:szCs w:val="20"/>
          <w:color w:val="auto"/>
          <w:vertAlign w:val="superscript"/>
        </w:rPr>
      </w:pPr>
    </w:p>
    <w:p>
      <w:pPr>
        <w:ind w:left="240" w:hanging="9"/>
        <w:spacing w:after="0" w:line="187" w:lineRule="auto"/>
        <w:tabs>
          <w:tab w:leader="none" w:pos="395"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Sanofi did not opt-in to or elected not to continue to co-develop the product candidate. Under the terms of our agreement, Sanofi is entitled to receive royalties on any future sales of the product candidate.</w:t>
      </w:r>
    </w:p>
    <w:p>
      <w:pPr>
        <w:spacing w:after="0" w:line="10" w:lineRule="exact"/>
        <w:rPr>
          <w:rFonts w:ascii="Arial" w:cs="Arial" w:eastAsia="Arial" w:hAnsi="Arial"/>
          <w:sz w:val="23"/>
          <w:szCs w:val="23"/>
          <w:color w:val="auto"/>
          <w:vertAlign w:val="superscript"/>
        </w:rPr>
      </w:pPr>
    </w:p>
    <w:p>
      <w:pPr>
        <w:ind w:left="240" w:right="420" w:hanging="9"/>
        <w:spacing w:after="0" w:line="223"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We and the Biomedical Advanced Research Development Authority ("BARDA") of the U.S. Department of Health and Human Services ("HHS") are parties to agreements whereby HHS provides certain funding to support research and development of this product candidate</w:t>
      </w:r>
    </w:p>
    <w:p>
      <w:pPr>
        <w:spacing w:after="0" w:line="1" w:lineRule="exact"/>
        <w:rPr>
          <w:rFonts w:ascii="Arial" w:cs="Arial" w:eastAsia="Arial" w:hAnsi="Arial"/>
          <w:sz w:val="20"/>
          <w:szCs w:val="20"/>
          <w:color w:val="auto"/>
          <w:vertAlign w:val="superscript"/>
        </w:rPr>
      </w:pPr>
    </w:p>
    <w:p>
      <w:pPr>
        <w:ind w:left="400" w:hanging="169"/>
        <w:spacing w:after="0" w:line="222"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Studied as monotherapy and in combination with other antibodies and treatments</w:t>
      </w:r>
    </w:p>
    <w:p>
      <w:pPr>
        <w:spacing w:after="0" w:line="23" w:lineRule="exact"/>
        <w:rPr>
          <w:rFonts w:ascii="Arial" w:cs="Arial" w:eastAsia="Arial" w:hAnsi="Arial"/>
          <w:sz w:val="20"/>
          <w:szCs w:val="20"/>
          <w:color w:val="auto"/>
          <w:vertAlign w:val="superscript"/>
        </w:rPr>
      </w:pPr>
    </w:p>
    <w:p>
      <w:pPr>
        <w:ind w:left="380" w:hanging="149"/>
        <w:spacing w:after="0" w:line="180"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5"/>
          <w:szCs w:val="15"/>
          <w:color w:val="auto"/>
        </w:rPr>
        <w:t>Information in this column relates to U.S., EU, and Japan regulatory submissions only</w:t>
      </w:r>
    </w:p>
    <w:p>
      <w:pPr>
        <w:spacing w:after="0" w:line="23" w:lineRule="exact"/>
        <w:rPr>
          <w:rFonts w:ascii="Arial" w:cs="Arial" w:eastAsia="Arial" w:hAnsi="Arial"/>
          <w:sz w:val="22"/>
          <w:szCs w:val="22"/>
          <w:color w:val="auto"/>
          <w:vertAlign w:val="superscript"/>
        </w:rPr>
      </w:pPr>
    </w:p>
    <w:p>
      <w:pPr>
        <w:ind w:left="240" w:right="140" w:hanging="9"/>
        <w:spacing w:after="0" w:line="197" w:lineRule="auto"/>
        <w:tabs>
          <w:tab w:leader="none" w:pos="37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As described in the section preceding the table above and Part II, Item 1A. "Risk Factors," development timelines may be further subject to change as a result of the impact of the COVID-19 pandemic</w:t>
      </w:r>
    </w:p>
    <w:p>
      <w:pPr>
        <w:spacing w:after="0" w:line="1" w:lineRule="exact"/>
        <w:rPr>
          <w:rFonts w:ascii="Arial" w:cs="Arial" w:eastAsia="Arial" w:hAnsi="Arial"/>
          <w:sz w:val="21"/>
          <w:szCs w:val="21"/>
          <w:color w:val="auto"/>
          <w:vertAlign w:val="superscript"/>
        </w:rPr>
      </w:pPr>
    </w:p>
    <w:p>
      <w:pPr>
        <w:ind w:left="400" w:hanging="169"/>
        <w:spacing w:after="0" w:line="212" w:lineRule="auto"/>
        <w:tabs>
          <w:tab w:leader="none" w:pos="4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In collaboration with Teva and Mitsubishi Tanabe Pharma</w:t>
      </w:r>
    </w:p>
    <w:p>
      <w:pPr>
        <w:spacing w:after="0" w:line="22" w:lineRule="exact"/>
        <w:rPr>
          <w:rFonts w:ascii="Arial" w:cs="Arial" w:eastAsia="Arial" w:hAnsi="Arial"/>
          <w:sz w:val="21"/>
          <w:szCs w:val="21"/>
          <w:color w:val="auto"/>
          <w:vertAlign w:val="superscript"/>
        </w:rPr>
      </w:pPr>
    </w:p>
    <w:p>
      <w:pPr>
        <w:ind w:left="380" w:hanging="149"/>
        <w:spacing w:after="0" w:line="180"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5"/>
          <w:szCs w:val="15"/>
          <w:color w:val="auto"/>
        </w:rPr>
        <w:t>Certain trials conducted with the National Institute of Allergy and Infectious Diseases ("NIAID"), part of the NIH</w:t>
      </w:r>
    </w:p>
    <w:p>
      <w:pPr>
        <w:spacing w:after="0" w:line="23" w:lineRule="exact"/>
        <w:rPr>
          <w:rFonts w:ascii="Arial" w:cs="Arial" w:eastAsia="Arial" w:hAnsi="Arial"/>
          <w:sz w:val="22"/>
          <w:szCs w:val="22"/>
          <w:color w:val="auto"/>
          <w:vertAlign w:val="superscript"/>
        </w:rPr>
      </w:pPr>
    </w:p>
    <w:p>
      <w:pPr>
        <w:ind w:left="440" w:hanging="209"/>
        <w:spacing w:after="0" w:line="198" w:lineRule="auto"/>
        <w:tabs>
          <w:tab w:leader="none" w:pos="44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Roche</w:t>
      </w:r>
    </w:p>
    <w:p>
      <w:pPr>
        <w:spacing w:after="0" w:line="23" w:lineRule="exact"/>
        <w:rPr>
          <w:rFonts w:ascii="Arial" w:cs="Arial" w:eastAsia="Arial" w:hAnsi="Arial"/>
          <w:sz w:val="20"/>
          <w:szCs w:val="20"/>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Intellia</w:t>
      </w:r>
    </w:p>
    <w:p>
      <w:pPr>
        <w:spacing w:after="0" w:line="23" w:lineRule="exact"/>
        <w:rPr>
          <w:rFonts w:ascii="Arial" w:cs="Arial" w:eastAsia="Arial" w:hAnsi="Arial"/>
          <w:sz w:val="20"/>
          <w:szCs w:val="20"/>
          <w:color w:val="auto"/>
          <w:vertAlign w:val="superscript"/>
        </w:rPr>
      </w:pPr>
    </w:p>
    <w:p>
      <w:pPr>
        <w:ind w:left="400" w:hanging="169"/>
        <w:spacing w:after="0" w:line="198" w:lineRule="auto"/>
        <w:tabs>
          <w:tab w:leader="none" w:pos="4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 collaboration with Alnylam</w:t>
      </w: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370" w:right="55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 Clinical Development Programs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REGEN-COV (casirivimab and imdevimab)</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Treatment Study - Non-Hospitalized Patients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February 2021, the IDMC for the REGEN-COV Phase 3 trial in non-hospitalized patients with COVID-19 found clear clinical efficacy for reducing the rate of hospitalization and death with both the 1,200 mg and 2,400 mg doses of REGEN-COV compared to placebo, and recommended stopping enrollment in the placebo group.</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2021, we announced positive top-line results from the Phase 3 trial in non-hospitalized COVID-19 patients. The trial met its primary endpoint, showing that REGEN-COV reduced the risk of hospitalization or death by 70% (1,200 mg dose IV) and 71% (2,400 mg dose IV) compared to placebo. The trial also met key secondary endpoints, including the ability to reduce symptom duration.</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March 2021, the Company also announced that all tested doses (IV: 2,400 mg, 1,200 mg, 600 mg and 300 mg; subcutaneous injections: 1,200 mg and 600 mg) in the Phase 2 dose-ranging trial in non-hospitalized COVID-19 patients met the primary endpoint.</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April 2021, the Company announced positive data from the Phase 3 treatment trial in recently infected asymptomatic COVID-19 patients. The trial was being jointly run with the NIAID and met all primary and key secondary endpoints. The trial demonstrated that the 1,200 mg subcutaneous injection of REGEN-COV reduced the risk of progressing to symptomatic COVID-19 by 31% (primary endpoint), and by 76% after the third day.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Treatment Study - Hospitalized Patients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June 2021, positive results were reported from the Phase 3 UK-based RECOVERY trial in hospitalized patients with severe COVID-19. The trial found that adding REGEN-COV to usual care reduced the risk of death by 20% in patients who had not mounted a natural antibody response on their own against SARS-CoV-2, compared to usual care alone. We have shared these data with regulatory authorities and requested that the EUA be expanded to include COVID-19 treatment for appropriate hospitalized patients. We were subsequently notified by the sponsor of the RECOVERY trial of a Good Clinical Practices ("GCPs") inspection of the trial by the UK Medicines and Healthcare Products Regulatory Agency ("MHRA"), which found certain deviations from GCP compliance. The MHRA report stated that it found no evidence that the identified issues had impacted the overall data integrity to such an extent that the data would be unreliable based on those findings. However, it noted that certain aspects of data quality could not be fully assured and requested that certain corrective and preventative actions be taken; the sponsor of the trial has been in discussions with the MHRA and is responding to these findings. We have shared this information with the FDA.</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Phase 2/3 portion of the treatment study in hospitalized patients being run by the Company, REGEN-COV met the primary virologic endpoint, showing that REGEN-COV reduced viral load in these hospitalized patients, but did not achieve statistical significance in the pre-specified primary clinical endpoint: reduction in mechanical ventilation or death from day 6 to day 29 in patients with high viral load at baseline. However, four out of five secondary clinical endpoints of the study were nominally significant including an endpoint preferred by the FDA: reduction in mechanical ventilation or death from day 1 to day 29 in all patients who were SARS-CoV-2 PCR-positive at baseline. The relative risk reduction with REGEN-COV versus placebo ranged from approximately 24% to 47% on these various clinical endpoints. In addition, an approximately 36% reduction in all-cause mortality was seen from day 1 to day 29, supporting the results of the RECOVERY trial.</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Prevention Study</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2021, we announced positive results from the Phase 3 COVID-19 prevention trial in household contacts of SARS-CoV-2 infected individuals. The trial, which was jointly run with the NIAID, part of the NIH, met its primary and key secondary endpoints, showing that REGEN-COV 1,200 mg subcutaneous injection reduced the risk of symptomatic infections by 81% in those who were not infected.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Related to COVID-19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the first quarter of 2020, the Company announced an expansion of its Other Transaction Agreement with BARDA, pursuant to which HHS was obligated to fund certain of our costs incurred for research and development activities related to COVID-19 treatments.</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July 2020, the Company also announced an agreement with entities acting at the direction of BARDA and the U.S. Department of Defense to manufacture and deliver filled and finished drug product of REGEN-COV to the U.S. government.</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2021, the Company announced an agreement with an entity acting on behalf of the U.S. Department of Defense and HHS to manufacture and deliver additional filled and finished drug product of REGEN-COV to the U.S. government. Pursuant to the agreement, the U.S. government was obligated to purchase all filled and finished doses of drug product delivered by June 30, 2021, up to 1.25 million doses, at the lowest treatment dose authorized or approved by the FDA for the indication authorized under the EUA (as described under "Products - REGEN-COV - Emergency and Temporary Use Authorizations" above).</w:t>
      </w:r>
    </w:p>
    <w:p>
      <w:pPr>
        <w:spacing w:after="0" w:line="110"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color w:val="auto"/>
        </w:rPr>
        <w:t>The Company has completed its final deliveries of drug product under the agreements described above. See "Results of Operations - Revenues" below for REGEN-COV net product sales recognized during the three and six months ended June 30, 2021 in connection with these agreements.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August 2020, we entered into a collaboration agreement with Roche to develop, manufacture, and distribute the casirivimab and imdevimab antibody cocktail. We lead global development activities for casirivimab and imdevimab, and the parties jointly fund certain on-going studies, as well as any mutually agreed additional new global studies to evaluate further the potential of casirivimab and imdevimab in treating or preventing COVID-19.</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terms of the agreement, each party is obligated to dedicate a certain amount of manufacturing capacity to casirivimab and imdevimab each year. We distribute the product in the United States and Roche distributes the product outside of the United States. The parties share gross profits from worldwide sales based on a pre-specified formula, depending on the amount of manufactured product supplied by each party to the market.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License, and Other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collaborating with Sanofi on the global development and commercialization of Dupixent, Kevzara, and itepekimab (the "Antibody Collaboration"). See discussion below for updates related to the development and commercialization of Praluent effective April 1, 2020. Under the terms of the Antibody License and Collaboration Agreement (the "LCA"), Sanofi is generally responsible for funding 80%–100% of agreed-upon development costs. We are obligated to reimburse Sanofi for 30%–50% of worldwide development expenses that were funded by Sanofi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our collaboration agreement, Sanofi records product sales for commercialized products, and Regeneron has the right to co-commercialize such products on a country-by-country basis. We co-commercialize Dupixent in the United States and have exercised our option to co-commercialize Dupixent in certain countries outside the United States. We currently anticipate commencing co-commercialization of Dupixent in such countries outside the United States later this year.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sales milestone payments from Sanofi. In the third quarter of 2020, the Company earned, 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recognized as revenue, the first $50.0 million sales-based milestone from Sanofi, upon aggregate annual sales of antibodies outside the United States (including Praluent) exceeding $1.0 billion on a rolling twelve-month basis. We are entitled to receive up to an aggregate of $200.0 million in additional milestone payments from Sanofi, including the second sales milestone in the amount of $50.0 million, when such sales outside the United States exceed $1.5 billion on a rolling twelve-month basis.</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was the last quarter for which Sanofi and the Company shared profits and losses for Praluent under the LCA. The parties also entered into a Praluent Cross License &amp; Commercialization Agreement (the "Praluent Agreement") pursuant to which, effective April 1, 2020, the Company, at its sole cost, became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collaborating with Sanofi on the development and commercialization of antibody-based cancer treatments in the field of immuno-oncology (the "IO Collaboration").</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Effective December 31, 2018, the Company and Sanofi entered into an Amended and Restated Immuno-oncology Discovery and Development Agreement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among other things, Sanofi's prepayment for certain IO Development Activities regarding the BCMAxCD3 Program and the MUC16xCD3 Program. Under the terms of the Amended IO Discovery Agreement, the Company was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With regard to the BCMAxCD3 Program and the MUC16xCD3 Program, when the applicable Program Costs Cap was reached, Sanofi had the option to license rights to the product candidate and other antibodies targeting the same targets for, with regard to BCMAxCD3, immuno-oncology indications, and with regard to MUC16xCD3, all indications, pursuant to the Immuno-oncology License and Collaboration Agreement (the "IO License and Collaboration Agreement"), as amended. During the first quarter of 2021, Sanofi did not exercise its options to license rights to these product candidates; as a result, we retain the exclusive right to develop and commercialize such product candidates and Sanofi will receive a royalty on sales (if any).</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terms of the IO License and Collaboration Agreement, the parties are co-developing and co-commercializing Libtayo, an antibody targeting PD-1. We have principal control over the development of Libtayo, and the parties share equally, on an ongoing basis, development and commercialization expenses for Libtayo.</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Libtayo equal or exceed $2.0 billion in any consecutive twelve-month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Bayer are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 through 2021, and thereafter, the companies will share equally in profits and losses from the sales of EYLEA.</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such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and Teva are parties to a collaboration agreement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share equally, on an ongoing basis, development costs under a global development plan. As of June 30, 2021, we had earned an aggregate of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2018, we and Alnylam Pharmaceuticals, Inc. entered into a collaboration to discover RNA interference ("RNAi") therapeutics for NASH and potentially other related diseases, as well as to research, co-develop and commercialize any therapeutic product candidates that emerge from these discovery efforts (including ALN-HSD, which is currently in Phase 1 clinical development). ALN-HSD is being co-developed with Alnylam with terms generally consistent with the form of a Co-Commercialization Collaboration Agreement in connection with the 2019 collaboration agreement as described below. Alnylam is conducting the Phase 1 clinical trial for ALN-HSD and Regeneron will be responsible for all other development as the lead party. The parties share equally, on an ongoing basis, development expenses for ALN-HSD.</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2019, we and Alnylam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Under the terms of the agreement, we made an up-front payment of $400.0 million to Alnylam. For each program, we will provide Alnylam with a specified amount of funding at program initiation and at lead candidate designation, and Alnylam is eligible to receive up to an aggregate of $200.0 million in clinical proof-of-principle milestones for eye and CNS programs.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during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cemdisiran and pozelimab, with us as the licensee. Under the C5 siRNA Co-Commercialization Collaboration agreement, the parties share costs equally and will split profits (if commercialized); and under the License Agreement, the licensee is responsible for its own costs and expenses.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2016, we entered into a license and collaboration agreement with Intellia Therapeutics, Inc. to advance CRISPR/Cas9 gene-editing technology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therapeutic development. NTLA-2001, which is in clinical development, is subject to a co-development and co-commercialization arrangement pursuant to which Intellia will lead development and commercialization activities and the parties share an agreed-upon percentage of development expenses and profits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commercialized)</w:t>
      </w:r>
      <w:r>
        <w:rPr>
          <w:rFonts w:ascii="Arial" w:cs="Arial" w:eastAsia="Arial" w:hAnsi="Arial"/>
          <w:sz w:val="21"/>
          <w:szCs w:val="21"/>
          <w:color w:val="auto"/>
        </w:rPr>
        <w: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May 2020, we expanded our existing collaboration with Intellia Therapeutics, Inc. to provide us with rights to develop products for additional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gene edited products. In connection with the May 2020 agreement, we made a $70.0 million up-front payment and purchased 925,218 shares of Intellia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an aggregate purchase price of $30.0 million. The up-front payment and the amount paid in excess of the fair market value of the shares purchased, or $15.0 million, were recorded to Research and development expense in the second quarter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and BARDA are parties to agreements pursuant to which HHS provided certain funding to develop, test, and manufacture a treatment for Ebola virus infection. In July 2020, HHS exercised its option under an existing agreement to provide up to $344.6 million of additional funding for the manufacture and supply of Inmazeb. We expect to deliver a pre-specified number of Inmazeb treatment doses over the course of approximately six years.</w:t>
      </w:r>
    </w:p>
    <w:p>
      <w:pPr>
        <w:spacing w:after="0" w:line="85" w:lineRule="exact"/>
        <w:rPr>
          <w:sz w:val="20"/>
          <w:szCs w:val="20"/>
          <w:color w:val="auto"/>
        </w:rPr>
      </w:pPr>
    </w:p>
    <w:p>
      <w:pPr>
        <w:ind w:right="2020"/>
        <w:spacing w:after="0" w:line="394" w:lineRule="auto"/>
        <w:rPr>
          <w:sz w:val="20"/>
          <w:szCs w:val="20"/>
          <w:color w:val="auto"/>
        </w:rPr>
      </w:pPr>
      <w:r>
        <w:rPr>
          <w:rFonts w:ascii="Arial" w:cs="Arial" w:eastAsia="Arial" w:hAnsi="Arial"/>
          <w:sz w:val="18"/>
          <w:szCs w:val="18"/>
          <w:color w:val="auto"/>
        </w:rPr>
        <w:t xml:space="preserve">See "Agreements Related to COVID-19 - U.S. Government" section above for information related to our COVID-19 agreements. </w:t>
      </w:r>
      <w:r>
        <w:rPr>
          <w:rFonts w:ascii="Arial" w:cs="Arial" w:eastAsia="Arial" w:hAnsi="Arial"/>
          <w:sz w:val="18"/>
          <w:szCs w:val="18"/>
          <w:b w:val="1"/>
          <w:bCs w:val="1"/>
          <w:i w:val="1"/>
          <w:iCs w:val="1"/>
          <w:color w:val="auto"/>
        </w:rPr>
        <w:t>Kiniksa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under "Products" above, pursuant to a 2017 license agreement, we granted Kiniksa the right to develop and commercialize certain new indications for ARCALYST. During the first quarter of 2021, Kiniksa received marketing approval in the United States for a new indication of ARCALYST, recurrent pericarditis, and, as a result, we received a $20.0 million milestone payment from Kiniksa. The quarterly period ended March 31, 2021 was the last quarter for which the Company recorded net product sales of ARCALYST.</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Following this approval, Kiniksa is solely responsible for the U.S. development and commercialization of ARCALYST in all approved indications, and Regeneron will continue to supply clinical and commercial product to Kiniksa. Kiniksa will pay Regeneron 50% of its profits from sales of ARCALYST and the parties will not share in any losses incurred by Kiniksa in connection with commercialization of ARCALYST.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Investors and other interested parties should note that we use our media and investor relations website (</w:t>
      </w:r>
      <w:r>
        <w:rPr>
          <w:rFonts w:ascii="Arial" w:cs="Arial" w:eastAsia="Arial" w:hAnsi="Arial"/>
          <w:sz w:val="16"/>
          <w:szCs w:val="16"/>
          <w:i w:val="1"/>
          <w:iCs w:val="1"/>
          <w:color w:val="auto"/>
        </w:rPr>
        <w:t>http://newsroom.regeneron.com</w:t>
      </w:r>
      <w:r>
        <w:rPr>
          <w:rFonts w:ascii="Arial" w:cs="Arial" w:eastAsia="Arial" w:hAnsi="Arial"/>
          <w:sz w:val="16"/>
          <w:szCs w:val="16"/>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and Six Months Ended June 30, 2021 and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8"/>
          </w:tcPr>
          <w:p>
            <w:pPr>
              <w:jc w:val="center"/>
              <w:ind w:left="251"/>
              <w:spacing w:after="0"/>
              <w:rPr>
                <w:sz w:val="20"/>
                <w:szCs w:val="20"/>
                <w:color w:val="auto"/>
              </w:rPr>
            </w:pPr>
            <w:r>
              <w:rPr>
                <w:rFonts w:ascii="Arial" w:cs="Arial" w:eastAsia="Arial" w:hAnsi="Arial"/>
                <w:sz w:val="18"/>
                <w:szCs w:val="18"/>
                <w:b w:val="1"/>
                <w:bCs w:val="1"/>
                <w:color w:val="auto"/>
                <w:w w:val="90"/>
              </w:rPr>
              <w:t>Three Months Ended</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9"/>
          </w:tcPr>
          <w:p>
            <w:pPr>
              <w:jc w:val="right"/>
              <w:ind w:right="311"/>
              <w:spacing w:after="0"/>
              <w:rPr>
                <w:sz w:val="20"/>
                <w:szCs w:val="20"/>
                <w:color w:val="auto"/>
              </w:rPr>
            </w:pPr>
            <w:r>
              <w:rPr>
                <w:rFonts w:ascii="Arial" w:cs="Arial" w:eastAsia="Arial" w:hAnsi="Arial"/>
                <w:sz w:val="18"/>
                <w:szCs w:val="18"/>
                <w:b w:val="1"/>
                <w:bCs w:val="1"/>
                <w:color w:val="auto"/>
                <w:w w:val="96"/>
              </w:rPr>
              <w:t>Six Months Ended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8"/>
                <w:szCs w:val="18"/>
                <w:b w:val="1"/>
                <w:bCs w:val="1"/>
                <w:color w:val="auto"/>
              </w:rPr>
              <w:t>June 30,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Arial" w:cs="Arial" w:eastAsia="Arial" w:hAnsi="Arial"/>
                <w:sz w:val="18"/>
                <w:szCs w:val="18"/>
                <w:i w:val="1"/>
                <w:iCs w:val="1"/>
                <w:color w:val="auto"/>
                <w:w w:val="94"/>
              </w:rPr>
              <w:t>(In millions, except per share data)</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b w:val="1"/>
                <w:bCs w:val="1"/>
                <w:color w:val="auto"/>
              </w:rPr>
              <w:t>2021</w:t>
            </w:r>
          </w:p>
        </w:tc>
        <w:tc>
          <w:tcPr>
            <w:tcW w:w="1200" w:type="dxa"/>
            <w:vAlign w:val="bottom"/>
            <w:gridSpan w:val="6"/>
          </w:tcPr>
          <w:p>
            <w:pPr>
              <w:jc w:val="right"/>
              <w:ind w:right="1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5,138.5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1,952.0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7,667.2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3,780.2</w:t>
            </w:r>
          </w:p>
        </w:tc>
        <w:tc>
          <w:tcPr>
            <w:tcW w:w="68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1,791.3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1,295.6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3,207.3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2,423.7</w:t>
            </w: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3,347.2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4,459.9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1,356.5</w:t>
            </w:r>
          </w:p>
        </w:tc>
        <w:tc>
          <w:tcPr>
            <w:tcW w:w="68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405.6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545.9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231.0</w:t>
            </w: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3,752.8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5,005.8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1,587.5</w:t>
            </w:r>
          </w:p>
        </w:tc>
        <w:tc>
          <w:tcPr>
            <w:tcW w:w="68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653.9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21.6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791.7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65.6</w:t>
            </w:r>
          </w:p>
        </w:tc>
        <w:tc>
          <w:tcPr>
            <w:tcW w:w="680" w:type="dxa"/>
            <w:vAlign w:val="bottom"/>
          </w:tcPr>
          <w:p>
            <w:pPr>
              <w:spacing w:after="0"/>
              <w:rPr>
                <w:sz w:val="19"/>
                <w:szCs w:val="19"/>
                <w:color w:val="auto"/>
              </w:rPr>
            </w:pPr>
          </w:p>
        </w:tc>
      </w:tr>
      <w:tr>
        <w:trPr>
          <w:trHeight w:val="245"/>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3,098.9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4,214.1</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1,521.9</w:t>
            </w:r>
          </w:p>
        </w:tc>
        <w:tc>
          <w:tcPr>
            <w:tcW w:w="680" w:type="dxa"/>
            <w:vAlign w:val="bottom"/>
          </w:tcPr>
          <w:p>
            <w:pPr>
              <w:spacing w:after="0"/>
              <w:rPr>
                <w:sz w:val="20"/>
                <w:szCs w:val="20"/>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4"/>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640" w:type="dxa"/>
            <w:vAlign w:val="bottom"/>
            <w:gridSpan w:val="3"/>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7.61</w:t>
            </w:r>
          </w:p>
        </w:tc>
        <w:tc>
          <w:tcPr>
            <w:tcW w:w="52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680" w:type="dxa"/>
            <w:vAlign w:val="bottom"/>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680" w:type="dxa"/>
            <w:vAlign w:val="bottom"/>
          </w:tcPr>
          <w:p>
            <w:pPr>
              <w:spacing w:after="0"/>
              <w:rPr>
                <w:sz w:val="19"/>
                <w:szCs w:val="19"/>
                <w:color w:val="auto"/>
              </w:rPr>
            </w:pPr>
          </w:p>
        </w:tc>
      </w:tr>
      <w:tr>
        <w:trPr>
          <w:trHeight w:val="452"/>
        </w:trPr>
        <w:tc>
          <w:tcPr>
            <w:tcW w:w="3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5"/>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right"/>
              <w:ind w:right="351"/>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9"/>
          </w:tcPr>
          <w:p>
            <w:pPr>
              <w:jc w:val="right"/>
              <w:ind w:right="391"/>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7"/>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8"/>
                <w:szCs w:val="18"/>
                <w:b w:val="1"/>
                <w:bCs w:val="1"/>
                <w:color w:val="auto"/>
              </w:rPr>
              <w:t>June 30,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9"/>
                <w:szCs w:val="19"/>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4"/>
          </w:tcPr>
          <w:p>
            <w:pPr>
              <w:jc w:val="right"/>
              <w:ind w:right="13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3"/>
          </w:tcPr>
          <w:p>
            <w:pPr>
              <w:jc w:val="right"/>
              <w:ind w:right="21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Change</w:t>
            </w:r>
          </w:p>
        </w:tc>
      </w:tr>
      <w:tr>
        <w:trPr>
          <w:trHeight w:val="207"/>
        </w:trPr>
        <w:tc>
          <w:tcPr>
            <w:tcW w:w="200" w:type="dxa"/>
            <w:vAlign w:val="bottom"/>
          </w:tcPr>
          <w:p>
            <w:pPr>
              <w:spacing w:after="0"/>
              <w:rPr>
                <w:sz w:val="17"/>
                <w:szCs w:val="17"/>
                <w:color w:val="auto"/>
              </w:rPr>
            </w:pPr>
          </w:p>
        </w:tc>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 in the United States:</w:t>
            </w: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EYLEA</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1,424.7</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1,113.7</w:t>
            </w:r>
          </w:p>
        </w:tc>
        <w:tc>
          <w:tcPr>
            <w:tcW w:w="56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311.0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2,771.7</w:t>
            </w:r>
          </w:p>
        </w:tc>
        <w:tc>
          <w:tcPr>
            <w:tcW w:w="720" w:type="dxa"/>
            <w:vAlign w:val="bottom"/>
            <w:gridSpan w:val="3"/>
          </w:tcPr>
          <w:p>
            <w:pPr>
              <w:jc w:val="right"/>
              <w:ind w:right="191"/>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2,285.7</w:t>
            </w:r>
          </w:p>
        </w:tc>
        <w:tc>
          <w:tcPr>
            <w:tcW w:w="520" w:type="dxa"/>
            <w:vAlign w:val="bottom"/>
            <w:gridSpan w:val="3"/>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486.0</w:t>
            </w: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Libtayo</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Praluent</w:t>
            </w:r>
          </w:p>
        </w:tc>
        <w:tc>
          <w:tcPr>
            <w:tcW w:w="2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47.2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REGEN-COV</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2,591.2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2,853.4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2,853.4</w:t>
            </w: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Evkeeza</w:t>
            </w:r>
          </w:p>
        </w:tc>
        <w:tc>
          <w:tcPr>
            <w:tcW w:w="2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ARCALYST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Sanofi</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286.5</w:t>
            </w:r>
          </w:p>
        </w:tc>
      </w:tr>
      <w:tr>
        <w:trPr>
          <w:trHeight w:val="227"/>
        </w:trPr>
        <w:tc>
          <w:tcPr>
            <w:tcW w:w="200" w:type="dxa"/>
            <w:vAlign w:val="bottom"/>
          </w:tcPr>
          <w:p>
            <w:pPr>
              <w:spacing w:after="0"/>
              <w:rPr>
                <w:sz w:val="19"/>
                <w:szCs w:val="19"/>
                <w:color w:val="auto"/>
              </w:rPr>
            </w:pPr>
          </w:p>
        </w:tc>
        <w:tc>
          <w:tcPr>
            <w:tcW w:w="3340" w:type="dxa"/>
            <w:vAlign w:val="bottom"/>
            <w:gridSpan w:val="2"/>
          </w:tcPr>
          <w:p>
            <w:pPr>
              <w:ind w:left="220"/>
              <w:spacing w:after="0"/>
              <w:rPr>
                <w:sz w:val="20"/>
                <w:szCs w:val="20"/>
                <w:color w:val="auto"/>
              </w:rPr>
            </w:pPr>
            <w:r>
              <w:rPr>
                <w:rFonts w:ascii="Arial" w:cs="Arial" w:eastAsia="Arial" w:hAnsi="Arial"/>
                <w:sz w:val="18"/>
                <w:szCs w:val="18"/>
                <w:color w:val="auto"/>
              </w:rPr>
              <w:t>Bayer</w:t>
            </w:r>
          </w:p>
        </w:tc>
        <w:tc>
          <w:tcPr>
            <w:tcW w:w="2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671.9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r>
      <w:tr>
        <w:trPr>
          <w:trHeight w:val="227"/>
        </w:trPr>
        <w:tc>
          <w:tcPr>
            <w:tcW w:w="200" w:type="dxa"/>
            <w:vAlign w:val="bottom"/>
          </w:tcPr>
          <w:p>
            <w:pPr>
              <w:spacing w:after="0"/>
              <w:rPr>
                <w:sz w:val="19"/>
                <w:szCs w:val="19"/>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Roche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234.7</w:t>
            </w:r>
          </w:p>
        </w:tc>
      </w:tr>
      <w:tr>
        <w:trPr>
          <w:trHeight w:val="227"/>
        </w:trPr>
        <w:tc>
          <w:tcPr>
            <w:tcW w:w="200" w:type="dxa"/>
            <w:vAlign w:val="bottom"/>
          </w:tcPr>
          <w:p>
            <w:pPr>
              <w:spacing w:after="0"/>
              <w:rPr>
                <w:sz w:val="19"/>
                <w:szCs w:val="19"/>
                <w:color w:val="auto"/>
              </w:rPr>
            </w:pP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(179.0)</w:t>
            </w:r>
          </w:p>
        </w:tc>
      </w:tr>
      <w:tr>
        <w:trPr>
          <w:trHeight w:val="245"/>
        </w:trPr>
        <w:tc>
          <w:tcPr>
            <w:tcW w:w="200" w:type="dxa"/>
            <w:vAlign w:val="bottom"/>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5,138.5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3,186.5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7,667.2</w:t>
            </w:r>
          </w:p>
        </w:tc>
        <w:tc>
          <w:tcPr>
            <w:tcW w:w="2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3,780.2</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3,887.0</w:t>
            </w:r>
          </w:p>
        </w:tc>
      </w:tr>
      <w:tr>
        <w:trPr>
          <w:trHeight w:val="20"/>
        </w:trPr>
        <w:tc>
          <w:tcPr>
            <w:tcW w:w="20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40" w:right="4420" w:firstLine="5"/>
        <w:spacing w:after="0" w:line="341" w:lineRule="auto"/>
        <w:tabs>
          <w:tab w:leader="none" w:pos="638"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 xml:space="preserve">Net product sales of Praluent in the United States were recorded by Sanofi prior to April 1, 2020 </w:t>
      </w:r>
      <w:r>
        <w:rPr>
          <w:rFonts w:ascii="Arial" w:cs="Arial" w:eastAsia="Arial" w:hAnsi="Arial"/>
          <w:sz w:val="20"/>
          <w:szCs w:val="20"/>
          <w:color w:val="auto"/>
          <w:vertAlign w:val="superscript"/>
        </w:rPr>
        <w:t>**</w:t>
      </w:r>
      <w:r>
        <w:rPr>
          <w:rFonts w:ascii="Arial" w:cs="Arial" w:eastAsia="Arial" w:hAnsi="Arial"/>
          <w:sz w:val="14"/>
          <w:szCs w:val="14"/>
          <w:color w:val="auto"/>
        </w:rPr>
        <w:t xml:space="preserve"> Effective April 1, 2021, Kiniksa records net product sales of ARCALYST in the United States</w:t>
      </w:r>
    </w:p>
    <w:p>
      <w:pPr>
        <w:spacing w:after="0"/>
        <w:rPr>
          <w:sz w:val="20"/>
          <w:szCs w:val="20"/>
          <w:color w:val="auto"/>
        </w:rPr>
      </w:pPr>
      <w:r>
        <w:rPr>
          <w:rFonts w:ascii="Arial" w:cs="Arial" w:eastAsia="Arial" w:hAnsi="Arial"/>
          <w:sz w:val="18"/>
          <w:szCs w:val="18"/>
          <w:i w:val="1"/>
          <w:iCs w:val="1"/>
          <w:color w:val="auto"/>
        </w:rPr>
        <w:t>Net Product Sales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product sales of EYLEA in the United States increased for the three and six months ended June 30, 2021, compared to the same periods in 2020, primarily due to higher sales volume (including the adverse impact of the COVID-19 pandemic on U.S. EYLEA demand during the three months ended June 30, 2020), partly offset by an increase in sales-related deductions.</w:t>
      </w:r>
    </w:p>
    <w:p>
      <w:pPr>
        <w:spacing w:after="0" w:line="10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 xml:space="preserve">Effective April 1, 2020, the Company became solely responsible for the development and commercialization of Praluent in the United States and records net product sales of Praluent in the United States. Refer to "Collaboration, License, and Other Agreements - </w:t>
      </w:r>
      <w:r>
        <w:rPr>
          <w:rFonts w:ascii="Arial" w:cs="Arial" w:eastAsia="Arial" w:hAnsi="Arial"/>
          <w:sz w:val="16"/>
          <w:szCs w:val="16"/>
          <w:i w:val="1"/>
          <w:iCs w:val="1"/>
          <w:color w:val="auto"/>
        </w:rPr>
        <w:t>Sanofi</w:t>
      </w:r>
      <w:r>
        <w:rPr>
          <w:rFonts w:ascii="Arial" w:cs="Arial" w:eastAsia="Arial" w:hAnsi="Arial"/>
          <w:sz w:val="16"/>
          <w:szCs w:val="16"/>
          <w:color w:val="auto"/>
        </w:rPr>
        <w:t xml:space="preserve"> - </w:t>
      </w:r>
      <w:r>
        <w:rPr>
          <w:rFonts w:ascii="Arial" w:cs="Arial" w:eastAsia="Arial" w:hAnsi="Arial"/>
          <w:sz w:val="16"/>
          <w:szCs w:val="16"/>
          <w:i w:val="1"/>
          <w:iCs w:val="1"/>
          <w:color w:val="auto"/>
        </w:rPr>
        <w:t>Antibody</w:t>
      </w:r>
      <w:r>
        <w:rPr>
          <w:rFonts w:ascii="Arial" w:cs="Arial" w:eastAsia="Arial" w:hAnsi="Arial"/>
          <w:sz w:val="16"/>
          <w:szCs w:val="16"/>
          <w:color w:val="auto"/>
        </w:rPr>
        <w:t>" section above for further details.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2021, net product sales of REGEN-COV were recorded in connection with our agreements with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government. Refer to "Agreements Related to COVID-19 - </w:t>
      </w:r>
      <w:r>
        <w:rPr>
          <w:rFonts w:ascii="Arial" w:cs="Arial" w:eastAsia="Arial" w:hAnsi="Arial"/>
          <w:sz w:val="18"/>
          <w:szCs w:val="18"/>
          <w:i w:val="1"/>
          <w:iCs w:val="1"/>
          <w:color w:val="auto"/>
        </w:rPr>
        <w:t>U.S. Government</w:t>
      </w:r>
      <w:r>
        <w:rPr>
          <w:rFonts w:ascii="Arial" w:cs="Arial" w:eastAsia="Arial" w:hAnsi="Arial"/>
          <w:sz w:val="18"/>
          <w:szCs w:val="18"/>
          <w:color w:val="auto"/>
        </w:rPr>
        <w:t>" section above for further details.</w:t>
      </w:r>
    </w:p>
    <w:p>
      <w:pPr>
        <w:spacing w:after="0" w:line="11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Effective April 1, 2021, Kiniksa records net product sales of ARCALYST in the United States. Prior to April 1, 2021, Regeneron recorded net product sales of ARCALYST in the United States. Refer to "Collaboration, License, and Other Agreements - Kiniksa" section above for further details.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gridSpan w:val="3"/>
          </w:tcPr>
          <w:p>
            <w:pPr>
              <w:spacing w:after="0"/>
              <w:rPr>
                <w:sz w:val="20"/>
                <w:szCs w:val="20"/>
                <w:color w:val="auto"/>
              </w:rPr>
            </w:pPr>
            <w:r>
              <w:rPr>
                <w:rFonts w:ascii="Arial" w:cs="Arial" w:eastAsia="Arial" w:hAnsi="Arial"/>
                <w:sz w:val="18"/>
                <w:szCs w:val="18"/>
                <w:i w:val="1"/>
                <w:iCs w:val="1"/>
                <w:color w:val="auto"/>
              </w:rPr>
              <w:t>Collaboration Revenue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5520" w:type="dxa"/>
            <w:vAlign w:val="bottom"/>
            <w:gridSpan w:val="3"/>
          </w:tcPr>
          <w:p>
            <w:pPr>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9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41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07"/>
        </w:trPr>
        <w:tc>
          <w:tcPr>
            <w:tcW w:w="920" w:type="dxa"/>
            <w:vAlign w:val="bottom"/>
          </w:tcPr>
          <w:p>
            <w:pPr>
              <w:spacing w:after="0"/>
              <w:rPr>
                <w:sz w:val="17"/>
                <w:szCs w:val="17"/>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0" w:type="dxa"/>
            <w:vAlign w:val="bottom"/>
            <w:gridSpan w:val="2"/>
          </w:tcPr>
          <w:p>
            <w:pPr>
              <w:ind w:left="220"/>
              <w:spacing w:after="0" w:line="174" w:lineRule="exact"/>
              <w:rPr>
                <w:sz w:val="20"/>
                <w:szCs w:val="20"/>
                <w:color w:val="auto"/>
              </w:rPr>
            </w:pPr>
            <w:r>
              <w:rPr>
                <w:rFonts w:ascii="Arial" w:cs="Arial" w:eastAsia="Arial" w:hAnsi="Arial"/>
                <w:sz w:val="18"/>
                <w:szCs w:val="18"/>
                <w:color w:val="auto"/>
              </w:rPr>
              <w:t>Regeneron's share of profits in connection with</w:t>
            </w: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5"/>
                <w:szCs w:val="15"/>
                <w:color w:val="auto"/>
              </w:rPr>
            </w:pPr>
          </w:p>
        </w:tc>
        <w:tc>
          <w:tcPr>
            <w:tcW w:w="320" w:type="dxa"/>
            <w:vAlign w:val="bottom"/>
            <w:vMerge w:val="restart"/>
          </w:tcPr>
          <w:p>
            <w:pPr>
              <w:jc w:val="right"/>
              <w:ind w:right="111"/>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5"/>
                <w:szCs w:val="15"/>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588.2</w:t>
            </w:r>
          </w:p>
        </w:tc>
        <w:tc>
          <w:tcPr>
            <w:tcW w:w="100" w:type="dxa"/>
            <w:vAlign w:val="bottom"/>
          </w:tcPr>
          <w:p>
            <w:pPr>
              <w:spacing w:after="0"/>
              <w:rPr>
                <w:sz w:val="15"/>
                <w:szCs w:val="15"/>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gridSpan w:val="2"/>
          </w:tcPr>
          <w:p>
            <w:pPr>
              <w:ind w:left="380"/>
              <w:spacing w:after="0"/>
              <w:rPr>
                <w:sz w:val="20"/>
                <w:szCs w:val="20"/>
                <w:color w:val="auto"/>
              </w:rPr>
            </w:pPr>
            <w:r>
              <w:rPr>
                <w:rFonts w:ascii="Arial" w:cs="Arial" w:eastAsia="Arial" w:hAnsi="Arial"/>
                <w:sz w:val="18"/>
                <w:szCs w:val="18"/>
                <w:color w:val="auto"/>
              </w:rPr>
              <w:t>commercialization of antibodies</w:t>
            </w:r>
          </w:p>
        </w:tc>
        <w:tc>
          <w:tcPr>
            <w:tcW w:w="2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4600" w:type="dxa"/>
            <w:vAlign w:val="bottom"/>
            <w:gridSpan w:val="2"/>
            <w:shd w:val="clear" w:color="auto" w:fill="CCEEFF"/>
          </w:tcPr>
          <w:p>
            <w:pPr>
              <w:ind w:left="220"/>
              <w:spacing w:after="0" w:line="174" w:lineRule="exact"/>
              <w:rPr>
                <w:sz w:val="20"/>
                <w:szCs w:val="20"/>
                <w:color w:val="auto"/>
              </w:rPr>
            </w:pPr>
            <w:r>
              <w:rPr>
                <w:rFonts w:ascii="Arial" w:cs="Arial" w:eastAsia="Arial" w:hAnsi="Arial"/>
                <w:sz w:val="18"/>
                <w:szCs w:val="18"/>
                <w:color w:val="auto"/>
              </w:rPr>
              <w:t>Reimbursement for manufacturing of commercial</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gridSpan w:val="2"/>
            <w:shd w:val="clear" w:color="auto" w:fill="CCEEFF"/>
          </w:tcPr>
          <w:p>
            <w:pPr>
              <w:ind w:left="380"/>
              <w:spacing w:after="0" w:line="226" w:lineRule="exact"/>
              <w:rPr>
                <w:sz w:val="20"/>
                <w:szCs w:val="20"/>
                <w:color w:val="auto"/>
              </w:rPr>
            </w:pPr>
            <w:r>
              <w:rPr>
                <w:rFonts w:ascii="Arial" w:cs="Arial" w:eastAsia="Arial" w:hAnsi="Arial"/>
                <w:sz w:val="18"/>
                <w:szCs w:val="18"/>
                <w:color w:val="auto"/>
              </w:rPr>
              <w:t>supplies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Antibody</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07"/>
        </w:trPr>
        <w:tc>
          <w:tcPr>
            <w:tcW w:w="920" w:type="dxa"/>
            <w:vAlign w:val="bottom"/>
          </w:tcPr>
          <w:p>
            <w:pPr>
              <w:spacing w:after="0"/>
              <w:rPr>
                <w:sz w:val="18"/>
                <w:szCs w:val="18"/>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0" w:type="dxa"/>
            <w:vAlign w:val="bottom"/>
            <w:gridSpan w:val="2"/>
          </w:tcPr>
          <w:p>
            <w:pPr>
              <w:ind w:left="220"/>
              <w:spacing w:after="0" w:line="174" w:lineRule="exact"/>
              <w:rPr>
                <w:sz w:val="20"/>
                <w:szCs w:val="20"/>
                <w:color w:val="auto"/>
              </w:rPr>
            </w:pPr>
            <w:r>
              <w:rPr>
                <w:rFonts w:ascii="Arial" w:cs="Arial" w:eastAsia="Arial" w:hAnsi="Arial"/>
                <w:sz w:val="18"/>
                <w:szCs w:val="18"/>
                <w:color w:val="auto"/>
              </w:rPr>
              <w:t>Regeneron's share of losses in connection with</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gridSpan w:val="2"/>
          </w:tcPr>
          <w:p>
            <w:pPr>
              <w:ind w:left="380"/>
              <w:spacing w:after="0"/>
              <w:rPr>
                <w:sz w:val="20"/>
                <w:szCs w:val="20"/>
                <w:color w:val="auto"/>
              </w:rPr>
            </w:pPr>
            <w:r>
              <w:rPr>
                <w:rFonts w:ascii="Arial" w:cs="Arial" w:eastAsia="Arial" w:hAnsi="Arial"/>
                <w:sz w:val="18"/>
                <w:szCs w:val="18"/>
                <w:color w:val="auto"/>
                <w:w w:val="96"/>
              </w:rPr>
              <w:t>commercialization of Libtayo outside the United States</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4600" w:type="dxa"/>
            <w:vAlign w:val="bottom"/>
            <w:gridSpan w:val="2"/>
            <w:shd w:val="clear" w:color="auto" w:fill="CCEEFF"/>
          </w:tcPr>
          <w:p>
            <w:pPr>
              <w:ind w:left="220"/>
              <w:spacing w:after="0" w:line="174" w:lineRule="exact"/>
              <w:rPr>
                <w:sz w:val="20"/>
                <w:szCs w:val="20"/>
                <w:color w:val="auto"/>
              </w:rPr>
            </w:pPr>
            <w:r>
              <w:rPr>
                <w:rFonts w:ascii="Arial" w:cs="Arial" w:eastAsia="Arial" w:hAnsi="Arial"/>
                <w:sz w:val="18"/>
                <w:szCs w:val="18"/>
                <w:color w:val="auto"/>
              </w:rPr>
              <w:t>Reimbursement for manufacturing of commercial</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600" w:type="dxa"/>
            <w:vAlign w:val="bottom"/>
            <w:gridSpan w:val="2"/>
            <w:shd w:val="clear" w:color="auto" w:fill="CCEEFF"/>
          </w:tcPr>
          <w:p>
            <w:pPr>
              <w:ind w:left="380"/>
              <w:spacing w:after="0" w:line="226" w:lineRule="exact"/>
              <w:rPr>
                <w:sz w:val="20"/>
                <w:szCs w:val="20"/>
                <w:color w:val="auto"/>
              </w:rPr>
            </w:pPr>
            <w:r>
              <w:rPr>
                <w:rFonts w:ascii="Arial" w:cs="Arial" w:eastAsia="Arial" w:hAnsi="Arial"/>
                <w:sz w:val="18"/>
                <w:szCs w:val="18"/>
                <w:color w:val="auto"/>
              </w:rPr>
              <w:t>supplies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Immuno-oncology</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260" w:right="1820" w:firstLine="5"/>
        <w:spacing w:after="0" w:line="223" w:lineRule="auto"/>
        <w:tabs>
          <w:tab w:leader="none" w:pos="1434"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Corresponding costs incurred by us in connection with such production is recorded within Cost of collaboration and contract manufacturing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Antibody</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During the three and six months ended June 30, 2021, the change in our share of profits in connection with commercialization of antibodies, compared to the same periods of 2020, was driven by higher Dupixent profits.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Regeneron's share of profits in connection with the commercialization of Dupixent, Praluent (through March 31, 2020), and Kevzara is summarized below:</w:t>
      </w: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43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7"/>
        </w:trPr>
        <w:tc>
          <w:tcPr>
            <w:tcW w:w="5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45"/>
        </w:trPr>
        <w:tc>
          <w:tcPr>
            <w:tcW w:w="5420" w:type="dxa"/>
            <w:vAlign w:val="bottom"/>
            <w:tcBorders>
              <w:bottom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1,565.7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2,897.7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2,008.4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Regeneron's share of collaboration profits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420" w:type="dxa"/>
            <w:vAlign w:val="bottom"/>
            <w:vMerge w:val="continue"/>
          </w:tcPr>
          <w:p>
            <w:pPr>
              <w:spacing w:after="0"/>
              <w:rPr>
                <w:sz w:val="17"/>
                <w:szCs w:val="17"/>
                <w:color w:val="auto"/>
              </w:rPr>
            </w:pPr>
          </w:p>
        </w:tc>
        <w:tc>
          <w:tcPr>
            <w:tcW w:w="220" w:type="dxa"/>
            <w:vAlign w:val="bottom"/>
          </w:tcPr>
          <w:p>
            <w:pPr>
              <w:jc w:val="right"/>
              <w:ind w:right="31"/>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line="200" w:lineRule="exact"/>
              <w:rPr>
                <w:sz w:val="20"/>
                <w:szCs w:val="20"/>
                <w:color w:val="auto"/>
              </w:rPr>
            </w:pPr>
            <w:r>
              <w:rPr>
                <w:rFonts w:ascii="Arial" w:cs="Arial" w:eastAsia="Arial" w:hAnsi="Arial"/>
                <w:sz w:val="18"/>
                <w:szCs w:val="18"/>
                <w:color w:val="auto"/>
              </w:rPr>
              <w:t>364.5</w:t>
            </w:r>
          </w:p>
        </w:tc>
        <w:tc>
          <w:tcPr>
            <w:tcW w:w="100" w:type="dxa"/>
            <w:vAlign w:val="bottom"/>
          </w:tcPr>
          <w:p>
            <w:pPr>
              <w:spacing w:after="0"/>
              <w:rPr>
                <w:sz w:val="17"/>
                <w:szCs w:val="17"/>
                <w:color w:val="auto"/>
              </w:rPr>
            </w:pPr>
          </w:p>
        </w:tc>
        <w:tc>
          <w:tcPr>
            <w:tcW w:w="320" w:type="dxa"/>
            <w:vAlign w:val="bottom"/>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1"/>
              <w:spacing w:after="0" w:line="200" w:lineRule="exact"/>
              <w:rPr>
                <w:sz w:val="20"/>
                <w:szCs w:val="20"/>
                <w:color w:val="auto"/>
              </w:rPr>
            </w:pPr>
            <w:r>
              <w:rPr>
                <w:rFonts w:ascii="Arial" w:cs="Arial" w:eastAsia="Arial" w:hAnsi="Arial"/>
                <w:sz w:val="18"/>
                <w:szCs w:val="18"/>
                <w:color w:val="auto"/>
              </w:rPr>
              <w:t>191.4</w:t>
            </w:r>
          </w:p>
        </w:tc>
        <w:tc>
          <w:tcPr>
            <w:tcW w:w="100" w:type="dxa"/>
            <w:vAlign w:val="bottom"/>
          </w:tcPr>
          <w:p>
            <w:pPr>
              <w:spacing w:after="0"/>
              <w:rPr>
                <w:sz w:val="17"/>
                <w:szCs w:val="17"/>
                <w:color w:val="auto"/>
              </w:rPr>
            </w:pPr>
          </w:p>
        </w:tc>
        <w:tc>
          <w:tcPr>
            <w:tcW w:w="2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line="200" w:lineRule="exact"/>
              <w:rPr>
                <w:sz w:val="20"/>
                <w:szCs w:val="20"/>
                <w:color w:val="auto"/>
              </w:rPr>
            </w:pPr>
            <w:r>
              <w:rPr>
                <w:rFonts w:ascii="Arial" w:cs="Arial" w:eastAsia="Arial" w:hAnsi="Arial"/>
                <w:sz w:val="18"/>
                <w:szCs w:val="18"/>
                <w:color w:val="auto"/>
              </w:rPr>
              <w:t>654.4</w:t>
            </w:r>
          </w:p>
        </w:tc>
        <w:tc>
          <w:tcPr>
            <w:tcW w:w="100" w:type="dxa"/>
            <w:vAlign w:val="bottom"/>
          </w:tcPr>
          <w:p>
            <w:pPr>
              <w:spacing w:after="0"/>
              <w:rPr>
                <w:sz w:val="17"/>
                <w:szCs w:val="17"/>
                <w:color w:val="auto"/>
              </w:rPr>
            </w:pPr>
          </w:p>
        </w:tc>
        <w:tc>
          <w:tcPr>
            <w:tcW w:w="320" w:type="dxa"/>
            <w:vAlign w:val="bottom"/>
          </w:tcPr>
          <w:p>
            <w:pPr>
              <w:jc w:val="right"/>
              <w:ind w:right="131"/>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1"/>
              <w:spacing w:after="0" w:line="200" w:lineRule="exact"/>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174"/>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Reimbursement of development expenses incurred by Sanofi in</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420" w:type="dxa"/>
            <w:vAlign w:val="bottom"/>
          </w:tcPr>
          <w:p>
            <w:pPr>
              <w:ind w:left="20"/>
              <w:spacing w:after="0" w:line="154" w:lineRule="exact"/>
              <w:rPr>
                <w:sz w:val="20"/>
                <w:szCs w:val="20"/>
                <w:color w:val="auto"/>
              </w:rPr>
            </w:pPr>
            <w:r>
              <w:rPr>
                <w:rFonts w:ascii="Arial" w:cs="Arial" w:eastAsia="Arial" w:hAnsi="Arial"/>
                <w:sz w:val="17"/>
                <w:szCs w:val="17"/>
                <w:color w:val="auto"/>
              </w:rPr>
              <w:t>Regeneron's share of profits in connection with commercialization of</w:t>
            </w:r>
          </w:p>
        </w:tc>
        <w:tc>
          <w:tcPr>
            <w:tcW w:w="220" w:type="dxa"/>
            <w:vAlign w:val="bottom"/>
            <w:vMerge w:val="restart"/>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3"/>
                <w:szCs w:val="13"/>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588.2</w:t>
            </w:r>
          </w:p>
        </w:tc>
        <w:tc>
          <w:tcPr>
            <w:tcW w:w="100" w:type="dxa"/>
            <w:vAlign w:val="bottom"/>
          </w:tcPr>
          <w:p>
            <w:pPr>
              <w:spacing w:after="0"/>
              <w:rPr>
                <w:sz w:val="13"/>
                <w:szCs w:val="13"/>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05"/>
        </w:trPr>
        <w:tc>
          <w:tcPr>
            <w:tcW w:w="5420" w:type="dxa"/>
            <w:vAlign w:val="bottom"/>
          </w:tcPr>
          <w:p>
            <w:pPr>
              <w:ind w:left="180"/>
              <w:spacing w:after="0" w:line="201" w:lineRule="exact"/>
              <w:rPr>
                <w:sz w:val="20"/>
                <w:szCs w:val="20"/>
                <w:color w:val="auto"/>
              </w:rPr>
            </w:pPr>
            <w:r>
              <w:rPr>
                <w:rFonts w:ascii="Arial" w:cs="Arial" w:eastAsia="Arial" w:hAnsi="Arial"/>
                <w:sz w:val="18"/>
                <w:szCs w:val="18"/>
                <w:color w:val="auto"/>
              </w:rPr>
              <w:t>antibodies</w:t>
            </w:r>
          </w:p>
        </w:tc>
        <w:tc>
          <w:tcPr>
            <w:tcW w:w="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5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Regeneron's share of collaboration profits as a percentage of Dupixent,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Praluent, and Kevzara net product sales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840" w:right="560" w:hanging="8"/>
        <w:spacing w:after="0" w:line="228" w:lineRule="auto"/>
        <w:tabs>
          <w:tab w:leader="none" w:pos="1015"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Global net product sales of Dupixent and Kevzara are recorded by Sanofi. The quarter ended March 31, 2020 was the last quarter for which Sanofi and the Company shared profits and losses in connection with Sanofi's global net sales and the related commercialization of Praluent (see further details below); therefore, the quarter ended March 31, 2020 was the last quarter for which net product sales of Praluent were included in the table above.</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described above under "Collaboration, License, and Other Agreements - </w:t>
      </w:r>
      <w:r>
        <w:rPr>
          <w:rFonts w:ascii="Arial" w:cs="Arial" w:eastAsia="Arial" w:hAnsi="Arial"/>
          <w:sz w:val="18"/>
          <w:szCs w:val="18"/>
          <w:i w:val="1"/>
          <w:iCs w:val="1"/>
          <w:color w:val="auto"/>
        </w:rPr>
        <w:t>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effective April 1, 2020, the Company became solely responsible for the development and commercialization of Praluent in the United States. Under the new agreement, Sanofi is solely responsible for the development and commercialization of Praluent outside of the United States, and pays the Company a 5% royalty on Sanofi’s net product sales of Praluent outside the United States.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5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41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54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7"/>
                <w:szCs w:val="17"/>
                <w:color w:val="auto"/>
              </w:rPr>
              <w:t>Regeneron's net profit in connection with commercialization of EYLEA</w:t>
            </w: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5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 w:type="dxa"/>
            <w:vAlign w:val="bottom"/>
          </w:tcPr>
          <w:p>
            <w:pPr>
              <w:spacing w:after="0"/>
              <w:rPr>
                <w:sz w:val="19"/>
                <w:szCs w:val="19"/>
                <w:color w:val="auto"/>
              </w:rPr>
            </w:pPr>
          </w:p>
        </w:tc>
        <w:tc>
          <w:tcPr>
            <w:tcW w:w="5460" w:type="dxa"/>
            <w:vAlign w:val="bottom"/>
            <w:tcBorders>
              <w:bottom w:val="single" w:sz="8" w:color="CCEEFF"/>
            </w:tcBorders>
            <w:gridSpan w:val="2"/>
          </w:tcPr>
          <w:p>
            <w:pPr>
              <w:ind w:left="20"/>
              <w:spacing w:after="0" w:line="226" w:lineRule="exact"/>
              <w:rPr>
                <w:sz w:val="20"/>
                <w:szCs w:val="20"/>
                <w:color w:val="auto"/>
              </w:rPr>
            </w:pPr>
            <w:r>
              <w:rPr>
                <w:rFonts w:ascii="Arial" w:cs="Arial" w:eastAsia="Arial" w:hAnsi="Arial"/>
                <w:sz w:val="18"/>
                <w:szCs w:val="18"/>
                <w:color w:val="auto"/>
              </w:rPr>
              <w:t>Reimbursement for manufacturing of commercial supplies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5"/>
        </w:trPr>
        <w:tc>
          <w:tcPr>
            <w:tcW w:w="500" w:type="dxa"/>
            <w:vAlign w:val="bottom"/>
          </w:tcPr>
          <w:p>
            <w:pPr>
              <w:spacing w:after="0"/>
              <w:rPr>
                <w:sz w:val="20"/>
                <w:szCs w:val="20"/>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000" w:hanging="168"/>
        <w:spacing w:after="0"/>
        <w:tabs>
          <w:tab w:leader="none" w:pos="100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Corresponding costs incurred by us in connection with such production is recorded within Cost of collaboration and contract manufacturing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5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Pr>
          <w:p>
            <w:pPr>
              <w:spacing w:after="0"/>
              <w:rPr>
                <w:sz w:val="18"/>
                <w:szCs w:val="18"/>
                <w:color w:val="auto"/>
              </w:rPr>
            </w:pPr>
          </w:p>
        </w:tc>
        <w:tc>
          <w:tcPr>
            <w:tcW w:w="2140" w:type="dxa"/>
            <w:vAlign w:val="bottom"/>
            <w:gridSpan w:val="4"/>
          </w:tcPr>
          <w:p>
            <w:pPr>
              <w:jc w:val="right"/>
              <w:ind w:right="43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7"/>
        </w:trPr>
        <w:tc>
          <w:tcPr>
            <w:tcW w:w="5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45"/>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 net product sales outside the United States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903.8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1,728.1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6"/>
              </w:rPr>
              <w:t>Regeneron's share of collaboration profit from sales outside the United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440" w:type="dxa"/>
            <w:vAlign w:val="bottom"/>
            <w:vMerge w:val="continue"/>
          </w:tcPr>
          <w:p>
            <w:pPr>
              <w:spacing w:after="0"/>
              <w:rPr>
                <w:sz w:val="10"/>
                <w:szCs w:val="10"/>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10"/>
                <w:szCs w:val="10"/>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51"/>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0"/>
                <w:szCs w:val="10"/>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674.1</w:t>
            </w:r>
          </w:p>
        </w:tc>
        <w:tc>
          <w:tcPr>
            <w:tcW w:w="100" w:type="dxa"/>
            <w:vAlign w:val="bottom"/>
          </w:tcPr>
          <w:p>
            <w:pPr>
              <w:spacing w:after="0"/>
              <w:rPr>
                <w:sz w:val="10"/>
                <w:szCs w:val="10"/>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7"/>
        </w:trPr>
        <w:tc>
          <w:tcPr>
            <w:tcW w:w="5440" w:type="dxa"/>
            <w:vAlign w:val="bottom"/>
          </w:tcPr>
          <w:p>
            <w:pPr>
              <w:ind w:left="180"/>
              <w:spacing w:after="0"/>
              <w:rPr>
                <w:sz w:val="20"/>
                <w:szCs w:val="20"/>
                <w:color w:val="auto"/>
              </w:rPr>
            </w:pPr>
            <w:r>
              <w:rPr>
                <w:rFonts w:ascii="Arial" w:cs="Arial" w:eastAsia="Arial" w:hAnsi="Arial"/>
                <w:sz w:val="18"/>
                <w:szCs w:val="18"/>
                <w:color w:val="auto"/>
              </w:rPr>
              <w:t>States</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4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Reimbursement of development expenses incurred by Bayer in</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20"/>
              <w:spacing w:after="0" w:line="154" w:lineRule="exact"/>
              <w:rPr>
                <w:sz w:val="20"/>
                <w:szCs w:val="20"/>
                <w:color w:val="auto"/>
              </w:rPr>
            </w:pPr>
            <w:r>
              <w:rPr>
                <w:rFonts w:ascii="Arial" w:cs="Arial" w:eastAsia="Arial" w:hAnsi="Arial"/>
                <w:sz w:val="17"/>
                <w:szCs w:val="17"/>
                <w:color w:val="auto"/>
              </w:rPr>
              <w:t>Regeneron's net profit in connection with commercialization of EYLEA</w:t>
            </w: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3"/>
                <w:szCs w:val="13"/>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51"/>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644.3</w:t>
            </w:r>
          </w:p>
        </w:tc>
        <w:tc>
          <w:tcPr>
            <w:tcW w:w="100" w:type="dxa"/>
            <w:vAlign w:val="bottom"/>
          </w:tcPr>
          <w:p>
            <w:pPr>
              <w:spacing w:after="0"/>
              <w:rPr>
                <w:sz w:val="13"/>
                <w:szCs w:val="13"/>
                <w:color w:val="auto"/>
              </w:rPr>
            </w:pPr>
          </w:p>
        </w:tc>
        <w:tc>
          <w:tcPr>
            <w:tcW w:w="320" w:type="dxa"/>
            <w:vAlign w:val="bottom"/>
            <w:vMerge w:val="restart"/>
          </w:tcPr>
          <w:p>
            <w:pPr>
              <w:jc w:val="right"/>
              <w:ind w:right="131"/>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1"/>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05"/>
        </w:trPr>
        <w:tc>
          <w:tcPr>
            <w:tcW w:w="5440" w:type="dxa"/>
            <w:vAlign w:val="bottom"/>
          </w:tcPr>
          <w:p>
            <w:pPr>
              <w:ind w:left="180"/>
              <w:spacing w:after="0" w:line="201" w:lineRule="exact"/>
              <w:rPr>
                <w:sz w:val="20"/>
                <w:szCs w:val="20"/>
                <w:color w:val="auto"/>
              </w:rPr>
            </w:pPr>
            <w:r>
              <w:rPr>
                <w:rFonts w:ascii="Arial" w:cs="Arial" w:eastAsia="Arial" w:hAnsi="Arial"/>
                <w:sz w:val="18"/>
                <w:szCs w:val="18"/>
                <w:color w:val="auto"/>
              </w:rPr>
              <w:t>outside the United States</w:t>
            </w: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5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54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Regeneron's net profit as a percentage of EYLEA net product sales</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Bayer records net product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is adjusted accordingly, as necessary.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Roche Collaboration Revenue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 described above under "Agreements Related to COVID-19 - </w:t>
      </w:r>
      <w:r>
        <w:rPr>
          <w:rFonts w:ascii="Arial" w:cs="Arial" w:eastAsia="Arial" w:hAnsi="Arial"/>
          <w:sz w:val="17"/>
          <w:szCs w:val="17"/>
          <w:i w:val="1"/>
          <w:iCs w:val="1"/>
          <w:color w:val="auto"/>
        </w:rPr>
        <w:t>Roche</w:t>
      </w:r>
      <w:r>
        <w:rPr>
          <w:rFonts w:ascii="Arial" w:cs="Arial" w:eastAsia="Arial" w:hAnsi="Arial"/>
          <w:sz w:val="17"/>
          <w:szCs w:val="17"/>
          <w:color w:val="auto"/>
        </w:rPr>
        <w:t>", Roche distributes and records net product sales of the casirivimab and imdevimab antibody cocktail outside the United States, and the parties share gross profits. During the three and six months ended June 30, 2021, Regeneron's share of gross profits in connection with sales of casirivimab and imdevimab outside the United States was $167.9 million and $234.7 million, respectively. Roche provides us with an estimate of our share of the gross profits for the most recent fiscal quarter; these estimates are reconciled to actual results in the subsequent fiscal quarter, and our portion of the profits is adjusted accordingly, as necessary.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revenue decreased during the three and six months ended June 30, 2021, compared to the same periods of 2020, primarily due to lower amounts recognized in connection with our agreement with BARDA related to funding of certain development activities for antibodies for the treatment of COVID-19, and, to a lesser extent, Inmazeb. In addition, a $30.0 million up-front payment from Zai Lab was recorded in Other revenue in the second quarter of 2020 in connection with our collaboration agreement. This decrease in Other revenue for the six months ended June 30, 2021 was partly offset by a $20.0 million milestone payment received from Kiniksa during 2021 in connection with our ARCALYST license agreement.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20" w:type="dxa"/>
            <w:vAlign w:val="bottom"/>
          </w:tcPr>
          <w:p>
            <w:pPr>
              <w:spacing w:after="0"/>
              <w:rPr>
                <w:sz w:val="20"/>
                <w:szCs w:val="20"/>
                <w:color w:val="auto"/>
              </w:rPr>
            </w:pPr>
            <w:r>
              <w:rPr>
                <w:rFonts w:ascii="Arial" w:cs="Arial" w:eastAsia="Arial" w:hAnsi="Arial"/>
                <w:sz w:val="18"/>
                <w:szCs w:val="18"/>
                <w:b w:val="1"/>
                <w:bCs w:val="1"/>
                <w:i w:val="1"/>
                <w:iCs w:val="1"/>
                <w:color w:val="auto"/>
              </w:rPr>
              <w:t>Expenses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48"/>
        </w:trPr>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7"/>
        </w:trPr>
        <w:tc>
          <w:tcPr>
            <w:tcW w:w="4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headcount data)</w:t>
            </w:r>
          </w:p>
        </w:tc>
        <w:tc>
          <w:tcPr>
            <w:tcW w:w="180" w:type="dxa"/>
            <w:vAlign w:val="bottom"/>
          </w:tcPr>
          <w:p>
            <w:pPr>
              <w:spacing w:after="0"/>
              <w:rPr>
                <w:sz w:val="19"/>
                <w:szCs w:val="19"/>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7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b w:val="1"/>
                <w:bCs w:val="1"/>
                <w:color w:val="auto"/>
                <w:w w:val="91"/>
              </w:rPr>
              <w:t>$ Change</w:t>
            </w:r>
          </w:p>
        </w:tc>
      </w:tr>
      <w:tr>
        <w:trPr>
          <w:trHeight w:val="220"/>
        </w:trPr>
        <w:tc>
          <w:tcPr>
            <w:tcW w:w="442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27"/>
        </w:trPr>
        <w:tc>
          <w:tcPr>
            <w:tcW w:w="4420" w:type="dxa"/>
            <w:vAlign w:val="bottom"/>
          </w:tcPr>
          <w:p>
            <w:pPr>
              <w:ind w:left="20"/>
              <w:spacing w:after="0" w:line="226"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27"/>
        </w:trPr>
        <w:tc>
          <w:tcPr>
            <w:tcW w:w="44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Cost of goods sold</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r>
      <w:tr>
        <w:trPr>
          <w:trHeight w:val="227"/>
        </w:trPr>
        <w:tc>
          <w:tcPr>
            <w:tcW w:w="4420" w:type="dxa"/>
            <w:vAlign w:val="bottom"/>
          </w:tcPr>
          <w:p>
            <w:pPr>
              <w:ind w:left="20"/>
              <w:spacing w:after="0" w:line="226" w:lineRule="exact"/>
              <w:rPr>
                <w:sz w:val="20"/>
                <w:szCs w:val="20"/>
                <w:color w:val="auto"/>
              </w:rPr>
            </w:pPr>
            <w:r>
              <w:rPr>
                <w:rFonts w:ascii="Arial" w:cs="Arial" w:eastAsia="Arial" w:hAnsi="Arial"/>
                <w:sz w:val="18"/>
                <w:szCs w:val="18"/>
                <w:color w:val="auto"/>
              </w:rPr>
              <w:t>Cost of collaboration and contract manufacturing</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0"/>
        </w:trPr>
        <w:tc>
          <w:tcPr>
            <w:tcW w:w="4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7"/>
        </w:trPr>
        <w:tc>
          <w:tcPr>
            <w:tcW w:w="4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6"/>
        </w:trPr>
        <w:tc>
          <w:tcPr>
            <w:tcW w:w="4420" w:type="dxa"/>
            <w:vAlign w:val="bottom"/>
          </w:tcPr>
          <w:p>
            <w:pPr>
              <w:ind w:left="20"/>
              <w:spacing w:after="0"/>
              <w:rPr>
                <w:sz w:val="20"/>
                <w:szCs w:val="20"/>
                <w:color w:val="auto"/>
              </w:rPr>
            </w:pPr>
            <w:r>
              <w:rPr>
                <w:rFonts w:ascii="Arial" w:cs="Arial" w:eastAsia="Arial" w:hAnsi="Arial"/>
                <w:sz w:val="18"/>
                <w:szCs w:val="18"/>
                <w:color w:val="auto"/>
              </w:rPr>
              <w:t>Average headcount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1,493</w:t>
            </w:r>
          </w:p>
        </w:tc>
      </w:tr>
    </w:tbl>
    <w:p>
      <w:pPr>
        <w:spacing w:after="0" w:line="60" w:lineRule="exact"/>
        <w:rPr>
          <w:sz w:val="20"/>
          <w:szCs w:val="20"/>
          <w:color w:val="auto"/>
        </w:rPr>
      </w:pPr>
    </w:p>
    <w:p>
      <w:pPr>
        <w:ind w:left="360" w:hanging="175"/>
        <w:spacing w:after="0"/>
        <w:tabs>
          <w:tab w:leader="none" w:pos="36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Includes costs incurred as well as cost reimbursements from collaborators who are not deemed to be our customers</w:t>
      </w:r>
    </w:p>
    <w:p>
      <w:pPr>
        <w:spacing w:after="0" w:line="22" w:lineRule="exact"/>
        <w:rPr>
          <w:rFonts w:ascii="Arial" w:cs="Arial" w:eastAsia="Arial" w:hAnsi="Arial"/>
          <w:sz w:val="21"/>
          <w:szCs w:val="21"/>
          <w:color w:val="auto"/>
          <w:vertAlign w:val="superscript"/>
        </w:rPr>
      </w:pPr>
    </w:p>
    <w:p>
      <w:pPr>
        <w:ind w:left="360" w:hanging="175"/>
        <w:spacing w:after="0" w:line="185" w:lineRule="auto"/>
        <w:tabs>
          <w:tab w:leader="none" w:pos="36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Cost of goods sold primarily includes costs in connection with producing commercial supplies for products that are sold by Regeneron in the United States (</w:t>
      </w:r>
      <w:r>
        <w:rPr>
          <w:rFonts w:ascii="Arial" w:cs="Arial" w:eastAsia="Arial" w:hAnsi="Arial"/>
          <w:sz w:val="13"/>
          <w:szCs w:val="13"/>
          <w:i w:val="1"/>
          <w:iCs w:val="1"/>
          <w:color w:val="auto"/>
        </w:rPr>
        <w:t>i.e.,</w:t>
      </w:r>
      <w:r>
        <w:rPr>
          <w:rFonts w:ascii="Arial" w:cs="Arial" w:eastAsia="Arial" w:hAnsi="Arial"/>
          <w:sz w:val="13"/>
          <w:szCs w:val="13"/>
          <w:color w:val="auto"/>
        </w:rPr>
        <w:t xml:space="preserve"> for</w:t>
      </w:r>
    </w:p>
    <w:p>
      <w:pPr>
        <w:ind w:left="180" w:right="240"/>
        <w:spacing w:after="0" w:line="228" w:lineRule="auto"/>
        <w:rPr>
          <w:rFonts w:ascii="Arial" w:cs="Arial" w:eastAsia="Arial" w:hAnsi="Arial"/>
          <w:sz w:val="18"/>
          <w:szCs w:val="18"/>
          <w:color w:val="auto"/>
          <w:vertAlign w:val="superscript"/>
        </w:rPr>
      </w:pPr>
      <w:r>
        <w:rPr>
          <w:rFonts w:ascii="Arial" w:cs="Arial" w:eastAsia="Arial" w:hAnsi="Arial"/>
          <w:sz w:val="16"/>
          <w:szCs w:val="16"/>
          <w:color w:val="auto"/>
        </w:rPr>
        <w:t>which we record net product sales), any royalties we are obligated to pay on such sales, and amounts we are obligated to pay to Sanofi for its share of Libtayo U.S. gross profits</w:t>
      </w:r>
    </w:p>
    <w:p>
      <w:pPr>
        <w:spacing w:after="0" w:line="1" w:lineRule="exact"/>
        <w:rPr>
          <w:rFonts w:ascii="Arial" w:cs="Arial" w:eastAsia="Arial" w:hAnsi="Arial"/>
          <w:sz w:val="18"/>
          <w:szCs w:val="18"/>
          <w:color w:val="auto"/>
          <w:vertAlign w:val="superscript"/>
        </w:rPr>
      </w:pPr>
    </w:p>
    <w:p>
      <w:pPr>
        <w:ind w:left="360" w:hanging="175"/>
        <w:spacing w:after="0" w:line="212" w:lineRule="auto"/>
        <w:tabs>
          <w:tab w:leader="none" w:pos="36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Cost of collaboration and contract manufacturing includes costs we incur in connection with producing commercial drug supplies for collaborators and others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expenses included a total of $145.5 million and $103.5 million for the three months ended June 30, 2021 and 2020, respectively, and $276.4 million and $209.3 million for the six months ended June 30, 2021 and 2020, respectively, of non-cash compensation expense related to equity awards granted under our long-term incentive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71"/>
              <w:spacing w:after="0" w:line="220" w:lineRule="exact"/>
              <w:rPr>
                <w:sz w:val="20"/>
                <w:szCs w:val="20"/>
                <w:color w:val="auto"/>
              </w:rPr>
            </w:pPr>
            <w:r>
              <w:rPr>
                <w:rFonts w:ascii="Arial" w:cs="Arial" w:eastAsia="Arial" w:hAnsi="Arial"/>
                <w:sz w:val="18"/>
                <w:szCs w:val="18"/>
                <w:b w:val="1"/>
                <w:bCs w:val="1"/>
                <w:color w:val="auto"/>
                <w:w w:val="95"/>
              </w:rPr>
              <w:t>2020</w:t>
            </w:r>
            <w:r>
              <w:rPr>
                <w:rFonts w:ascii="Arial" w:cs="Arial" w:eastAsia="Arial" w:hAnsi="Arial"/>
                <w:sz w:val="23"/>
                <w:szCs w:val="23"/>
                <w:b w:val="1"/>
                <w:bCs w:val="1"/>
                <w:color w:val="auto"/>
                <w:w w:val="95"/>
                <w:vertAlign w:val="superscript"/>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51"/>
              <w:spacing w:after="0" w:line="220" w:lineRule="exact"/>
              <w:rPr>
                <w:sz w:val="20"/>
                <w:szCs w:val="20"/>
                <w:color w:val="auto"/>
              </w:rPr>
            </w:pPr>
            <w:r>
              <w:rPr>
                <w:rFonts w:ascii="Arial" w:cs="Arial" w:eastAsia="Arial" w:hAnsi="Arial"/>
                <w:sz w:val="18"/>
                <w:szCs w:val="18"/>
                <w:b w:val="1"/>
                <w:bCs w:val="1"/>
                <w:color w:val="auto"/>
                <w:w w:val="95"/>
              </w:rPr>
              <w:t>2020</w:t>
            </w:r>
            <w:r>
              <w:rPr>
                <w:rFonts w:ascii="Arial" w:cs="Arial" w:eastAsia="Arial" w:hAnsi="Arial"/>
                <w:sz w:val="23"/>
                <w:szCs w:val="23"/>
                <w:b w:val="1"/>
                <w:bCs w:val="1"/>
                <w:color w:val="auto"/>
                <w:w w:val="95"/>
                <w:vertAlign w:val="superscript"/>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07"/>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8"/>
                <w:szCs w:val="18"/>
                <w:color w:val="auto"/>
              </w:rPr>
              <w:t>REGEN-COV</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Libtayo (cemiplimab)</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8"/>
                <w:szCs w:val="18"/>
                <w:color w:val="auto"/>
              </w:rPr>
              <w:t>Dupixent (dupilumab)</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EYLEA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8"/>
                <w:szCs w:val="18"/>
                <w:color w:val="auto"/>
              </w:rPr>
              <w:t>Fasinumab</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Up-front payments related to license and</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collaboration agreements</w:t>
            </w: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40" w:type="dxa"/>
            <w:vAlign w:val="bottom"/>
          </w:tcPr>
          <w:p>
            <w:pPr>
              <w:ind w:left="220"/>
              <w:spacing w:after="0" w:line="174" w:lineRule="exact"/>
              <w:rPr>
                <w:sz w:val="20"/>
                <w:szCs w:val="20"/>
                <w:color w:val="auto"/>
              </w:rPr>
            </w:pPr>
            <w:r>
              <w:rPr>
                <w:rFonts w:ascii="Arial" w:cs="Arial" w:eastAsia="Arial" w:hAnsi="Arial"/>
                <w:sz w:val="18"/>
                <w:szCs w:val="18"/>
                <w:color w:val="auto"/>
                <w:w w:val="97"/>
              </w:rPr>
              <w:t>Other product candidates in clinical development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and other research programs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140"/>
        </w:trPr>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8"/>
                <w:szCs w:val="18"/>
                <w:color w:val="auto"/>
              </w:rPr>
              <w:t>Payroll and benefits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4"/>
              </w:rPr>
              <w:t>Lab supplies and other research and development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costs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Occupancy and other operating costs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indirect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0"/>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manufacturing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Reimbursement of research and development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7"/>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by collaborators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0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ind w:left="280" w:hanging="95"/>
        <w:spacing w:after="0"/>
        <w:tabs>
          <w:tab w:leader="none" w:pos="280"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Certain prior year amounts have been reclassified to conform to the current year's presentation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for the three and six months ended June 30, 2020 included $85.0 million in aggregate up-front payments made in connection with our collaboration agreement with Intellia (see "Collaboration and License Agreements - Intellia" above). Direct research and development expenses in 2020 also include costs incurred in connection with Kevzara for the treatment of COVID-19 patients (included within "Other product candidates in clinical development and other research programs" in the table above).</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Reimbursement of research and development expenses by collaborators included $41.0 million and $127.8 million of reimbursements from Roche related to REGEN-COV for the three and six months ended June 30, 2021, respectively. There were no reimbursements of research and development expenses by collaborators related to REGEN-COV during the three and six months ended June 30, 2020.</w:t>
      </w:r>
    </w:p>
    <w:p>
      <w:pPr>
        <w:spacing w:after="0" w:line="12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Research and development expenses included non-cash compensation expense of $70.9 million and $56.9 million for the three months ended June 30, 2021 and 2020, respectively, and $140.6 million and $113.6 million for the six months ended June 30, 2021 and 2020, respectively.</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adversely affect our business. We are unable to reasonably estimate if our product candidates in clinical development will generate material product revenues and net cash inflows.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increased for the three and six months ended June 30, 2021, compared to the same periods in 2020, primarily due to higher headcount-related costs, and an increase in commercialization-related expenses for EYLEA and Libtayo. In addition, the three months ended June 30, 2021 included costs associated with educational campaigns related to COVID-19. Selling, general, and administrative expenses also included non-cash compensation expense of $49.6 million and $38.2 million for the three months ended June 30, 2021 and 2020, respectively, and $100.4 million and $78.5 million for the six months ended June 30, 2021 and 2020,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Cost of goods sold increased for the three and six months ended June 30, 2021, compared to the same periods in 2020, primarily due to the recognition of manufacturing costs in connection with product sales of REGEN-COV (refer to "Agreements Related to COVID-19 - </w:t>
      </w:r>
      <w:r>
        <w:rPr>
          <w:rFonts w:ascii="Arial" w:cs="Arial" w:eastAsia="Arial" w:hAnsi="Arial"/>
          <w:sz w:val="18"/>
          <w:szCs w:val="18"/>
          <w:i w:val="1"/>
          <w:iCs w:val="1"/>
          <w:color w:val="auto"/>
        </w:rPr>
        <w:t>U.S. Government</w:t>
      </w:r>
      <w:r>
        <w:rPr>
          <w:rFonts w:ascii="Arial" w:cs="Arial" w:eastAsia="Arial" w:hAnsi="Arial"/>
          <w:sz w:val="18"/>
          <w:szCs w:val="18"/>
          <w:color w:val="auto"/>
        </w:rPr>
        <w:t>" section above for further details). In addition, Cost of goods sold included inventory write-offs and reserves totaling $139.9 million and $149.3 million for the three and six months ended June 30, 2021, respectively, primarily related to REGEN-COV. For the three and six months ended June 30, 2020, such amounts were not material.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15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Cost of collaboration and contract manufacturing decreased for the three and six months ended June 30, 2021, compared to the same periods in 2020, primarily due to the recognition of process validation costs during 2020 in connection with manufacturing Inmazeb under our BARDA agreement; such costs did not recur during 2021. This decrease was largely offset by the recognition of manufacturing costs associated with higher sales of Dupixent.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Expense</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Other operating (income) expense, net, includes recognition of a portion of amounts previously deferred in connection with up-front and development milestone payments, as applicable, received in connection with Sanofi IO, Teva, and MTPC collaborative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Other income (expense), net, for the three and six months ended June 30, 2021, compared to the same periods in 2020, was primarily impacted by the recognition of higher unrealized gains on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1"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4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Six Months Ended</w:t>
            </w:r>
          </w:p>
        </w:tc>
      </w:tr>
      <w:tr>
        <w:trPr>
          <w:trHeight w:val="227"/>
        </w:trPr>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4"/>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r>
      <w:tr>
        <w:trPr>
          <w:trHeight w:val="22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effective tax rate)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2020</w:t>
            </w: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653.9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791.7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65.6</w:t>
            </w:r>
          </w:p>
        </w:tc>
      </w:tr>
      <w:tr>
        <w:trPr>
          <w:trHeight w:val="226"/>
        </w:trPr>
        <w:tc>
          <w:tcPr>
            <w:tcW w:w="38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19"/>
                <w:szCs w:val="19"/>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17.4 %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w w:val="91"/>
              </w:rPr>
              <w:t>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w w:val="89"/>
              </w:rPr>
              <w:t>15.8 %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w w:val="91"/>
              </w:rPr>
              <w:t>4.1 %</w:t>
            </w:r>
          </w:p>
        </w:tc>
      </w:tr>
    </w:tbl>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effective tax rate for the three and six months ended June 30, 2021 was positively impacted, compared to the U.S. federal statutory rate, primarily by income earned in foreign jurisdictions with tax rates lower than the U.S. federal statutory rate and federal tax credits for research activities. In addition, the effective tax rate for the six months ended June 30, 2021 was positively impacted by the reversal of liabilities related to uncertain tax positions. Our effective tax rate for the three and six months ended June 30, 2020 was positively impacted, compared to the U.S. federal statutory rate, primarily by stock-based compensation, and, to a lesser extent, income earned in foreign jurisdictions with tax rates lower than the U.S. federal statutory rate and federal tax credits for research activities.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283" w:lineRule="exact"/>
        <w:rPr>
          <w:sz w:val="20"/>
          <w:szCs w:val="20"/>
          <w:color w:val="auto"/>
        </w:rPr>
      </w:pPr>
    </w:p>
    <w:tbl>
      <w:tblPr>
        <w:tblLayout w:type="fixed"/>
        <w:tblInd w:w="142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 Change</w:t>
            </w:r>
          </w:p>
        </w:tc>
      </w:tr>
      <w:tr>
        <w:trPr>
          <w:trHeight w:val="208"/>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37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2,193.7</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27"/>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 - 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r>
      <w:tr>
        <w:trPr>
          <w:trHeight w:val="227"/>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Marketable securities - noncurrent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r>
      <w:tr>
        <w:trPr>
          <w:trHeight w:val="245"/>
        </w:trPr>
        <w:tc>
          <w:tcPr>
            <w:tcW w:w="3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3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376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160"/>
        </w:trPr>
        <w:tc>
          <w:tcPr>
            <w:tcW w:w="3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7"/>
        </w:trPr>
        <w:tc>
          <w:tcPr>
            <w:tcW w:w="376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3,558.5</w:t>
            </w:r>
          </w:p>
        </w:tc>
      </w:tr>
      <w:tr>
        <w:trPr>
          <w:trHeight w:val="227"/>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1,035.0</w:t>
            </w:r>
          </w:p>
        </w:tc>
      </w:tr>
      <w:tr>
        <w:trPr>
          <w:trHeight w:val="245"/>
        </w:trPr>
        <w:tc>
          <w:tcPr>
            <w:tcW w:w="3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also had borrowing availability of $750.0 million under a revolving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Six Months Ended June 30, 2021 and 2020</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6"/>
              </w:rPr>
              <w:t>As of 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 Change</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6"/>
              </w:rPr>
              <w:t>1,641.4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r>
      <w:tr>
        <w:trPr>
          <w:trHeight w:val="227"/>
        </w:trPr>
        <w:tc>
          <w:tcPr>
            <w:tcW w:w="4740" w:type="dxa"/>
            <w:vAlign w:val="bottom"/>
          </w:tcPr>
          <w:p>
            <w:pPr>
              <w:ind w:left="20"/>
              <w:spacing w:after="0"/>
              <w:rPr>
                <w:sz w:val="20"/>
                <w:szCs w:val="20"/>
                <w:color w:val="auto"/>
              </w:rPr>
            </w:pPr>
            <w:r>
              <w:rPr>
                <w:rFonts w:ascii="Arial" w:cs="Arial" w:eastAsia="Arial" w:hAnsi="Arial"/>
                <w:sz w:val="18"/>
                <w:szCs w:val="18"/>
                <w:color w:val="auto"/>
              </w:rPr>
              <w:t>Cash flows (used in) provided by investing activities</w:t>
            </w:r>
          </w:p>
        </w:tc>
        <w:tc>
          <w:tcPr>
            <w:tcW w:w="940" w:type="dxa"/>
            <w:vAlign w:val="bottom"/>
          </w:tcPr>
          <w:p>
            <w:pPr>
              <w:jc w:val="right"/>
              <w:ind w:right="751"/>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(933.2)</w:t>
            </w:r>
          </w:p>
        </w:tc>
        <w:tc>
          <w:tcPr>
            <w:tcW w:w="1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251"/>
              <w:spacing w:after="0"/>
              <w:rPr>
                <w:sz w:val="20"/>
                <w:szCs w:val="20"/>
                <w:color w:val="auto"/>
              </w:rPr>
            </w:pPr>
            <w:r>
              <w:rPr>
                <w:rFonts w:ascii="Arial" w:cs="Arial" w:eastAsia="Arial" w:hAnsi="Arial"/>
                <w:sz w:val="18"/>
                <w:szCs w:val="18"/>
                <w:color w:val="auto"/>
                <w:w w:val="86"/>
              </w:rPr>
              <w:t>1,010.2</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(1,943.4)</w:t>
            </w:r>
          </w:p>
        </w:tc>
      </w:tr>
      <w:tr>
        <w:trPr>
          <w:trHeight w:val="22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91"/>
              </w:rPr>
              <w:t>(2,277.2)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net income for the six months ended June 30, 2021 included $552.9 million related to unrealized gains (net) on equity securities. As of June 30, 2021, Accounts receivable increased by $2.884 billion, compared to December 31, 2020, primarily due to REGEN-COV sales in connection with our agreement to supply drug product to the U.S. government.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Capital expenditures during the six months ended June 30, 2021 included costs associated with the expansion of our manufacturing facilities in Rensselaer, New York and Limerick, Ireland, including construction of a fill/finish facility and related equipment. We expect to incur capital expenditures of $590 million to $640 million for the full year of 2021 primarily in connection with the continued expansion of our manufacturing facilities, including the fill/finish facility. Capital expenditures expected to be incurred during the remainder of 2021 also include costs related to plans to expand our research, preclinical manufacturing, and support facilities at our Tarrytown, New York campus.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Proceeds from issuances of Common Stock, in connection with exercises of employee stock options, were $308.2 million during the six months ended June 30, 2021, compared to $2.168 billion during the six months ended June 30, 2020. For additional information related to cash flows from financing activities, see "Share Repurchase Program" and "Secondary Offering and Purchase of Regeneron Common Stock Held by Sanofi" sections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40"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In November 2019, our board of directors authorized a share repurchase program to repurchase up to $1.0 billion of our Common Stock. As of December 31, 2020, the Company had repurchased the entire $1.0 billion of its Common Stock that it was authorized to repurchase under this program.</w:t>
      </w:r>
    </w:p>
    <w:p>
      <w:pPr>
        <w:spacing w:after="0" w:line="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January 2021, our board of directors authorized a new share repurchase program to repurchase up to $1.5 billion of our Common Stock. The share repurchase program was approved under terms substantially similar to the November 2019 share repurchase program.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w:t>
      </w:r>
    </w:p>
    <w:p>
      <w:pPr>
        <w:spacing w:after="0" w:line="95"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During the six months ended June 30, 2021, we repurchased 1,272,143 shares of our Common Stock under the January 2021 program and recorded the cost of the shares received, or $612.1 million, as Treasury Stock. As of June 30, 2021, $887.9 million remained available for share repurchases under the program.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 and Purchase of Regeneron Common Stock Held by Sanofi</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2020, a secondary offering of 13,014,646 shares of our Common Stock (the "Secondary Offering") held by Sanofi was completed. In connection with the Secondary Offering, we also purchased 9,806,805 shares of our Common Stock directly from Sanofi for an aggregate purchase amount of $5.0 billion (the "Stock Purchase").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funded the Stock Purchase with a combination of cash on hand, proceeds from the sale of marketable securities, and proceeds from loans under a $1.5 billion senior unsecured bridge loan facility (the "Bridge Facility") which was entered into in May 2020. The Bridge Facility was repaid in August 2020 following the issuance and sale of the Company's senior unsecured notes.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A summary of our critical accounting policies and use of estimates are presented in Part II, Item 7. "Management's Discussion and Analysis of Financial Condition and Results of Operations" of our Annual Report on Form 10-K for the fiscal year ended December 31, 2020 (filed February 8, 2021). There have been no material changes to our critical accounting policies and use of estimates during the six months ended June 30,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of June 30, 2021, the future adoption of recently issued accounting standards is not expected to have a material impact on the Company's financial position or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2020 (filed February 8, 2021). There have been no material changes to our market risks or to our management of such risks as of June 30,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June 30, 2021 that has materially affected, or is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12 to our Condensed Consolidated Financial Statements included in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and references to our product candidates encompass product candidates in development by us and/or our collaborators (in the case of collaborated products or product candidates under the terms of the applicable collaboration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 before making an investment decision regarding Regeneron.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57" w:lineRule="exact"/>
        <w:rPr>
          <w:sz w:val="20"/>
          <w:szCs w:val="20"/>
          <w:color w:val="auto"/>
        </w:rPr>
      </w:pPr>
    </w:p>
    <w:p>
      <w:pPr>
        <w:jc w:val="both"/>
        <w:ind w:left="640" w:hanging="313"/>
        <w:spacing w:after="0" w:line="267"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business may be further adversely affected by the effects of the COVID-19 pandemic, including those impacting our manufacturing and supply chain operations, research and development efforts, commercial operations and sales force, administrative personnel, third-party service providers, and business partners and customers, as well as the demand for our marketed products.</w:t>
      </w:r>
    </w:p>
    <w:p>
      <w:pPr>
        <w:spacing w:after="0" w:line="1" w:lineRule="exact"/>
        <w:rPr>
          <w:rFonts w:ascii="Arial" w:cs="Arial" w:eastAsia="Arial" w:hAnsi="Arial"/>
          <w:sz w:val="17"/>
          <w:szCs w:val="17"/>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related to the development, manufacturing, and commercialization of REGEN-COV.</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144" w:lineRule="exact"/>
        <w:rPr>
          <w:sz w:val="20"/>
          <w:szCs w:val="20"/>
          <w:color w:val="auto"/>
        </w:rPr>
      </w:pPr>
    </w:p>
    <w:p>
      <w:pPr>
        <w:ind w:left="640" w:hanging="31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substantially dependent on the success of EYLEA and Dupixent.</w:t>
      </w:r>
    </w:p>
    <w:p>
      <w:pPr>
        <w:spacing w:after="0" w:line="19"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products are dependent on the availability and extent of reimbursement from third-party payors, including private payors and government programs such as Medicare and Medicaid, which could change due to various factors such as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commercial success of our products is subject to significant competition from products or product candidates that may be superior to, or more cost effective than, our products or product candidates.</w:t>
      </w:r>
    </w:p>
    <w:p>
      <w:pPr>
        <w:ind w:left="640" w:hanging="313"/>
        <w:spacing w:after="0" w:line="25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collaborators on which we rely to commercialize some of our marketed products may be unable to continue to successfully commercialize or co-commercialize our products, both in the United States and abroad.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Development Risks</w:t>
      </w:r>
    </w:p>
    <w:p>
      <w:pPr>
        <w:spacing w:after="0" w:line="157" w:lineRule="exact"/>
        <w:rPr>
          <w:sz w:val="20"/>
          <w:szCs w:val="20"/>
          <w:color w:val="auto"/>
        </w:rPr>
      </w:pPr>
    </w:p>
    <w:p>
      <w:pPr>
        <w:ind w:left="640" w:hanging="313"/>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Drug development and obtaining and maintaining regulatory approval for drug products is costly, time-consuming, and highly uncertain.</w:t>
      </w:r>
    </w:p>
    <w:p>
      <w:pPr>
        <w:spacing w:after="0" w:line="30" w:lineRule="exact"/>
        <w:rPr>
          <w:rFonts w:ascii="Arial" w:cs="Arial" w:eastAsia="Arial" w:hAnsi="Arial"/>
          <w:sz w:val="17"/>
          <w:szCs w:val="17"/>
          <w:color w:val="auto"/>
        </w:rPr>
      </w:pPr>
    </w:p>
    <w:p>
      <w:pPr>
        <w:jc w:val="both"/>
        <w:ind w:left="640" w:hanging="313"/>
        <w:spacing w:after="0" w:line="24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40" w:hanging="313"/>
        <w:spacing w:after="0" w:line="255"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Many of our products are intended to be used in combination with drug-delivery devices, which may result in additional regulatory, commercialization, and other risks.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Market Exclusivity Risks</w:t>
      </w:r>
    </w:p>
    <w:p>
      <w:pPr>
        <w:spacing w:after="0" w:line="144" w:lineRule="exact"/>
        <w:rPr>
          <w:sz w:val="20"/>
          <w:szCs w:val="20"/>
          <w:color w:val="auto"/>
        </w:rPr>
      </w:pPr>
    </w:p>
    <w:p>
      <w:pPr>
        <w:ind w:left="640" w:hanging="313"/>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protect the confidentiality of our trade secrets, and our patents or other means of defending our intellectual property may be insufficient to protect our proprietary rights.</w:t>
      </w:r>
    </w:p>
    <w:p>
      <w:pPr>
        <w:ind w:left="640" w:hanging="313"/>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40" w:hanging="313"/>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or limitation of patent rights, and regulatory pathways for biosimilar competition, could reduce the duration of market exclusivity for our products, including EYLEA.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Risks</w:t>
      </w:r>
    </w:p>
    <w:p>
      <w:pPr>
        <w:spacing w:after="0" w:line="157" w:lineRule="exact"/>
        <w:rPr>
          <w:sz w:val="20"/>
          <w:szCs w:val="20"/>
          <w:color w:val="auto"/>
        </w:rPr>
      </w:pPr>
    </w:p>
    <w:p>
      <w:pPr>
        <w:jc w:val="both"/>
        <w:ind w:left="640" w:hanging="313"/>
        <w:spacing w:after="0" w:line="25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Arial" w:cs="Arial" w:eastAsia="Arial" w:hAnsi="Arial"/>
          <w:sz w:val="17"/>
          <w:szCs w:val="17"/>
          <w:color w:val="auto"/>
        </w:rPr>
      </w:pPr>
    </w:p>
    <w:p>
      <w:pPr>
        <w:jc w:val="both"/>
        <w:ind w:left="640" w:hanging="313"/>
        <w:spacing w:after="0" w:line="24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ind w:left="640" w:hanging="313"/>
        <w:spacing w:after="0" w:line="24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40" w:hanging="313"/>
        <w:spacing w:after="0" w:line="24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40" w:hanging="313"/>
        <w:spacing w:after="0" w:line="273"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57" w:lineRule="exact"/>
        <w:rPr>
          <w:sz w:val="20"/>
          <w:szCs w:val="20"/>
          <w:color w:val="auto"/>
        </w:rPr>
      </w:pPr>
    </w:p>
    <w:p>
      <w:pPr>
        <w:ind w:left="640" w:hanging="313"/>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testing or use of our products harms people, or is perceived to harm them even when such harm is unrelated to our products, we could be subject to costly and damaging product liability claims.</w:t>
      </w:r>
    </w:p>
    <w:p>
      <w:pPr>
        <w:ind w:left="640" w:hanging="31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activities have been, and may in the future be, challenged under federal or state healthcare laws, which may subject us to civil or criminal proceedings, investigations, or penalties.</w:t>
      </w:r>
    </w:p>
    <w:p>
      <w:pPr>
        <w:ind w:left="640" w:hanging="31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40" w:hanging="313"/>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40" w:hanging="313"/>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operations are subject to environmental, health, and safety laws and regulations, including those governing the use of hazardous materials.</w:t>
      </w:r>
    </w:p>
    <w:p>
      <w:pPr>
        <w:spacing w:after="0" w:line="29" w:lineRule="exact"/>
        <w:rPr>
          <w:rFonts w:ascii="Arial" w:cs="Arial" w:eastAsia="Arial" w:hAnsi="Arial"/>
          <w:sz w:val="16"/>
          <w:szCs w:val="16"/>
          <w:color w:val="auto"/>
        </w:rPr>
      </w:pPr>
    </w:p>
    <w:p>
      <w:pPr>
        <w:ind w:left="640" w:hanging="31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affecting the healthcare industry could adversely affect our business.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liabilities and risks associated with our operations outside of the United States could adversely affect our business.</w:t>
      </w:r>
    </w:p>
    <w:p>
      <w:pPr>
        <w:spacing w:after="0" w:line="6" w:lineRule="exact"/>
        <w:rPr>
          <w:rFonts w:ascii="Arial" w:cs="Arial" w:eastAsia="Arial" w:hAnsi="Arial"/>
          <w:sz w:val="18"/>
          <w:szCs w:val="18"/>
          <w:color w:val="auto"/>
        </w:rPr>
      </w:pPr>
    </w:p>
    <w:p>
      <w:pPr>
        <w:ind w:left="640" w:right="20" w:hanging="313"/>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potential liability related to the personal information we collect from individuals, data brokers, or research institutions or obtain from clinical trials sponsored by us or our collaborators.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44" w:lineRule="exact"/>
        <w:rPr>
          <w:sz w:val="20"/>
          <w:szCs w:val="20"/>
          <w:color w:val="auto"/>
        </w:rPr>
      </w:pPr>
    </w:p>
    <w:p>
      <w:pPr>
        <w:ind w:left="640" w:right="20" w:hanging="313"/>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collaborations with Sanofi or Bayer are terminated or breached, our ability to develop, manufacture, and commercialize certain of our products and product candidates in the time expected, or at all, would be materially harmed.</w:t>
      </w:r>
    </w:p>
    <w:p>
      <w:pPr>
        <w:ind w:left="640" w:hanging="313"/>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Risks Factors – Risks Related to Employees, Information Technology, Financial Results and Liquidity, and Our Common Stock</w:t>
      </w:r>
    </w:p>
    <w:p>
      <w:pPr>
        <w:spacing w:after="0" w:line="155" w:lineRule="exact"/>
        <w:rPr>
          <w:sz w:val="20"/>
          <w:szCs w:val="20"/>
          <w:color w:val="auto"/>
        </w:rPr>
      </w:pPr>
    </w:p>
    <w:p>
      <w:pPr>
        <w:ind w:left="640" w:hanging="313"/>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dependent on our key personnel and will be harmed if we cannot recruit and retain leaders in our research, development, manufacturing, and commercial organizations.</w:t>
      </w:r>
    </w:p>
    <w:p>
      <w:pPr>
        <w:ind w:left="640" w:hanging="31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breaches of data security could adversely affect our business.</w:t>
      </w:r>
    </w:p>
    <w:p>
      <w:pPr>
        <w:spacing w:after="0" w:line="6"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need additional funding in the future, which may not be available to us, and which may force us to delay, reduce, or eliminate our product development programs or commercialization efforts.</w:t>
      </w:r>
    </w:p>
    <w:p>
      <w:pPr>
        <w:ind w:left="640" w:hanging="31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indebtedness could adversely impact our business.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stock price is extremely volatile.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existing shareholders may be able to exert significant influence over matters requiring shareholder approval and over our management.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further adversely affected by the effects of the COVID-19 pandemic.</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December 2019, a novel strain of coronavirus, SARS-CoV-2, causing a disease referred to as COVID-19, was reported to have surfaced in Wuhan, China. It has since spread around the world, including the United States;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and order cessation of non-essential travel. Though some of these restrictions have eased, the continuation or recurrence of these restrictions remains uncertain and will depend on many factors, including any future spikes in COVID-19 cases and the continued availability and efficacy of vaccines and treatments. It is expected that the pandemic will continue to ebb and flow, with different jurisdictions having higher levels of infections than others over the course of the pandemic. In addition, new variants of the SARS-CoV-2 virus have emerged, have been shown to be present in many geographies, and appear to spread more easily and quickly than other variants. As a result, shelter-in-place and social distancing orders, government-imposed quarantines, and work-from-home policies (which we previously implemented for a significant portion of our employees) may continue to varying degrees for the duration of the COVID-19 pandemic and may further negatively impact productivity, disrupt our business, and delay our clinical programs and development timelines beyond the delays we have already experienced and disclosed; the magnitude of these developments will depend, in part, on the length and severity of the restrictions and other limitations on our ability to conduct our business in the ordinary course. Such restrictions and limitations may also further negatively impact our access to regulatory authorities (which are affected, among other things, by applicable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In addition, our sales and marketing efforts were previously negatively impacted and may be further negatively impacted by postponement or cancellation of face-to-face meetings and restrictions on access by non-essential personnel to hospitals or clinics to the extent such measures slow down adoption or further commercialization of our marketed products. The demand for our marketed products may also be adversely impacted by the restrictions and limitations adopted in response to the COVID-19 pandemic, particularly to the extent they affect the patients' ability or willingness to start or continue treatment with our marketed products. Any of the foregoing factors may result in lower net product sales of our marketed products. For example, net product sales of EYLEA in the United States decreased for the three months ended June 30, 2020, compared to the same period in 2019, due in part to the impact of the COVID-19 pandemic. See Part I, Item 2. "Management's Discussion and Analysis of Financial Condition and Results of Operations - Results of Operations" for a discussion of our net product sales. Demand for some or all of our marketed products may be further reduced if shelter-in-place or social distancing orders remain in effect or are re-implemented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Quarantines, shelter-in-place, social distancing, and similar government orders (or the perception that such orders, shutdowns, or other restrictions on the conduct of business operations could occur) related to COVID-19 previously impacted, and may impact in the future, personnel at our research and manufacturing facilities, our suppliers, and other third parties on which we rely, as well as the availability or cost of materials produced by or purchased from such parties, resulting in supply chain strains or disruptions that may become material. While some materials and services may be obtained from more than one supplier or provider, port closures and other restrictions resulting from the COVID-19 pandemic (including any government restrictions or limitations, such as those that may be imposed under the Defense Production Act) could materially disrupt our supply chain or limit our ability to obtain sufficient materials or services (including fill/finish services) required for the development and manufacturing of our products and product candidates as well as our research efforts. If microbial, viral (including COVID-19), or other contaminations are discovered in our products, product candidates, the materials used for their production, or in our facilities, or in the facilities of our collaborators, third-party contract manufacturers, or other providers or suppliers, the affected facilities may need to be closed or may otherwise be affected for an extended period of time, or the contamination may result in other delays or disruptions in our direct or indirect supply chain.</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addition, infections and deaths related to COVID-19 previously disrupted and may in the future disrupt the United States' healthcare and healthcare regulatory systems. Such disruptions could divert healthcare resources away from, or materially delay, FDA review and potential approval of our product candidates and new indications for our marketed products. In addition, some of our clinical trials were previously and may in the future be affected by the COVID-19 pandemic. This impact could result in further delays in site initiation and patient enrollment due to prioritization of hospital resources toward the COVID-19 pandemic, patients' inability to comply with clinical trial protocols if quarantines impede patient movement or interrupt healthcare services, and restrictions on trial initiations imposed by hospitals and other trial sites as a result of the COVID-19 pandemic. Similarly, our ability to recruit and retain patients and principal investigators and site staff who, as healthcare providers, may have heightened exposure to COVID-19, was previously and may in the future be delayed or disrupted. We continue to evaluate the adverse impact of the COVID-19 pandemic on an individual trial basis. Any such disruptions may further negatively impact the progress of our clinical trials, including the readouts of trial results, the timing of regulatory review, and any anticipated program milestones.</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previously caused significant disruption of global financial markets and could cause more economic disruption in the future, making it more difficult for us to access capital if needed. In addition, a recession or market correction resulting from the spread of COVID-19 could materially affect our business and the value of our Common Stock.</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development, manufacturing, and commercialization of REGEN-COV.</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response to the recent global outbreak of COVID-19, we developed and are manufacturing and commercializing, in collaboration with Roche, REGEN-COV (known as Ronapreve in other countries outside the United States), a novel investigational antibody cocktail treatment designed to prevent and treat infection from the SARS-CoV-2 virus that received an EUA from the FDA in November 2020. There can be no assurance with respect to how long the EUA will remain in effect, whether the EUA will be revised (such as to include the treatment of hospitalized COVID-19 patients) based on new clinical trial results or otherwise, and whether the EUA is revoked by the FDA based on its determination that the underlying health emergency no longer exists or warrants such authorization or other reasons (including if REGEN-COV is found to be less effective or not effective against new variants of the SARS-CoV-2 virus). In addition, while the EUA was granted following our announcement of positive results from the ongoing Phase 2/3 seamless trial in non-hospitalized</w:t>
      </w:r>
    </w:p>
    <w:p>
      <w:pPr>
        <w:spacing w:after="0" w:line="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patients with COVID-19 and we have further announced positive Phase 3 results in 2021 (as discussed in Part I, Item 2. "Management's Discussion and Analysis of Financial Condition and Results of Operations – Additional Information – Clinical Development Programs"), there are multiple ongoing clinical trials to evaluate the safety and efficacy of the antibody cocktail and there is no assurance of favorable results from any ongoing or future clinical trials, the timing of their completion, or the FDA's or other regulatory authorities' favorable determinations based on data from any such clinical trial. It is also possible that the FDA and certain other regulatory authorities may not grant the antibody cocktail full marketing approval for the treatment of COVID-19, or that any such marketing approvals, if granted, may have significant limitations on its use. Further, other parties may be successful in developing a more effective treatment for COVID-19; and utilization of REGEN-COV has been and may in the future be adversely impacted by other factors, such as the rollout of vaccines providing acquired immunity against COVID-19. As a result, we may never be successful in fully commercializing REGEN-COV. The intense public interest, including speculation by the media, in the development and commercialization of REGEN-COV has caused or contributed to significant volatility in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stock price, which may continue as data and other information from the ongoing and any future clinical trials evaluating REGEN-COV and third-party product candidates for the treatment or prevention of COVID-19 as well as any other regulatory actions become public.</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also face risks related to our significant investment in the development, supply, allocation, distribution, pricing, and commercialization of REGEN-COV. Given the severity and urgency of the COVID-19 pandemic, we have committed significant capital and resources to fund and supply clinical trials and to accelerate and scale up the production of REGEN-COV, which involves a complex manufacturing process that is both resource- and time-sensitive. We expect our investment in the development and manufacture of REGEN-COV to continue through 2021 and potentially beyond, although the magnitude of our investment will be subject to clinical data results, the duration of the COVID-19 pandemic, and other factors, including regulatory outcomes. If we are unable to maintain the EUA or obtain regulatory approvals, or if we make a strategic decision to discontinue development of REGEN-COV or are otherwise not successful in the commercialization of REGEN-COV, we may be unable to recoup our significant expenses incurred to date and/or in the future related to the development and production of REGEN-COV. While we recognized significant net product sales and collaboration revenue in connection with sales of REGEN-COV during the three and six months ended June 30, 2021, the degree to which future sales of REGEN-COV will continue to impact our results of operations is highly uncertain.</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our internal manufacturing capacity may not be sufficient to cover the demand for REGEN-COV. While we have entered into a collaboration agreement with Roche to develop, manufacture, and distribute REGEN-COV, we cannot be certain that our current manufacturing and distribution capacity for REGEN-COV or any increased manufacturing and distribution capacity through our collaboration with Roche will be sufficient. In addition, we rely entirely on third parties for filling and finishing services for REGEN-COV. Our third-party fill/finish providers may not have sufficient capacity or may otherwise not be able to provide such services on a timely basis in the quantities requested (such as because they devote their capacity to other drugs or vaccines against COVID-19), which we previously experienced. The ability of our third-party providers to deliver such services to us may further be adversely impacted by the imposition of government restrictions or limitations (including those that may be imposed under the Defense Production Act). If we are unable to timely enter into alternative arrangements, or if such alternative arrangements are not available on satisfactory terms or at all, we may experience delays in the development, manufacturing, and distribution of REGEN-COV.</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and Roche also face challenges related to the allocation of existing and future supply of REGEN-COV, particularly with respect to geographic distribution. As supplies of REGEN-COV are expected to remain constrained, it is possible that the U.S. government may limit or restrict our ability to distribute and commercialize REGEN-COV outside of the United States. In addition, as a result of the emergency situations in many countries, there is a heightened risk that REGEN-COV may be subject to adverse governmental actions in certain countries. The U.S. government may exercise or assert certain rights with respect to our inventions, products, or product candidates. For example, under the Defense Production Act, the U.S. government may, among other things, require domestic industries to provide essential goods and services needed for the national defense, such as drug material or other supplies needed to treat COVID-19 patients, which could require us to allocate manufacturing capacity in a way that impacts our regular operations. In addition, our agreements with the U.S. government contain provisions granting the U.S. government certain rights relating to products, product candidates, and related inventions (as applicable) covered by those agreements. For example, our July 2020 agreement with the U.S. government to manufacture and deliver REGEN-COV to the U.S. government gives the U.S. government, among other rights, the right to require us to grant a non-exclusive license to applicable inventions to a third party if such action is deemed necessary to alleviate certain health or safety needs. This right may be triggered if we, for example, do not manufacture or supply sufficient product to address such needs. If the U.S. government exercises or asserts any such rights or imposes these or similar measures with respect to our products, product candidates, or related inventions (including REGEN-COV), it may adversely impact our business and results of operations. Foreign governments (including the government of Ireland, where we have manufacturing facilities) may have similar rights or attempt to assert any such rights. Further, we have observed and are likely to continue to face significant public attention and scrutiny over the complex decisions made regarding the REGEN-COV development program, including any allocation, distribution, or pricing decisions with respect to REGEN-COV. If we are unable to successfully manage these risks, we could face significant reputational harm, which could negatively affect our stock price.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1040"/>
        <w:spacing w:after="0" w:line="412" w:lineRule="auto"/>
        <w:rPr>
          <w:sz w:val="20"/>
          <w:szCs w:val="20"/>
          <w:color w:val="auto"/>
        </w:rPr>
      </w:pPr>
      <w:r>
        <w:rPr>
          <w:rFonts w:ascii="Arial" w:cs="Arial" w:eastAsia="Arial" w:hAnsi="Arial"/>
          <w:sz w:val="18"/>
          <w:szCs w:val="18"/>
          <w:b w:val="1"/>
          <w:bCs w:val="1"/>
          <w:color w:val="auto"/>
        </w:rPr>
        <w:t xml:space="preserve">Risks Related to Commercialization of Our Marketed Products, Product Candidates, and New Indications for Our Marketed Products </w:t>
      </w:r>
      <w:r>
        <w:rPr>
          <w:rFonts w:ascii="Arial" w:cs="Arial" w:eastAsia="Arial" w:hAnsi="Arial"/>
          <w:sz w:val="18"/>
          <w:szCs w:val="18"/>
          <w:b w:val="1"/>
          <w:bCs w:val="1"/>
          <w:i w:val="1"/>
          <w:iCs w:val="1"/>
          <w:color w:val="auto"/>
        </w:rPr>
        <w:t>We are substantially dependent on the success of EYLEA and Dupixent.</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six months ended June 30, 2021 and 2020, EYLEA net sales in the United States represented 36% and 60% of our total revenues, respectively, with EYLEA net sales as a percentage of our total revenues for the six months ended June 30, 2021 being significantly lower due to the net product sales of REGEN-COV we recorded in that period in connection with deliveries of drug product under our agreements with the U.S. government.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11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we are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the degree of commercial success of our marketed products will continue to depend on many factors, including the following (as applicable):</w:t>
      </w:r>
    </w:p>
    <w:p>
      <w:pPr>
        <w:spacing w:after="0" w:line="176" w:lineRule="exact"/>
        <w:rPr>
          <w:sz w:val="20"/>
          <w:szCs w:val="20"/>
          <w:color w:val="auto"/>
        </w:rPr>
      </w:pPr>
    </w:p>
    <w:p>
      <w:pPr>
        <w:jc w:val="both"/>
        <w:ind w:left="640" w:hanging="313"/>
        <w:spacing w:after="0" w:line="266"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continued impact of SARS-CoV-2 (the virus that has caused the COVID-19 pandemic) on our business and the demand for our marketed products, as well as its continued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Arial" w:cs="Arial" w:eastAsia="Arial" w:hAnsi="Arial"/>
          <w:sz w:val="17"/>
          <w:szCs w:val="17"/>
          <w:i w:val="1"/>
          <w:iCs w:val="1"/>
          <w:color w:val="auto"/>
        </w:rPr>
        <w:t>Our business may be further adversely affected by the effects of the COVID-19 pandemic</w:t>
      </w:r>
      <w:r>
        <w:rPr>
          <w:rFonts w:ascii="Arial" w:cs="Arial" w:eastAsia="Arial" w:hAnsi="Arial"/>
          <w:sz w:val="17"/>
          <w:szCs w:val="17"/>
          <w:color w:val="auto"/>
        </w:rPr>
        <w:t>");</w:t>
      </w:r>
    </w:p>
    <w:p>
      <w:pPr>
        <w:ind w:left="640" w:hanging="313"/>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our products, including pricing strategy;</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Arial" w:cs="Arial" w:eastAsia="Arial" w:hAnsi="Arial"/>
          <w:sz w:val="18"/>
          <w:szCs w:val="18"/>
          <w:i w:val="1"/>
          <w:iCs w:val="1"/>
          <w:color w:val="auto"/>
        </w:rPr>
        <w:t>The commercial success of our products and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candidates is subject to significant competition - </w:t>
      </w:r>
      <w:r>
        <w:rPr>
          <w:rFonts w:ascii="Arial" w:cs="Arial" w:eastAsia="Arial" w:hAnsi="Arial"/>
          <w:sz w:val="18"/>
          <w:szCs w:val="18"/>
          <w:color w:val="auto"/>
        </w:rPr>
        <w:t>Marketed Products" below) and the willingness of retinal specialists and patients to start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treatment with EYLEA or to switch from another product to EYLEA;</w:t>
      </w:r>
    </w:p>
    <w:p>
      <w:pPr>
        <w:spacing w:after="0" w:line="2"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 candidates</w:t>
      </w:r>
      <w:r>
        <w:rPr>
          <w:rFonts w:ascii="Arial" w:cs="Arial" w:eastAsia="Arial" w:hAnsi="Arial"/>
          <w:sz w:val="18"/>
          <w:szCs w:val="18"/>
          <w:color w:val="auto"/>
        </w:rPr>
        <w:t xml:space="preserve"> </w:t>
      </w:r>
      <w:r>
        <w:rPr>
          <w:rFonts w:ascii="Arial" w:cs="Arial" w:eastAsia="Arial" w:hAnsi="Arial"/>
          <w:sz w:val="18"/>
          <w:szCs w:val="18"/>
          <w:i w:val="1"/>
          <w:iCs w:val="1"/>
          <w:color w:val="auto"/>
        </w:rPr>
        <w:t>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 w:lineRule="exact"/>
        <w:rPr>
          <w:rFonts w:ascii="Arial" w:cs="Arial" w:eastAsia="Arial" w:hAnsi="Arial"/>
          <w:sz w:val="18"/>
          <w:szCs w:val="18"/>
          <w:color w:val="auto"/>
        </w:rPr>
      </w:pPr>
    </w:p>
    <w:p>
      <w:pPr>
        <w:jc w:val="both"/>
        <w:ind w:left="640" w:hanging="313"/>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ind w:left="640" w:hanging="31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19"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the pending proceedings relating to EYLEA, Dupixent, Praluent, and REGEN-COV (described further in Note 12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jc w:val="both"/>
        <w:ind w:left="640" w:right="20" w:hanging="313"/>
        <w:spacing w:after="0" w:line="233"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the pending government proceedings and investigations and other matters described in Note 12 to our Condensed Consolidated Financial Statements included in this report (including the civil complaint filed against us on June 24, 2020 in the U.S. District Court for the District of Massachusetts by the U.S. Attorney's Office for the District of Massachusetts); and</w:t>
      </w:r>
    </w:p>
    <w:p>
      <w:pPr>
        <w:ind w:left="640" w:hanging="313"/>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 for drug products is costly, time-consuming, and highly uncertain</w:t>
      </w:r>
      <w:r>
        <w:rPr>
          <w:rFonts w:ascii="Arial" w:cs="Arial" w:eastAsia="Arial" w:hAnsi="Arial"/>
          <w:sz w:val="17"/>
          <w:szCs w:val="17"/>
          <w:color w:val="auto"/>
        </w:rPr>
        <w:t>"), the applicable marketing approval may be withdrawn, which would materially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 failure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Arial" w:cs="Arial" w:eastAsia="Arial" w:hAnsi="Arial"/>
          <w:sz w:val="17"/>
          <w:szCs w:val="17"/>
          <w:color w:val="auto"/>
        </w:rPr>
        <w:t>" below.</w:t>
      </w:r>
    </w:p>
    <w:p>
      <w:pPr>
        <w:spacing w:after="0" w:line="121"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dependent, in large part, on similar reimbursement mechanisms and programs in those countries.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will likely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5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Arial" w:cs="Arial" w:eastAsia="Arial" w:hAnsi="Arial"/>
          <w:sz w:val="16"/>
          <w:szCs w:val="16"/>
          <w:i w:val="1"/>
          <w:iCs w:val="1"/>
          <w:color w:val="auto"/>
        </w:rPr>
        <w:t>i.e.</w:t>
      </w:r>
      <w:r>
        <w:rPr>
          <w:rFonts w:ascii="Arial" w:cs="Arial" w:eastAsia="Arial" w:hAnsi="Arial"/>
          <w:sz w:val="16"/>
          <w:szCs w:val="16"/>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10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Further, there have been several recent U.S. Congressional inquiries and proposed federal and state legislation and policies designed to, among other things, bring more transparency to drug pricing, review the relationship between pricing and manufacturer patient programs, reduce the out-of-pocket cost of prescription drugs, and reform government program reimbursement methodologies for drugs. President Biden and various members of his administration and the current U.S. Congress have indicated that lowering drug prices continues to be a legislative and political priority, as evidenced, for example, by the "Executive Order on Promoting Competition in the American Economy" issued by President Biden in July 2021. Proposals aimed at drug pricing previously introduced at the federal level include measures that would index the price of certain drugs to international pricing, allow the government to negotiate prescription drug prices for Medicare, and permit the importation of drugs from other countries into the United States at lower prices. Another recent example is the September 2020 "MFN Executive Order" issued by former President Trump and the related interim final rule (the "MFN Interim Final Rule") issued by HHS, acting through CMS, to implement rulemaking to test a payment model (the "MFN Model") pursuant to which Medicare would pay no more than the "most-favored-nation price" within the member countries of the Organization for Economic Co-operation and Development for certain drugs covered by Medicare Part B (such as EYLEA) and Part D. As previously reported, while preliminary injunctive relief preventing the MFN Interim Final Rule from becoming effective on January 1, 2021 has been granted and such relief has not been appealed, if the MFN Interim Final Rule is not permanently enjoined or repealed or the MFN Model is otherwise implemented, this would have a material adverse impact on the extent of Medicare reimbursements for EYLEA and our results of operations. See Note 12 to our Condensed Consolidated Financial Statements for further details regarding the lawsuit relating to the MFN Interim Final Rule filed by Regeneron.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10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addition, PBMs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340"/>
        <w:spacing w:after="0" w:line="412" w:lineRule="auto"/>
        <w:rPr>
          <w:sz w:val="20"/>
          <w:szCs w:val="20"/>
          <w:color w:val="auto"/>
        </w:rPr>
      </w:pPr>
      <w:r>
        <w:rPr>
          <w:rFonts w:ascii="Arial" w:cs="Arial" w:eastAsia="Arial" w:hAnsi="Arial"/>
          <w:sz w:val="18"/>
          <w:szCs w:val="18"/>
          <w:color w:val="auto"/>
        </w:rPr>
        <w:t xml:space="preserve">unable to market our products in foreign countries or if coverage and reimbursement for our marketed products in foreign countries is limited or delayed. </w:t>
      </w:r>
      <w:r>
        <w:rPr>
          <w:rFonts w:ascii="Arial" w:cs="Arial" w:eastAsia="Arial" w:hAnsi="Arial"/>
          <w:sz w:val="18"/>
          <w:szCs w:val="18"/>
          <w:b w:val="1"/>
          <w:bCs w:val="1"/>
          <w:i w:val="1"/>
          <w:iCs w:val="1"/>
          <w:color w:val="auto"/>
        </w:rPr>
        <w:t xml:space="preserve">The commercial success of our products and product candidates is subject to significant competition. </w:t>
      </w:r>
      <w:r>
        <w:rPr>
          <w:rFonts w:ascii="Arial" w:cs="Arial" w:eastAsia="Arial" w:hAnsi="Arial"/>
          <w:sz w:val="18"/>
          <w:szCs w:val="18"/>
          <w:u w:val="single" w:color="auto"/>
          <w:color w:val="auto"/>
        </w:rPr>
        <w:t>Marketed Products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larger pharmaceutical or biotechnology companies. There is significant actual and potential future competition for each of our marketed products.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EYLEA faces significant competition in the marketplace. For example, EYLEA competes in one or more of its approved indications with other VEGF inhibitors, including Novartis and Genentech/Roche's Lucentis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(ranibizumab) and Novartis' Beovu</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(brolucizumab).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(such as Ang2). In addition, we are aware of several companies developing biosimilar versions of EYLEA and other approved anti-VEGF treatments, including biosimilar versions of Lucentis under regulatory review or in late-stage clinical development.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market for Dupixent's current and potential future indications is also increasingly competitive. In atopic dermatitis, there are several topical ointments or agents either approved or in development. There is also a systemic JAK inhibitor approved for atopic dermatitis and others are in development. In addition, a number of companies are developing antibodies against IL-13, IL-13Ra1, OX40, IL-31R, and/or IL-1alpha. In asthma, competitors to Dupixent include antibodies against the IL-5 ligand or the IL-5 receptor or immunoglobulin E; and some of these antibodies are either approved or in development for indications that also compete or may compete in the future with Dupixent in CRSwNP. There are several other potentially competitive products in development that may compete with Dupixent in asthma, as well as potential future indications, including antibodies against thymic stromal lymphopoietin ("TSLP") or the IL-33 ligand. Dupixent also faces competition from inhaled products in asthma and potential future indications.</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Libtayo also faces significant competition. There are several competitors that are marketing and/or developing antibodies against PD-1 and/or PDL-1 (some of which were approved in the relevant indications and commercialized before Libtayo), including Merck's Keytruda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(pembrolizumab), Bristol-Myers Squibb's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(nivolumab), Roche's Tecentriq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(atezolizumab), and AstraZeneca's Imfinzi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(durvalumab).</w:t>
      </w:r>
    </w:p>
    <w:p>
      <w:pPr>
        <w:spacing w:after="0" w:line="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is also significant actual and potential future competition for other products marketed or otherwise commercialized by us 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11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7"/>
          <w:szCs w:val="17"/>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and chimeric antigen receptor T cell (CAR-T cell)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that may compete with our antibody-based product candidates in various indications, if such product candidates obtain regulatory approval in those indications. If any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as in effect from time to time) for sales, marketing, and distribution of EYLEA in countries outside the United States.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While we recently exercised our option under the Antibody Collaboration to co-commercialize Dupixent in certain jurisdictions outside the United States and expect to commence this co-commercialization later this year, we will continue to rely in part on Sanofi's sales and marketing organization in such jurisdictions and there can be no assurance that we will be able to commence or successfully conduct such co-commercialization in the expected time frame or at all.</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w:t>
      </w:r>
    </w:p>
    <w:p>
      <w:pPr>
        <w:spacing w:after="0" w:line="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Sanofi, see "Risks Related to Our Reliance on Third Parties - </w:t>
      </w:r>
      <w:r>
        <w:rPr>
          <w:rFonts w:ascii="Arial" w:cs="Arial" w:eastAsia="Arial" w:hAnsi="Arial"/>
          <w:sz w:val="18"/>
          <w:szCs w:val="18"/>
          <w:i w:val="1"/>
          <w:iCs w:val="1"/>
          <w:color w:val="auto"/>
        </w:rPr>
        <w:t>If our collaboration with Bayer for EYLEA is terminated, or Bayer materially breaches its</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8"/>
          <w:szCs w:val="18"/>
          <w:color w:val="auto"/>
        </w:rPr>
        <w:t>" below and "Risks Related to Our Reliance on Third Parties -</w:t>
      </w:r>
      <w:r>
        <w:rPr>
          <w:rFonts w:ascii="Arial" w:cs="Arial" w:eastAsia="Arial" w:hAnsi="Arial"/>
          <w:sz w:val="18"/>
          <w:szCs w:val="18"/>
          <w:i w:val="1"/>
          <w:iCs w:val="1"/>
          <w:color w:val="auto"/>
        </w:rPr>
        <w:t xml:space="preserve"> 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r>
        <w:rPr>
          <w:rFonts w:ascii="Arial" w:cs="Arial" w:eastAsia="Arial" w:hAnsi="Arial"/>
          <w:sz w:val="18"/>
          <w:szCs w:val="18"/>
          <w:color w:val="auto"/>
        </w:rPr>
        <w:t>" below.</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9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8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6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sell our marketed products for which we record net product sales in the United States to several distributors and specialty pharmacies, as applicable, which generally sell the product directly to healthcare providers or other pharmacies (as applicable). For the six months ended June 30, 2021 and 2020, our gross product sales of such products to two customers accounted on a combined basis for 49% and 87% of our total gross product revenue, respectively, and gross product sales of REGEN-COV to the U.S. government accounted for an additional 43% of our gross product revenue in this period in 2021.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107"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limited commercial capabilities outside the United States and do not currently have an established organization for the sales, marketing, and distribution of marketed products outside the United States. We will need to establish commercial capabilities outside the United States if we decide to co-commercialize a product outside the United States. For example, we recently exercised our option under the Antibody Collaboration to co-commercialize Dupixent in certain jurisdictions outside the United States, and we have taken initial steps to establish commercial capabilities in such jurisdictions. In addition,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commercial capabilities outside the United States (including as it relates to Dupixent) within an acceptable time frame, without incurring substantial expenses, or at all. These and other difficulties relating to commercializing our products outside the United States may severely harm our business, prospects, operating results, and financial condition.</w:t>
      </w:r>
    </w:p>
    <w:p>
      <w:pPr>
        <w:spacing w:after="0" w:line="9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foreign countries.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The FDA's goal for a standard review is to review the application within a 10-month time frame from the time the application is filed by the FDA (filing date), which typically occurs approximately 60 days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 Procedures that are equivalent in scope, but which can vary widely in application, apply in foreign countries.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For example, as discussed in Part I, Item 2. "Management's Discussion and Analysis of Financial Condition and Results of Operations – Additional Information - Clinical Development Programs – REGEN-COV (casirivimab and imdevimab) – Treatment Study - Hospitalized Patients," we were recently notified by the sponsor of a trial evaluating REGEN-COV in hospitalized patients with severe COVID-19 of a GCP inspection of the trial that found certain deviations from GCP compliance. There can be no assurance that the data from this trial will be found acceptable by the FDA or other regulatory authorities or will be sufficient for purposes of our request to expand the EUA for REGEN-COV to include COVID-19 treatment for appropriate hospitalized patients.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0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6"/>
          <w:szCs w:val="16"/>
          <w:i w:val="1"/>
          <w:iCs w:val="1"/>
          <w:color w:val="auto"/>
        </w:rPr>
        <w:t>Our or our collaborators' failure to meet the stringent requirements</w:t>
      </w:r>
    </w:p>
    <w:p>
      <w:pPr>
        <w:spacing w:after="0" w:line="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obtained, and a reduction in sales.</w:t>
      </w:r>
      <w:r>
        <w:rPr>
          <w:rFonts w:ascii="Arial" w:cs="Arial" w:eastAsia="Arial" w:hAnsi="Arial"/>
          <w:sz w:val="18"/>
          <w:szCs w:val="18"/>
          <w:color w:val="auto"/>
        </w:rPr>
        <w:t>" Our business, prospects, operating results, and financial condition may be materially harmed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noncompliance with the requirements and regulations described in this paragraph.</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standard drug approval process, the FDA has the authority to grant an EUA to allow unapproved medical products to be used in an emergency to diagnose, treat, or prevent serious or life-threatening diseases or conditions when, based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the totality of scientific evidence, there is evidence of effectiveness of the medical product, and there are no adequate, approved, and available alternatives. For example, REGEN-COV has been authorized for use in certain individuals in the United States based on an EUA from the FDA. However, the FDA may revoke this EUA (or any other EUA we may be granted in the future) if it is determined that the underlying health emergency no longer exists or warrants such authorization; therefore, we cannot predict how long this EUA (or any other EUA we may be granted in the future) will remain in effect. Such revocation could adversely impact our business in a variety of ways, including by having to absorb related manufacturing and overhead costs as well as potential inventory write-offs if regulatory approval is not obtained timely or at all.</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such as a post-authorization safety study ("PASS") and/or post-authorization efficacy study ("PAES"), which involve various risks similar to those described above, and may ask for additional data in order to begin a clinical study including phase 3 clinical trials required to submit a MAA in the EU.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in the European Economic Area ("EEA"), if we do not manage to retain a Qualified Person for Pharmacovigilance ("QPPV"), to maintain a Pharmacovigilance System Master File ("PSMF"), or to comply with other pharmacovigilance obligations, we may be at risk of our clinical trials being closed prematurely, our marketing authorization being suspended, and we may be subject to other enforcement actions by the national competent authorities of the EEA or the EC.</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exact requirements concerning pharmacovigilance reporting may differ in the numerous countries in which we conduct clinical trials. Failure to comply with the related pharmacovigilance requirements may result in the premature closure of the clinical trials and other enforcement actions by the relevant regulatory authorities.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10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August 2020, we discontinued actively treating patients with fasinumab (which at such time only involved dosing in an optional second-year extension phase of one trial) following a recommendation from the responsible IDMC that the program be terminated based on available evidence to date.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3" w:lineRule="exact"/>
        <w:rPr>
          <w:sz w:val="20"/>
          <w:szCs w:val="20"/>
          <w:color w:val="auto"/>
        </w:rPr>
      </w:pPr>
    </w:p>
    <w:p>
      <w:pPr>
        <w:jc w:val="both"/>
        <w:spacing w:after="0" w:line="367" w:lineRule="auto"/>
        <w:rPr>
          <w:sz w:val="20"/>
          <w:szCs w:val="20"/>
          <w:color w:val="auto"/>
        </w:rPr>
      </w:pPr>
      <w:r>
        <w:rPr>
          <w:rFonts w:ascii="Arial" w:cs="Arial" w:eastAsia="Arial" w:hAnsi="Arial"/>
          <w:sz w:val="14"/>
          <w:szCs w:val="14"/>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hemorrhage, and vitreous floaters. In addition, commercialization of EYLEA or our other products may be impacted by actions of third parties on which we rely, such as manufacturers of syringes or other devices used in the administration of our products. These and other complications or issues or side effects could harm further development and/or commercialization of EYLEA.</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marketing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eosinophilia, insomnia, toothache, gastritis, joint pain (arthralgia), and facial rash or redness;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1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Many of our product candidates in development are recombinant proteins that could cause an immune response, resulting in the creation of harmful or neutralizing antibodies against the therapeutic protein.</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10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12 to our Condensed Consolidated Financial Statements. Failure to successfully develop or supply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(which concerns genetically engineered mice capable of producing chimeric antibodies that are part human and part mouse) is the subject of opposition proceedings in the European Patent Office (the "EPO") (currently pending before its Boards of Appeal). We have pending patent applications in the United States Patent and Trademark Office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under the America Invents Act of 2011 or</w:t>
      </w:r>
      <w:r>
        <w:rPr>
          <w:rFonts w:ascii="Arial" w:cs="Arial" w:eastAsia="Arial" w:hAnsi="Arial"/>
          <w:sz w:val="16"/>
          <w:szCs w:val="16"/>
          <w:i w:val="1"/>
          <w:iCs w:val="1"/>
          <w:color w:val="auto"/>
        </w:rPr>
        <w:t xml:space="preserve"> ex parte </w:t>
      </w:r>
      <w:r>
        <w:rPr>
          <w:rFonts w:ascii="Arial" w:cs="Arial" w:eastAsia="Arial" w:hAnsi="Arial"/>
          <w:sz w:val="16"/>
          <w:szCs w:val="16"/>
          <w:color w:val="auto"/>
        </w:rPr>
        <w:t>reexamination. For example, on February 11, 2020, anonymous parties filed two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requests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two of our patents - U.S. Patent Nos. 10,406,226 (the "'226 Patent") and 10,464,992 (the "'992 Patent"), and the USPTO has granted both requests to initiate reexamination proceedings. In addition, as described in Note 12 to our Condensed Consolidated Financial Statements, on May 5, 2021, Mylan Pharmaceuticals Inc. filed petitions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of U.S. Patent Nos. 9,254,338 (the "'338 Patent") and 9,669,069 (the "'069 Patent"). The '226 Patent concerns methods for manufacturing VEGF antagonist fusion proteins, including aflibercept, the '992 Patent concerns formulations and vials containing VEGF antagonist fusion proteins, including aflibercept; and the '338 Patent and the '069 Patent concern methods for treating angiogenic eye disorders by administering VEGF antagonist fusion proteins, including aflibercept.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For example, the World Trade Organization ("WTO") is currently considering a proposal formulated in connection with the COVID-19 pandemic for a waiver of certain intellectually property rights under the WTO Agreement on Trade-Related Aspects of Intellectual Property Rights; the ultimate timing and scope of this waiver is unknown and we cannot be certain that our intellectual property rights related to REGEN-COV or any other current or future product or product candidate or technology would not be eliminated, narrowed, or weakened by any such waiver.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patent infringement proceedings relating to Dupixent, as described in Note 12 to our Condensed Consolidated Financial Statements. In addition, we are currently party to patent infringement and other proceedings relating to EYLEA and REGEN-COV, as described in Note 12 to our Condensed Consolidated Financial Statements.</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Libtayo (cemiplimab), Praluent (alirocumab), and Kevzara (sarilumab), our late-stage antibody-based pipeline includes REGEN-COV, a novel investigational antibody cocktail treatment designed to prevent and treat infection from the SARS-CoV-2 virus; fasinumab, an antibody to NGF; garetosmab, an antibody to Activin A; pozelimab, an antibody to C5; odronextamab, a bispecific antibody targeting CD20 and CD3; itepekimab, an antibody to IL-33; REGN5458, a bispecific antibody targeting BCMA and CD3; REGN5713-5714-5715, a multi-antibody therapy to Bet v 1; and REGN1908-1909, a multi-antibody therapy to Fel d 1.</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or limitation of patent rights, and regulatory pathways for biosimilar competition, could reduce the duration of market exclusivity for our products.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0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as discussed further under "Risks Related to Commercialization of Our Marketed Products, Product Candidates, and New Indications for Our Marketed Products - </w:t>
      </w:r>
      <w:r>
        <w:rPr>
          <w:rFonts w:ascii="Arial" w:cs="Arial" w:eastAsia="Arial" w:hAnsi="Arial"/>
          <w:sz w:val="16"/>
          <w:szCs w:val="16"/>
          <w:i w:val="1"/>
          <w:iCs w:val="1"/>
          <w:color w:val="auto"/>
        </w:rPr>
        <w:t>The commercial success of our products and product candidates is subject to significant competition -</w:t>
      </w:r>
      <w:r>
        <w:rPr>
          <w:rFonts w:ascii="Arial" w:cs="Arial" w:eastAsia="Arial" w:hAnsi="Arial"/>
          <w:sz w:val="16"/>
          <w:szCs w:val="16"/>
          <w:color w:val="auto"/>
        </w:rPr>
        <w:t xml:space="preserve"> Marketed Products" above. In the United States, the regulatory exclusivity period for EYLEA (</w:t>
      </w:r>
      <w:r>
        <w:rPr>
          <w:rFonts w:ascii="Arial" w:cs="Arial" w:eastAsia="Arial" w:hAnsi="Arial"/>
          <w:sz w:val="16"/>
          <w:szCs w:val="16"/>
          <w:i w:val="1"/>
          <w:iCs w:val="1"/>
          <w:color w:val="auto"/>
        </w:rPr>
        <w:t>i.e.</w:t>
      </w:r>
      <w:r>
        <w:rPr>
          <w:rFonts w:ascii="Arial" w:cs="Arial" w:eastAsia="Arial" w:hAnsi="Arial"/>
          <w:sz w:val="16"/>
          <w:szCs w:val="16"/>
          <w:color w:val="auto"/>
        </w:rPr>
        <w:t>, the period during which no biosimilar product can be approved by the FDA) expires on November 18, 2023, with the possibility of an additional six months of regulatory exclusivity (</w:t>
      </w:r>
      <w:r>
        <w:rPr>
          <w:rFonts w:ascii="Arial" w:cs="Arial" w:eastAsia="Arial" w:hAnsi="Arial"/>
          <w:sz w:val="16"/>
          <w:szCs w:val="16"/>
          <w:i w:val="1"/>
          <w:iCs w:val="1"/>
          <w:color w:val="auto"/>
        </w:rPr>
        <w:t>i.e.</w:t>
      </w:r>
      <w:r>
        <w:rPr>
          <w:rFonts w:ascii="Arial" w:cs="Arial" w:eastAsia="Arial" w:hAnsi="Arial"/>
          <w:sz w:val="16"/>
          <w:szCs w:val="16"/>
          <w:color w:val="auto"/>
        </w:rPr>
        <w:t>, until May 18, 2024) if the FDA grants pediatric exclusivity based on our completion of certain studies evaluating EYLEA in pediatric patients with ROP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For example, our internal manufacturing capacity may not be sufficient to cover the demand for REGEN-COV. In addition to expanding our internal capacity, we intend to continue to rely on our collaborators, and may also rely on contract manufacturers, to produce commercial quantities of drug material needed for commercialization of our products. For example, as described in Part I, Item 2. "Management's Discussion and Analysis of Financial Condition and Results of Operations," in August 2020, we announced a collaboration agreement with Roche to develop, manufacture, and distribute REGEN-COV (known as Ronapreve in other countries outside the United States). We cannot be certain that our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current manufacturing and distribution capacity for REGEN-COV or any increased manufacturing and distribution capacity through our collaboration with Roche will be sufficient.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5" w:lineRule="exact"/>
        <w:rPr>
          <w:sz w:val="20"/>
          <w:szCs w:val="20"/>
          <w:color w:val="auto"/>
        </w:rPr>
      </w:pPr>
    </w:p>
    <w:p>
      <w:pPr>
        <w:jc w:val="both"/>
        <w:spacing w:after="0" w:line="367" w:lineRule="auto"/>
        <w:rPr>
          <w:sz w:val="20"/>
          <w:szCs w:val="20"/>
          <w:color w:val="auto"/>
        </w:rPr>
      </w:pPr>
      <w:r>
        <w:rPr>
          <w:rFonts w:ascii="Arial" w:cs="Arial" w:eastAsia="Arial" w:hAnsi="Arial"/>
          <w:sz w:val="14"/>
          <w:szCs w:val="14"/>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are in the process of constructing fill/finish facilities (refer to Part I, Item 2. "Management's Discussion and Analysis of Financial Condition and Results of Operations – Liquidity and Capital Resources" for information about expected capital expenditures relating to this and other projects).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11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12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415" w:lineRule="auto"/>
        <w:rPr>
          <w:sz w:val="20"/>
          <w:szCs w:val="20"/>
          <w:color w:val="auto"/>
        </w:rPr>
      </w:pPr>
      <w:r>
        <w:rPr>
          <w:rFonts w:ascii="Arial" w:cs="Arial" w:eastAsia="Arial" w:hAnsi="Arial"/>
          <w:sz w:val="14"/>
          <w:szCs w:val="14"/>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w:t>
      </w:r>
    </w:p>
    <w:p>
      <w:pPr>
        <w:spacing w:after="0" w:line="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any marketed products, which could be seriously detrimental to our business, prospects, operating results, and financial condition. Significant noncompliance could also result in the imposition of monetary penalties or other civil or criminal sanctions and damage our reputation.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and Litigation Risks</w:t>
      </w:r>
    </w:p>
    <w:p>
      <w:pPr>
        <w:spacing w:after="0" w:line="157"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Our business activities have been, and may in the future be, challenged under federal or state healthcare laws, which may subject us to civil or criminal proceedings, investigations, or penalties.</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publicity and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a civil complaint filed in June 2020 by the U.S. Attorney's Office for the District of Massachusetts concerning our support of 501(c)(3) organizations that provide financial assistance to patients; and we are cooperating with pending government investigations concerning certain other business activities. Any adverse decision, finding, allegation, or exercise of enforcement or regulatory discretion 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any such proceedings or investigations could harm our business, prospects, operating results,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other healthcare providers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Beginning in 2022, applicable manufacturers also will be required to report information (starting with information collected during 2021) regarding payments and transfers of value provided to physician assistants, nurse practitioners, clinical nurse specialists, certified nurse anesthetists, and certified nurse-midwives.</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continue to dedicate significant resources to comply with these requirements and need to be prepared to comply with additional reporting obligations outside of the United States that may apply in the future.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participate in the Medicaid Drug Rebate program, the Public Health Service's 340B drug pricing program (the "340B program"), the U.S. Department of Veterans Affairs ("VA") Federal Supply Schedule ("FSS") pricing program, and the Tricare Retail Pharmacy Program.</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Such interpretation can change and evolve over time.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The CMS could also decide to terminate our Medicaid drug rebate agreement, in which case federal payments may not be available under Medicaid or Medicare Part B for our covered outpatient drugs.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PPACA. The issuance of the final regulation, as well as any other regulations and coverage expansion by various governmental agencies relating to the Medicaid Drug Rebate program,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0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under a final regulation effective January 13, 2021, HRSA newly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120" w:lineRule="exact"/>
        <w:rPr>
          <w:sz w:val="20"/>
          <w:szCs w:val="20"/>
          <w:color w:val="auto"/>
        </w:rPr>
      </w:pPr>
    </w:p>
    <w:p>
      <w:pPr>
        <w:jc w:val="both"/>
        <w:spacing w:after="0" w:line="215" w:lineRule="exact"/>
        <w:rPr>
          <w:sz w:val="20"/>
          <w:szCs w:val="20"/>
          <w:color w:val="auto"/>
        </w:rPr>
      </w:pPr>
      <w:r>
        <w:rPr>
          <w:rFonts w:ascii="Arial" w:cs="Arial" w:eastAsia="Arial" w:hAnsi="Arial"/>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Arial" w:cs="Arial" w:eastAsia="Arial" w:hAnsi="Arial"/>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For example, there are significant corporate governance and executive compensation-related provisions in the Dodd-Frank Wall Street Reform and Protection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ind w:left="640" w:hanging="313"/>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jc w:val="both"/>
        <w:ind w:left="640" w:hanging="313"/>
        <w:spacing w:after="0" w:line="24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40" w:right="20" w:hanging="313"/>
        <w:spacing w:after="0" w:line="24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40" w:hanging="313"/>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FDA and foreign cGMP requirements that may make it more difficult and costly for us to maintain regulatory compliance and/or manufacture our marketed product and product candidates in accordance with cGMPs.</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U.S. government could carry out other significant changes in legislation, regulation, and government policy, including with respect to government reimbursement changes and drug price control measures (such as those discussed above under "Risks Related to Commercialization of Our Marketed Products, Product Candidates, and New Indications for Our Marketed Products - </w:t>
      </w:r>
      <w:r>
        <w:rPr>
          <w:rFonts w:ascii="Arial" w:cs="Arial" w:eastAsia="Arial" w:hAnsi="Arial"/>
          <w:sz w:val="16"/>
          <w:szCs w:val="16"/>
          <w:i w:val="1"/>
          <w:iCs w:val="1"/>
          <w:color w:val="auto"/>
        </w:rPr>
        <w:t>Sales of our marketed products are dependent on the availability and extent</w:t>
      </w:r>
      <w:r>
        <w:rPr>
          <w:rFonts w:ascii="Arial" w:cs="Arial" w:eastAsia="Arial" w:hAnsi="Arial"/>
          <w:sz w:val="16"/>
          <w:szCs w:val="16"/>
          <w:color w:val="auto"/>
        </w:rPr>
        <w:t xml:space="preserve"> </w:t>
      </w:r>
      <w:r>
        <w:rPr>
          <w:rFonts w:ascii="Arial" w:cs="Arial" w:eastAsia="Arial" w:hAnsi="Arial"/>
          <w:sz w:val="16"/>
          <w:szCs w:val="16"/>
          <w:i w:val="1"/>
          <w:iCs w:val="1"/>
          <w:color w:val="auto"/>
        </w:rPr>
        <w:t>of reimbursement from third-party payors, and changes to such reimbursement may materially harm our business, prospects, operating results, and financial condition</w:t>
      </w:r>
      <w:r>
        <w:rPr>
          <w:rFonts w:ascii="Arial" w:cs="Arial" w:eastAsia="Arial" w:hAnsi="Arial"/>
          <w:sz w:val="16"/>
          <w:szCs w:val="16"/>
          <w:color w:val="auto"/>
        </w:rPr>
        <w:t>"). While it is not possible to predict whether and when any such changes will occur, changes in the laws, regulations, and policies governing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15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95" w:lineRule="exact"/>
        <w:rPr>
          <w:sz w:val="20"/>
          <w:szCs w:val="20"/>
          <w:color w:val="auto"/>
        </w:rPr>
      </w:pPr>
    </w:p>
    <w:p>
      <w:pPr>
        <w:ind w:left="640" w:hanging="313"/>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 including those with which we and/or our collaborators must comply in order to maintain our marketing authorizations outside of the United States;</w:t>
      </w:r>
    </w:p>
    <w:p>
      <w:pPr>
        <w:jc w:val="both"/>
        <w:ind w:left="640" w:hanging="313"/>
        <w:spacing w:after="0" w:line="247"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6"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40" w:hanging="31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example, effective January 31, 2020, the United Kingdom commenced an exit from the EU, commonly referred to as "Brexit." The transition period for Brexit expired on December 31, 2020 following the entry into a trade agreement that now governs the United Kingdom's relationship with the EU. We do not know to what extent Brexit will ultimately impact the business and regulatory environment in the United Kingdom, the rest of the EU, or other countries. For example, the impact of Brexit on the ongoing validity in the United Kingdom of current EU authorizations for medicinal products and on the future process for obtaining and maintaining marketing authorization for pharmaceutical products manufactured or sold in the United Kingdom remains uncertain.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for uncertain tax positions that involve significant management judgment as to the application of law. The Internal Revenue Service or other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(see also Note 9 to our Condensed Consolidated Financial Statements included in this report).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There are various U.S. tax law changes under consideration, including increases to the corporate income tax rates on both domestic and foreign income, that could have significant impact on our tax liability. Increases to the income tax rate or other changes to the tax law could materially impact our tax provision, cash tax liability, and effective tax rate. In addition, recommendations by the Organization for Economic Co-operation and Development and the EU could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12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face potential liability related to the personal information we collect from individuals, data brokers, or research institutions or obtain from clinical trials sponsored by us or our collaborators.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Most U.S. health care providers, including research institutions from which we or our collaborators obtain clinical trial data, are subject to privacy and security regulations promulgated under the Health Insurance Portability and Accountability Act of 1996 ("HIPAA").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we could potentially be subject to criminal penalties if we, our affiliates, or our agents knowingly obtain, use, or disclose individually identifiable health information maintained by a HIPAA-covered entity in a manner that is not authorized or permitted by HIPAA.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There are instances where we collect and maintain sensitive personally identifiable information, which may include health information outside of the scope of HIPAA.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 In the case of a breach of personal information we may be subject to state breach notification laws requiring notification of affected individuals and state regulators.</w:t>
      </w:r>
    </w:p>
    <w:p>
      <w:pPr>
        <w:spacing w:after="0" w:line="1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patient assistance programs and product marketing activities as part of which we collect California resident personal data are subject to the California Consumer Privacy Act of 2018 (the "CCPA"). The CCPA, which became effective on January 1, 2020, is a consumer protection law that establishes certain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requirements for data use and sharing transparency and provides California residents with personal data privacy rights regarding the use, disclosure, and retention of their personal data. The CCPA requires us, among other things, to update our notices and develop new processes internally and with our partners. Amendments to the CCPA and legislative proposals at the federal and state level could impose new obligations or limitations in areas affecting our business. These laws and regulations are constantly evolving and may impose limitations on our business activities. Several other U.S. states have introduced similar consumer protection laws that may go into effect in the near future.</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clinical trial programs and research collaborations outside the U.S. (such as our consortium with a group of companies to fund the generation of genetic exome sequence data from the UK Biobank health resource) implicate international data protection laws, including the EU's General Data Protection Regulation (the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penalties for insufficient notice and consent, failure to respond to data subject rights requests, lack of a legal basis for the transfer of personal information out of the EU,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Furthermore, health privacy laws, data breach notification laws, consumer protection laws, data localization laws, and genetic testing laws may apply directly to our operations and/or those of our collaborators and may impose restrictions on our collection, use, and dissemination of individuals' health and other personal information. Moreover, individuals about whom we or our collaborators obtain health or other personal information, as well as the providers and third parties who share this information with us, may have statutory or contractual limits that impact our ability to use and disclose the information. We are likely to be required to expend significant capital and other resources to ensure ongoing compliance with applicable privacy and data security laws both inside and outside the United States.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itepekimab),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our IO Collaboration, Sanofi also funds half of the development expenses incurred in connection with the clinical development of Libtayo, subject to an agreed-upon development budget. We also rely on Sanofi to lead commercialization efforts outside the United States for Libtayo and to assist us to comply with the necessary requirements related to Libtayo's regulatory approvals in the EU.</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it is co-developing with us,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 products we</w:t>
      </w:r>
      <w:r>
        <w:rPr>
          <w:rFonts w:ascii="Arial" w:cs="Arial" w:eastAsia="Arial" w:hAnsi="Arial"/>
          <w:sz w:val="16"/>
          <w:szCs w:val="16"/>
          <w:color w:val="auto"/>
        </w:rPr>
        <w:t xml:space="preserve"> </w:t>
      </w:r>
      <w:r>
        <w:rPr>
          <w:rFonts w:ascii="Arial" w:cs="Arial" w:eastAsia="Arial" w:hAnsi="Arial"/>
          <w:sz w:val="16"/>
          <w:szCs w:val="16"/>
          <w:i w:val="1"/>
          <w:iCs w:val="1"/>
          <w:color w:val="auto"/>
        </w:rPr>
        <w:t>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commercialization of the products subject to such collaborations, particularly outside the United States.</w:t>
      </w:r>
    </w:p>
    <w:p>
      <w:pPr>
        <w:spacing w:after="0" w:line="8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6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 for 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Bayer collaboration agreement would create substantial new and additional risks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successful commercialization of EYLEA outside the United States.</w:t>
      </w:r>
    </w:p>
    <w:p>
      <w:pPr>
        <w:spacing w:after="0" w:line="10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our implementation of work-from-home policies for a significant part of our employees.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or our suppliers and/or service providers fail to maintain or protect our information technology systems and data security effectively, or fail to anticipate, plan for, or manage significant disruptions to these systems, we or our suppliers and/or service providers could have difficulty preventing, detecting, or controlling such disruptions or security breaches, which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net product sales of EYLEA and funding we receive under our collaboration agreements (including our share of profits in connection with commercialization of EYLEA and Dupixent under our collaboration agreements with Bayer and Sanofi, respectively),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and other similar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there is no guarantee that we will have the ability to pay the principal amount due on the Notes at maturity or redeem, repurchase, or refinance the Notes prior to maturity on acceptable terms or at all. In addition, in March 2017, we completed a $720.0 million lease financing for our existing corporate headquarters and other rentable area consisting of approximately 150 acres of predominately office buildings and laboratory space located in Tarrytown, New York, which will become due and payable in full in March 2022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impact our business.</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certain indebtedness and contingent liabilities, including milestone and royalty payment obligations. As of June 30, 2021, we had an aggregate of $2.698 billion of outstanding indebtedness under the Notes and the lease financing facility. We may also incur additional debt in the future. Any such indebtedness could:</w:t>
      </w:r>
    </w:p>
    <w:p>
      <w:pPr>
        <w:spacing w:after="0" w:line="118" w:lineRule="exact"/>
        <w:rPr>
          <w:sz w:val="20"/>
          <w:szCs w:val="20"/>
          <w:color w:val="auto"/>
        </w:rPr>
      </w:pPr>
    </w:p>
    <w:p>
      <w:pPr>
        <w:ind w:left="640" w:hanging="313"/>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9" w:lineRule="exact"/>
        <w:rPr>
          <w:rFonts w:ascii="Arial" w:cs="Arial" w:eastAsia="Arial" w:hAnsi="Arial"/>
          <w:sz w:val="18"/>
          <w:szCs w:val="18"/>
          <w:color w:val="auto"/>
        </w:rPr>
      </w:pPr>
    </w:p>
    <w:p>
      <w:pPr>
        <w:ind w:left="640" w:hanging="313"/>
        <w:spacing w:after="0" w:line="261" w:lineRule="auto"/>
        <w:tabs>
          <w:tab w:leader="none" w:pos="6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40" w:hanging="313"/>
        <w:spacing w:after="0" w:line="238"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revenue from outside of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June 30, 2021, we had $2.072 billion in cash and cash equivalents and $5.739 billion in marketable securities (including $1.401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elimination of LIBOR could adversely affect our business, operating results, and financial condition.</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subject to risks related to uncertainty regarding the London Interbank Offered Rate ("LIBOR"). LIBOR is the subject of recent national, international, and other regulatory guidance and proposals for reform, which may cause LIBOR to cease to exist after 2021 or to perform differently than in the past. On March 5, 2021, the Financial Conduct Authority in the U.K. announced that all LIBOR settings will either cease to be provided or no longer be representative</w:t>
      </w:r>
    </w:p>
    <w:p>
      <w:pPr>
        <w:jc w:val="both"/>
        <w:ind w:firstLine="7"/>
        <w:spacing w:after="0" w:line="263" w:lineRule="auto"/>
        <w:tabs>
          <w:tab w:leader="none" w:pos="2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immediately after December 31, 2021, in the case of the one-week and two-month U.S. dollar LIBOR terms and all sterling, euro, Swiss franc, and Japanese yen settings, and (ii) immediately after June 30, 2023, in the case of the one-, three-, six-, and 12-month U.S. dollar LIBOR terms. While we expect that alternatives to LIBOR will be implemented prior to the 2021 and 2023 target dates or that the 2021 and 2023 cessation dates may be extended, we cannot predict the consequences and timing of these developments. The U.S. Federal Reserve, in conjunction with the Alternative Reference Rates Committee, a steering committee comprised of large U.S. financial institutions, has identified the Secured Overnight Financing Rate ("SOFR"), a new index calculated by short-term repurchase agreements, backed by Treasury securities, as its preferred alternative rate for LIBOR. At this time, it is not possible to predict how markets will respond to SOFR or other alternative reference rates as the transition away from LIBOR is anticipated in coming years. There is currently limited information regarding the future utilization of LIBOR or of any particular replacement rate. A transition away from LIBOR as a benchmark for establishing the applicable interest rate may adversely affect our outstanding variable-rate indebtedness (if any), as well as floating-rate debt securities in our investment portfolio. For example, if a published U.S. dollar LIBOR is unavailable after 2021 or 2023, interest for borrowings (if any) with an interest rate based on the LIBOR rate under our revolving credit facility, which are indexed to LIBOR, will be determined using various alternative methods, any of which may result in interest obligations which are more than, or do not otherwise correlate over time with, the payments that would have been made on such debt if U.S. dollar LIBOR was available in its current form.</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08" w:lineRule="exact"/>
        <w:rPr>
          <w:sz w:val="20"/>
          <w:szCs w:val="20"/>
          <w:color w:val="auto"/>
        </w:rPr>
      </w:pPr>
    </w:p>
    <w:p>
      <w:pPr>
        <w:ind w:left="640" w:hanging="313"/>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ind w:left="640" w:hanging="313"/>
        <w:spacing w:after="0" w:line="247"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the COVID-19 pandemic on our business, including future sales of REGEN-COV;</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29" w:lineRule="exact"/>
        <w:rPr>
          <w:rFonts w:ascii="Arial" w:cs="Arial" w:eastAsia="Arial" w:hAnsi="Arial"/>
          <w:sz w:val="16"/>
          <w:szCs w:val="16"/>
          <w:color w:val="auto"/>
        </w:rPr>
      </w:pPr>
    </w:p>
    <w:p>
      <w:pPr>
        <w:ind w:left="640" w:hanging="313"/>
        <w:spacing w:after="0" w:line="278" w:lineRule="auto"/>
        <w:tabs>
          <w:tab w:leader="none" w:pos="6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or other employees, directors, or significant shareholders (or the expectation of any such sales);</w:t>
      </w: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6" w:lineRule="exact"/>
        <w:rPr>
          <w:rFonts w:ascii="Arial" w:cs="Arial" w:eastAsia="Arial" w:hAnsi="Arial"/>
          <w:sz w:val="18"/>
          <w:szCs w:val="18"/>
          <w:color w:val="auto"/>
        </w:rPr>
      </w:pPr>
    </w:p>
    <w:p>
      <w:pPr>
        <w:ind w:left="640" w:hanging="313"/>
        <w:spacing w:after="0" w:line="247"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 our</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As a result, the public float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resources, and could also require us to make substantial payments to satisfy judgments or to settle litigation, which may harm our business, prospects, operating results, and financial condition.</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June 30, 2021, our five largest shareholders plus Dr. Schleifer, our Chief Executive Officer, beneficially owned approximately 40.0% of our outstanding shares of Common Stock, assuming, in the case of our Chief Executive Officer, the conversion of his Class A Stock into Common Stock and the exercise of all options held by him which are exercisable within 60 days of June 30, 2021.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we will repurchase shares of our Common Stock or that we will repurchase shares at favorable prices.</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January 2021, our board of directors authorized a share repurchase program to repurchase up to $1.5 billion of our Common Stock (of which $887.9 million remained available as of June 30, 2021).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continue to repurchase shares of our Common Stock at favorable prices, if at all.</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existing shareholders may be able to exert substantial influence over matters requiring shareholder approval and over our management.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June 30, 2021, holders of Class A Stock held 15.0%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2021:</w:t>
      </w:r>
    </w:p>
    <w:p>
      <w:pPr>
        <w:spacing w:after="0" w:line="100" w:lineRule="exact"/>
        <w:rPr>
          <w:sz w:val="20"/>
          <w:szCs w:val="20"/>
          <w:color w:val="auto"/>
        </w:rPr>
      </w:pPr>
    </w:p>
    <w:p>
      <w:pPr>
        <w:jc w:val="both"/>
        <w:ind w:left="640" w:hanging="313"/>
        <w:spacing w:after="0" w:line="251"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8.5% of our outstanding shares of Common Stock, assuming conversion of their Class A Stock into Common Stock and the exercise of all options held by such persons which are exercisable within 60 days of June 30, 2021, and 19.8% of the combined voting power of our outstanding shares of Common Stock and Class A Stock, assuming the exercise of all options held by such persons which are exercisable within 60 days of June 30, 2021; and</w:t>
      </w:r>
    </w:p>
    <w:p>
      <w:pPr>
        <w:spacing w:after="0" w:line="1" w:lineRule="exact"/>
        <w:rPr>
          <w:rFonts w:ascii="Arial" w:cs="Arial" w:eastAsia="Arial" w:hAnsi="Arial"/>
          <w:sz w:val="18"/>
          <w:szCs w:val="18"/>
          <w:color w:val="auto"/>
        </w:rPr>
      </w:pPr>
    </w:p>
    <w:p>
      <w:pPr>
        <w:jc w:val="both"/>
        <w:ind w:left="640" w:hanging="313"/>
        <w:spacing w:after="0" w:line="267"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40.0% of our outstanding shares of Common Stock, assuming, in the case of our Chief Executive Officer, the conversion of his Class A Stock into Common Stock and the exercise of all options held by him which are exercisable within 60 days of June 30, 2021. In addition, these five shareholders plus our Chief Executive Officer held approximately 47.0% of the combined voting power of our outstanding shares of Common Stock and Class A Stock, assuming the exercise of all options held by our Chief Executive Officer which are exercisable within 60 days of June 30, 2021.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3" w:lineRule="exact"/>
        <w:rPr>
          <w:sz w:val="20"/>
          <w:szCs w:val="20"/>
          <w:color w:val="auto"/>
        </w:rPr>
      </w:pPr>
    </w:p>
    <w:p>
      <w:pPr>
        <w:ind w:left="640" w:hanging="313"/>
        <w:spacing w:after="0" w:line="25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40" w:hanging="313"/>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6" w:lineRule="exact"/>
        <w:rPr>
          <w:rFonts w:ascii="Arial" w:cs="Arial" w:eastAsia="Arial" w:hAnsi="Arial"/>
          <w:sz w:val="18"/>
          <w:szCs w:val="18"/>
          <w:color w:val="auto"/>
        </w:rPr>
      </w:pPr>
    </w:p>
    <w:p>
      <w:pPr>
        <w:jc w:val="both"/>
        <w:ind w:left="640" w:hanging="313"/>
        <w:spacing w:after="0" w:line="247"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40" w:hanging="313"/>
        <w:spacing w:after="0" w:line="278" w:lineRule="auto"/>
        <w:tabs>
          <w:tab w:leader="none" w:pos="6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40" w:hanging="313"/>
        <w:spacing w:after="0" w:line="247"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40" w:hanging="313"/>
        <w:spacing w:after="0" w:line="25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 Sanofi, Bayer, and Teva are currently bound by certain "standstill" provisions under the January 2014 amended and restated investor agreement between us and Sanofi, as amended; our 2016 ANG2 license and collaboration agreement and our 2014 PDGFR-beta license and collaboration agreement with Bayer; and our 2016 collaboration agreement with Teva, respectively. These provisions contractually prohibit Sanofi, Bayer, and Teva from seeking to directly or indirectly exert control of our Company or acquiring more than a specified percentage of our Class A Stock and Common Stock, taken together (30% in the case of Sanofi, 20% in the case of Bayer, and 5% in the case of Teva).</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4220"/>
        <w:spacing w:after="0" w:line="412"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Issuer Purchases of Equity Securities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reflects shares of Common Stock we repurchased under our share repurchase program, as well as Common Stock withheld by us for employees to satisfy their tax withholding obligations arising upon the vesting of restricted stock granted under one of our long-term incentive plans, during the three months ended June 30, 2021. Refer to Part I, Item 2. "Management's Discussion and Analysis of Financial Condition and Results of Operations – Liquidity and Capital Resources" for further details of the share repurchase program.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32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 Dollar Value</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Total Number of Shares</w:t>
            </w:r>
          </w:p>
        </w:tc>
        <w:tc>
          <w:tcPr>
            <w:tcW w:w="320" w:type="dxa"/>
            <w:vAlign w:val="bottom"/>
          </w:tcPr>
          <w:p>
            <w:pPr>
              <w:spacing w:after="0"/>
              <w:rPr>
                <w:sz w:val="15"/>
                <w:szCs w:val="15"/>
                <w:color w:val="auto"/>
              </w:rPr>
            </w:pPr>
          </w:p>
        </w:tc>
        <w:tc>
          <w:tcPr>
            <w:tcW w:w="230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9"/>
              </w:rPr>
              <w:t>Average Price Paid per</w:t>
            </w:r>
          </w:p>
        </w:tc>
        <w:tc>
          <w:tcPr>
            <w:tcW w:w="19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87"/>
              </w:rPr>
              <w:t>Purchased as Part of a</w:t>
            </w:r>
          </w:p>
        </w:tc>
        <w:tc>
          <w:tcPr>
            <w:tcW w:w="320" w:type="dxa"/>
            <w:vAlign w:val="bottom"/>
          </w:tcPr>
          <w:p>
            <w:pPr>
              <w:spacing w:after="0"/>
              <w:rPr>
                <w:sz w:val="15"/>
                <w:szCs w:val="15"/>
                <w:color w:val="auto"/>
              </w:rPr>
            </w:pPr>
          </w:p>
        </w:tc>
        <w:tc>
          <w:tcPr>
            <w:tcW w:w="2180" w:type="dxa"/>
            <w:vAlign w:val="bottom"/>
            <w:gridSpan w:val="2"/>
          </w:tcPr>
          <w:p>
            <w:pPr>
              <w:jc w:val="center"/>
              <w:spacing w:after="0" w:line="174" w:lineRule="exact"/>
              <w:rPr>
                <w:sz w:val="20"/>
                <w:szCs w:val="20"/>
                <w:color w:val="auto"/>
              </w:rPr>
            </w:pPr>
            <w:r>
              <w:rPr>
                <w:rFonts w:ascii="Arial" w:cs="Arial" w:eastAsia="Arial" w:hAnsi="Arial"/>
                <w:sz w:val="18"/>
                <w:szCs w:val="18"/>
                <w:b w:val="1"/>
                <w:bCs w:val="1"/>
                <w:color w:val="auto"/>
                <w:w w:val="89"/>
              </w:rPr>
              <w:t>of Shares that May Yet Be</w:t>
            </w:r>
          </w:p>
        </w:tc>
        <w:tc>
          <w:tcPr>
            <w:tcW w:w="0" w:type="dxa"/>
            <w:vAlign w:val="bottom"/>
          </w:tcPr>
          <w:p>
            <w:pPr>
              <w:spacing w:after="0"/>
              <w:rPr>
                <w:sz w:val="1"/>
                <w:szCs w:val="1"/>
                <w:color w:val="auto"/>
              </w:rPr>
            </w:pPr>
          </w:p>
        </w:tc>
      </w:tr>
      <w:tr>
        <w:trPr>
          <w:trHeight w:val="173"/>
        </w:trPr>
        <w:tc>
          <w:tcPr>
            <w:tcW w:w="2200" w:type="dxa"/>
            <w:vAlign w:val="bottom"/>
            <w:gridSpan w:val="2"/>
            <w:vMerge w:val="restart"/>
          </w:tcPr>
          <w:p>
            <w:pPr>
              <w:ind w:left="680"/>
              <w:spacing w:after="0"/>
              <w:rPr>
                <w:sz w:val="20"/>
                <w:szCs w:val="20"/>
                <w:color w:val="auto"/>
              </w:rPr>
            </w:pPr>
            <w:r>
              <w:rPr>
                <w:rFonts w:ascii="Arial" w:cs="Arial" w:eastAsia="Arial" w:hAnsi="Arial"/>
                <w:sz w:val="18"/>
                <w:szCs w:val="18"/>
                <w:b w:val="1"/>
                <w:bCs w:val="1"/>
                <w:color w:val="auto"/>
              </w:rPr>
              <w:t>Period</w:t>
            </w: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88"/>
              </w:rPr>
              <w:t>Publicly Announced</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91"/>
              <w:spacing w:after="0" w:line="174" w:lineRule="exact"/>
              <w:rPr>
                <w:sz w:val="20"/>
                <w:szCs w:val="20"/>
                <w:color w:val="auto"/>
              </w:rPr>
            </w:pPr>
            <w:r>
              <w:rPr>
                <w:rFonts w:ascii="Arial" w:cs="Arial" w:eastAsia="Arial" w:hAnsi="Arial"/>
                <w:sz w:val="18"/>
                <w:szCs w:val="18"/>
                <w:b w:val="1"/>
                <w:bCs w:val="1"/>
                <w:color w:val="auto"/>
                <w:w w:val="88"/>
              </w:rPr>
              <w:t>Purchased Under the</w:t>
            </w:r>
          </w:p>
        </w:tc>
        <w:tc>
          <w:tcPr>
            <w:tcW w:w="0" w:type="dxa"/>
            <w:vAlign w:val="bottom"/>
          </w:tcPr>
          <w:p>
            <w:pPr>
              <w:spacing w:after="0"/>
              <w:rPr>
                <w:sz w:val="1"/>
                <w:szCs w:val="1"/>
                <w:color w:val="auto"/>
              </w:rPr>
            </w:pPr>
          </w:p>
        </w:tc>
      </w:tr>
      <w:tr>
        <w:trPr>
          <w:trHeight w:val="227"/>
        </w:trPr>
        <w:tc>
          <w:tcPr>
            <w:tcW w:w="2200" w:type="dxa"/>
            <w:vAlign w:val="bottom"/>
            <w:gridSpan w:val="2"/>
            <w:vMerge w:val="continue"/>
          </w:tcPr>
          <w:p>
            <w:pPr>
              <w:spacing w:after="0"/>
              <w:rPr>
                <w:sz w:val="19"/>
                <w:szCs w:val="19"/>
                <w:color w:val="auto"/>
              </w:rPr>
            </w:pPr>
          </w:p>
        </w:tc>
        <w:tc>
          <w:tcPr>
            <w:tcW w:w="1960" w:type="dxa"/>
            <w:vAlign w:val="bottom"/>
          </w:tcPr>
          <w:p>
            <w:pPr>
              <w:jc w:val="right"/>
              <w:ind w:right="491"/>
              <w:spacing w:after="0"/>
              <w:rPr>
                <w:sz w:val="20"/>
                <w:szCs w:val="20"/>
                <w:color w:val="auto"/>
              </w:rPr>
            </w:pPr>
            <w:r>
              <w:rPr>
                <w:rFonts w:ascii="Arial" w:cs="Arial" w:eastAsia="Arial" w:hAnsi="Arial"/>
                <w:sz w:val="18"/>
                <w:szCs w:val="18"/>
                <w:b w:val="1"/>
                <w:bCs w:val="1"/>
                <w:color w:val="auto"/>
              </w:rPr>
              <w:t>Purchased</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Share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right="91"/>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20"/>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4/1/2021–4/30/2021</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300,949</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486.30</w:t>
            </w:r>
          </w:p>
        </w:tc>
        <w:tc>
          <w:tcPr>
            <w:tcW w:w="3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300,610</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1,030,323,755</w:t>
            </w:r>
          </w:p>
        </w:tc>
        <w:tc>
          <w:tcPr>
            <w:tcW w:w="0" w:type="dxa"/>
            <w:vAlign w:val="bottom"/>
          </w:tcPr>
          <w:p>
            <w:pPr>
              <w:spacing w:after="0"/>
              <w:rPr>
                <w:sz w:val="1"/>
                <w:szCs w:val="1"/>
                <w:color w:val="auto"/>
              </w:rPr>
            </w:pPr>
          </w:p>
        </w:tc>
      </w:tr>
      <w:tr>
        <w:trPr>
          <w:trHeight w:val="227"/>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5/1/2021–5/31/2021</w:t>
            </w:r>
          </w:p>
        </w:tc>
        <w:tc>
          <w:tcPr>
            <w:tcW w:w="1960" w:type="dxa"/>
            <w:vAlign w:val="bottom"/>
          </w:tcPr>
          <w:p>
            <w:pPr>
              <w:jc w:val="right"/>
              <w:spacing w:after="0"/>
              <w:rPr>
                <w:sz w:val="20"/>
                <w:szCs w:val="20"/>
                <w:color w:val="auto"/>
              </w:rPr>
            </w:pPr>
            <w:r>
              <w:rPr>
                <w:rFonts w:ascii="Arial" w:cs="Arial" w:eastAsia="Arial" w:hAnsi="Arial"/>
                <w:sz w:val="18"/>
                <w:szCs w:val="18"/>
                <w:color w:val="auto"/>
              </w:rPr>
              <w:t>185,402</w:t>
            </w:r>
          </w:p>
        </w:tc>
        <w:tc>
          <w:tcPr>
            <w:tcW w:w="76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502.22</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185,376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937,224,637</w:t>
            </w:r>
          </w:p>
        </w:tc>
        <w:tc>
          <w:tcPr>
            <w:tcW w:w="0" w:type="dxa"/>
            <w:vAlign w:val="bottom"/>
          </w:tcPr>
          <w:p>
            <w:pPr>
              <w:spacing w:after="0"/>
              <w:rPr>
                <w:sz w:val="1"/>
                <w:szCs w:val="1"/>
                <w:color w:val="auto"/>
              </w:rPr>
            </w:pPr>
          </w:p>
        </w:tc>
      </w:tr>
      <w:tr>
        <w:trPr>
          <w:trHeight w:val="227"/>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6/1/2021–6/30/2021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96,748</w:t>
            </w:r>
          </w:p>
        </w:tc>
        <w:tc>
          <w:tcPr>
            <w:tcW w:w="76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514.91</w:t>
            </w:r>
          </w:p>
        </w:tc>
        <w:tc>
          <w:tcPr>
            <w:tcW w:w="34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887,866,800</w:t>
            </w:r>
          </w:p>
        </w:tc>
        <w:tc>
          <w:tcPr>
            <w:tcW w:w="0" w:type="dxa"/>
            <w:vAlign w:val="bottom"/>
          </w:tcPr>
          <w:p>
            <w:pPr>
              <w:spacing w:after="0"/>
              <w:rPr>
                <w:sz w:val="1"/>
                <w:szCs w:val="1"/>
                <w:color w:val="auto"/>
              </w:rPr>
            </w:pPr>
          </w:p>
        </w:tc>
      </w:tr>
      <w:tr>
        <w:trPr>
          <w:trHeight w:val="22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Pr>
          <w:p>
            <w:pPr>
              <w:jc w:val="right"/>
              <w:spacing w:after="0"/>
              <w:rPr>
                <w:sz w:val="20"/>
                <w:szCs w:val="20"/>
                <w:color w:val="auto"/>
              </w:rPr>
            </w:pPr>
            <w:r>
              <w:rPr>
                <w:rFonts w:ascii="Arial" w:cs="Arial" w:eastAsia="Arial" w:hAnsi="Arial"/>
                <w:sz w:val="18"/>
                <w:szCs w:val="18"/>
                <w:color w:val="auto"/>
              </w:rPr>
              <w:t>583,099</w:t>
            </w:r>
          </w:p>
        </w:tc>
        <w:tc>
          <w:tcPr>
            <w:tcW w:w="760" w:type="dxa"/>
            <w:vAlign w:val="bottom"/>
            <w:gridSpan w:val="2"/>
          </w:tcPr>
          <w:p>
            <w:pPr>
              <w:jc w:val="right"/>
              <w:ind w:right="531"/>
              <w:spacing w:after="0" w:line="127" w:lineRule="exact"/>
              <w:rPr>
                <w:sz w:val="20"/>
                <w:szCs w:val="20"/>
                <w:color w:val="auto"/>
              </w:rPr>
            </w:pPr>
            <w:r>
              <w:rPr>
                <w:rFonts w:ascii="Arial" w:cs="Arial" w:eastAsia="Arial" w:hAnsi="Arial"/>
                <w:sz w:val="12"/>
                <w:szCs w:val="12"/>
                <w:color w:val="auto"/>
                <w:w w:val="81"/>
              </w:rPr>
              <w:t>(a)</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581,878</w:t>
            </w:r>
          </w:p>
        </w:tc>
        <w:tc>
          <w:tcPr>
            <w:tcW w:w="520" w:type="dxa"/>
            <w:vAlign w:val="bottom"/>
            <w:gridSpan w:val="2"/>
          </w:tcPr>
          <w:p>
            <w:pPr>
              <w:jc w:val="right"/>
              <w:ind w:right="291"/>
              <w:spacing w:after="0" w:line="127" w:lineRule="exact"/>
              <w:rPr>
                <w:sz w:val="20"/>
                <w:szCs w:val="20"/>
                <w:color w:val="auto"/>
              </w:rPr>
            </w:pPr>
            <w:r>
              <w:rPr>
                <w:rFonts w:ascii="Arial" w:cs="Arial" w:eastAsia="Arial" w:hAnsi="Arial"/>
                <w:sz w:val="12"/>
                <w:szCs w:val="12"/>
                <w:color w:val="auto"/>
                <w:w w:val="81"/>
              </w:rPr>
              <w:t>(a)</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240" w:right="20" w:hanging="2"/>
        <w:spacing w:after="0" w:line="214" w:lineRule="auto"/>
        <w:tabs>
          <w:tab w:leader="none" w:pos="41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The difference between the total number of shares purchased and the total number of shares purchased as part of a publicly announced program relates to Common Stock withheld by us for employees to satisfy their tax withholding obligations arising upon the vesting of restricted stock granted under one of our long-term incentive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92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8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5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b w:val="1"/>
                <w:bCs w:val="1"/>
                <w:color w:val="auto"/>
                <w:w w:val="84"/>
              </w:rPr>
              <w:t>Number</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vMerge w:val="continue"/>
          </w:tcPr>
          <w:p>
            <w:pPr>
              <w:spacing w:after="0"/>
              <w:rPr>
                <w:sz w:val="17"/>
                <w:szCs w:val="17"/>
                <w:color w:val="auto"/>
              </w:rPr>
            </w:pPr>
          </w:p>
        </w:tc>
        <w:tc>
          <w:tcPr>
            <w:tcW w:w="58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500" w:type="dxa"/>
            <w:vAlign w:val="bottom"/>
            <w:gridSpan w:val="4"/>
            <w:shd w:val="clear" w:color="auto" w:fill="CCEEFF"/>
          </w:tcPr>
          <w:p>
            <w:pPr>
              <w:spacing w:after="0" w:line="187" w:lineRule="exact"/>
              <w:rPr>
                <w:rFonts w:ascii="Arial" w:cs="Arial" w:eastAsia="Arial" w:hAnsi="Arial"/>
                <w:sz w:val="18"/>
                <w:szCs w:val="18"/>
                <w:color w:val="0000FF"/>
                <w:w w:val="94"/>
              </w:rPr>
            </w:pPr>
            <w:hyperlink w:anchor="page88">
              <w:r>
                <w:rPr>
                  <w:rFonts w:ascii="Arial" w:cs="Arial" w:eastAsia="Arial" w:hAnsi="Arial"/>
                  <w:sz w:val="18"/>
                  <w:szCs w:val="18"/>
                  <w:color w:val="0000FF"/>
                  <w:w w:val="94"/>
                </w:rPr>
                <w:t>Certification of Principal Executive Officer pursuant to Rule 13a-14(a) under the Securities Exchange Act of 1934.</w:t>
              </w:r>
            </w:hyperlink>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580" w:type="dxa"/>
            <w:vAlign w:val="bottom"/>
            <w:tcBorders>
              <w:top w:val="single" w:sz="8" w:color="CCEEFF"/>
            </w:tcBorders>
            <w:gridSpan w:val="2"/>
          </w:tcPr>
          <w:p>
            <w:pPr>
              <w:ind w:left="20"/>
              <w:spacing w:after="0" w:line="187" w:lineRule="exact"/>
              <w:rPr>
                <w:sz w:val="20"/>
                <w:szCs w:val="20"/>
                <w:color w:val="auto"/>
              </w:rPr>
            </w:pPr>
            <w:r>
              <w:rPr>
                <w:rFonts w:ascii="Arial" w:cs="Arial" w:eastAsia="Arial" w:hAnsi="Arial"/>
                <w:sz w:val="18"/>
                <w:szCs w:val="18"/>
                <w:color w:val="auto"/>
              </w:rPr>
              <w:t>31.2</w:t>
            </w:r>
          </w:p>
        </w:tc>
        <w:tc>
          <w:tcPr>
            <w:tcW w:w="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8140" w:type="dxa"/>
            <w:vAlign w:val="bottom"/>
            <w:tcBorders>
              <w:top w:val="single" w:sz="8" w:color="0000FF"/>
              <w:bottom w:val="single" w:sz="8" w:color="0000FF"/>
            </w:tcBorders>
            <w:gridSpan w:val="2"/>
          </w:tcPr>
          <w:p>
            <w:pPr>
              <w:spacing w:after="0" w:line="187" w:lineRule="exact"/>
              <w:rPr>
                <w:rFonts w:ascii="Arial" w:cs="Arial" w:eastAsia="Arial" w:hAnsi="Arial"/>
                <w:sz w:val="18"/>
                <w:szCs w:val="18"/>
                <w:color w:val="0000FF"/>
                <w:w w:val="90"/>
              </w:rPr>
            </w:pPr>
            <w:hyperlink w:anchor="page89">
              <w:r>
                <w:rPr>
                  <w:rFonts w:ascii="Arial" w:cs="Arial" w:eastAsia="Arial" w:hAnsi="Arial"/>
                  <w:sz w:val="18"/>
                  <w:szCs w:val="18"/>
                  <w:color w:val="0000FF"/>
                  <w:w w:val="90"/>
                </w:rPr>
                <w:t>Certification of Principal Financial Officer pursuant to Rule 13a-14(a) under the Securities Exchange Act of 1934.</w:t>
              </w:r>
            </w:hyperlink>
          </w:p>
        </w:tc>
        <w:tc>
          <w:tcPr>
            <w:tcW w:w="4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920" w:hanging="1068"/>
        <w:spacing w:after="0"/>
        <w:tabs>
          <w:tab w:leader="none" w:pos="1920" w:val="left"/>
        </w:tabs>
        <w:numPr>
          <w:ilvl w:val="0"/>
          <w:numId w:val="34"/>
        </w:numPr>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Certification of Principal Executive Officer and Principal Financial Officer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-130175</wp:posOffset>
            </wp:positionV>
            <wp:extent cx="6083300" cy="144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3300" cy="144145"/>
                    </a:xfrm>
                    <a:prstGeom prst="rect">
                      <a:avLst/>
                    </a:prstGeom>
                    <a:noFill/>
                  </pic:spPr>
                </pic:pic>
              </a:graphicData>
            </a:graphic>
          </wp:anchor>
        </w:drawing>
      </w:r>
    </w:p>
    <w:p>
      <w:pPr>
        <w:ind w:left="1920" w:right="1060" w:hanging="1068"/>
        <w:spacing w:after="0" w:line="236" w:lineRule="auto"/>
        <w:tabs>
          <w:tab w:leader="none" w:pos="1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Condensed Consolidated Balance Sheets as of June 30, 2021 and December 31, 2020; (ii) the Registrant's Condensed Consolidated Statements of Operations and Comprehensive Income for the three and six months ended June 30, 2021 and 2020; (iii) the Registrant's Condensed Consolidated Statements of Stockholders’ Equity for the three and six months ended June 30, 2021 and 2020; (iv) the Registrant's Condensed Consolidated Statements of Cash Flows for the six months ended June 30, 2021 and 2020; and (v) the notes to the Registrant's Condensed Consolidated Financial Statements.</w:t>
      </w:r>
    </w:p>
    <w:p>
      <w:pPr>
        <w:spacing w:after="0" w:line="1" w:lineRule="exact"/>
        <w:rPr>
          <w:sz w:val="20"/>
          <w:szCs w:val="20"/>
          <w:color w:val="auto"/>
        </w:rPr>
      </w:pPr>
    </w:p>
    <w:p>
      <w:pPr>
        <w:ind w:left="5540" w:right="2820" w:hanging="4688"/>
        <w:spacing w:after="0" w:line="888" w:lineRule="auto"/>
        <w:tabs>
          <w:tab w:leader="none" w:pos="19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-971550</wp:posOffset>
            </wp:positionV>
            <wp:extent cx="6083300" cy="144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3300" cy="1441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REGENERON PHARMACEUTICALS, INC.</w:t>
      </w:r>
    </w:p>
    <w:p>
      <w:pPr>
        <w:spacing w:after="0" w:line="287" w:lineRule="exact"/>
        <w:rPr>
          <w:sz w:val="20"/>
          <w:szCs w:val="20"/>
          <w:color w:val="auto"/>
        </w:rPr>
      </w:pPr>
    </w:p>
    <w:p>
      <w:pPr>
        <w:ind w:left="500"/>
        <w:spacing w:after="0"/>
        <w:tabs>
          <w:tab w:leader="none" w:pos="1240" w:val="left"/>
          <w:tab w:leader="none" w:pos="4700" w:val="left"/>
          <w:tab w:leader="none" w:pos="5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7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Robert E. Landry</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Finance and</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37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00"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86" w:lineRule="exact"/>
        <w:rPr>
          <w:rFonts w:ascii="Arial" w:cs="Arial" w:eastAsia="Arial" w:hAnsi="Arial"/>
          <w:sz w:val="18"/>
          <w:szCs w:val="18"/>
          <w:color w:val="auto"/>
        </w:rPr>
      </w:pPr>
    </w:p>
    <w:p>
      <w:pPr>
        <w:ind w:left="320" w:right="80" w:hanging="313"/>
        <w:spacing w:after="0" w:line="333"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20" w:right="540" w:hanging="313"/>
        <w:spacing w:after="0" w:line="300"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7"/>
          <w:szCs w:val="17"/>
          <w:color w:val="auto"/>
        </w:rPr>
      </w:pPr>
    </w:p>
    <w:p>
      <w:pPr>
        <w:ind w:left="320" w:right="40" w:hanging="313"/>
        <w:spacing w:after="0" w:line="258"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Arial" w:cs="Arial" w:eastAsia="Arial" w:hAnsi="Arial"/>
          <w:sz w:val="18"/>
          <w:szCs w:val="18"/>
          <w:color w:val="auto"/>
        </w:rPr>
      </w:pPr>
    </w:p>
    <w:p>
      <w:pPr>
        <w:ind w:left="960" w:right="200" w:hanging="313"/>
        <w:spacing w:after="0" w:line="258" w:lineRule="auto"/>
        <w:tabs>
          <w:tab w:leader="none" w:pos="95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960" w:right="500" w:hanging="313"/>
        <w:spacing w:after="0" w:line="258" w:lineRule="auto"/>
        <w:tabs>
          <w:tab w:leader="none" w:pos="9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960" w:right="660" w:hanging="313"/>
        <w:spacing w:after="0" w:line="377" w:lineRule="auto"/>
        <w:tabs>
          <w:tab w:leader="none" w:pos="951"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960" w:right="220" w:hanging="313"/>
        <w:spacing w:after="0" w:line="258" w:lineRule="auto"/>
        <w:tabs>
          <w:tab w:leader="none" w:pos="9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320" w:right="480" w:hanging="313"/>
        <w:spacing w:after="0" w:line="333"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6"/>
          <w:szCs w:val="16"/>
          <w:color w:val="auto"/>
        </w:rPr>
      </w:pPr>
    </w:p>
    <w:p>
      <w:pPr>
        <w:ind w:left="960" w:right="100" w:hanging="313"/>
        <w:spacing w:after="0" w:line="300" w:lineRule="auto"/>
        <w:tabs>
          <w:tab w:leader="none" w:pos="95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7"/>
          <w:szCs w:val="17"/>
          <w:color w:val="auto"/>
        </w:rPr>
      </w:pPr>
    </w:p>
    <w:p>
      <w:pPr>
        <w:ind w:left="960" w:right="80" w:hanging="313"/>
        <w:spacing w:after="0" w:line="270" w:lineRule="auto"/>
        <w:tabs>
          <w:tab w:leader="none" w:pos="9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vMerge w:val="restart"/>
          </w:tcPr>
          <w:p>
            <w:pPr>
              <w:ind w:left="320"/>
              <w:spacing w:after="0"/>
              <w:rPr>
                <w:sz w:val="20"/>
                <w:szCs w:val="20"/>
                <w:color w:val="auto"/>
              </w:rPr>
            </w:pPr>
            <w:r>
              <w:rPr>
                <w:rFonts w:ascii="Arial" w:cs="Arial" w:eastAsia="Arial" w:hAnsi="Arial"/>
                <w:sz w:val="18"/>
                <w:szCs w:val="18"/>
                <w:color w:val="auto"/>
              </w:rPr>
              <w:t>Date: August 5, 2021</w:t>
            </w:r>
          </w:p>
        </w:tc>
        <w:tc>
          <w:tcPr>
            <w:tcW w:w="120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 Leonard S. Schleifer</w:t>
            </w: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020" w:type="dxa"/>
            <w:vAlign w:val="bottom"/>
            <w:vMerge w:val="continue"/>
          </w:tcPr>
          <w:p>
            <w:pPr>
              <w:spacing w:after="0"/>
              <w:rPr>
                <w:sz w:val="7"/>
                <w:szCs w:val="7"/>
                <w:color w:val="auto"/>
              </w:rPr>
            </w:pPr>
          </w:p>
        </w:tc>
        <w:tc>
          <w:tcPr>
            <w:tcW w:w="120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Leonard S. Schleifer, M.D., Ph.D.</w:t>
            </w: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8180" w:type="dxa"/>
            <w:vAlign w:val="bottom"/>
            <w:gridSpan w:val="3"/>
          </w:tcPr>
          <w:p>
            <w:pPr>
              <w:ind w:left="1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8180" w:type="dxa"/>
            <w:vAlign w:val="bottom"/>
            <w:gridSpan w:val="3"/>
          </w:tcPr>
          <w:p>
            <w:pPr>
              <w:ind w:left="12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88"/>
        </w:trPr>
        <w:tc>
          <w:tcPr>
            <w:tcW w:w="3020" w:type="dxa"/>
            <w:vAlign w:val="bottom"/>
            <w:tcBorders>
              <w:bottom w:val="single" w:sz="8" w:color="666666"/>
            </w:tcBorders>
          </w:tcPr>
          <w:p>
            <w:pPr>
              <w:spacing w:after="0"/>
              <w:rPr>
                <w:sz w:val="24"/>
                <w:szCs w:val="24"/>
                <w:color w:val="auto"/>
              </w:rPr>
            </w:pPr>
          </w:p>
        </w:tc>
        <w:tc>
          <w:tcPr>
            <w:tcW w:w="1200" w:type="dxa"/>
            <w:vAlign w:val="bottom"/>
            <w:tcBorders>
              <w:bottom w:val="single" w:sz="8" w:color="666666"/>
            </w:tcBorders>
          </w:tcPr>
          <w:p>
            <w:pPr>
              <w:spacing w:after="0"/>
              <w:rPr>
                <w:sz w:val="24"/>
                <w:szCs w:val="24"/>
                <w:color w:val="auto"/>
              </w:rPr>
            </w:pPr>
          </w:p>
        </w:tc>
        <w:tc>
          <w:tcPr>
            <w:tcW w:w="1680" w:type="dxa"/>
            <w:vAlign w:val="bottom"/>
            <w:tcBorders>
              <w:bottom w:val="single" w:sz="8" w:color="666666"/>
            </w:tcBorders>
          </w:tcPr>
          <w:p>
            <w:pPr>
              <w:spacing w:after="0"/>
              <w:rPr>
                <w:sz w:val="24"/>
                <w:szCs w:val="24"/>
                <w:color w:val="auto"/>
              </w:rPr>
            </w:pPr>
          </w:p>
        </w:tc>
        <w:tc>
          <w:tcPr>
            <w:tcW w:w="53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00" w:lineRule="exact"/>
        <w:rPr>
          <w:sz w:val="20"/>
          <w:szCs w:val="20"/>
          <w:color w:val="auto"/>
        </w:rPr>
      </w:pPr>
    </w:p>
    <w:p>
      <w:pPr>
        <w:ind w:left="320" w:hanging="313"/>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86" w:lineRule="exact"/>
        <w:rPr>
          <w:rFonts w:ascii="Arial" w:cs="Arial" w:eastAsia="Arial" w:hAnsi="Arial"/>
          <w:sz w:val="18"/>
          <w:szCs w:val="18"/>
          <w:color w:val="auto"/>
        </w:rPr>
      </w:pPr>
    </w:p>
    <w:p>
      <w:pPr>
        <w:ind w:left="320" w:right="80" w:hanging="313"/>
        <w:spacing w:after="0" w:line="333" w:lineRule="auto"/>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20" w:right="540" w:hanging="313"/>
        <w:spacing w:after="0" w:line="300"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7"/>
          <w:szCs w:val="17"/>
          <w:color w:val="auto"/>
        </w:rPr>
      </w:pPr>
    </w:p>
    <w:p>
      <w:pPr>
        <w:ind w:left="320" w:right="40" w:hanging="313"/>
        <w:spacing w:after="0" w:line="258"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Arial" w:cs="Arial" w:eastAsia="Arial" w:hAnsi="Arial"/>
          <w:sz w:val="18"/>
          <w:szCs w:val="18"/>
          <w:color w:val="auto"/>
        </w:rPr>
      </w:pPr>
    </w:p>
    <w:p>
      <w:pPr>
        <w:ind w:left="960" w:right="200" w:hanging="313"/>
        <w:spacing w:after="0" w:line="258" w:lineRule="auto"/>
        <w:tabs>
          <w:tab w:leader="none" w:pos="9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960" w:right="500" w:hanging="313"/>
        <w:spacing w:after="0" w:line="258" w:lineRule="auto"/>
        <w:tabs>
          <w:tab w:leader="none" w:pos="9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960" w:right="660" w:hanging="313"/>
        <w:spacing w:after="0" w:line="377" w:lineRule="auto"/>
        <w:tabs>
          <w:tab w:leader="none" w:pos="951" w:val="left"/>
        </w:tabs>
        <w:numPr>
          <w:ilvl w:val="1"/>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960" w:right="220" w:hanging="313"/>
        <w:spacing w:after="0" w:line="258" w:lineRule="auto"/>
        <w:tabs>
          <w:tab w:leader="none" w:pos="9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320" w:right="480" w:hanging="313"/>
        <w:spacing w:after="0" w:line="333" w:lineRule="auto"/>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6"/>
          <w:szCs w:val="16"/>
          <w:color w:val="auto"/>
        </w:rPr>
      </w:pPr>
    </w:p>
    <w:p>
      <w:pPr>
        <w:ind w:left="960" w:right="100" w:hanging="313"/>
        <w:spacing w:after="0" w:line="300" w:lineRule="auto"/>
        <w:tabs>
          <w:tab w:leader="none" w:pos="9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7"/>
          <w:szCs w:val="17"/>
          <w:color w:val="auto"/>
        </w:rPr>
      </w:pPr>
    </w:p>
    <w:p>
      <w:pPr>
        <w:ind w:left="960" w:right="80" w:hanging="313"/>
        <w:spacing w:after="0" w:line="270" w:lineRule="auto"/>
        <w:tabs>
          <w:tab w:leader="none" w:pos="94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vMerge w:val="restart"/>
          </w:tcPr>
          <w:p>
            <w:pPr>
              <w:ind w:left="320"/>
              <w:spacing w:after="0"/>
              <w:rPr>
                <w:sz w:val="20"/>
                <w:szCs w:val="20"/>
                <w:color w:val="auto"/>
              </w:rPr>
            </w:pPr>
            <w:r>
              <w:rPr>
                <w:rFonts w:ascii="Arial" w:cs="Arial" w:eastAsia="Arial" w:hAnsi="Arial"/>
                <w:sz w:val="18"/>
                <w:szCs w:val="18"/>
                <w:color w:val="auto"/>
              </w:rPr>
              <w:t>Date: August 5, 2021</w:t>
            </w:r>
          </w:p>
        </w:tc>
        <w:tc>
          <w:tcPr>
            <w:tcW w:w="1200" w:type="dxa"/>
            <w:vAlign w:val="bottom"/>
          </w:tcPr>
          <w:p>
            <w:pPr>
              <w:spacing w:after="0"/>
              <w:rPr>
                <w:sz w:val="18"/>
                <w:szCs w:val="18"/>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Robert E. Landry</w:t>
            </w: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3020" w:type="dxa"/>
            <w:vAlign w:val="bottom"/>
            <w:vMerge w:val="continue"/>
          </w:tcPr>
          <w:p>
            <w:pPr>
              <w:spacing w:after="0"/>
              <w:rPr>
                <w:sz w:val="7"/>
                <w:szCs w:val="7"/>
                <w:color w:val="auto"/>
              </w:rPr>
            </w:pPr>
          </w:p>
        </w:tc>
        <w:tc>
          <w:tcPr>
            <w:tcW w:w="8180" w:type="dxa"/>
            <w:vAlign w:val="bottom"/>
            <w:gridSpan w:val="3"/>
            <w:vMerge w:val="restart"/>
          </w:tcPr>
          <w:p>
            <w:pPr>
              <w:ind w:left="1200"/>
              <w:spacing w:after="0"/>
              <w:rPr>
                <w:sz w:val="20"/>
                <w:szCs w:val="20"/>
                <w:color w:val="auto"/>
              </w:rPr>
            </w:pPr>
            <w:r>
              <w:rPr>
                <w:rFonts w:ascii="Arial" w:cs="Arial" w:eastAsia="Arial" w:hAnsi="Arial"/>
                <w:sz w:val="18"/>
                <w:szCs w:val="18"/>
                <w:color w:val="auto"/>
              </w:rPr>
              <w:t>Robert E. Landry</w:t>
            </w: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81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8180" w:type="dxa"/>
            <w:vAlign w:val="bottom"/>
            <w:gridSpan w:val="3"/>
          </w:tcPr>
          <w:p>
            <w:pPr>
              <w:ind w:left="1200"/>
              <w:spacing w:after="0" w:line="175" w:lineRule="exact"/>
              <w:rPr>
                <w:sz w:val="20"/>
                <w:szCs w:val="20"/>
                <w:color w:val="auto"/>
              </w:rPr>
            </w:pPr>
            <w:r>
              <w:rPr>
                <w:rFonts w:ascii="Arial" w:cs="Arial" w:eastAsia="Arial" w:hAnsi="Arial"/>
                <w:sz w:val="18"/>
                <w:szCs w:val="18"/>
                <w:color w:val="auto"/>
              </w:rPr>
              <w:t>Executive Vice President, Finance and Chief</w:t>
            </w:r>
          </w:p>
        </w:tc>
        <w:tc>
          <w:tcPr>
            <w:tcW w:w="0" w:type="dxa"/>
            <w:vAlign w:val="bottom"/>
          </w:tcPr>
          <w:p>
            <w:pPr>
              <w:spacing w:after="0"/>
              <w:rPr>
                <w:sz w:val="1"/>
                <w:szCs w:val="1"/>
                <w:color w:val="auto"/>
              </w:rPr>
            </w:pPr>
          </w:p>
        </w:tc>
      </w:tr>
      <w:tr>
        <w:trPr>
          <w:trHeight w:val="226"/>
        </w:trPr>
        <w:tc>
          <w:tcPr>
            <w:tcW w:w="3020" w:type="dxa"/>
            <w:vAlign w:val="bottom"/>
          </w:tcPr>
          <w:p>
            <w:pPr>
              <w:spacing w:after="0"/>
              <w:rPr>
                <w:sz w:val="19"/>
                <w:szCs w:val="19"/>
                <w:color w:val="auto"/>
              </w:rPr>
            </w:pPr>
          </w:p>
        </w:tc>
        <w:tc>
          <w:tcPr>
            <w:tcW w:w="8180" w:type="dxa"/>
            <w:vAlign w:val="bottom"/>
            <w:gridSpan w:val="3"/>
          </w:tcPr>
          <w:p>
            <w:pPr>
              <w:ind w:left="120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26"/>
        </w:trPr>
        <w:tc>
          <w:tcPr>
            <w:tcW w:w="3020" w:type="dxa"/>
            <w:vAlign w:val="bottom"/>
          </w:tcPr>
          <w:p>
            <w:pPr>
              <w:spacing w:after="0"/>
              <w:rPr>
                <w:sz w:val="19"/>
                <w:szCs w:val="19"/>
                <w:color w:val="auto"/>
              </w:rPr>
            </w:pPr>
          </w:p>
        </w:tc>
        <w:tc>
          <w:tcPr>
            <w:tcW w:w="8180" w:type="dxa"/>
            <w:vAlign w:val="bottom"/>
            <w:gridSpan w:val="3"/>
          </w:tcPr>
          <w:p>
            <w:pPr>
              <w:ind w:left="12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88"/>
        </w:trPr>
        <w:tc>
          <w:tcPr>
            <w:tcW w:w="3020" w:type="dxa"/>
            <w:vAlign w:val="bottom"/>
            <w:tcBorders>
              <w:bottom w:val="single" w:sz="8" w:color="666666"/>
            </w:tcBorders>
          </w:tcPr>
          <w:p>
            <w:pPr>
              <w:spacing w:after="0"/>
              <w:rPr>
                <w:sz w:val="24"/>
                <w:szCs w:val="24"/>
                <w:color w:val="auto"/>
              </w:rPr>
            </w:pPr>
          </w:p>
        </w:tc>
        <w:tc>
          <w:tcPr>
            <w:tcW w:w="1200" w:type="dxa"/>
            <w:vAlign w:val="bottom"/>
            <w:tcBorders>
              <w:bottom w:val="single" w:sz="8" w:color="666666"/>
            </w:tcBorders>
          </w:tcPr>
          <w:p>
            <w:pPr>
              <w:spacing w:after="0"/>
              <w:rPr>
                <w:sz w:val="24"/>
                <w:szCs w:val="24"/>
                <w:color w:val="auto"/>
              </w:rPr>
            </w:pPr>
          </w:p>
        </w:tc>
        <w:tc>
          <w:tcPr>
            <w:tcW w:w="1460" w:type="dxa"/>
            <w:vAlign w:val="bottom"/>
            <w:tcBorders>
              <w:bottom w:val="single" w:sz="8" w:color="666666"/>
            </w:tcBorders>
          </w:tcPr>
          <w:p>
            <w:pPr>
              <w:spacing w:after="0"/>
              <w:rPr>
                <w:sz w:val="24"/>
                <w:szCs w:val="24"/>
                <w:color w:val="auto"/>
              </w:rPr>
            </w:pPr>
          </w:p>
        </w:tc>
        <w:tc>
          <w:tcPr>
            <w:tcW w:w="552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9"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June 30, 2021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55" w:lineRule="exact"/>
        <w:rPr>
          <w:sz w:val="20"/>
          <w:szCs w:val="20"/>
          <w:color w:val="auto"/>
        </w:rPr>
      </w:pPr>
    </w:p>
    <w:p>
      <w:pPr>
        <w:ind w:left="640" w:hanging="313"/>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6" w:lineRule="exact"/>
        <w:rPr>
          <w:rFonts w:ascii="Arial" w:cs="Arial" w:eastAsia="Arial" w:hAnsi="Arial"/>
          <w:sz w:val="18"/>
          <w:szCs w:val="18"/>
          <w:color w:val="auto"/>
        </w:rPr>
      </w:pPr>
    </w:p>
    <w:p>
      <w:pPr>
        <w:ind w:left="640" w:hanging="313"/>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Leonard S. Schleifer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Leonard S. Schleifer, M.D., Ph.D.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5, 2021</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Robert E. Landry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E. Landry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Finance and Chief</w:t>
      </w:r>
    </w:p>
    <w:p>
      <w:pPr>
        <w:ind w:left="20"/>
        <w:spacing w:after="0"/>
        <w:rPr>
          <w:sz w:val="20"/>
          <w:szCs w:val="20"/>
          <w:color w:val="auto"/>
        </w:rPr>
      </w:pPr>
      <w:r>
        <w:rPr>
          <w:rFonts w:ascii="Arial" w:cs="Arial" w:eastAsia="Arial" w:hAnsi="Arial"/>
          <w:sz w:val="18"/>
          <w:szCs w:val="18"/>
          <w:color w:val="auto"/>
        </w:rPr>
        <w:t>Financial Officer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5, 2021</w:t>
      </w:r>
    </w:p>
    <w:sectPr>
      <w:pgSz w:w="11900" w:h="16838" w:orient="portrait"/>
      <w:cols w:equalWidth="0" w:num="1">
        <w:col w:w="11240"/>
      </w:cols>
      <w:pgMar w:left="320" w:top="9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8"/>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Roman"/>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32"/>
    </w:lvl>
  </w:abstractNum>
  <w:abstractNum w:abstractNumId="34">
    <w:nsid w:val="77465F01"/>
    <w:multiLevelType w:val="hybridMultilevel"/>
    <w:lvl w:ilvl="0">
      <w:lvlJc w:val="left"/>
      <w:lvlText w:val="%1"/>
      <w:numFmt w:val="decimal"/>
      <w:start w:val="101"/>
    </w:lvl>
  </w:abstractNum>
  <w:abstractNum w:abstractNumId="35">
    <w:nsid w:val="7724C67E"/>
    <w:multiLevelType w:val="hybridMultilevel"/>
    <w:lvl w:ilvl="0">
      <w:lvlJc w:val="left"/>
      <w:lvlText w:val="%1"/>
      <w:numFmt w:val="decimal"/>
      <w:start w:val="10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2021-08-05T06:13:58Z</dcterms:created>
  <dcterms:modified xsi:type="dcterms:W3CDTF">2021-08-05T06:13:58Z</dcterms:modified>
</cp:coreProperties>
</file>