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2" w:lineRule="exact"/>
        <w:rPr>
          <w:sz w:val="24"/>
          <w:szCs w:val="24"/>
          <w:color w:val="auto"/>
        </w:rPr>
      </w:pPr>
    </w:p>
    <w:p>
      <w:pPr>
        <w:ind w:left="280" w:right="2560" w:hanging="274"/>
        <w:spacing w:after="0" w:line="314" w:lineRule="auto"/>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6"/>
          <w:szCs w:val="16"/>
          <w:color w:val="auto"/>
        </w:rPr>
      </w:pPr>
    </w:p>
    <w:p>
      <w:pPr>
        <w:ind w:left="1120"/>
        <w:spacing w:after="0"/>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OR</w:t>
      </w:r>
    </w:p>
    <w:p>
      <w:pPr>
        <w:spacing w:after="0" w:line="61" w:lineRule="exact"/>
        <w:rPr>
          <w:sz w:val="24"/>
          <w:szCs w:val="24"/>
          <w:color w:val="auto"/>
        </w:rPr>
      </w:pPr>
    </w:p>
    <w:p>
      <w:pPr>
        <w:ind w:left="280" w:right="2220" w:hanging="274"/>
        <w:spacing w:after="0" w:line="352" w:lineRule="auto"/>
        <w:tabs>
          <w:tab w:leader="none" w:pos="2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000-19034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14" w:lineRule="exact"/>
        <w:rPr>
          <w:sz w:val="24"/>
          <w:szCs w:val="24"/>
          <w:color w:val="auto"/>
        </w:rPr>
      </w:pPr>
    </w:p>
    <w:p>
      <w:pPr>
        <w:ind w:left="3940"/>
        <w:spacing w:after="0"/>
        <w:tabs>
          <w:tab w:leader="none" w:pos="7280" w:val="left"/>
        </w:tabs>
        <w:rPr>
          <w:sz w:val="20"/>
          <w:szCs w:val="20"/>
          <w:color w:val="auto"/>
        </w:rPr>
      </w:pPr>
      <w:r>
        <w:rPr>
          <w:rFonts w:ascii="Times New Roman" w:cs="Times New Roman" w:eastAsia="Times New Roman" w:hAnsi="Times New Roman"/>
          <w:sz w:val="18"/>
          <w:szCs w:val="18"/>
          <w:b w:val="1"/>
          <w:bCs w:val="1"/>
          <w:color w:val="auto"/>
        </w:rPr>
        <w:t>New York</w:t>
      </w:r>
      <w:r>
        <w:rPr>
          <w:sz w:val="20"/>
          <w:szCs w:val="20"/>
          <w:color w:val="auto"/>
        </w:rPr>
        <w:tab/>
      </w:r>
      <w:r>
        <w:rPr>
          <w:rFonts w:ascii="Times New Roman" w:cs="Times New Roman" w:eastAsia="Times New Roman" w:hAnsi="Times New Roman"/>
          <w:sz w:val="18"/>
          <w:szCs w:val="18"/>
          <w:b w:val="1"/>
          <w:bCs w:val="1"/>
          <w:color w:val="auto"/>
        </w:rPr>
        <w:t>13-3444607</w:t>
      </w:r>
    </w:p>
    <w:p>
      <w:pPr>
        <w:spacing w:after="0" w:line="31" w:lineRule="exact"/>
        <w:rPr>
          <w:sz w:val="24"/>
          <w:szCs w:val="24"/>
          <w:color w:val="auto"/>
        </w:rPr>
      </w:pPr>
    </w:p>
    <w:p>
      <w:pPr>
        <w:jc w:val="center"/>
        <w:ind w:right="-39"/>
        <w:spacing w:after="0"/>
        <w:tabs>
          <w:tab w:leader="none" w:pos="280" w:val="left"/>
        </w:tabs>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6"/>
          <w:szCs w:val="16"/>
          <w:i w:val="1"/>
          <w:iCs w:val="1"/>
          <w:color w:val="auto"/>
        </w:rPr>
        <w:t>(I.R.S. Employer Identification No.)</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1"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18"/>
                <w:szCs w:val="18"/>
                <w:color w:val="auto"/>
              </w:rPr>
            </w:pPr>
          </w:p>
        </w:tc>
        <w:tc>
          <w:tcPr>
            <w:tcW w:w="354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50"/>
        </w:trPr>
        <w:tc>
          <w:tcPr>
            <w:tcW w:w="39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ectPr>
          <w:pgSz w:w="11900" w:h="16838" w:orient="portrait"/>
          <w:cols w:equalWidth="0" w:num="1">
            <w:col w:w="11200"/>
          </w:cols>
          <w:pgMar w:left="340" w:top="792" w:right="359" w:bottom="1440" w:gutter="0" w:footer="0" w:header="0"/>
        </w:sectPr>
      </w:pP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36"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6"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61" w:lineRule="exact"/>
        <w:tabs>
          <w:tab w:leader="none" w:pos="74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36" w:lineRule="exact"/>
        <w:rPr>
          <w:sz w:val="24"/>
          <w:szCs w:val="24"/>
          <w:color w:val="auto"/>
        </w:rPr>
      </w:pPr>
    </w:p>
    <w:p>
      <w:pPr>
        <w:spacing w:after="0" w:line="161" w:lineRule="exact"/>
        <w:tabs>
          <w:tab w:leader="none" w:pos="74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20" w:lineRule="exact"/>
        <w:rPr>
          <w:sz w:val="24"/>
          <w:szCs w:val="24"/>
          <w:color w:val="auto"/>
        </w:rPr>
      </w:pPr>
    </w:p>
    <w:p>
      <w:pPr>
        <w:spacing w:after="0" w:line="161" w:lineRule="exact"/>
        <w:tabs>
          <w:tab w:leader="none" w:pos="74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71" w:lineRule="exact"/>
        <w:rPr>
          <w:sz w:val="24"/>
          <w:szCs w:val="24"/>
          <w:color w:val="auto"/>
        </w:rPr>
      </w:pPr>
    </w:p>
    <w:p>
      <w:pPr>
        <w:spacing w:after="0" w:line="161" w:lineRule="exact"/>
        <w:tabs>
          <w:tab w:leader="none" w:pos="74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45" w:lineRule="exact"/>
        <w:rPr>
          <w:sz w:val="24"/>
          <w:szCs w:val="24"/>
          <w:color w:val="auto"/>
        </w:rPr>
      </w:pPr>
    </w:p>
    <w:p>
      <w:pPr>
        <w:sectPr>
          <w:pgSz w:w="11900" w:h="16838" w:orient="portrait"/>
          <w:cols w:equalWidth="0" w:num="2">
            <w:col w:w="9640" w:space="280"/>
            <w:col w:w="1280"/>
          </w:cols>
          <w:pgMar w:left="340" w:top="792" w:right="359" w:bottom="1440" w:gutter="0" w:footer="0" w:header="0"/>
          <w:type w:val="continuous"/>
        </w:sect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p>
      <w:pPr>
        <w:ind w:left="280"/>
        <w:spacing w:after="0" w:line="161" w:lineRule="exact"/>
        <w:tabs>
          <w:tab w:leader="none" w:pos="2260" w:val="left"/>
          <w:tab w:leader="none" w:pos="4020" w:val="left"/>
          <w:tab w:leader="none" w:pos="6040" w:val="left"/>
          <w:tab w:leader="none" w:pos="84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00"/>
          </w:cols>
          <w:pgMar w:left="340" w:top="792" w:right="359" w:bottom="1440" w:gutter="0" w:footer="0" w:header="0"/>
          <w:type w:val="continuous"/>
        </w:sectPr>
      </w:pPr>
    </w:p>
    <w:p>
      <w:pPr>
        <w:spacing w:after="0" w:line="173"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9"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2">
            <w:col w:w="10720" w:space="200"/>
            <w:col w:w="280"/>
          </w:cols>
          <w:pgMar w:left="340" w:top="792" w:right="359" w:bottom="1440" w:gutter="0" w:footer="0" w:header="0"/>
          <w:type w:val="continuous"/>
        </w:sectPr>
      </w:pPr>
    </w:p>
    <w:p>
      <w:pPr>
        <w:spacing w:after="0" w:line="161" w:lineRule="exact"/>
        <w:tabs>
          <w:tab w:leader="none" w:pos="9980" w:val="left"/>
          <w:tab w:leader="none" w:pos="107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5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was $62.0 billion, computed by reference to the closing sales price of the stock on NASDAQ on June 30, 2022,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6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number of shares outstanding of each of the registrant's classes of common stock as of January 26, 2023:</w:t>
            </w:r>
          </w:p>
        </w:tc>
        <w:tc>
          <w:tcPr>
            <w:tcW w:w="1680" w:type="dxa"/>
            <w:vAlign w:val="bottom"/>
          </w:tcPr>
          <w:p>
            <w:pPr>
              <w:spacing w:after="0"/>
              <w:rPr>
                <w:sz w:val="16"/>
                <w:szCs w:val="16"/>
                <w:color w:val="auto"/>
              </w:rPr>
            </w:pPr>
          </w:p>
        </w:tc>
      </w:tr>
      <w:tr>
        <w:trPr>
          <w:trHeight w:val="338"/>
        </w:trPr>
        <w:tc>
          <w:tcPr>
            <w:tcW w:w="3140" w:type="dxa"/>
            <w:vAlign w:val="bottom"/>
          </w:tcPr>
          <w:p>
            <w:pPr>
              <w:spacing w:after="0"/>
              <w:rPr>
                <w:sz w:val="24"/>
                <w:szCs w:val="24"/>
                <w:color w:val="auto"/>
              </w:rPr>
            </w:pPr>
          </w:p>
        </w:tc>
        <w:tc>
          <w:tcPr>
            <w:tcW w:w="32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Class of Common Stock</w:t>
            </w:r>
          </w:p>
        </w:tc>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24"/>
        </w:trPr>
        <w:tc>
          <w:tcPr>
            <w:tcW w:w="3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r>
      <w:tr>
        <w:trPr>
          <w:trHeight w:val="182"/>
        </w:trPr>
        <w:tc>
          <w:tcPr>
            <w:tcW w:w="314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Stock, $.001 par value</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1,818,146</w:t>
            </w:r>
          </w:p>
        </w:tc>
      </w:tr>
      <w:tr>
        <w:trPr>
          <w:trHeight w:val="193"/>
        </w:trPr>
        <w:tc>
          <w:tcPr>
            <w:tcW w:w="3140" w:type="dxa"/>
            <w:vAlign w:val="bottom"/>
          </w:tcPr>
          <w:p>
            <w:pPr>
              <w:spacing w:after="0"/>
              <w:rPr>
                <w:sz w:val="16"/>
                <w:szCs w:val="16"/>
                <w:color w:val="auto"/>
              </w:rPr>
            </w:pPr>
          </w:p>
        </w:tc>
        <w:tc>
          <w:tcPr>
            <w:tcW w:w="32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6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107,507,386</w:t>
            </w:r>
          </w:p>
        </w:tc>
      </w:tr>
    </w:tbl>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8"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Specified portions of the Registrant's definitive proxy statement to be filed in connection with solicitation of proxies for its 2023 Annual Meeting of Shareholders are incorporated by reference into Part III of this Form 10-K. Exhibit index is located on pages 96 to 101 of this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422275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680" w:type="dxa"/>
            <w:vAlign w:val="bottom"/>
            <w:tcBorders>
              <w:bottom w:val="single" w:sz="8" w:color="CCEEFF"/>
            </w:tcBorders>
            <w:gridSpan w:val="5"/>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6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240" w:type="dxa"/>
            <w:vAlign w:val="bottom"/>
            <w:gridSpan w:val="6"/>
          </w:tcPr>
          <w:p>
            <w:pPr>
              <w:jc w:val="center"/>
              <w:ind w:left="95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38</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640" w:type="dxa"/>
            <w:vAlign w:val="bottom"/>
            <w:gridSpan w:val="4"/>
          </w:tcPr>
          <w:p>
            <w:pPr>
              <w:spacing w:after="0"/>
              <w:rPr>
                <w:sz w:val="16"/>
                <w:szCs w:val="16"/>
                <w:color w:val="auto"/>
              </w:rPr>
            </w:pPr>
          </w:p>
        </w:tc>
        <w:tc>
          <w:tcPr>
            <w:tcW w:w="6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240" w:type="dxa"/>
            <w:vAlign w:val="bottom"/>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760" w:type="dxa"/>
            <w:vAlign w:val="bottom"/>
            <w:gridSpan w:val="6"/>
            <w:shd w:val="clear" w:color="auto" w:fill="CCEEFF"/>
          </w:tcPr>
          <w:p>
            <w:pPr>
              <w:spacing w:after="0"/>
              <w:rPr>
                <w:sz w:val="16"/>
                <w:szCs w:val="16"/>
                <w:color w:val="auto"/>
              </w:rPr>
            </w:pP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760" w:type="dxa"/>
            <w:vAlign w:val="bottom"/>
            <w:gridSpan w:val="6"/>
          </w:tcPr>
          <w:p>
            <w:pPr>
              <w:spacing w:after="0"/>
              <w:rPr>
                <w:sz w:val="16"/>
                <w:szCs w:val="16"/>
                <w:color w:val="auto"/>
              </w:rPr>
            </w:pPr>
          </w:p>
        </w:tc>
        <w:tc>
          <w:tcPr>
            <w:tcW w:w="6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4"/>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0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89"/>
        </w:trPr>
        <w:tc>
          <w:tcPr>
            <w:tcW w:w="660" w:type="dxa"/>
            <w:vAlign w:val="bottom"/>
            <w:tcBorders>
              <w:top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620" w:type="dxa"/>
            <w:vAlign w:val="bottom"/>
            <w:tcBorders>
              <w:top w:val="single" w:sz="8" w:color="CCEEFF"/>
            </w:tcBorders>
            <w:gridSpan w:val="3"/>
          </w:tcPr>
          <w:p>
            <w:pPr>
              <w:spacing w:after="0"/>
              <w:rPr>
                <w:sz w:val="16"/>
                <w:szCs w:val="16"/>
                <w:color w:val="auto"/>
              </w:rPr>
            </w:pPr>
          </w:p>
        </w:tc>
        <w:tc>
          <w:tcPr>
            <w:tcW w:w="6440" w:type="dxa"/>
            <w:vAlign w:val="bottom"/>
            <w:tcBorders>
              <w:top w:val="single" w:sz="8" w:color="CCEEFF"/>
            </w:tcBorders>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240" w:type="dxa"/>
            <w:vAlign w:val="bottom"/>
            <w:tcBorders>
              <w:top w:val="single" w:sz="8" w:color="CCEEFF"/>
            </w:tcBorders>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156"/>
        </w:trPr>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6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760" w:type="dxa"/>
            <w:vAlign w:val="bottom"/>
            <w:gridSpan w:val="6"/>
            <w:shd w:val="clear" w:color="auto" w:fill="CCEEFF"/>
          </w:tcPr>
          <w:p>
            <w:pPr>
              <w:spacing w:after="0"/>
              <w:rPr>
                <w:sz w:val="16"/>
                <w:szCs w:val="16"/>
                <w:color w:val="auto"/>
              </w:rPr>
            </w:pP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7.</w:t>
            </w:r>
          </w:p>
        </w:tc>
        <w:tc>
          <w:tcPr>
            <w:tcW w:w="760" w:type="dxa"/>
            <w:vAlign w:val="bottom"/>
            <w:gridSpan w:val="6"/>
          </w:tcPr>
          <w:p>
            <w:pPr>
              <w:spacing w:after="0"/>
              <w:rPr>
                <w:sz w:val="16"/>
                <w:szCs w:val="16"/>
                <w:color w:val="auto"/>
              </w:rPr>
            </w:pPr>
          </w:p>
        </w:tc>
        <w:tc>
          <w:tcPr>
            <w:tcW w:w="6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240" w:type="dxa"/>
            <w:vAlign w:val="bottom"/>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5"/>
        </w:trPr>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Operations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92</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8.</w:t>
            </w:r>
          </w:p>
        </w:tc>
        <w:tc>
          <w:tcPr>
            <w:tcW w:w="640" w:type="dxa"/>
            <w:vAlign w:val="bottom"/>
            <w:gridSpan w:val="4"/>
          </w:tcPr>
          <w:p>
            <w:pPr>
              <w:spacing w:after="0"/>
              <w:rPr>
                <w:sz w:val="16"/>
                <w:szCs w:val="16"/>
                <w:color w:val="auto"/>
              </w:rPr>
            </w:pPr>
          </w:p>
        </w:tc>
        <w:tc>
          <w:tcPr>
            <w:tcW w:w="43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080" w:type="dxa"/>
            <w:vAlign w:val="bottom"/>
            <w:gridSpan w:val="7"/>
          </w:tcPr>
          <w:p>
            <w:pPr>
              <w:spacing w:after="0"/>
              <w:rPr>
                <w:sz w:val="16"/>
                <w:szCs w:val="16"/>
                <w:color w:val="auto"/>
              </w:rPr>
            </w:pPr>
          </w:p>
        </w:tc>
        <w:tc>
          <w:tcPr>
            <w:tcW w:w="1240" w:type="dxa"/>
            <w:vAlign w:val="bottom"/>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93</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w:t>
            </w: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93</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55"/>
        </w:trPr>
        <w:tc>
          <w:tcPr>
            <w:tcW w:w="5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660" w:type="dxa"/>
            <w:vAlign w:val="bottom"/>
            <w:tcBorders>
              <w:top w:val="single" w:sz="8" w:color="0000FF"/>
            </w:tcBorders>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Disclosure</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gridSpan w:val="2"/>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6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93</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640" w:type="dxa"/>
            <w:vAlign w:val="bottom"/>
            <w:gridSpan w:val="4"/>
            <w:shd w:val="clear" w:color="auto" w:fill="CCEEFF"/>
          </w:tcPr>
          <w:p>
            <w:pPr>
              <w:spacing w:after="0"/>
              <w:rPr>
                <w:sz w:val="16"/>
                <w:szCs w:val="16"/>
                <w:color w:val="auto"/>
              </w:rPr>
            </w:pPr>
          </w:p>
        </w:tc>
        <w:tc>
          <w:tcPr>
            <w:tcW w:w="132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5120" w:type="dxa"/>
            <w:vAlign w:val="bottom"/>
            <w:gridSpan w:val="19"/>
            <w:shd w:val="clear" w:color="auto" w:fill="CCEEFF"/>
          </w:tcPr>
          <w:p>
            <w:pPr>
              <w:spacing w:after="0"/>
              <w:rPr>
                <w:sz w:val="16"/>
                <w:szCs w:val="16"/>
                <w:color w:val="auto"/>
              </w:rPr>
            </w:pP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94</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9C.</w:t>
            </w:r>
          </w:p>
        </w:tc>
        <w:tc>
          <w:tcPr>
            <w:tcW w:w="640" w:type="dxa"/>
            <w:vAlign w:val="bottom"/>
            <w:gridSpan w:val="4"/>
          </w:tcPr>
          <w:p>
            <w:pPr>
              <w:spacing w:after="0"/>
              <w:rPr>
                <w:sz w:val="16"/>
                <w:szCs w:val="16"/>
                <w:color w:val="auto"/>
              </w:rPr>
            </w:pPr>
          </w:p>
        </w:tc>
        <w:tc>
          <w:tcPr>
            <w:tcW w:w="6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40" w:type="dxa"/>
            <w:vAlign w:val="bottom"/>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94</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4"/>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95</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11.</w:t>
            </w:r>
          </w:p>
        </w:tc>
        <w:tc>
          <w:tcPr>
            <w:tcW w:w="6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240" w:type="dxa"/>
            <w:vAlign w:val="bottom"/>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95</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95</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55"/>
        </w:trPr>
        <w:tc>
          <w:tcPr>
            <w:tcW w:w="5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780" w:type="dxa"/>
            <w:vAlign w:val="bottom"/>
            <w:tcBorders>
              <w:top w:val="single" w:sz="8" w:color="0000FF"/>
            </w:tcBorders>
            <w:gridSpan w:val="2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Stockholder Matters</w:t>
            </w:r>
          </w:p>
        </w:tc>
        <w:tc>
          <w:tcPr>
            <w:tcW w:w="660" w:type="dxa"/>
            <w:vAlign w:val="bottom"/>
            <w:tcBorders>
              <w:top w:val="single" w:sz="8" w:color="CCEEFF"/>
            </w:tcBorders>
            <w:gridSpan w:val="2"/>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6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40" w:type="dxa"/>
            <w:vAlign w:val="bottom"/>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95</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240" w:type="dxa"/>
            <w:vAlign w:val="bottom"/>
            <w:gridSpan w:val="6"/>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4"/>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0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89"/>
        </w:trPr>
        <w:tc>
          <w:tcPr>
            <w:tcW w:w="72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560" w:type="dxa"/>
            <w:vAlign w:val="bottom"/>
            <w:tcBorders>
              <w:top w:val="single" w:sz="8" w:color="CCEEFF"/>
            </w:tcBorders>
            <w:gridSpan w:val="2"/>
          </w:tcPr>
          <w:p>
            <w:pPr>
              <w:spacing w:after="0"/>
              <w:rPr>
                <w:sz w:val="16"/>
                <w:szCs w:val="16"/>
                <w:color w:val="auto"/>
              </w:rPr>
            </w:pPr>
          </w:p>
        </w:tc>
        <w:tc>
          <w:tcPr>
            <w:tcW w:w="6440" w:type="dxa"/>
            <w:vAlign w:val="bottom"/>
            <w:tcBorders>
              <w:top w:val="single" w:sz="8" w:color="CCEEFF"/>
            </w:tcBorders>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240" w:type="dxa"/>
            <w:vAlign w:val="bottom"/>
            <w:tcBorders>
              <w:top w:val="single" w:sz="8" w:color="CCEEFF"/>
            </w:tcBorders>
            <w:gridSpan w:val="6"/>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96</w:t>
            </w:r>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64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700" w:type="dxa"/>
            <w:vAlign w:val="bottom"/>
            <w:gridSpan w:val="8"/>
            <w:shd w:val="clear" w:color="auto" w:fill="CCEEFF"/>
          </w:tcPr>
          <w:p>
            <w:pPr>
              <w:jc w:val="center"/>
              <w:ind w:left="490"/>
              <w:spacing w:after="0" w:line="189" w:lineRule="exact"/>
              <w:rPr>
                <w:sz w:val="20"/>
                <w:szCs w:val="20"/>
                <w:color w:val="auto"/>
              </w:rPr>
            </w:pPr>
            <w:r>
              <w:rPr>
                <w:rFonts w:ascii="Times New Roman" w:cs="Times New Roman" w:eastAsia="Times New Roman" w:hAnsi="Times New Roman"/>
                <w:sz w:val="18"/>
                <w:szCs w:val="18"/>
                <w:color w:val="0000FF"/>
              </w:rPr>
              <w:t>101</w:t>
            </w:r>
          </w:p>
        </w:tc>
        <w:tc>
          <w:tcPr>
            <w:tcW w:w="200" w:type="dxa"/>
            <w:vAlign w:val="bottom"/>
            <w:shd w:val="clear" w:color="auto" w:fill="CCEEFF"/>
          </w:tcPr>
          <w:p>
            <w:pPr>
              <w:spacing w:after="0"/>
              <w:rPr>
                <w:sz w:val="18"/>
                <w:szCs w:val="18"/>
                <w:color w:val="auto"/>
              </w:rPr>
            </w:pPr>
          </w:p>
        </w:tc>
      </w:tr>
      <w:tr>
        <w:trPr>
          <w:trHeight w:val="324"/>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189"/>
        </w:trPr>
        <w:tc>
          <w:tcPr>
            <w:tcW w:w="77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700" w:type="dxa"/>
            <w:vAlign w:val="bottom"/>
            <w:gridSpan w:val="8"/>
            <w:shd w:val="clear" w:color="auto" w:fill="CCEEFF"/>
          </w:tcPr>
          <w:p>
            <w:pPr>
              <w:jc w:val="center"/>
              <w:ind w:left="49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both"/>
        <w:spacing w:after="0" w:line="186" w:lineRule="auto"/>
        <w:rPr>
          <w:sz w:val="20"/>
          <w:szCs w:val="20"/>
          <w:color w:val="auto"/>
        </w:rPr>
      </w:pPr>
      <w:r>
        <w:rPr>
          <w:rFonts w:ascii="Times New Roman" w:cs="Times New Roman" w:eastAsia="Times New Roman" w:hAnsi="Times New Roman"/>
          <w:sz w:val="17"/>
          <w:szCs w:val="17"/>
          <w:color w:val="auto"/>
        </w:rPr>
        <w:t>"Altibodies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"ARCALYST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"Evkeeza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"Inmazeb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"Libtayo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"Praluent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(in the United States), "REGEN-COV</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725170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(aflibercept) Injection,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(dupilumab) Injection,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(cemiplimab) Injection,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(alirocumab) Injection,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(sarilumab) Injection, Evkeeza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(evinacumab), aflibercept 8 mg, pozelimab, odronextamab, itepekimab, fianlimab, garetosmab, linvoseltamab, REGN5713-5714-5715,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those listed above;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and Bayer (or their respective affiliated companies, as applicable), to be cancelled or terminated; and risks associated with intellectual property of other parties and pending or future litigation relating thereto (including without limitation the patent litigation and other related proceedings described further in Note 16 to our Consolidated Financial Statements included in this report), other litigation and other proceedings and government investigations relating to the Company and/or its operations (including without limitation those described in Note 16 to our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pain, hematologic conditions, infectious diseases, and rare diseases.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medicines for preventing and treating human diseases.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p>
      <w:pPr>
        <w:spacing w:after="0" w:line="275"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8,497.1</w:t>
            </w: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3,513.2</w:t>
            </w:r>
          </w:p>
        </w:tc>
      </w:tr>
      <w:tr>
        <w:trPr>
          <w:trHeight w:val="22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30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0"/>
                <w:szCs w:val="20"/>
                <w:color w:val="auto"/>
              </w:rPr>
            </w:pPr>
          </w:p>
        </w:tc>
        <w:tc>
          <w:tcPr>
            <w:tcW w:w="342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5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EU</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200" w:type="dxa"/>
            <w:vAlign w:val="bottom"/>
            <w:gridSpan w:val="2"/>
          </w:tcPr>
          <w:p>
            <w:pPr>
              <w:jc w:val="center"/>
              <w:ind w:right="300"/>
              <w:spacing w:after="0" w:line="236" w:lineRule="exact"/>
              <w:rPr>
                <w:sz w:val="20"/>
                <w:szCs w:val="20"/>
                <w:color w:val="auto"/>
              </w:rPr>
            </w:pPr>
            <w:r>
              <w:rPr>
                <w:rFonts w:ascii="Times New Roman" w:cs="Times New Roman" w:eastAsia="Times New Roman" w:hAnsi="Times New Roman"/>
                <w:sz w:val="18"/>
                <w:szCs w:val="18"/>
                <w:b w:val="1"/>
                <w:bCs w:val="1"/>
                <w:color w:val="auto"/>
                <w:w w:val="93"/>
              </w:rPr>
              <w:t>ROW</w:t>
            </w:r>
            <w:r>
              <w:rPr>
                <w:rFonts w:ascii="Times New Roman" w:cs="Times New Roman" w:eastAsia="Times New Roman" w:hAnsi="Times New Roman"/>
                <w:sz w:val="23"/>
                <w:szCs w:val="23"/>
                <w:b w:val="1"/>
                <w:bCs w:val="1"/>
                <w:color w:val="auto"/>
                <w:w w:val="93"/>
                <w:vertAlign w:val="superscript"/>
              </w:rPr>
              <w:t>(e)</w:t>
            </w:r>
          </w:p>
        </w:tc>
      </w:tr>
      <w:tr>
        <w:trPr>
          <w:trHeight w:val="169"/>
        </w:trPr>
        <w:tc>
          <w:tcPr>
            <w:tcW w:w="300" w:type="dxa"/>
            <w:vAlign w:val="bottom"/>
          </w:tcPr>
          <w:p>
            <w:pPr>
              <w:spacing w:after="0"/>
              <w:rPr>
                <w:sz w:val="14"/>
                <w:szCs w:val="14"/>
                <w:color w:val="auto"/>
              </w:rPr>
            </w:pPr>
          </w:p>
        </w:tc>
        <w:tc>
          <w:tcPr>
            <w:tcW w:w="30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EYLEA (aflibercept) Injection</w:t>
            </w:r>
            <w:r>
              <w:rPr>
                <w:rFonts w:ascii="Times New Roman" w:cs="Times New Roman" w:eastAsia="Times New Roman" w:hAnsi="Times New Roman"/>
                <w:sz w:val="19"/>
                <w:szCs w:val="19"/>
                <w:color w:val="auto"/>
                <w:vertAlign w:val="superscript"/>
              </w:rPr>
              <w:t>(a)</w:t>
            </w:r>
          </w:p>
        </w:tc>
        <w:tc>
          <w:tcPr>
            <w:tcW w:w="120" w:type="dxa"/>
            <w:vAlign w:val="bottom"/>
            <w:tcBorders>
              <w:top w:val="single" w:sz="8" w:color="CCEEFF"/>
            </w:tcBorders>
            <w:shd w:val="clear" w:color="auto" w:fill="CCEEFF"/>
          </w:tcPr>
          <w:p>
            <w:pPr>
              <w:spacing w:after="0"/>
              <w:rPr>
                <w:sz w:val="14"/>
                <w:szCs w:val="14"/>
                <w:color w:val="auto"/>
              </w:rPr>
            </w:pPr>
          </w:p>
        </w:tc>
        <w:tc>
          <w:tcPr>
            <w:tcW w:w="34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Neovascular age-related macular degeneration</w:t>
            </w: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239"/>
        </w:trPr>
        <w:tc>
          <w:tcPr>
            <w:tcW w:w="300" w:type="dxa"/>
            <w:vAlign w:val="bottom"/>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("wet AMD")</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center"/>
              <w:ind w:left="230"/>
              <w:spacing w:after="0"/>
              <w:rPr>
                <w:sz w:val="20"/>
                <w:szCs w:val="20"/>
                <w:color w:val="auto"/>
              </w:rPr>
            </w:pPr>
            <w:r>
              <w:rPr>
                <w:rFonts w:ascii="Webdings" w:cs="Webdings" w:eastAsia="Webdings" w:hAnsi="Webdings"/>
                <w:sz w:val="18"/>
                <w:szCs w:val="18"/>
                <w:b w:val="1"/>
                <w:bCs w:val="1"/>
                <w:color w:val="auto"/>
                <w:w w:val="99"/>
              </w:rPr>
              <w:t>a</w:t>
            </w: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20"/>
                <w:szCs w:val="20"/>
                <w:color w:val="auto"/>
              </w:rPr>
            </w:pPr>
          </w:p>
        </w:tc>
      </w:tr>
      <w:tr>
        <w:trPr>
          <w:trHeight w:val="227"/>
        </w:trPr>
        <w:tc>
          <w:tcPr>
            <w:tcW w:w="30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30"/>
              <w:spacing w:after="0"/>
              <w:rPr>
                <w:sz w:val="20"/>
                <w:szCs w:val="20"/>
                <w:color w:val="auto"/>
              </w:rPr>
            </w:pPr>
            <w:r>
              <w:rPr>
                <w:rFonts w:ascii="Webdings" w:cs="Webdings" w:eastAsia="Webdings" w:hAnsi="Webdings"/>
                <w:sz w:val="18"/>
                <w:szCs w:val="18"/>
                <w:b w:val="1"/>
                <w:bCs w:val="1"/>
                <w:color w:val="auto"/>
                <w:w w:val="99"/>
              </w:rPr>
              <w:t>a</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19"/>
                <w:szCs w:val="19"/>
                <w:color w:val="auto"/>
              </w:rPr>
            </w:pPr>
          </w:p>
        </w:tc>
      </w:tr>
      <w:tr>
        <w:trPr>
          <w:trHeight w:val="169"/>
        </w:trPr>
        <w:tc>
          <w:tcPr>
            <w:tcW w:w="300" w:type="dxa"/>
            <w:vAlign w:val="bottom"/>
          </w:tcPr>
          <w:p>
            <w:pPr>
              <w:spacing w:after="0"/>
              <w:rPr>
                <w:sz w:val="14"/>
                <w:szCs w:val="14"/>
                <w:color w:val="auto"/>
              </w:rPr>
            </w:pPr>
          </w:p>
        </w:tc>
        <w:tc>
          <w:tcPr>
            <w:tcW w:w="30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Macular edema following retinal vein</w:t>
            </w: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00" w:type="dxa"/>
            <w:vAlign w:val="bottom"/>
          </w:tcPr>
          <w:p>
            <w:pPr>
              <w:spacing w:after="0"/>
              <w:rPr>
                <w:sz w:val="14"/>
                <w:szCs w:val="14"/>
                <w:color w:val="auto"/>
              </w:rPr>
            </w:pPr>
          </w:p>
        </w:tc>
      </w:tr>
      <w:tr>
        <w:trPr>
          <w:trHeight w:val="184"/>
        </w:trPr>
        <w:tc>
          <w:tcPr>
            <w:tcW w:w="300" w:type="dxa"/>
            <w:vAlign w:val="bottom"/>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occlusion ("RVO"), which includes macular</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r>
      <w:tr>
        <w:trPr>
          <w:trHeight w:val="180"/>
        </w:trPr>
        <w:tc>
          <w:tcPr>
            <w:tcW w:w="30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edema following central retinal vein occlusion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("CRVO") and macular edema following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r>
      <w:tr>
        <w:trPr>
          <w:trHeight w:val="239"/>
        </w:trPr>
        <w:tc>
          <w:tcPr>
            <w:tcW w:w="30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branch retinal vein occlusion ("BRVO")</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230"/>
              <w:spacing w:after="0"/>
              <w:rPr>
                <w:sz w:val="20"/>
                <w:szCs w:val="20"/>
                <w:color w:val="auto"/>
              </w:rPr>
            </w:pPr>
            <w:r>
              <w:rPr>
                <w:rFonts w:ascii="Webdings" w:cs="Webdings" w:eastAsia="Webdings" w:hAnsi="Webdings"/>
                <w:sz w:val="18"/>
                <w:szCs w:val="18"/>
                <w:b w:val="1"/>
                <w:bCs w:val="1"/>
                <w:color w:val="auto"/>
                <w:w w:val="99"/>
              </w:rPr>
              <w:t>a</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20"/>
                <w:szCs w:val="20"/>
                <w:color w:val="auto"/>
              </w:rPr>
            </w:pPr>
          </w:p>
        </w:tc>
      </w:tr>
      <w:tr>
        <w:trPr>
          <w:trHeight w:val="173"/>
        </w:trPr>
        <w:tc>
          <w:tcPr>
            <w:tcW w:w="300" w:type="dxa"/>
            <w:vAlign w:val="bottom"/>
          </w:tcPr>
          <w:p>
            <w:pPr>
              <w:spacing w:after="0"/>
              <w:rPr>
                <w:sz w:val="15"/>
                <w:szCs w:val="15"/>
                <w:color w:val="auto"/>
              </w:rPr>
            </w:pPr>
          </w:p>
        </w:tc>
        <w:tc>
          <w:tcPr>
            <w:tcW w:w="30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20" w:type="dxa"/>
            <w:vAlign w:val="bottom"/>
            <w:tcBorders>
              <w:top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Myopic choroidal neovascularization</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00" w:type="dxa"/>
            <w:vAlign w:val="bottom"/>
          </w:tcPr>
          <w:p>
            <w:pPr>
              <w:spacing w:after="0"/>
              <w:rPr>
                <w:sz w:val="15"/>
                <w:szCs w:val="15"/>
                <w:color w:val="auto"/>
              </w:rPr>
            </w:pPr>
          </w:p>
        </w:tc>
      </w:tr>
      <w:tr>
        <w:trPr>
          <w:trHeight w:val="239"/>
        </w:trPr>
        <w:tc>
          <w:tcPr>
            <w:tcW w:w="30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("mCNV")</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230"/>
              <w:spacing w:after="0"/>
              <w:rPr>
                <w:sz w:val="20"/>
                <w:szCs w:val="20"/>
                <w:color w:val="auto"/>
              </w:rPr>
            </w:pPr>
            <w:r>
              <w:rPr>
                <w:rFonts w:ascii="Webdings" w:cs="Webdings" w:eastAsia="Webdings" w:hAnsi="Webdings"/>
                <w:sz w:val="18"/>
                <w:szCs w:val="18"/>
                <w:b w:val="1"/>
                <w:bCs w:val="1"/>
                <w:color w:val="auto"/>
                <w:w w:val="99"/>
              </w:rPr>
              <w:t>a</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20"/>
                <w:szCs w:val="20"/>
                <w:color w:val="auto"/>
              </w:rPr>
            </w:pPr>
          </w:p>
        </w:tc>
      </w:tr>
      <w:tr>
        <w:trPr>
          <w:trHeight w:val="227"/>
        </w:trPr>
        <w:tc>
          <w:tcPr>
            <w:tcW w:w="300" w:type="dxa"/>
            <w:vAlign w:val="bottom"/>
          </w:tcPr>
          <w:p>
            <w:pPr>
              <w:spacing w:after="0"/>
              <w:rPr>
                <w:sz w:val="19"/>
                <w:szCs w:val="19"/>
                <w:color w:val="auto"/>
              </w:rPr>
            </w:pPr>
          </w:p>
        </w:tc>
        <w:tc>
          <w:tcPr>
            <w:tcW w:w="3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 ("DR")</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Neovascular glaucoma ("NVG")</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230"/>
              <w:spacing w:after="0"/>
              <w:rPr>
                <w:sz w:val="20"/>
                <w:szCs w:val="20"/>
                <w:color w:val="auto"/>
              </w:rPr>
            </w:pPr>
            <w:r>
              <w:rPr>
                <w:rFonts w:ascii="Webdings" w:cs="Webdings" w:eastAsia="Webdings" w:hAnsi="Webdings"/>
                <w:sz w:val="18"/>
                <w:szCs w:val="18"/>
                <w:b w:val="1"/>
                <w:bCs w:val="1"/>
                <w:color w:val="auto"/>
                <w:w w:val="99"/>
              </w:rPr>
              <w:t>a</w:t>
            </w: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30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Atopic dermatitis (in adults and adolescents)</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center"/>
              <w:ind w:left="230"/>
              <w:spacing w:after="0"/>
              <w:rPr>
                <w:sz w:val="20"/>
                <w:szCs w:val="20"/>
                <w:color w:val="auto"/>
              </w:rPr>
            </w:pPr>
            <w:r>
              <w:rPr>
                <w:rFonts w:ascii="Webdings" w:cs="Webdings" w:eastAsia="Webdings" w:hAnsi="Webdings"/>
                <w:sz w:val="18"/>
                <w:szCs w:val="18"/>
                <w:b w:val="1"/>
                <w:bCs w:val="1"/>
                <w:color w:val="auto"/>
                <w:w w:val="99"/>
              </w:rPr>
              <w:t>a</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19"/>
                <w:szCs w:val="19"/>
                <w:color w:val="auto"/>
              </w:rPr>
            </w:pPr>
          </w:p>
        </w:tc>
      </w:tr>
      <w:tr>
        <w:trPr>
          <w:trHeight w:val="169"/>
        </w:trPr>
        <w:tc>
          <w:tcPr>
            <w:tcW w:w="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Atopic dermatitis (in pediatrics 6–11 years of</w:t>
            </w:r>
          </w:p>
        </w:tc>
        <w:tc>
          <w:tcPr>
            <w:tcW w:w="12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4"/>
                <w:szCs w:val="14"/>
                <w:color w:val="auto"/>
              </w:rPr>
            </w:pPr>
          </w:p>
        </w:tc>
        <w:tc>
          <w:tcPr>
            <w:tcW w:w="580" w:type="dxa"/>
            <w:vAlign w:val="bottom"/>
          </w:tcPr>
          <w:p>
            <w:pPr>
              <w:jc w:val="center"/>
              <w:ind w:left="23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line="169" w:lineRule="exact"/>
              <w:rPr>
                <w:sz w:val="20"/>
                <w:szCs w:val="20"/>
                <w:color w:val="auto"/>
              </w:rPr>
            </w:pPr>
            <w:r>
              <w:rPr>
                <w:rFonts w:ascii="Webdings" w:cs="Webdings" w:eastAsia="Webdings" w:hAnsi="Webdings"/>
                <w:sz w:val="18"/>
                <w:szCs w:val="18"/>
                <w:b w:val="1"/>
                <w:bCs w:val="1"/>
                <w:color w:val="auto"/>
                <w:w w:val="99"/>
              </w:rPr>
              <w:t>a</w:t>
            </w:r>
          </w:p>
        </w:tc>
      </w:tr>
      <w:tr>
        <w:trPr>
          <w:trHeight w:val="239"/>
        </w:trPr>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173"/>
        </w:trPr>
        <w:tc>
          <w:tcPr>
            <w:tcW w:w="3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Atopic dermatitis (in pediatrics 6 months–5</w:t>
            </w:r>
          </w:p>
        </w:tc>
        <w:tc>
          <w:tcPr>
            <w:tcW w:w="120" w:type="dxa"/>
            <w:vAlign w:val="bottom"/>
          </w:tcPr>
          <w:p>
            <w:pPr>
              <w:spacing w:after="0"/>
              <w:rPr>
                <w:sz w:val="15"/>
                <w:szCs w:val="15"/>
                <w:color w:val="auto"/>
              </w:rPr>
            </w:pPr>
          </w:p>
        </w:tc>
        <w:tc>
          <w:tcPr>
            <w:tcW w:w="900" w:type="dxa"/>
            <w:vAlign w:val="bottom"/>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00"/>
              <w:spacing w:after="0" w:line="174" w:lineRule="exact"/>
              <w:rPr>
                <w:sz w:val="20"/>
                <w:szCs w:val="20"/>
                <w:color w:val="auto"/>
              </w:rPr>
            </w:pPr>
            <w:r>
              <w:rPr>
                <w:rFonts w:ascii="Webdings" w:cs="Webdings" w:eastAsia="Webdings" w:hAnsi="Webdings"/>
                <w:sz w:val="18"/>
                <w:szCs w:val="18"/>
                <w:b w:val="1"/>
                <w:bCs w:val="1"/>
                <w:color w:val="auto"/>
                <w:w w:val="99"/>
              </w:rPr>
              <w:t>a</w:t>
            </w:r>
          </w:p>
        </w:tc>
      </w:tr>
      <w:tr>
        <w:trPr>
          <w:trHeight w:val="239"/>
        </w:trPr>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of age)</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7"/>
        </w:trPr>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center"/>
              <w:ind w:left="230"/>
              <w:spacing w:after="0"/>
              <w:rPr>
                <w:sz w:val="20"/>
                <w:szCs w:val="20"/>
                <w:color w:val="auto"/>
              </w:rPr>
            </w:pPr>
            <w:r>
              <w:rPr>
                <w:rFonts w:ascii="Webdings" w:cs="Webdings" w:eastAsia="Webdings" w:hAnsi="Webdings"/>
                <w:sz w:val="18"/>
                <w:szCs w:val="18"/>
                <w:b w:val="1"/>
                <w:bCs w:val="1"/>
                <w:color w:val="auto"/>
                <w:w w:val="99"/>
              </w:rPr>
              <w:t>a</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center"/>
              <w:ind w:left="230"/>
              <w:spacing w:after="0"/>
              <w:rPr>
                <w:sz w:val="20"/>
                <w:szCs w:val="20"/>
                <w:color w:val="auto"/>
              </w:rPr>
            </w:pPr>
            <w:r>
              <w:rPr>
                <w:rFonts w:ascii="Webdings" w:cs="Webdings" w:eastAsia="Webdings" w:hAnsi="Webdings"/>
                <w:sz w:val="18"/>
                <w:szCs w:val="18"/>
                <w:b w:val="1"/>
                <w:bCs w:val="1"/>
                <w:color w:val="auto"/>
                <w:w w:val="99"/>
              </w:rPr>
              <w:t>a</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19"/>
                <w:szCs w:val="19"/>
                <w:color w:val="auto"/>
              </w:rPr>
            </w:pPr>
          </w:p>
        </w:tc>
      </w:tr>
      <w:tr>
        <w:trPr>
          <w:trHeight w:val="169"/>
        </w:trPr>
        <w:tc>
          <w:tcPr>
            <w:tcW w:w="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2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4"/>
                <w:szCs w:val="14"/>
                <w:color w:val="auto"/>
              </w:rPr>
            </w:pPr>
          </w:p>
        </w:tc>
        <w:tc>
          <w:tcPr>
            <w:tcW w:w="580" w:type="dxa"/>
            <w:vAlign w:val="bottom"/>
          </w:tcPr>
          <w:p>
            <w:pPr>
              <w:jc w:val="center"/>
              <w:ind w:left="23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200" w:type="dxa"/>
            <w:vAlign w:val="bottom"/>
            <w:gridSpan w:val="2"/>
          </w:tcPr>
          <w:p>
            <w:pPr>
              <w:jc w:val="center"/>
              <w:ind w:right="300"/>
              <w:spacing w:after="0" w:line="169" w:lineRule="exact"/>
              <w:rPr>
                <w:sz w:val="20"/>
                <w:szCs w:val="20"/>
                <w:color w:val="auto"/>
              </w:rPr>
            </w:pPr>
            <w:r>
              <w:rPr>
                <w:rFonts w:ascii="Webdings" w:cs="Webdings" w:eastAsia="Webdings" w:hAnsi="Webdings"/>
                <w:sz w:val="18"/>
                <w:szCs w:val="18"/>
                <w:b w:val="1"/>
                <w:bCs w:val="1"/>
                <w:color w:val="auto"/>
                <w:w w:val="99"/>
              </w:rPr>
              <w:t>a</w:t>
            </w:r>
          </w:p>
        </w:tc>
      </w:tr>
      <w:tr>
        <w:trPr>
          <w:trHeight w:val="239"/>
        </w:trPr>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("CRSwNP")</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754"/>
        </w:trPr>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54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8"/>
        </w:trPr>
        <w:tc>
          <w:tcPr>
            <w:tcW w:w="3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00" w:type="dxa"/>
            <w:vAlign w:val="bottom"/>
            <w:tcBorders>
              <w:bottom w:val="single" w:sz="8" w:color="auto"/>
            </w:tcBorders>
          </w:tcPr>
          <w:p>
            <w:pPr>
              <w:spacing w:after="0"/>
              <w:rPr>
                <w:sz w:val="20"/>
                <w:szCs w:val="20"/>
                <w:color w:val="auto"/>
              </w:rPr>
            </w:pPr>
          </w:p>
        </w:tc>
      </w:tr>
      <w:tr>
        <w:trPr>
          <w:trHeight w:val="237"/>
        </w:trPr>
        <w:tc>
          <w:tcPr>
            <w:tcW w:w="3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4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EU</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3"/>
              </w:rPr>
              <w:t>ROW</w:t>
            </w:r>
            <w:r>
              <w:rPr>
                <w:rFonts w:ascii="Times New Roman" w:cs="Times New Roman" w:eastAsia="Times New Roman" w:hAnsi="Times New Roman"/>
                <w:sz w:val="23"/>
                <w:szCs w:val="23"/>
                <w:b w:val="1"/>
                <w:bCs w:val="1"/>
                <w:color w:val="auto"/>
                <w:w w:val="93"/>
                <w:vertAlign w:val="superscript"/>
              </w:rPr>
              <w:t>(e)</w:t>
            </w:r>
          </w:p>
        </w:tc>
      </w:tr>
      <w:tr>
        <w:trPr>
          <w:trHeight w:val="176"/>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Dupixent (dupilumab) Injection</w:t>
            </w:r>
            <w:r>
              <w:rPr>
                <w:rFonts w:ascii="Times New Roman" w:cs="Times New Roman" w:eastAsia="Times New Roman" w:hAnsi="Times New Roman"/>
                <w:sz w:val="20"/>
                <w:szCs w:val="20"/>
                <w:color w:val="auto"/>
                <w:vertAlign w:val="superscript"/>
              </w:rPr>
              <w:t>(b)</w:t>
            </w:r>
          </w:p>
        </w:tc>
        <w:tc>
          <w:tcPr>
            <w:tcW w:w="120" w:type="dxa"/>
            <w:vAlign w:val="bottom"/>
          </w:tcPr>
          <w:p>
            <w:pPr>
              <w:spacing w:after="0"/>
              <w:rPr>
                <w:sz w:val="15"/>
                <w:szCs w:val="15"/>
                <w:color w:val="auto"/>
              </w:rPr>
            </w:pPr>
          </w:p>
        </w:tc>
        <w:tc>
          <w:tcPr>
            <w:tcW w:w="3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Eosinophilic esophagitis ("EoE") (in adults</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tcPr>
          <w:p>
            <w:pPr>
              <w:jc w:val="center"/>
              <w:ind w:left="210"/>
              <w:spacing w:after="0" w:line="176" w:lineRule="exact"/>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Webdings" w:cs="Webdings" w:eastAsia="Webdings" w:hAnsi="Webdings"/>
                <w:sz w:val="18"/>
                <w:szCs w:val="18"/>
                <w:b w:val="1"/>
                <w:bCs w:val="1"/>
                <w:color w:val="auto"/>
                <w:w w:val="99"/>
              </w:rPr>
              <w:t>a</w:t>
            </w:r>
          </w:p>
        </w:tc>
      </w:tr>
      <w:tr>
        <w:trPr>
          <w:trHeight w:val="23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adolescents)</w:t>
            </w: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30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ind w:left="210"/>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78"/>
        </w:trPr>
        <w:tc>
          <w:tcPr>
            <w:tcW w:w="30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Libtayo (cemiplimab) Injection</w:t>
            </w:r>
            <w:r>
              <w:rPr>
                <w:rFonts w:ascii="Times New Roman" w:cs="Times New Roman" w:eastAsia="Times New Roman" w:hAnsi="Times New Roman"/>
                <w:sz w:val="20"/>
                <w:szCs w:val="20"/>
                <w:color w:val="auto"/>
                <w:vertAlign w:val="superscript"/>
              </w:rPr>
              <w:t>(c)</w:t>
            </w: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first-line non-</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shd w:val="clear" w:color="auto" w:fill="CCEEFF"/>
          </w:tcPr>
          <w:p>
            <w:pPr>
              <w:jc w:val="center"/>
              <w:ind w:left="21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r>
      <w:tr>
        <w:trPr>
          <w:trHeight w:val="234"/>
        </w:trPr>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cell lung cancer ("NSCLC")</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r>
        <w:trPr>
          <w:trHeight w:val="178"/>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first-line</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4"/>
        </w:trPr>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NSCLC (in combination with chemotherapy)</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r>
        <w:trPr>
          <w:trHeight w:val="178"/>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basal cell</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shd w:val="clear" w:color="auto" w:fill="CCEEFF"/>
          </w:tcPr>
          <w:p>
            <w:pPr>
              <w:jc w:val="center"/>
              <w:ind w:left="21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r>
      <w:tr>
        <w:trPr>
          <w:trHeight w:val="234"/>
        </w:trPr>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carcinoma ("BCC")</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r>
        <w:trPr>
          <w:trHeight w:val="178"/>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shd w:val="clear" w:color="auto" w:fill="CCEEFF"/>
          </w:tcPr>
          <w:p>
            <w:pPr>
              <w:jc w:val="center"/>
              <w:ind w:left="21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r>
      <w:tr>
        <w:trPr>
          <w:trHeight w:val="234"/>
        </w:trPr>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r>
        <w:trPr>
          <w:trHeight w:val="178"/>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Metastatic or recurrent second-line cervical</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1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r>
      <w:tr>
        <w:trPr>
          <w:trHeight w:val="234"/>
        </w:trPr>
        <w:tc>
          <w:tcPr>
            <w:tcW w:w="30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cancer</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r>
        <w:trPr>
          <w:trHeight w:val="178"/>
        </w:trPr>
        <w:tc>
          <w:tcPr>
            <w:tcW w:w="308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Praluent (alirocumab) Injection</w:t>
            </w:r>
            <w:r>
              <w:rPr>
                <w:rFonts w:ascii="Times New Roman" w:cs="Times New Roman" w:eastAsia="Times New Roman" w:hAnsi="Times New Roman"/>
                <w:sz w:val="20"/>
                <w:szCs w:val="20"/>
                <w:color w:val="auto"/>
                <w:vertAlign w:val="superscript"/>
              </w:rPr>
              <w:t>(d)</w:t>
            </w:r>
          </w:p>
        </w:tc>
        <w:tc>
          <w:tcPr>
            <w:tcW w:w="120" w:type="dxa"/>
            <w:vAlign w:val="bottom"/>
          </w:tcPr>
          <w:p>
            <w:pPr>
              <w:spacing w:after="0"/>
              <w:rPr>
                <w:sz w:val="15"/>
                <w:szCs w:val="15"/>
                <w:color w:val="auto"/>
              </w:rPr>
            </w:pPr>
          </w:p>
        </w:tc>
        <w:tc>
          <w:tcPr>
            <w:tcW w:w="3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tcPr>
          <w:p>
            <w:pPr>
              <w:jc w:val="center"/>
              <w:ind w:left="21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r>
      <w:tr>
        <w:trPr>
          <w:trHeight w:val="180"/>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atherosclerotic cardiovascular disease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("ASCVD")</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78"/>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tcPr>
          <w:p>
            <w:pPr>
              <w:jc w:val="center"/>
              <w:ind w:left="21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r>
      <w:tr>
        <w:trPr>
          <w:trHeight w:val="234"/>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78"/>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4"/>
        </w:trPr>
        <w:tc>
          <w:tcPr>
            <w:tcW w:w="30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30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210"/>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74"/>
        </w:trPr>
        <w:tc>
          <w:tcPr>
            <w:tcW w:w="30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Kevzara (sarilumab) Solution for</w:t>
            </w:r>
          </w:p>
        </w:tc>
        <w:tc>
          <w:tcPr>
            <w:tcW w:w="120" w:type="dxa"/>
            <w:vAlign w:val="bottom"/>
          </w:tcPr>
          <w:p>
            <w:pPr>
              <w:spacing w:after="0"/>
              <w:rPr>
                <w:sz w:val="15"/>
                <w:szCs w:val="15"/>
                <w:color w:val="auto"/>
              </w:rPr>
            </w:pPr>
          </w:p>
        </w:tc>
        <w:tc>
          <w:tcPr>
            <w:tcW w:w="34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tcPr>
          <w:p>
            <w:pPr>
              <w:jc w:val="center"/>
              <w:ind w:left="21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00" w:type="dxa"/>
            <w:vAlign w:val="bottom"/>
          </w:tcPr>
          <w:p>
            <w:pPr>
              <w:jc w:val="center"/>
              <w:spacing w:after="0" w:line="175" w:lineRule="exact"/>
              <w:rPr>
                <w:sz w:val="20"/>
                <w:szCs w:val="20"/>
                <w:color w:val="auto"/>
              </w:rPr>
            </w:pPr>
            <w:r>
              <w:rPr>
                <w:rFonts w:ascii="Webdings" w:cs="Webdings" w:eastAsia="Webdings" w:hAnsi="Webdings"/>
                <w:sz w:val="18"/>
                <w:szCs w:val="18"/>
                <w:b w:val="1"/>
                <w:bCs w:val="1"/>
                <w:color w:val="auto"/>
                <w:w w:val="99"/>
              </w:rPr>
              <w:t>a</w:t>
            </w:r>
          </w:p>
        </w:tc>
      </w:tr>
      <w:tr>
        <w:trPr>
          <w:trHeight w:val="238"/>
        </w:trPr>
        <w:tc>
          <w:tcPr>
            <w:tcW w:w="308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Subcutaneous Injection</w:t>
            </w:r>
            <w:r>
              <w:rPr>
                <w:rFonts w:ascii="Times New Roman" w:cs="Times New Roman" w:eastAsia="Times New Roman" w:hAnsi="Times New Roman"/>
                <w:sz w:val="23"/>
                <w:szCs w:val="23"/>
                <w:color w:val="auto"/>
                <w:vertAlign w:val="superscript"/>
              </w:rPr>
              <w:t>(b)</w:t>
            </w: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30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Evkeeza (evinacumab) Injection</w:t>
            </w:r>
            <w:r>
              <w:rPr>
                <w:rFonts w:ascii="Times New Roman" w:cs="Times New Roman" w:eastAsia="Times New Roman" w:hAnsi="Times New Roman"/>
                <w:sz w:val="23"/>
                <w:szCs w:val="23"/>
                <w:color w:val="auto"/>
                <w:vertAlign w:val="superscript"/>
              </w:rPr>
              <w:t>(g)</w:t>
            </w:r>
          </w:p>
        </w:tc>
        <w:tc>
          <w:tcPr>
            <w:tcW w:w="120" w:type="dxa"/>
            <w:vAlign w:val="bottom"/>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 (in adults and adolescents)</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210"/>
              <w:spacing w:after="0"/>
              <w:rPr>
                <w:sz w:val="20"/>
                <w:szCs w:val="20"/>
                <w:color w:val="auto"/>
              </w:rPr>
            </w:pPr>
            <w:r>
              <w:rPr>
                <w:rFonts w:ascii="Webdings" w:cs="Webdings" w:eastAsia="Webdings" w:hAnsi="Webdings"/>
                <w:sz w:val="18"/>
                <w:szCs w:val="18"/>
                <w:b w:val="1"/>
                <w:bCs w:val="1"/>
                <w:color w:val="auto"/>
                <w:w w:val="99"/>
              </w:rPr>
              <w:t>a</w:t>
            </w: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78"/>
        </w:trPr>
        <w:tc>
          <w:tcPr>
            <w:tcW w:w="308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20" w:type="dxa"/>
            <w:vAlign w:val="bottom"/>
          </w:tcPr>
          <w:p>
            <w:pPr>
              <w:spacing w:after="0"/>
              <w:rPr>
                <w:sz w:val="15"/>
                <w:szCs w:val="15"/>
                <w:color w:val="auto"/>
              </w:rPr>
            </w:pPr>
          </w:p>
        </w:tc>
        <w:tc>
          <w:tcPr>
            <w:tcW w:w="3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4"/>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odesivimab-ebgn) Injection</w:t>
            </w: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74"/>
        </w:trPr>
        <w:tc>
          <w:tcPr>
            <w:tcW w:w="30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 for</w:t>
            </w: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Cryopyrin-associated periodic syndromes</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4"/>
        </w:trPr>
        <w:tc>
          <w:tcPr>
            <w:tcW w:w="3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Subcutaneous Use</w:t>
            </w:r>
            <w:r>
              <w:rPr>
                <w:rFonts w:ascii="Times New Roman" w:cs="Times New Roman" w:eastAsia="Times New Roman" w:hAnsi="Times New Roman"/>
                <w:sz w:val="21"/>
                <w:szCs w:val="21"/>
                <w:color w:val="auto"/>
                <w:vertAlign w:val="superscript"/>
              </w:rPr>
              <w:t>(h)</w:t>
            </w: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("CAPS"), including familial cold auto-</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inflammatory syndrome ("FCAS") and</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4"/>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Muckle-Wells syndrome ("MWS") (in adults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34"/>
        </w:trPr>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adolescents)</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r>
        <w:trPr>
          <w:trHeight w:val="178"/>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4"/>
        </w:trPr>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("DIRA") (in adults and pediatrics)</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r>
        <w:trPr>
          <w:trHeight w:val="178"/>
        </w:trPr>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Recurrent pericarditis (in adults and</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4"/>
        </w:trPr>
        <w:tc>
          <w:tcPr>
            <w:tcW w:w="30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r>
        <w:trPr>
          <w:trHeight w:val="174"/>
        </w:trPr>
        <w:tc>
          <w:tcPr>
            <w:tcW w:w="308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20" w:type="dxa"/>
            <w:vAlign w:val="bottom"/>
          </w:tcPr>
          <w:p>
            <w:pPr>
              <w:spacing w:after="0"/>
              <w:rPr>
                <w:sz w:val="15"/>
                <w:szCs w:val="15"/>
                <w:color w:val="auto"/>
              </w:rPr>
            </w:pPr>
          </w:p>
        </w:tc>
        <w:tc>
          <w:tcPr>
            <w:tcW w:w="34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600" w:type="dxa"/>
            <w:vAlign w:val="bottom"/>
          </w:tcPr>
          <w:p>
            <w:pPr>
              <w:jc w:val="center"/>
              <w:ind w:left="21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00" w:type="dxa"/>
            <w:vAlign w:val="bottom"/>
          </w:tcPr>
          <w:p>
            <w:pPr>
              <w:jc w:val="center"/>
              <w:spacing w:after="0" w:line="175" w:lineRule="exact"/>
              <w:rPr>
                <w:sz w:val="20"/>
                <w:szCs w:val="20"/>
                <w:color w:val="auto"/>
              </w:rPr>
            </w:pPr>
            <w:r>
              <w:rPr>
                <w:rFonts w:ascii="Webdings" w:cs="Webdings" w:eastAsia="Webdings" w:hAnsi="Webdings"/>
                <w:sz w:val="18"/>
                <w:szCs w:val="18"/>
                <w:b w:val="1"/>
                <w:bCs w:val="1"/>
                <w:color w:val="auto"/>
                <w:w w:val="99"/>
              </w:rPr>
              <w:t>a</w:t>
            </w:r>
          </w:p>
        </w:tc>
      </w:tr>
      <w:tr>
        <w:trPr>
          <w:trHeight w:val="238"/>
        </w:trPr>
        <w:tc>
          <w:tcPr>
            <w:tcW w:w="308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(i)</w:t>
            </w:r>
          </w:p>
        </w:tc>
        <w:tc>
          <w:tcPr>
            <w:tcW w:w="1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bl>
    <w:p>
      <w:pPr>
        <w:spacing w:after="0" w:line="81" w:lineRule="exact"/>
        <w:rPr>
          <w:sz w:val="20"/>
          <w:szCs w:val="20"/>
          <w:color w:val="auto"/>
        </w:rPr>
      </w:pPr>
    </w:p>
    <w:p>
      <w:pPr>
        <w:ind w:left="480" w:right="60"/>
        <w:spacing w:after="0"/>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spacing w:after="0" w:line="118" w:lineRule="exact"/>
        <w:rPr>
          <w:sz w:val="20"/>
          <w:szCs w:val="20"/>
          <w:color w:val="auto"/>
        </w:rPr>
      </w:pPr>
    </w:p>
    <w:p>
      <w:pPr>
        <w:ind w:left="660" w:hanging="175"/>
        <w:spacing w:after="0"/>
        <w:tabs>
          <w:tab w:leader="none" w:pos="66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23" w:lineRule="exact"/>
        <w:rPr>
          <w:rFonts w:ascii="Times New Roman" w:cs="Times New Roman" w:eastAsia="Times New Roman" w:hAnsi="Times New Roman"/>
          <w:sz w:val="23"/>
          <w:szCs w:val="23"/>
          <w:color w:val="auto"/>
          <w:vertAlign w:val="superscript"/>
        </w:rPr>
      </w:pPr>
    </w:p>
    <w:p>
      <w:pPr>
        <w:ind w:left="660" w:hanging="175"/>
        <w:spacing w:after="0" w:line="182" w:lineRule="auto"/>
        <w:tabs>
          <w:tab w:leader="none" w:pos="66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24" w:lineRule="exact"/>
        <w:rPr>
          <w:rFonts w:ascii="Times New Roman" w:cs="Times New Roman" w:eastAsia="Times New Roman" w:hAnsi="Times New Roman"/>
          <w:sz w:val="22"/>
          <w:szCs w:val="22"/>
          <w:color w:val="auto"/>
          <w:vertAlign w:val="superscript"/>
        </w:rPr>
      </w:pPr>
    </w:p>
    <w:p>
      <w:pPr>
        <w:ind w:left="480" w:right="660" w:firstLine="5"/>
        <w:spacing w:after="0" w:line="194" w:lineRule="auto"/>
        <w:tabs>
          <w:tab w:leader="none" w:pos="65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 prior to July 2022. Effective July 2022, the Company is solely responsible for the development, commercialization, and manufacturing of Libtayo. Refer to "Collaboration, License, and Other Agreements" section below for further details.</w:t>
      </w:r>
    </w:p>
    <w:p>
      <w:pPr>
        <w:spacing w:after="0" w:line="6" w:lineRule="exact"/>
        <w:rPr>
          <w:rFonts w:ascii="Times New Roman" w:cs="Times New Roman" w:eastAsia="Times New Roman" w:hAnsi="Times New Roman"/>
          <w:sz w:val="22"/>
          <w:szCs w:val="22"/>
          <w:color w:val="auto"/>
          <w:vertAlign w:val="superscript"/>
        </w:rPr>
      </w:pPr>
    </w:p>
    <w:p>
      <w:pPr>
        <w:ind w:left="480" w:right="460" w:firstLine="5"/>
        <w:spacing w:after="0" w:line="204" w:lineRule="auto"/>
        <w:tabs>
          <w:tab w:leader="none" w:pos="656"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Praluent in the United States, and Sanofi is solely responsible for the development and commercialization of Praluent outside of the United States.</w:t>
      </w:r>
    </w:p>
    <w:p>
      <w:pPr>
        <w:spacing w:after="0" w:line="200" w:lineRule="exact"/>
        <w:rPr>
          <w:sz w:val="20"/>
          <w:szCs w:val="20"/>
          <w:color w:val="auto"/>
        </w:rPr>
      </w:pP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69"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0" w:right="420" w:firstLine="5"/>
        <w:spacing w:after="0" w:line="204" w:lineRule="auto"/>
        <w:tabs>
          <w:tab w:leader="none" w:pos="65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 of world ("ROW"). A checkmark in this column indicates that the product has received marketing approval in at least one country outside of the United States, European Union ("EU"), or Japan.</w:t>
      </w:r>
    </w:p>
    <w:p>
      <w:pPr>
        <w:ind w:left="640" w:hanging="155"/>
        <w:spacing w:after="0" w:line="217" w:lineRule="auto"/>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Known as REGEN-COV in the United States and Ronapreve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 other countries.</w:t>
      </w:r>
    </w:p>
    <w:p>
      <w:pPr>
        <w:ind w:left="480" w:right="360" w:firstLine="5"/>
        <w:spacing w:after="0" w:line="194" w:lineRule="auto"/>
        <w:tabs>
          <w:tab w:leader="none" w:pos="656"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Evkeeza in the United States. In January 2022, the Company entered into a license and collaboration agreement for Ultragenyx to develop and commercialize Evkeeza outside of the United States.</w:t>
      </w:r>
    </w:p>
    <w:p>
      <w:pPr>
        <w:spacing w:after="0" w:line="1" w:lineRule="exact"/>
        <w:rPr>
          <w:rFonts w:ascii="Times New Roman" w:cs="Times New Roman" w:eastAsia="Times New Roman" w:hAnsi="Times New Roman"/>
          <w:sz w:val="22"/>
          <w:szCs w:val="22"/>
          <w:color w:val="auto"/>
          <w:vertAlign w:val="superscript"/>
        </w:rPr>
      </w:pPr>
    </w:p>
    <w:p>
      <w:pPr>
        <w:ind w:left="660" w:hanging="175"/>
        <w:spacing w:after="0" w:line="217" w:lineRule="auto"/>
        <w:tabs>
          <w:tab w:leader="none" w:pos="66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Kiniksa is solely responsible for the development and commercialization of ARCALYST.</w:t>
      </w:r>
    </w:p>
    <w:p>
      <w:pPr>
        <w:spacing w:after="0" w:line="24" w:lineRule="exact"/>
        <w:rPr>
          <w:rFonts w:ascii="Times New Roman" w:cs="Times New Roman" w:eastAsia="Times New Roman" w:hAnsi="Times New Roman"/>
          <w:sz w:val="22"/>
          <w:szCs w:val="22"/>
          <w:color w:val="auto"/>
          <w:vertAlign w:val="superscript"/>
        </w:rPr>
      </w:pPr>
    </w:p>
    <w:p>
      <w:pPr>
        <w:ind w:left="640" w:hanging="155"/>
        <w:spacing w:after="0" w:line="182" w:lineRule="auto"/>
        <w:tabs>
          <w:tab w:leader="none" w:pos="6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solely responsible for the development and commercialization of ZALTRAP.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of Regeneron-discovered products consist of the following:</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23"/>
        </w:trPr>
        <w:tc>
          <w:tcPr>
            <w:tcW w:w="1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23"/>
        </w:trPr>
        <w:tc>
          <w:tcPr>
            <w:tcW w:w="1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ROW</w:t>
            </w:r>
          </w:p>
        </w:tc>
        <w:tc>
          <w:tcPr>
            <w:tcW w:w="16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178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7,767.9</w:t>
            </w:r>
          </w:p>
        </w:tc>
      </w:tr>
      <w:tr>
        <w:trPr>
          <w:trHeight w:val="229"/>
        </w:trPr>
        <w:tc>
          <w:tcPr>
            <w:tcW w:w="17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4,044.8</w:t>
            </w:r>
          </w:p>
        </w:tc>
      </w:tr>
      <w:tr>
        <w:trPr>
          <w:trHeight w:val="229"/>
        </w:trPr>
        <w:tc>
          <w:tcPr>
            <w:tcW w:w="17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30"/>
        </w:trPr>
        <w:tc>
          <w:tcPr>
            <w:tcW w:w="17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29"/>
        </w:trPr>
        <w:tc>
          <w:tcPr>
            <w:tcW w:w="17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17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29"/>
        </w:trPr>
        <w:tc>
          <w:tcPr>
            <w:tcW w:w="17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bl>
    <w:p>
      <w:pPr>
        <w:spacing w:after="0" w:line="94" w:lineRule="exact"/>
        <w:rPr>
          <w:sz w:val="20"/>
          <w:szCs w:val="20"/>
          <w:color w:val="auto"/>
        </w:rPr>
      </w:pPr>
    </w:p>
    <w:p>
      <w:pPr>
        <w:ind w:left="520" w:right="680" w:hanging="1"/>
        <w:spacing w:after="0" w:line="201" w:lineRule="auto"/>
        <w:tabs>
          <w:tab w:leader="none" w:pos="619"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10" w:lineRule="exact"/>
        <w:rPr>
          <w:sz w:val="20"/>
          <w:szCs w:val="20"/>
          <w:color w:val="auto"/>
        </w:rPr>
      </w:pPr>
    </w:p>
    <w:p>
      <w:pPr>
        <w:ind w:left="520" w:right="620" w:hanging="1"/>
        <w:spacing w:after="0" w:line="199" w:lineRule="auto"/>
        <w:tabs>
          <w:tab w:leader="none" w:pos="69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6" w:lineRule="exact"/>
        <w:rPr>
          <w:rFonts w:ascii="Times New Roman" w:cs="Times New Roman" w:eastAsia="Times New Roman" w:hAnsi="Times New Roman"/>
          <w:sz w:val="23"/>
          <w:szCs w:val="23"/>
          <w:color w:val="auto"/>
          <w:vertAlign w:val="superscript"/>
        </w:rPr>
      </w:pPr>
    </w:p>
    <w:p>
      <w:pPr>
        <w:ind w:left="520" w:right="320" w:hanging="1"/>
        <w:spacing w:after="0" w:line="204" w:lineRule="auto"/>
        <w:tabs>
          <w:tab w:leader="none" w:pos="697"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records global net product sales of Dupixent and Kevzara. The Company records its share of profits/losses in connection with global sales of Dupixent and Kevzara.</w:t>
      </w:r>
    </w:p>
    <w:p>
      <w:pPr>
        <w:spacing w:after="0" w:line="6" w:lineRule="exact"/>
        <w:rPr>
          <w:rFonts w:ascii="Times New Roman" w:cs="Times New Roman" w:eastAsia="Times New Roman" w:hAnsi="Times New Roman"/>
          <w:sz w:val="22"/>
          <w:szCs w:val="22"/>
          <w:color w:val="auto"/>
          <w:vertAlign w:val="superscript"/>
        </w:rPr>
      </w:pPr>
    </w:p>
    <w:p>
      <w:pPr>
        <w:ind w:left="520" w:right="300" w:hanging="1"/>
        <w:spacing w:after="0" w:line="206" w:lineRule="auto"/>
        <w:tabs>
          <w:tab w:leader="none" w:pos="69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began recording net product sales of Libtayo outside the United States and pays Sanofi a royalty on global sales. Refer to "Collaboration, License, and Other Agreements" section below for further details. Included in this line item is approximately $34 million of net product sales recorded by Sanofi in the second half of 2022 in connection with sales in certain markets (Sanofi will record net product sales in such markets during a transition period until inventory on hand as of July 1, 2022 is sold through to the end customers).</w:t>
      </w:r>
    </w:p>
    <w:p>
      <w:pPr>
        <w:spacing w:after="0" w:line="9" w:lineRule="exact"/>
        <w:rPr>
          <w:rFonts w:ascii="Times New Roman" w:cs="Times New Roman" w:eastAsia="Times New Roman" w:hAnsi="Times New Roman"/>
          <w:sz w:val="23"/>
          <w:szCs w:val="23"/>
          <w:color w:val="auto"/>
          <w:vertAlign w:val="superscript"/>
        </w:rPr>
      </w:pPr>
    </w:p>
    <w:p>
      <w:pPr>
        <w:ind w:left="520" w:right="320" w:hanging="1"/>
        <w:spacing w:after="0" w:line="206" w:lineRule="auto"/>
        <w:tabs>
          <w:tab w:leader="none" w:pos="697"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w:t>
      </w:r>
    </w:p>
    <w:p>
      <w:pPr>
        <w:spacing w:after="0" w:line="7" w:lineRule="exact"/>
        <w:rPr>
          <w:rFonts w:ascii="Times New Roman" w:cs="Times New Roman" w:eastAsia="Times New Roman" w:hAnsi="Times New Roman"/>
          <w:sz w:val="22"/>
          <w:szCs w:val="22"/>
          <w:color w:val="auto"/>
          <w:vertAlign w:val="superscript"/>
        </w:rPr>
      </w:pPr>
    </w:p>
    <w:p>
      <w:pPr>
        <w:ind w:left="520" w:right="460" w:hanging="1"/>
        <w:spacing w:after="0" w:line="199" w:lineRule="auto"/>
        <w:tabs>
          <w:tab w:leader="none" w:pos="69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Regeneron records net product sales of REGEN-COV in the United States and Roche records net product sales of Ronapreve outside the United States. The parties share gross profits from global sales of REGEN-COV and Ronapreve based on a pre-specified formula.</w:t>
      </w:r>
    </w:p>
    <w:p>
      <w:pPr>
        <w:spacing w:after="0" w:line="6" w:lineRule="exact"/>
        <w:rPr>
          <w:rFonts w:ascii="Times New Roman" w:cs="Times New Roman" w:eastAsia="Times New Roman" w:hAnsi="Times New Roman"/>
          <w:sz w:val="23"/>
          <w:szCs w:val="23"/>
          <w:color w:val="auto"/>
          <w:vertAlign w:val="superscript"/>
        </w:rPr>
      </w:pPr>
    </w:p>
    <w:p>
      <w:pPr>
        <w:ind w:left="520" w:right="580" w:hanging="1"/>
        <w:spacing w:after="0" w:line="202" w:lineRule="auto"/>
        <w:tabs>
          <w:tab w:leader="none" w:pos="677"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Included in this line item are products which are sold by the Company and others. Refer to Part II, Item 7. "Management's Discussion and Analysis of Financial Condition and Results of Operations - Results of Operations - Revenues" for a complete listing of net product sales recorded by the Company. Not included in this line item are net product sales of ARCALYST subsequent to the first quarter of 2021, which are recorded by Kiniksa.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 in Clinical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in clinical development, which are being developed by us and/or our collaborators, are summarized in the table below.</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160"/>
          </w:cols>
          <w:pgMar w:left="320" w:top="36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00" w:type="dxa"/>
            <w:vAlign w:val="bottom"/>
            <w:vMerge w:val="restart"/>
          </w:tcPr>
          <w:p>
            <w:pPr>
              <w:spacing w:after="0"/>
              <w:rPr>
                <w:sz w:val="17"/>
                <w:szCs w:val="17"/>
                <w:color w:val="auto"/>
              </w:rPr>
            </w:pPr>
          </w:p>
        </w:tc>
        <w:tc>
          <w:tcPr>
            <w:tcW w:w="11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80" w:type="dxa"/>
            <w:vAlign w:val="bottom"/>
            <w:vMerge w:val="restart"/>
          </w:tcPr>
          <w:p>
            <w:pPr>
              <w:spacing w:after="0"/>
              <w:rPr>
                <w:sz w:val="17"/>
                <w:szCs w:val="17"/>
                <w:color w:val="auto"/>
              </w:rPr>
            </w:pPr>
          </w:p>
        </w:tc>
        <w:tc>
          <w:tcPr>
            <w:tcW w:w="14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00" w:type="dxa"/>
            <w:vAlign w:val="bottom"/>
            <w:vMerge w:val="restart"/>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2022 and 2023</w:t>
            </w:r>
          </w:p>
        </w:tc>
        <w:tc>
          <w:tcPr>
            <w:tcW w:w="0" w:type="dxa"/>
            <w:vAlign w:val="bottom"/>
          </w:tcPr>
          <w:p>
            <w:pPr>
              <w:spacing w:after="0"/>
              <w:rPr>
                <w:sz w:val="1"/>
                <w:szCs w:val="1"/>
                <w:color w:val="auto"/>
              </w:rPr>
            </w:pPr>
          </w:p>
        </w:tc>
      </w:tr>
      <w:tr>
        <w:trPr>
          <w:trHeight w:val="240"/>
        </w:trPr>
        <w:tc>
          <w:tcPr>
            <w:tcW w:w="17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Pr>
          <w:p>
            <w:pPr>
              <w:spacing w:after="0"/>
              <w:rPr>
                <w:sz w:val="20"/>
                <w:szCs w:val="20"/>
                <w:color w:val="auto"/>
              </w:rPr>
            </w:pPr>
          </w:p>
        </w:tc>
        <w:tc>
          <w:tcPr>
            <w:tcW w:w="1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0" w:type="dxa"/>
            <w:vAlign w:val="bottom"/>
          </w:tcPr>
          <w:p>
            <w:pPr>
              <w:spacing w:after="0"/>
              <w:rPr>
                <w:sz w:val="1"/>
                <w:szCs w:val="1"/>
                <w:color w:val="auto"/>
              </w:rPr>
            </w:pPr>
          </w:p>
        </w:tc>
      </w:tr>
      <w:tr>
        <w:trPr>
          <w:trHeight w:val="304"/>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EYLEA (aflibercept)</w:t>
            </w: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–ROP</w:t>
            </w:r>
            <w:r>
              <w:rPr>
                <w:rFonts w:ascii="Times New Roman" w:cs="Times New Roman" w:eastAsia="Times New Roman" w:hAnsi="Times New Roman"/>
                <w:sz w:val="23"/>
                <w:szCs w:val="23"/>
                <w:color w:val="auto"/>
                <w:vertAlign w:val="superscript"/>
              </w:rPr>
              <w:t>(c)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–ROP (U.S.)</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pediatric</w:t>
            </w:r>
          </w:p>
        </w:tc>
        <w:tc>
          <w:tcPr>
            <w:tcW w:w="0" w:type="dxa"/>
            <w:vAlign w:val="bottom"/>
          </w:tcPr>
          <w:p>
            <w:pPr>
              <w:spacing w:after="0"/>
              <w:rPr>
                <w:sz w:val="1"/>
                <w:szCs w:val="1"/>
                <w:color w:val="auto"/>
              </w:rPr>
            </w:pPr>
          </w:p>
        </w:tc>
      </w:tr>
      <w:tr>
        <w:trPr>
          <w:trHeight w:val="152"/>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exclusivity by U.S. Food</w:t>
            </w:r>
          </w:p>
        </w:tc>
        <w:tc>
          <w:tcPr>
            <w:tcW w:w="0" w:type="dxa"/>
            <w:vAlign w:val="bottom"/>
          </w:tcPr>
          <w:p>
            <w:pPr>
              <w:spacing w:after="0"/>
              <w:rPr>
                <w:sz w:val="1"/>
                <w:szCs w:val="1"/>
                <w:color w:val="auto"/>
              </w:rPr>
            </w:pPr>
          </w:p>
        </w:tc>
      </w:tr>
      <w:tr>
        <w:trPr>
          <w:trHeight w:val="37"/>
        </w:trPr>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Drug Administration</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("FDA") in connection</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with ROP study,</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extending period of</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EYLEA U.S. market</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exclusivity by six</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months through May 17,</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73"/>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European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Commission ("EC") for</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w:t>
            </w:r>
          </w:p>
        </w:tc>
        <w:tc>
          <w:tcPr>
            <w:tcW w:w="0" w:type="dxa"/>
            <w:vAlign w:val="bottom"/>
          </w:tcPr>
          <w:p>
            <w:pPr>
              <w:spacing w:after="0"/>
              <w:rPr>
                <w:sz w:val="1"/>
                <w:szCs w:val="1"/>
                <w:color w:val="auto"/>
              </w:rPr>
            </w:pPr>
          </w:p>
        </w:tc>
      </w:tr>
      <w:tr>
        <w:trPr>
          <w:trHeight w:val="373"/>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Ministry</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of Health, Labour and</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Welfare ("MHLW") for</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 in Japan</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–Withdrew supplemental</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Biologics License</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Application ("sBLA")</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 every-16-weeks</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dosing regimen in</w:t>
            </w:r>
          </w:p>
        </w:tc>
        <w:tc>
          <w:tcPr>
            <w:tcW w:w="0" w:type="dxa"/>
            <w:vAlign w:val="bottom"/>
          </w:tcPr>
          <w:p>
            <w:pPr>
              <w:spacing w:after="0"/>
              <w:rPr>
                <w:sz w:val="1"/>
                <w:szCs w:val="1"/>
                <w:color w:val="auto"/>
              </w:rPr>
            </w:pPr>
          </w:p>
        </w:tc>
      </w:tr>
      <w:tr>
        <w:trPr>
          <w:trHeight w:val="229"/>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Aflibercept 8 mg</w:t>
            </w:r>
            <w:r>
              <w:rPr>
                <w:rFonts w:ascii="Times New Roman" w:cs="Times New Roman" w:eastAsia="Times New Roman" w:hAnsi="Times New Roman"/>
                <w:sz w:val="23"/>
                <w:szCs w:val="23"/>
                <w:b w:val="1"/>
                <w:bCs w:val="1"/>
                <w:color w:val="auto"/>
                <w:vertAlign w:val="superscript"/>
              </w:rPr>
              <w:t>(a)</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patients with DR</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–Wet AMD</w:t>
            </w:r>
          </w:p>
        </w:tc>
        <w:tc>
          <w:tcPr>
            <w:tcW w:w="1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–Wet AMD and</w:t>
            </w:r>
          </w:p>
        </w:tc>
        <w:tc>
          <w:tcPr>
            <w:tcW w:w="1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–Reported that Phase 3</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DME (U.S.)</w:t>
            </w:r>
          </w:p>
        </w:tc>
        <w:tc>
          <w:tcPr>
            <w:tcW w:w="1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trials in wet AMD and</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DME met their primary</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endpoints</w:t>
            </w:r>
          </w:p>
        </w:tc>
        <w:tc>
          <w:tcPr>
            <w:tcW w:w="0" w:type="dxa"/>
            <w:vAlign w:val="bottom"/>
          </w:tcPr>
          <w:p>
            <w:pPr>
              <w:spacing w:after="0"/>
              <w:rPr>
                <w:sz w:val="1"/>
                <w:szCs w:val="1"/>
                <w:color w:val="auto"/>
              </w:rPr>
            </w:pPr>
          </w:p>
        </w:tc>
      </w:tr>
      <w:tr>
        <w:trPr>
          <w:trHeight w:val="113"/>
        </w:trPr>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-3825875</wp:posOffset>
            </wp:positionV>
            <wp:extent cx="7132320" cy="3334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11576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 decision on</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sBLA for ROP (target action date of February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–FDA decision on BLA</w:t>
      </w:r>
    </w:p>
    <w:p>
      <w:pPr>
        <w:spacing w:after="0" w:line="1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for wet AMD and DME (third quarter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 regulatory</w:t>
      </w:r>
    </w:p>
    <w:p>
      <w:pPr>
        <w:spacing w:after="0" w:line="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application in the EU for wet AMD and DME (first quarter 2023)</w:t>
      </w:r>
    </w:p>
    <w:p>
      <w:pPr>
        <w:spacing w:after="0" w:line="131" w:lineRule="exact"/>
        <w:rPr>
          <w:sz w:val="20"/>
          <w:szCs w:val="20"/>
          <w:color w:val="auto"/>
        </w:rPr>
      </w:pPr>
    </w:p>
    <w:p>
      <w:pPr>
        <w:jc w:val="both"/>
        <w:ind w:right="40"/>
        <w:spacing w:after="0" w:line="216" w:lineRule="auto"/>
        <w:rPr>
          <w:sz w:val="20"/>
          <w:szCs w:val="20"/>
          <w:color w:val="auto"/>
        </w:rPr>
      </w:pPr>
      <w:r>
        <w:rPr>
          <w:rFonts w:ascii="Times New Roman" w:cs="Times New Roman" w:eastAsia="Times New Roman" w:hAnsi="Times New Roman"/>
          <w:sz w:val="18"/>
          <w:szCs w:val="18"/>
          <w:color w:val="auto"/>
        </w:rPr>
        <w:t>–Report two-year data from Phase 3 studies in wet AMD and DME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2023)</w:t>
      </w:r>
    </w:p>
    <w:p>
      <w:pPr>
        <w:sectPr>
          <w:pgSz w:w="11900" w:h="16838" w:orient="portrait"/>
          <w:cols w:equalWidth="0" w:num="2">
            <w:col w:w="9340" w:space="100"/>
            <w:col w:w="1720"/>
          </w:cols>
          <w:pgMar w:left="320" w:top="369" w:right="4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Clinical Program</w:t>
            </w:r>
          </w:p>
        </w:tc>
        <w:tc>
          <w:tcPr>
            <w:tcW w:w="11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80" w:type="dxa"/>
            <w:vAlign w:val="bottom"/>
            <w:vMerge w:val="restart"/>
          </w:tcPr>
          <w:p>
            <w:pPr>
              <w:spacing w:after="0"/>
              <w:rPr>
                <w:sz w:val="17"/>
                <w:szCs w:val="17"/>
                <w:color w:val="auto"/>
              </w:rPr>
            </w:pPr>
          </w:p>
        </w:tc>
        <w:tc>
          <w:tcPr>
            <w:tcW w:w="14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2022 and 2023</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0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2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Pr>
          <w:p>
            <w:pPr>
              <w:spacing w:after="0"/>
              <w:rPr>
                <w:sz w:val="20"/>
                <w:szCs w:val="20"/>
                <w:color w:val="auto"/>
              </w:rPr>
            </w:pPr>
          </w:p>
        </w:tc>
        <w:tc>
          <w:tcPr>
            <w:tcW w:w="1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Dupixent (dupilumab)</w:t>
      </w:r>
    </w:p>
    <w:p>
      <w:pPr>
        <w:ind w:left="20"/>
        <w:spacing w:after="0"/>
        <w:rPr>
          <w:sz w:val="20"/>
          <w:szCs w:val="20"/>
          <w:color w:val="auto"/>
        </w:rPr>
      </w:pPr>
      <w:r>
        <w:rPr>
          <w:rFonts w:ascii="Times New Roman" w:cs="Times New Roman" w:eastAsia="Times New Roman" w:hAnsi="Times New Roman"/>
          <w:sz w:val="12"/>
          <w:szCs w:val="12"/>
          <w:b w:val="1"/>
          <w:bCs w:val="1"/>
          <w:color w:val="auto"/>
        </w:rPr>
        <w:t>(b)</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Antibody to IL-4R</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alpha subunit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–EoE in pediatrics</w:t>
      </w:r>
      <w:r>
        <w:rPr>
          <w:rFonts w:ascii="Times New Roman" w:cs="Times New Roman" w:eastAsia="Times New Roman" w:hAnsi="Times New Roman"/>
          <w:sz w:val="22"/>
          <w:szCs w:val="22"/>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-156845</wp:posOffset>
            </wp:positionV>
            <wp:extent cx="7132320" cy="5726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2643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–Chronic</w:t>
      </w:r>
    </w:p>
    <w:p>
      <w:pPr>
        <w:spacing w:after="0" w:line="203" w:lineRule="auto"/>
        <w:rPr>
          <w:sz w:val="20"/>
          <w:szCs w:val="20"/>
          <w:color w:val="auto"/>
        </w:rPr>
      </w:pPr>
      <w:r>
        <w:rPr>
          <w:rFonts w:ascii="Times New Roman" w:cs="Times New Roman" w:eastAsia="Times New Roman" w:hAnsi="Times New Roman"/>
          <w:sz w:val="18"/>
          <w:szCs w:val="18"/>
          <w:color w:val="auto"/>
        </w:rPr>
        <w:t>obstructive</w:t>
      </w:r>
    </w:p>
    <w:p>
      <w:pPr>
        <w:spacing w:after="0" w:line="219" w:lineRule="auto"/>
        <w:rPr>
          <w:sz w:val="20"/>
          <w:szCs w:val="20"/>
          <w:color w:val="auto"/>
        </w:rPr>
      </w:pPr>
      <w:r>
        <w:rPr>
          <w:rFonts w:ascii="Times New Roman" w:cs="Times New Roman" w:eastAsia="Times New Roman" w:hAnsi="Times New Roman"/>
          <w:sz w:val="18"/>
          <w:szCs w:val="18"/>
          <w:color w:val="auto"/>
        </w:rPr>
        <w:t>pulmonary disease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–Bullous</w:t>
      </w:r>
    </w:p>
    <w:p>
      <w:pPr>
        <w:spacing w:after="0" w:line="206" w:lineRule="auto"/>
        <w:rPr>
          <w:sz w:val="20"/>
          <w:szCs w:val="20"/>
          <w:color w:val="auto"/>
        </w:rPr>
      </w:pPr>
      <w:r>
        <w:rPr>
          <w:rFonts w:ascii="Times New Roman" w:cs="Times New Roman" w:eastAsia="Times New Roman" w:hAnsi="Times New Roman"/>
          <w:sz w:val="18"/>
          <w:szCs w:val="18"/>
          <w:color w:val="auto"/>
        </w:rPr>
        <w:t>pemphigoid (Phase</w:t>
      </w:r>
    </w:p>
    <w:p>
      <w:pPr>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23"/>
          <w:szCs w:val="23"/>
          <w:color w:val="auto"/>
          <w:vertAlign w:val="superscript"/>
        </w:rPr>
        <w:t>(c)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–Chronic</w:t>
      </w:r>
    </w:p>
    <w:p>
      <w:pPr>
        <w:spacing w:after="0" w:line="219" w:lineRule="auto"/>
        <w:rPr>
          <w:sz w:val="20"/>
          <w:szCs w:val="20"/>
          <w:color w:val="auto"/>
        </w:rPr>
      </w:pPr>
      <w:r>
        <w:rPr>
          <w:rFonts w:ascii="Times New Roman" w:cs="Times New Roman" w:eastAsia="Times New Roman" w:hAnsi="Times New Roman"/>
          <w:sz w:val="18"/>
          <w:szCs w:val="18"/>
          <w:color w:val="auto"/>
        </w:rPr>
        <w:t>spontaneous</w:t>
      </w:r>
    </w:p>
    <w:p>
      <w:pPr>
        <w:spacing w:after="0"/>
        <w:rPr>
          <w:sz w:val="20"/>
          <w:szCs w:val="20"/>
          <w:color w:val="auto"/>
        </w:rPr>
      </w:pPr>
      <w:r>
        <w:rPr>
          <w:rFonts w:ascii="Times New Roman" w:cs="Times New Roman" w:eastAsia="Times New Roman" w:hAnsi="Times New Roman"/>
          <w:sz w:val="18"/>
          <w:szCs w:val="18"/>
          <w:color w:val="auto"/>
        </w:rPr>
        <w:t>urticaria ("CSU")</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–Chronic inducible</w:t>
      </w:r>
    </w:p>
    <w:p>
      <w:pPr>
        <w:spacing w:after="0"/>
        <w:rPr>
          <w:sz w:val="20"/>
          <w:szCs w:val="20"/>
          <w:color w:val="auto"/>
        </w:rPr>
      </w:pPr>
      <w:r>
        <w:rPr>
          <w:rFonts w:ascii="Times New Roman" w:cs="Times New Roman" w:eastAsia="Times New Roman" w:hAnsi="Times New Roman"/>
          <w:sz w:val="18"/>
          <w:szCs w:val="18"/>
          <w:color w:val="auto"/>
        </w:rPr>
        <w:t>urticaria - cold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–Chronic</w:t>
      </w:r>
    </w:p>
    <w:p>
      <w:pPr>
        <w:spacing w:after="0" w:line="203" w:lineRule="auto"/>
        <w:rPr>
          <w:sz w:val="20"/>
          <w:szCs w:val="20"/>
          <w:color w:val="auto"/>
        </w:rPr>
      </w:pPr>
      <w:r>
        <w:rPr>
          <w:rFonts w:ascii="Times New Roman" w:cs="Times New Roman" w:eastAsia="Times New Roman" w:hAnsi="Times New Roman"/>
          <w:sz w:val="18"/>
          <w:szCs w:val="18"/>
          <w:color w:val="auto"/>
        </w:rPr>
        <w:t>rhinosinusitis</w:t>
      </w:r>
    </w:p>
    <w:p>
      <w:pPr>
        <w:spacing w:after="0" w:line="219" w:lineRule="auto"/>
        <w:rPr>
          <w:sz w:val="20"/>
          <w:szCs w:val="20"/>
          <w:color w:val="auto"/>
        </w:rPr>
      </w:pPr>
      <w:r>
        <w:rPr>
          <w:rFonts w:ascii="Times New Roman" w:cs="Times New Roman" w:eastAsia="Times New Roman" w:hAnsi="Times New Roman"/>
          <w:sz w:val="18"/>
          <w:szCs w:val="18"/>
          <w:color w:val="auto"/>
        </w:rPr>
        <w:t>without nasal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polyposis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–Allergic fungal</w:t>
      </w:r>
    </w:p>
    <w:p>
      <w:pPr>
        <w:spacing w:after="0"/>
        <w:rPr>
          <w:sz w:val="20"/>
          <w:szCs w:val="20"/>
          <w:color w:val="auto"/>
        </w:rPr>
      </w:pPr>
      <w:r>
        <w:rPr>
          <w:rFonts w:ascii="Times New Roman" w:cs="Times New Roman" w:eastAsia="Times New Roman" w:hAnsi="Times New Roman"/>
          <w:sz w:val="18"/>
          <w:szCs w:val="18"/>
          <w:color w:val="auto"/>
        </w:rPr>
        <w:t>rhinosinusitis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–Chronic pruritus</w:t>
      </w:r>
    </w:p>
    <w:p>
      <w:pPr>
        <w:spacing w:after="0"/>
        <w:rPr>
          <w:sz w:val="20"/>
          <w:szCs w:val="20"/>
          <w:color w:val="auto"/>
        </w:rPr>
      </w:pPr>
      <w:r>
        <w:rPr>
          <w:rFonts w:ascii="Times New Roman" w:cs="Times New Roman" w:eastAsia="Times New Roman" w:hAnsi="Times New Roman"/>
          <w:sz w:val="18"/>
          <w:szCs w:val="18"/>
          <w:color w:val="auto"/>
        </w:rPr>
        <w:t>of unknown origin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–Atopic</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by FDA for</w:t>
            </w:r>
          </w:p>
        </w:tc>
        <w:tc>
          <w:tcPr>
            <w:tcW w:w="1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80"/>
        </w:trPr>
        <w:tc>
          <w:tcPr>
            <w:tcW w:w="1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dermatitis in</w:t>
            </w:r>
          </w:p>
        </w:tc>
        <w:tc>
          <w:tcPr>
            <w:tcW w:w="1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atopic dermatitis in</w:t>
            </w:r>
          </w:p>
        </w:tc>
        <w:tc>
          <w:tcPr>
            <w:tcW w:w="18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pediatrics (6</w:t>
            </w:r>
          </w:p>
        </w:tc>
        <w:tc>
          <w:tcPr>
            <w:tcW w:w="19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pediatrics (6 months–5</w:t>
            </w:r>
          </w:p>
        </w:tc>
        <w:tc>
          <w:tcPr>
            <w:tcW w:w="18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for atopic dermatitis in</w:t>
            </w:r>
          </w:p>
        </w:tc>
        <w:tc>
          <w:tcPr>
            <w:tcW w:w="0" w:type="dxa"/>
            <w:vAlign w:val="bottom"/>
          </w:tcPr>
          <w:p>
            <w:pPr>
              <w:spacing w:after="0"/>
              <w:rPr>
                <w:sz w:val="1"/>
                <w:szCs w:val="1"/>
                <w:color w:val="auto"/>
              </w:rPr>
            </w:pPr>
          </w:p>
        </w:tc>
      </w:tr>
      <w:tr>
        <w:trPr>
          <w:trHeight w:val="184"/>
        </w:trPr>
        <w:tc>
          <w:tcPr>
            <w:tcW w:w="12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months–5 years</w:t>
            </w: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years of age)</w:t>
            </w:r>
          </w:p>
        </w:tc>
        <w:tc>
          <w:tcPr>
            <w:tcW w:w="18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pediatrics (6 months–5</w:t>
            </w:r>
          </w:p>
        </w:tc>
        <w:tc>
          <w:tcPr>
            <w:tcW w:w="0" w:type="dxa"/>
            <w:vAlign w:val="bottom"/>
          </w:tcPr>
          <w:p>
            <w:pPr>
              <w:spacing w:after="0"/>
              <w:rPr>
                <w:sz w:val="1"/>
                <w:szCs w:val="1"/>
                <w:color w:val="auto"/>
              </w:rPr>
            </w:pPr>
          </w:p>
        </w:tc>
      </w:tr>
      <w:tr>
        <w:trPr>
          <w:trHeight w:val="180"/>
        </w:trPr>
        <w:tc>
          <w:tcPr>
            <w:tcW w:w="1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of age) (EU)</w:t>
            </w:r>
          </w:p>
        </w:tc>
        <w:tc>
          <w:tcPr>
            <w:tcW w:w="1920" w:type="dxa"/>
            <w:vAlign w:val="bottom"/>
          </w:tcPr>
          <w:p>
            <w:pPr>
              <w:spacing w:after="0"/>
              <w:rPr>
                <w:sz w:val="15"/>
                <w:szCs w:val="15"/>
                <w:color w:val="auto"/>
              </w:rPr>
            </w:pPr>
          </w:p>
        </w:tc>
        <w:tc>
          <w:tcPr>
            <w:tcW w:w="18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years of age) (first half</w:t>
            </w: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in</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–European Medicines</w:t>
            </w:r>
          </w:p>
        </w:tc>
        <w:tc>
          <w:tcPr>
            <w:tcW w:w="18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68"/>
        </w:trPr>
        <w:tc>
          <w:tcPr>
            <w:tcW w:w="1220" w:type="dxa"/>
            <w:vAlign w:val="bottom"/>
            <w:vMerge w:val="restart"/>
          </w:tcPr>
          <w:p>
            <w:pPr>
              <w:spacing w:after="0" w:line="184" w:lineRule="exact"/>
              <w:rPr>
                <w:sz w:val="20"/>
                <w:szCs w:val="20"/>
                <w:color w:val="auto"/>
              </w:rPr>
            </w:pPr>
            <w:r>
              <w:rPr>
                <w:rFonts w:ascii="Times New Roman" w:cs="Times New Roman" w:eastAsia="Times New Roman" w:hAnsi="Times New Roman"/>
                <w:sz w:val="18"/>
                <w:szCs w:val="18"/>
                <w:color w:val="auto"/>
              </w:rPr>
              <w:t>pediatrics and</w:t>
            </w:r>
          </w:p>
        </w:tc>
        <w:tc>
          <w:tcPr>
            <w:tcW w:w="192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220" w:type="dxa"/>
            <w:vAlign w:val="bottom"/>
            <w:vMerge w:val="continue"/>
          </w:tcPr>
          <w:p>
            <w:pPr>
              <w:spacing w:after="0"/>
              <w:rPr>
                <w:sz w:val="10"/>
                <w:szCs w:val="10"/>
                <w:color w:val="auto"/>
              </w:rPr>
            </w:pPr>
          </w:p>
        </w:tc>
        <w:tc>
          <w:tcPr>
            <w:tcW w:w="1920" w:type="dxa"/>
            <w:vAlign w:val="bottom"/>
            <w:vMerge w:val="restart"/>
          </w:tcPr>
          <w:p>
            <w:pPr>
              <w:ind w:left="80"/>
              <w:spacing w:after="0" w:line="176" w:lineRule="exact"/>
              <w:rPr>
                <w:sz w:val="20"/>
                <w:szCs w:val="20"/>
                <w:color w:val="auto"/>
              </w:rPr>
            </w:pPr>
            <w:r>
              <w:rPr>
                <w:rFonts w:ascii="Times New Roman" w:cs="Times New Roman" w:eastAsia="Times New Roman" w:hAnsi="Times New Roman"/>
                <w:sz w:val="18"/>
                <w:szCs w:val="18"/>
                <w:color w:val="auto"/>
              </w:rPr>
              <w:t>Agency's ("EMA")</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adolescents (6</w:t>
            </w:r>
          </w:p>
        </w:tc>
        <w:tc>
          <w:tcPr>
            <w:tcW w:w="1920" w:type="dxa"/>
            <w:vAlign w:val="bottom"/>
            <w:vMerge w:val="continue"/>
          </w:tcPr>
          <w:p>
            <w:pPr>
              <w:spacing w:after="0"/>
              <w:rPr>
                <w:sz w:val="5"/>
                <w:szCs w:val="5"/>
                <w:color w:val="auto"/>
              </w:rPr>
            </w:pPr>
          </w:p>
        </w:tc>
        <w:tc>
          <w:tcPr>
            <w:tcW w:w="1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–MHLW decision on</w:t>
            </w:r>
          </w:p>
        </w:tc>
        <w:tc>
          <w:tcPr>
            <w:tcW w:w="0" w:type="dxa"/>
            <w:vAlign w:val="bottom"/>
          </w:tcPr>
          <w:p>
            <w:pPr>
              <w:spacing w:after="0"/>
              <w:rPr>
                <w:sz w:val="1"/>
                <w:szCs w:val="1"/>
                <w:color w:val="auto"/>
              </w:rPr>
            </w:pPr>
          </w:p>
        </w:tc>
      </w:tr>
      <w:tr>
        <w:trPr>
          <w:trHeight w:val="175"/>
        </w:trPr>
        <w:tc>
          <w:tcPr>
            <w:tcW w:w="1220" w:type="dxa"/>
            <w:vAlign w:val="bottom"/>
            <w:vMerge w:val="continue"/>
          </w:tcPr>
          <w:p>
            <w:pPr>
              <w:spacing w:after="0"/>
              <w:rPr>
                <w:sz w:val="15"/>
                <w:szCs w:val="15"/>
                <w:color w:val="auto"/>
              </w:rPr>
            </w:pPr>
          </w:p>
        </w:tc>
        <w:tc>
          <w:tcPr>
            <w:tcW w:w="19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Committee for</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months–14</w:t>
            </w:r>
          </w:p>
        </w:tc>
        <w:tc>
          <w:tcPr>
            <w:tcW w:w="1920" w:type="dxa"/>
            <w:vAlign w:val="bottom"/>
            <w:vMerge w:val="restart"/>
          </w:tcPr>
          <w:p>
            <w:pPr>
              <w:ind w:left="80"/>
              <w:spacing w:after="0" w:line="189" w:lineRule="exact"/>
              <w:rPr>
                <w:sz w:val="20"/>
                <w:szCs w:val="20"/>
                <w:color w:val="auto"/>
              </w:rPr>
            </w:pPr>
            <w:r>
              <w:rPr>
                <w:rFonts w:ascii="Times New Roman" w:cs="Times New Roman" w:eastAsia="Times New Roman" w:hAnsi="Times New Roman"/>
                <w:sz w:val="18"/>
                <w:szCs w:val="18"/>
                <w:color w:val="auto"/>
              </w:rPr>
              <w:t>Medicinal Products for</w:t>
            </w:r>
          </w:p>
        </w:tc>
        <w:tc>
          <w:tcPr>
            <w:tcW w:w="1840" w:type="dxa"/>
            <w:vAlign w:val="bottom"/>
            <w:vMerge w:val="restart"/>
          </w:tcPr>
          <w:p>
            <w:pPr>
              <w:ind w:left="80"/>
              <w:spacing w:after="0" w:line="189"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68"/>
        </w:trPr>
        <w:tc>
          <w:tcPr>
            <w:tcW w:w="1220" w:type="dxa"/>
            <w:vAlign w:val="bottom"/>
            <w:vMerge w:val="restart"/>
          </w:tcPr>
          <w:p>
            <w:pPr>
              <w:spacing w:after="0" w:line="184" w:lineRule="exact"/>
              <w:rPr>
                <w:sz w:val="20"/>
                <w:szCs w:val="20"/>
                <w:color w:val="auto"/>
              </w:rPr>
            </w:pPr>
            <w:r>
              <w:rPr>
                <w:rFonts w:ascii="Times New Roman" w:cs="Times New Roman" w:eastAsia="Times New Roman" w:hAnsi="Times New Roman"/>
                <w:sz w:val="18"/>
                <w:szCs w:val="18"/>
                <w:color w:val="auto"/>
              </w:rPr>
              <w:t>years of age</w:t>
            </w:r>
          </w:p>
        </w:tc>
        <w:tc>
          <w:tcPr>
            <w:tcW w:w="192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220" w:type="dxa"/>
            <w:vAlign w:val="bottom"/>
            <w:vMerge w:val="continue"/>
          </w:tcPr>
          <w:p>
            <w:pPr>
              <w:spacing w:after="0"/>
              <w:rPr>
                <w:sz w:val="10"/>
                <w:szCs w:val="10"/>
                <w:color w:val="auto"/>
              </w:rPr>
            </w:pPr>
          </w:p>
        </w:tc>
        <w:tc>
          <w:tcPr>
            <w:tcW w:w="1920" w:type="dxa"/>
            <w:vAlign w:val="bottom"/>
            <w:vMerge w:val="restart"/>
          </w:tcPr>
          <w:p>
            <w:pPr>
              <w:ind w:left="80"/>
              <w:spacing w:after="0" w:line="176" w:lineRule="exact"/>
              <w:rPr>
                <w:sz w:val="20"/>
                <w:szCs w:val="20"/>
                <w:color w:val="auto"/>
              </w:rPr>
            </w:pPr>
            <w:r>
              <w:rPr>
                <w:rFonts w:ascii="Times New Roman" w:cs="Times New Roman" w:eastAsia="Times New Roman" w:hAnsi="Times New Roman"/>
                <w:sz w:val="18"/>
                <w:szCs w:val="18"/>
                <w:color w:val="auto"/>
              </w:rPr>
              <w:t>Human Use ("CHMP")</w:t>
            </w:r>
          </w:p>
        </w:tc>
        <w:tc>
          <w:tcPr>
            <w:tcW w:w="1840" w:type="dxa"/>
            <w:vAlign w:val="bottom"/>
            <w:vMerge w:val="restart"/>
          </w:tcPr>
          <w:p>
            <w:pPr>
              <w:ind w:left="80"/>
              <w:spacing w:after="0" w:line="176" w:lineRule="exact"/>
              <w:rPr>
                <w:sz w:val="20"/>
                <w:szCs w:val="20"/>
                <w:color w:val="auto"/>
              </w:rPr>
            </w:pPr>
            <w:r>
              <w:rPr>
                <w:rFonts w:ascii="Times New Roman" w:cs="Times New Roman" w:eastAsia="Times New Roman" w:hAnsi="Times New Roman"/>
                <w:sz w:val="18"/>
                <w:szCs w:val="18"/>
                <w:color w:val="auto"/>
              </w:rPr>
              <w:t>for atopic dermatitis in</w:t>
            </w:r>
          </w:p>
        </w:tc>
        <w:tc>
          <w:tcPr>
            <w:tcW w:w="0" w:type="dxa"/>
            <w:vAlign w:val="bottom"/>
          </w:tcPr>
          <w:p>
            <w:pPr>
              <w:spacing w:after="0"/>
              <w:rPr>
                <w:sz w:val="1"/>
                <w:szCs w:val="1"/>
                <w:color w:val="auto"/>
              </w:rPr>
            </w:pPr>
          </w:p>
        </w:tc>
      </w:tr>
      <w:tr>
        <w:trPr>
          <w:trHeight w:val="59"/>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(Japan)</w:t>
            </w:r>
          </w:p>
        </w:tc>
        <w:tc>
          <w:tcPr>
            <w:tcW w:w="192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220" w:type="dxa"/>
            <w:vAlign w:val="bottom"/>
            <w:vMerge w:val="continue"/>
          </w:tcPr>
          <w:p>
            <w:pPr>
              <w:spacing w:after="0"/>
              <w:rPr>
                <w:sz w:val="16"/>
                <w:szCs w:val="16"/>
                <w:color w:val="auto"/>
              </w:rPr>
            </w:pP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adopted positive opinion</w:t>
            </w:r>
          </w:p>
        </w:tc>
        <w:tc>
          <w:tcPr>
            <w:tcW w:w="18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pediatrics and</w:t>
            </w:r>
          </w:p>
        </w:tc>
        <w:tc>
          <w:tcPr>
            <w:tcW w:w="0" w:type="dxa"/>
            <w:vAlign w:val="bottom"/>
          </w:tcPr>
          <w:p>
            <w:pPr>
              <w:spacing w:after="0"/>
              <w:rPr>
                <w:sz w:val="1"/>
                <w:szCs w:val="1"/>
                <w:color w:val="auto"/>
              </w:rPr>
            </w:pPr>
          </w:p>
        </w:tc>
      </w:tr>
      <w:tr>
        <w:trPr>
          <w:trHeight w:val="180"/>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–Prurigo</w:t>
            </w:r>
          </w:p>
        </w:tc>
        <w:tc>
          <w:tcPr>
            <w:tcW w:w="1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for atopic dermatitis in</w:t>
            </w:r>
          </w:p>
        </w:tc>
        <w:tc>
          <w:tcPr>
            <w:tcW w:w="18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adolescents (6 months–</w:t>
            </w:r>
          </w:p>
        </w:tc>
        <w:tc>
          <w:tcPr>
            <w:tcW w:w="0" w:type="dxa"/>
            <w:vAlign w:val="bottom"/>
          </w:tcPr>
          <w:p>
            <w:pPr>
              <w:spacing w:after="0"/>
              <w:rPr>
                <w:sz w:val="1"/>
                <w:szCs w:val="1"/>
                <w:color w:val="auto"/>
              </w:rPr>
            </w:pPr>
          </w:p>
        </w:tc>
      </w:tr>
      <w:tr>
        <w:trPr>
          <w:trHeight w:val="176"/>
        </w:trPr>
        <w:tc>
          <w:tcPr>
            <w:tcW w:w="1220" w:type="dxa"/>
            <w:vAlign w:val="bottom"/>
            <w:vMerge w:val="continue"/>
          </w:tcPr>
          <w:p>
            <w:pPr>
              <w:spacing w:after="0"/>
              <w:rPr>
                <w:sz w:val="15"/>
                <w:szCs w:val="15"/>
                <w:color w:val="auto"/>
              </w:rPr>
            </w:pPr>
          </w:p>
        </w:tc>
        <w:tc>
          <w:tcPr>
            <w:tcW w:w="19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pediatrics (6 months–5</w:t>
            </w:r>
          </w:p>
        </w:tc>
        <w:tc>
          <w:tcPr>
            <w:tcW w:w="18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14 years of age) in</w:t>
            </w:r>
          </w:p>
        </w:tc>
        <w:tc>
          <w:tcPr>
            <w:tcW w:w="0" w:type="dxa"/>
            <w:vAlign w:val="bottom"/>
          </w:tcPr>
          <w:p>
            <w:pPr>
              <w:spacing w:after="0"/>
              <w:rPr>
                <w:sz w:val="1"/>
                <w:szCs w:val="1"/>
                <w:color w:val="auto"/>
              </w:rPr>
            </w:pPr>
          </w:p>
        </w:tc>
      </w:tr>
      <w:tr>
        <w:trPr>
          <w:trHeight w:val="184"/>
        </w:trPr>
        <w:tc>
          <w:tcPr>
            <w:tcW w:w="12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nodularis</w:t>
            </w: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years of age)</w:t>
            </w:r>
          </w:p>
        </w:tc>
        <w:tc>
          <w:tcPr>
            <w:tcW w:w="18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Japan (second half</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920" w:type="dxa"/>
            <w:vAlign w:val="bottom"/>
          </w:tcPr>
          <w:p>
            <w:pPr>
              <w:spacing w:after="0"/>
              <w:rPr>
                <w:sz w:val="20"/>
                <w:szCs w:val="20"/>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9"/>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–CSU in adults</w:t>
            </w:r>
          </w:p>
        </w:tc>
        <w:tc>
          <w:tcPr>
            <w:tcW w:w="19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–Approved by EC for</w:t>
            </w:r>
          </w:p>
        </w:tc>
        <w:tc>
          <w:tcPr>
            <w:tcW w:w="1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–Submit sBLA for EoE</w:t>
            </w:r>
          </w:p>
        </w:tc>
        <w:tc>
          <w:tcPr>
            <w:tcW w:w="0" w:type="dxa"/>
            <w:vAlign w:val="bottom"/>
          </w:tcPr>
          <w:p>
            <w:pPr>
              <w:spacing w:after="0"/>
              <w:rPr>
                <w:sz w:val="1"/>
                <w:szCs w:val="1"/>
                <w:color w:val="auto"/>
              </w:rPr>
            </w:pPr>
          </w:p>
        </w:tc>
      </w:tr>
      <w:tr>
        <w:trPr>
          <w:trHeight w:val="175"/>
        </w:trPr>
        <w:tc>
          <w:tcPr>
            <w:tcW w:w="1220" w:type="dxa"/>
            <w:vAlign w:val="bottom"/>
            <w:vMerge w:val="continue"/>
          </w:tcPr>
          <w:p>
            <w:pPr>
              <w:spacing w:after="0"/>
              <w:rPr>
                <w:sz w:val="15"/>
                <w:szCs w:val="15"/>
                <w:color w:val="auto"/>
              </w:rPr>
            </w:pPr>
          </w:p>
        </w:tc>
        <w:tc>
          <w:tcPr>
            <w:tcW w:w="19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severe asthma in</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and adolescents</w:t>
            </w: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pediatrics (6–11 years of</w:t>
            </w:r>
          </w:p>
        </w:tc>
        <w:tc>
          <w:tcPr>
            <w:tcW w:w="18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w w:val="99"/>
              </w:rPr>
              <w:t>in pediatrics (mid-2023)</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by FDA and</w:t>
            </w:r>
          </w:p>
        </w:tc>
        <w:tc>
          <w:tcPr>
            <w:tcW w:w="18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8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first Phase 3 study in</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EC for EoE in adults</w:t>
            </w:r>
          </w:p>
        </w:tc>
        <w:tc>
          <w:tcPr>
            <w:tcW w:w="18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COPD (first half 2023)</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adolescents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–Reported that Phase 3</w:t>
            </w:r>
          </w:p>
        </w:tc>
        <w:tc>
          <w:tcPr>
            <w:tcW w:w="18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–FDA decision on</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8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w w:val="99"/>
              </w:rPr>
              <w:t>sBLA for CSU in adults</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trial in EoE in pediatrics</w:t>
            </w:r>
          </w:p>
        </w:tc>
        <w:tc>
          <w:tcPr>
            <w:tcW w:w="18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w w:val="99"/>
              </w:rPr>
              <w:t>and adolescents (second</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(1–11 years of age) met</w:t>
            </w:r>
          </w:p>
        </w:tc>
        <w:tc>
          <w:tcPr>
            <w:tcW w:w="18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half 2023)</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its primary endpoint</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by FDA and</w:t>
            </w:r>
          </w:p>
        </w:tc>
        <w:tc>
          <w:tcPr>
            <w:tcW w:w="18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8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w w:val="98"/>
              </w:rPr>
              <w:t>Phase 3 study in chronic</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EC for prurigo nodularis</w:t>
            </w:r>
          </w:p>
        </w:tc>
        <w:tc>
          <w:tcPr>
            <w:tcW w:w="18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w w:val="98"/>
              </w:rPr>
              <w:t>inducible urticaria - cold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 half 2023)</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–Stopped one of the</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Phase 3 trials in CSU (in</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patients refractory to</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9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omalizumab) due to</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futility, based on pre-</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specified interim</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analysis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2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–Initiated additional</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Phase 3 trial in CSU (in</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biologic-naïve patients)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–Discontinued further</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9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clinical development in</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peanut allergy</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940" w:space="720"/>
            <w:col w:w="1440" w:space="120"/>
            <w:col w:w="502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80" w:type="dxa"/>
            <w:vAlign w:val="bottom"/>
            <w:vMerge w:val="restart"/>
          </w:tcPr>
          <w:p>
            <w:pPr>
              <w:spacing w:after="0"/>
              <w:rPr>
                <w:sz w:val="17"/>
                <w:szCs w:val="17"/>
                <w:color w:val="auto"/>
              </w:rPr>
            </w:pPr>
          </w:p>
        </w:tc>
        <w:tc>
          <w:tcPr>
            <w:tcW w:w="14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2022 and 2023</w:t>
            </w:r>
          </w:p>
        </w:tc>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7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20" w:type="dxa"/>
            <w:vAlign w:val="bottom"/>
            <w:tcBorders>
              <w:bottom w:val="single" w:sz="8" w:color="auto"/>
            </w:tcBorders>
          </w:tcPr>
          <w:p>
            <w:pPr>
              <w:ind w:left="26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80" w:type="dxa"/>
            <w:vAlign w:val="bottom"/>
          </w:tcPr>
          <w:p>
            <w:pPr>
              <w:spacing w:after="0"/>
              <w:rPr>
                <w:sz w:val="20"/>
                <w:szCs w:val="20"/>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100" w:type="dxa"/>
            <w:vAlign w:val="bottom"/>
          </w:tcPr>
          <w:p>
            <w:pPr>
              <w:spacing w:after="0"/>
              <w:rPr>
                <w:sz w:val="20"/>
                <w:szCs w:val="20"/>
                <w:color w:val="auto"/>
              </w:rPr>
            </w:pPr>
          </w:p>
        </w:tc>
        <w:tc>
          <w:tcPr>
            <w:tcW w:w="1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Kevzara (sarilumab)</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–Polyarticular-</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–Polymyalgia</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–FDA decision on</w:t>
            </w:r>
          </w:p>
        </w:tc>
        <w:tc>
          <w:tcPr>
            <w:tcW w:w="0" w:type="dxa"/>
            <w:vAlign w:val="bottom"/>
          </w:tcPr>
          <w:p>
            <w:pPr>
              <w:spacing w:after="0"/>
              <w:rPr>
                <w:sz w:val="1"/>
                <w:szCs w:val="1"/>
                <w:color w:val="auto"/>
              </w:rPr>
            </w:pPr>
          </w:p>
        </w:tc>
      </w:tr>
      <w:tr>
        <w:trPr>
          <w:trHeight w:val="101"/>
        </w:trPr>
        <w:tc>
          <w:tcPr>
            <w:tcW w:w="186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(b)</w:t>
            </w: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course juvenile</w:t>
            </w: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rheumatica</w:t>
            </w: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sBLA for PMR (target</w:t>
            </w:r>
          </w:p>
        </w:tc>
        <w:tc>
          <w:tcPr>
            <w:tcW w:w="0" w:type="dxa"/>
            <w:vAlign w:val="bottom"/>
          </w:tcPr>
          <w:p>
            <w:pPr>
              <w:spacing w:after="0"/>
              <w:rPr>
                <w:sz w:val="1"/>
                <w:szCs w:val="1"/>
                <w:color w:val="auto"/>
              </w:rPr>
            </w:pPr>
          </w:p>
        </w:tc>
      </w:tr>
      <w:tr>
        <w:trPr>
          <w:trHeight w:val="115"/>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IL-6R</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6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color w:val="auto"/>
              </w:rPr>
              <w:t>idiopathic arthritis</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("PMR") (U.S.)</w:t>
            </w: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action date of February</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("pcJIA")</w:t>
            </w: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28, 2023)</w:t>
            </w:r>
          </w:p>
        </w:tc>
        <w:tc>
          <w:tcPr>
            <w:tcW w:w="0" w:type="dxa"/>
            <w:vAlign w:val="bottom"/>
          </w:tcPr>
          <w:p>
            <w:pPr>
              <w:spacing w:after="0"/>
              <w:rPr>
                <w:sz w:val="1"/>
                <w:szCs w:val="1"/>
                <w:color w:val="auto"/>
              </w:rPr>
            </w:pPr>
          </w:p>
        </w:tc>
      </w:tr>
      <w:tr>
        <w:trPr>
          <w:trHeight w:val="113"/>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–Systemic juvenile</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idiopathic arthritis</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("sJIA")</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Itepekimab</w:t>
            </w:r>
            <w:r>
              <w:rPr>
                <w:rFonts w:ascii="Times New Roman" w:cs="Times New Roman" w:eastAsia="Times New Roman" w:hAnsi="Times New Roman"/>
                <w:sz w:val="20"/>
                <w:szCs w:val="20"/>
                <w:b w:val="1"/>
                <w:bCs w:val="1"/>
                <w:color w:val="auto"/>
                <w:vertAlign w:val="superscript"/>
              </w:rPr>
              <w:t>(b)</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–COPD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4"/>
        </w:trPr>
        <w:tc>
          <w:tcPr>
            <w:tcW w:w="18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Phase 3 study in COPD</w:t>
            </w:r>
          </w:p>
        </w:tc>
        <w:tc>
          <w:tcPr>
            <w:tcW w:w="0" w:type="dxa"/>
            <w:vAlign w:val="bottom"/>
          </w:tcPr>
          <w:p>
            <w:pPr>
              <w:spacing w:after="0"/>
              <w:rPr>
                <w:sz w:val="1"/>
                <w:szCs w:val="1"/>
                <w:color w:val="auto"/>
              </w:rPr>
            </w:pPr>
          </w:p>
        </w:tc>
      </w:tr>
      <w:tr>
        <w:trPr>
          <w:trHeight w:val="229"/>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2"/>
        </w:trPr>
        <w:tc>
          <w:tcPr>
            <w:tcW w:w="18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REGN5713-5714-5715</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–Birch allergy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to Bet v 1</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860" w:type="dxa"/>
            <w:vAlign w:val="bottom"/>
            <w:gridSpan w:val="4"/>
            <w:shd w:val="clear" w:color="auto" w:fill="ACACAC"/>
          </w:tcPr>
          <w:p>
            <w:pPr>
              <w:ind w:left="100"/>
              <w:spacing w:after="0"/>
              <w:rPr>
                <w:sz w:val="20"/>
                <w:szCs w:val="20"/>
                <w:color w:val="auto"/>
              </w:rPr>
            </w:pPr>
            <w:r>
              <w:rPr>
                <w:rFonts w:ascii="Times New Roman" w:cs="Times New Roman" w:eastAsia="Times New Roman" w:hAnsi="Times New Roman"/>
                <w:sz w:val="18"/>
                <w:szCs w:val="18"/>
                <w:b w:val="1"/>
                <w:bCs w:val="1"/>
                <w:color w:val="auto"/>
              </w:rPr>
              <w:t>Solid Organ Oncology</w:t>
            </w:r>
          </w:p>
        </w:tc>
        <w:tc>
          <w:tcPr>
            <w:tcW w:w="182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Libtayo (cemiplimab)</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–Neoadjuvant</w:t>
            </w:r>
          </w:p>
        </w:tc>
        <w:tc>
          <w:tcPr>
            <w:tcW w:w="15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–Adjuvant CSCC</w:t>
            </w:r>
          </w:p>
        </w:tc>
        <w:tc>
          <w:tcPr>
            <w:tcW w:w="1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–First-line</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–Approved by FDA in</w:t>
            </w:r>
          </w:p>
        </w:tc>
        <w:tc>
          <w:tcPr>
            <w:tcW w:w="1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15"/>
        </w:trPr>
        <w:tc>
          <w:tcPr>
            <w:tcW w:w="1860" w:type="dxa"/>
            <w:vAlign w:val="bottom"/>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(n)(g)</w:t>
            </w: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CSCC</w:t>
            </w: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NSCLC,</w:t>
            </w:r>
          </w:p>
        </w:tc>
        <w:tc>
          <w:tcPr>
            <w:tcW w:w="192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combination with</w:t>
            </w:r>
          </w:p>
        </w:tc>
        <w:tc>
          <w:tcPr>
            <w:tcW w:w="1800" w:type="dxa"/>
            <w:vAlign w:val="bottom"/>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74"/>
        </w:trPr>
        <w:tc>
          <w:tcPr>
            <w:tcW w:w="1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PD-1</w:t>
            </w: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920" w:type="dxa"/>
            <w:vAlign w:val="bottom"/>
            <w:gridSpan w:val="2"/>
            <w:vMerge w:val="continue"/>
            <w:shd w:val="clear" w:color="auto" w:fill="CCEEFF"/>
          </w:tcPr>
          <w:p>
            <w:pPr>
              <w:spacing w:after="0"/>
              <w:rPr>
                <w:sz w:val="6"/>
                <w:szCs w:val="6"/>
                <w:color w:val="auto"/>
              </w:rPr>
            </w:pPr>
          </w:p>
        </w:tc>
        <w:tc>
          <w:tcPr>
            <w:tcW w:w="1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860" w:type="dxa"/>
            <w:vAlign w:val="bottom"/>
            <w:gridSpan w:val="2"/>
            <w:vMerge w:val="continue"/>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chemotherapy</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chemotherapy for</w:t>
            </w:r>
          </w:p>
        </w:tc>
        <w:tc>
          <w:tcPr>
            <w:tcW w:w="1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NSCLC,</w:t>
            </w: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–Second-line</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combination</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NSCLC</w:t>
            </w:r>
          </w:p>
        </w:tc>
        <w:tc>
          <w:tcPr>
            <w:tcW w:w="1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chemotherapy</w:t>
            </w:r>
          </w:p>
        </w:tc>
        <w:tc>
          <w:tcPr>
            <w:tcW w:w="0" w:type="dxa"/>
            <w:vAlign w:val="bottom"/>
          </w:tcPr>
          <w:p>
            <w:pPr>
              <w:spacing w:after="0"/>
              <w:rPr>
                <w:sz w:val="1"/>
                <w:szCs w:val="1"/>
                <w:color w:val="auto"/>
              </w:rPr>
            </w:pPr>
          </w:p>
        </w:tc>
      </w:tr>
      <w:tr>
        <w:trPr>
          <w:trHeight w:val="59"/>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1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combination (first half</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cervical cancer,</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ISA101b</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–Approved by EC and</w:t>
            </w:r>
          </w:p>
        </w:tc>
        <w:tc>
          <w:tcPr>
            <w:tcW w:w="1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combination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MHLW for cervical</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cancer</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–Voluntarily withdrew</w:t>
            </w: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sBLA for cervical</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cancer due to inability to</w:t>
            </w: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align with FDA on</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post-marketing</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studies</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–Positive data from</w:t>
            </w: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2 trial in</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neoadjuvant CSCC</w:t>
            </w: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presented at European</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Society for Medical</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Oncology ("ESMO")</w:t>
            </w: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Congress 2022 and</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New</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England Journal of</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Medicine</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Fianlimab</w:t>
            </w:r>
            <w:r>
              <w:rPr>
                <w:rFonts w:ascii="Times New Roman" w:cs="Times New Roman" w:eastAsia="Times New Roman" w:hAnsi="Times New Roman"/>
                <w:sz w:val="20"/>
                <w:szCs w:val="20"/>
                <w:b w:val="1"/>
                <w:bCs w:val="1"/>
                <w:color w:val="auto"/>
                <w:vertAlign w:val="superscript"/>
              </w:rPr>
              <w:t>(f)</w:t>
            </w:r>
          </w:p>
        </w:tc>
        <w:tc>
          <w:tcPr>
            <w:tcW w:w="13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–Solid tumors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–First-line</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–Presented positive data</w:t>
            </w:r>
          </w:p>
        </w:tc>
        <w:tc>
          <w:tcPr>
            <w:tcW w:w="18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–Initiate Phase 3 study</w:t>
            </w:r>
          </w:p>
        </w:tc>
        <w:tc>
          <w:tcPr>
            <w:tcW w:w="0" w:type="dxa"/>
            <w:vAlign w:val="bottom"/>
          </w:tcPr>
          <w:p>
            <w:pPr>
              <w:spacing w:after="0"/>
              <w:rPr>
                <w:sz w:val="1"/>
                <w:szCs w:val="1"/>
                <w:color w:val="auto"/>
              </w:rPr>
            </w:pPr>
          </w:p>
        </w:tc>
      </w:tr>
      <w:tr>
        <w:trPr>
          <w:trHeight w:val="184"/>
        </w:trPr>
        <w:tc>
          <w:tcPr>
            <w:tcW w:w="18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advanced</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metastatic</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Phase 1 trial (in</w:t>
            </w:r>
          </w:p>
        </w:tc>
        <w:tc>
          <w:tcPr>
            <w:tcW w:w="1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 combination with</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hematologic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melanoma</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combination with</w:t>
            </w:r>
          </w:p>
        </w:tc>
        <w:tc>
          <w:tcPr>
            <w:tcW w:w="1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Libtayo) in</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malignancies</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–First-line adjuvant</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Libtayo) in advanced</w:t>
            </w:r>
          </w:p>
        </w:tc>
        <w:tc>
          <w:tcPr>
            <w:tcW w:w="1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perioperative melanoma</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melanoma at ESMO</w:t>
            </w:r>
          </w:p>
        </w:tc>
        <w:tc>
          <w:tcPr>
            <w:tcW w:w="1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(mid-2023)</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melanoma</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Congress 2022</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3"/>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Clinical Program</w:t>
            </w: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8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2022 and 2023</w:t>
            </w:r>
          </w:p>
        </w:tc>
        <w:tc>
          <w:tcPr>
            <w:tcW w:w="0" w:type="dxa"/>
            <w:vAlign w:val="bottom"/>
          </w:tcPr>
          <w:p>
            <w:pPr>
              <w:spacing w:after="0"/>
              <w:rPr>
                <w:sz w:val="1"/>
                <w:szCs w:val="1"/>
                <w:color w:val="auto"/>
              </w:rPr>
            </w:pPr>
          </w:p>
        </w:tc>
      </w:tr>
      <w:tr>
        <w:trPr>
          <w:trHeight w:val="240"/>
        </w:trPr>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2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30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0" w:type="dxa"/>
            <w:vAlign w:val="bottom"/>
          </w:tcPr>
          <w:p>
            <w:pPr>
              <w:spacing w:after="0"/>
              <w:rPr>
                <w:sz w:val="1"/>
                <w:szCs w:val="1"/>
                <w:color w:val="auto"/>
              </w:rPr>
            </w:pPr>
          </w:p>
        </w:tc>
      </w:tr>
      <w:tr>
        <w:trPr>
          <w:trHeight w:val="176"/>
        </w:trPr>
        <w:tc>
          <w:tcPr>
            <w:tcW w:w="178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Fianlimab</w:t>
            </w:r>
            <w:r>
              <w:rPr>
                <w:rFonts w:ascii="Times New Roman" w:cs="Times New Roman" w:eastAsia="Times New Roman" w:hAnsi="Times New Roman"/>
                <w:sz w:val="20"/>
                <w:szCs w:val="20"/>
                <w:b w:val="1"/>
                <w:bCs w:val="1"/>
                <w:color w:val="auto"/>
                <w:vertAlign w:val="superscript"/>
              </w:rPr>
              <w:t>(f)</w:t>
            </w: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–Positive initial data</w:t>
            </w:r>
          </w:p>
        </w:tc>
        <w:tc>
          <w:tcPr>
            <w:tcW w:w="0" w:type="dxa"/>
            <w:vAlign w:val="bottom"/>
          </w:tcPr>
          <w:p>
            <w:pPr>
              <w:spacing w:after="0"/>
              <w:rPr>
                <w:sz w:val="1"/>
                <w:szCs w:val="1"/>
                <w:color w:val="auto"/>
              </w:rPr>
            </w:pPr>
          </w:p>
        </w:tc>
      </w:tr>
      <w:tr>
        <w:trPr>
          <w:trHeight w:val="182"/>
        </w:trPr>
        <w:tc>
          <w:tcPr>
            <w:tcW w:w="1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from Phase 1 trial (in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combination with</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Libtayo) in NSCLC</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presented at ESMO</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Immuno-Oncology</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Congress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1157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–Initiate Phase 2/3</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studies (in combination with Libtayo) in first-line advanced NSCLC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half 2023)</w:t>
      </w:r>
    </w:p>
    <w:p>
      <w:pPr>
        <w:spacing w:after="0" w:line="192"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–Initiate Phase 2 study (in combination with</w:t>
      </w:r>
    </w:p>
    <w:p>
      <w:pPr>
        <w:ind w:right="240"/>
        <w:spacing w:after="0" w:line="230" w:lineRule="auto"/>
        <w:rPr>
          <w:sz w:val="20"/>
          <w:szCs w:val="20"/>
          <w:color w:val="auto"/>
        </w:rPr>
      </w:pPr>
      <w:r>
        <w:rPr>
          <w:rFonts w:ascii="Times New Roman" w:cs="Times New Roman" w:eastAsia="Times New Roman" w:hAnsi="Times New Roman"/>
          <w:sz w:val="17"/>
          <w:szCs w:val="17"/>
          <w:color w:val="auto"/>
        </w:rPr>
        <w:t>Libtayo) in perioperative NSCLC (second half 2023)</w:t>
      </w:r>
    </w:p>
    <w:p>
      <w:pPr>
        <w:spacing w:after="0" w:line="1" w:lineRule="exact"/>
        <w:rPr>
          <w:sz w:val="20"/>
          <w:szCs w:val="20"/>
          <w:color w:val="auto"/>
        </w:rPr>
      </w:pPr>
    </w:p>
    <w:p>
      <w:pPr>
        <w:sectPr>
          <w:pgSz w:w="11900" w:h="16838" w:orient="portrait"/>
          <w:cols w:equalWidth="0" w:num="2">
            <w:col w:w="9340" w:space="100"/>
            <w:col w:w="18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2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4580" w:type="dxa"/>
            <w:vAlign w:val="bottom"/>
            <w:shd w:val="clear" w:color="auto" w:fill="CCEEFF"/>
          </w:tcPr>
          <w:p>
            <w:pPr>
              <w:ind w:left="940"/>
              <w:spacing w:after="0" w:line="186" w:lineRule="exact"/>
              <w:rPr>
                <w:sz w:val="20"/>
                <w:szCs w:val="20"/>
                <w:color w:val="auto"/>
              </w:rPr>
            </w:pPr>
            <w:r>
              <w:rPr>
                <w:rFonts w:ascii="Times New Roman" w:cs="Times New Roman" w:eastAsia="Times New Roman" w:hAnsi="Times New Roman"/>
                <w:sz w:val="18"/>
                <w:szCs w:val="18"/>
                <w:color w:val="auto"/>
              </w:rPr>
              <w:t>–Solid tumors</w:t>
            </w:r>
          </w:p>
        </w:tc>
        <w:tc>
          <w:tcPr>
            <w:tcW w:w="4420" w:type="dxa"/>
            <w:vAlign w:val="bottom"/>
            <w:shd w:val="clear" w:color="auto" w:fill="CCEEFF"/>
          </w:tcPr>
          <w:p>
            <w:pPr>
              <w:ind w:left="2620"/>
              <w:spacing w:after="0" w:line="186" w:lineRule="exact"/>
              <w:rPr>
                <w:sz w:val="20"/>
                <w:szCs w:val="20"/>
                <w:color w:val="auto"/>
              </w:rPr>
            </w:pPr>
            <w:r>
              <w:rPr>
                <w:rFonts w:ascii="Times New Roman" w:cs="Times New Roman" w:eastAsia="Times New Roman" w:hAnsi="Times New Roman"/>
                <w:sz w:val="18"/>
                <w:szCs w:val="18"/>
                <w:color w:val="auto"/>
              </w:rPr>
              <w:t>–Initiate Phase 2 study</w:t>
            </w:r>
          </w:p>
        </w:tc>
      </w:tr>
      <w:tr>
        <w:trPr>
          <w:trHeight w:val="182"/>
        </w:trPr>
        <w:tc>
          <w:tcPr>
            <w:tcW w:w="22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w:t>
            </w:r>
          </w:p>
        </w:tc>
        <w:tc>
          <w:tcPr>
            <w:tcW w:w="4580" w:type="dxa"/>
            <w:vAlign w:val="bottom"/>
            <w:shd w:val="clear" w:color="auto" w:fill="CCEEFF"/>
          </w:tcPr>
          <w:p>
            <w:pPr>
              <w:spacing w:after="0"/>
              <w:rPr>
                <w:sz w:val="15"/>
                <w:szCs w:val="15"/>
                <w:color w:val="auto"/>
              </w:rPr>
            </w:pPr>
          </w:p>
        </w:tc>
        <w:tc>
          <w:tcPr>
            <w:tcW w:w="4420" w:type="dxa"/>
            <w:vAlign w:val="bottom"/>
            <w:shd w:val="clear" w:color="auto" w:fill="CCEEFF"/>
          </w:tcPr>
          <w:p>
            <w:pPr>
              <w:ind w:left="2620"/>
              <w:spacing w:after="0" w:line="182" w:lineRule="exact"/>
              <w:rPr>
                <w:sz w:val="20"/>
                <w:szCs w:val="20"/>
                <w:color w:val="auto"/>
              </w:rPr>
            </w:pPr>
            <w:r>
              <w:rPr>
                <w:rFonts w:ascii="Times New Roman" w:cs="Times New Roman" w:eastAsia="Times New Roman" w:hAnsi="Times New Roman"/>
                <w:sz w:val="18"/>
                <w:szCs w:val="18"/>
                <w:color w:val="auto"/>
              </w:rPr>
              <w:t>in melanoma</w:t>
            </w:r>
          </w:p>
        </w:tc>
      </w:tr>
      <w:tr>
        <w:trPr>
          <w:trHeight w:val="22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TLR9</w:t>
            </w:r>
          </w:p>
        </w:tc>
        <w:tc>
          <w:tcPr>
            <w:tcW w:w="458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type w:val="continuous"/>
        </w:sect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b w:val="1"/>
          <w:bCs w:val="1"/>
          <w:color w:val="auto"/>
        </w:rPr>
        <w:t>Ubamatamab</w:t>
      </w:r>
      <w:r>
        <w:rPr>
          <w:rFonts w:ascii="Times New Roman" w:cs="Times New Roman" w:eastAsia="Times New Roman" w:hAnsi="Times New Roman"/>
          <w:sz w:val="23"/>
          <w:szCs w:val="23"/>
          <w:b w:val="1"/>
          <w:bCs w:val="1"/>
          <w:color w:val="auto"/>
          <w:vertAlign w:val="superscript"/>
        </w:rPr>
        <w:t>(f)</w:t>
      </w:r>
      <w:r>
        <w:rPr>
          <w:sz w:val="20"/>
          <w:szCs w:val="20"/>
          <w:color w:val="auto"/>
        </w:rPr>
        <w:tab/>
      </w:r>
      <w:r>
        <w:rPr>
          <w:rFonts w:ascii="Times New Roman" w:cs="Times New Roman" w:eastAsia="Times New Roman" w:hAnsi="Times New Roman"/>
          <w:sz w:val="17"/>
          <w:szCs w:val="17"/>
          <w:color w:val="auto"/>
        </w:rPr>
        <w:t>–Platinum-</w:t>
      </w:r>
    </w:p>
    <w:p>
      <w:pPr>
        <w:ind w:left="20"/>
        <w:spacing w:after="0" w:line="215" w:lineRule="auto"/>
        <w:tabs>
          <w:tab w:leader="none" w:pos="3160" w:val="left"/>
        </w:tabs>
        <w:rPr>
          <w:sz w:val="20"/>
          <w:szCs w:val="20"/>
          <w:color w:val="auto"/>
        </w:rPr>
      </w:pPr>
      <w:r>
        <w:rPr>
          <w:rFonts w:ascii="Times New Roman" w:cs="Times New Roman" w:eastAsia="Times New Roman" w:hAnsi="Times New Roman"/>
          <w:sz w:val="17"/>
          <w:szCs w:val="17"/>
          <w:b w:val="1"/>
          <w:bCs w:val="1"/>
          <w:color w:val="auto"/>
        </w:rPr>
        <w:t>(REGN4018)</w:t>
      </w:r>
      <w:r>
        <w:rPr>
          <w:sz w:val="20"/>
          <w:szCs w:val="20"/>
          <w:color w:val="auto"/>
        </w:rPr>
        <w:tab/>
      </w:r>
      <w:r>
        <w:rPr>
          <w:rFonts w:ascii="Times New Roman" w:cs="Times New Roman" w:eastAsia="Times New Roman" w:hAnsi="Times New Roman"/>
          <w:sz w:val="17"/>
          <w:szCs w:val="17"/>
          <w:color w:val="auto"/>
        </w:rPr>
        <w:t>resistant ovarian</w:t>
      </w:r>
    </w:p>
    <w:p>
      <w:pPr>
        <w:ind w:left="20"/>
        <w:spacing w:after="0" w:line="204" w:lineRule="auto"/>
        <w:tabs>
          <w:tab w:leader="none" w:pos="3160" w:val="left"/>
        </w:tabs>
        <w:rPr>
          <w:sz w:val="20"/>
          <w:szCs w:val="20"/>
          <w:color w:val="auto"/>
        </w:rPr>
      </w:pPr>
      <w:r>
        <w:rPr>
          <w:rFonts w:ascii="Times New Roman" w:cs="Times New Roman" w:eastAsia="Times New Roman" w:hAnsi="Times New Roman"/>
          <w:sz w:val="18"/>
          <w:szCs w:val="18"/>
          <w:i w:val="1"/>
          <w:iCs w:val="1"/>
          <w:color w:val="auto"/>
        </w:rPr>
        <w:t>Bispecific antibody</w:t>
      </w:r>
      <w:r>
        <w:rPr>
          <w:sz w:val="20"/>
          <w:szCs w:val="20"/>
          <w:color w:val="auto"/>
        </w:rPr>
        <w:tab/>
      </w:r>
      <w:r>
        <w:rPr>
          <w:rFonts w:ascii="Times New Roman" w:cs="Times New Roman" w:eastAsia="Times New Roman" w:hAnsi="Times New Roman"/>
          <w:sz w:val="18"/>
          <w:szCs w:val="18"/>
          <w:color w:val="auto"/>
        </w:rPr>
        <w:t>cancer</w:t>
      </w:r>
    </w:p>
    <w:p>
      <w:pPr>
        <w:ind w:left="20"/>
        <w:spacing w:after="0" w:line="219" w:lineRule="auto"/>
        <w:rPr>
          <w:sz w:val="20"/>
          <w:szCs w:val="20"/>
          <w:color w:val="auto"/>
        </w:rPr>
      </w:pPr>
      <w:r>
        <w:rPr>
          <w:rFonts w:ascii="Times New Roman" w:cs="Times New Roman" w:eastAsia="Times New Roman" w:hAnsi="Times New Roman"/>
          <w:sz w:val="18"/>
          <w:szCs w:val="18"/>
          <w:i w:val="1"/>
          <w:iCs w:val="1"/>
          <w:color w:val="auto"/>
        </w:rPr>
        <w:t>targeting MUC16 and</w:t>
      </w:r>
    </w:p>
    <w:p>
      <w:pPr>
        <w:ind w:left="20"/>
        <w:spacing w:after="0"/>
        <w:rPr>
          <w:sz w:val="20"/>
          <w:szCs w:val="20"/>
          <w:color w:val="auto"/>
        </w:rPr>
      </w:pPr>
      <w:r>
        <w:rPr>
          <w:rFonts w:ascii="Times New Roman" w:cs="Times New Roman" w:eastAsia="Times New Roman" w:hAnsi="Times New Roman"/>
          <w:sz w:val="18"/>
          <w:szCs w:val="18"/>
          <w:i w:val="1"/>
          <w:iCs w:val="1"/>
          <w:color w:val="auto"/>
        </w:rPr>
        <w:t>CD3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REGN5668</w:t>
      </w:r>
      <w:r>
        <w:rPr>
          <w:rFonts w:ascii="Times New Roman" w:cs="Times New Roman" w:eastAsia="Times New Roman" w:hAnsi="Times New Roman"/>
          <w:sz w:val="23"/>
          <w:szCs w:val="23"/>
          <w:b w:val="1"/>
          <w:bCs w:val="1"/>
          <w:color w:val="auto"/>
          <w:vertAlign w:val="superscript"/>
        </w:rPr>
        <w:t>(o)</w:t>
      </w:r>
      <w:r>
        <w:rPr>
          <w:sz w:val="20"/>
          <w:szCs w:val="20"/>
          <w:color w:val="auto"/>
        </w:rPr>
        <w:tab/>
      </w:r>
      <w:r>
        <w:rPr>
          <w:rFonts w:ascii="Times New Roman" w:cs="Times New Roman" w:eastAsia="Times New Roman" w:hAnsi="Times New Roman"/>
          <w:sz w:val="17"/>
          <w:szCs w:val="17"/>
          <w:color w:val="auto"/>
        </w:rPr>
        <w:t>–Platinum-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20"/>
        <w:spacing w:after="0" w:line="203" w:lineRule="auto"/>
        <w:tabs>
          <w:tab w:leader="none" w:pos="1860" w:val="left"/>
        </w:tabs>
        <w:rPr>
          <w:sz w:val="20"/>
          <w:szCs w:val="20"/>
          <w:color w:val="auto"/>
        </w:rPr>
      </w:pPr>
      <w:r>
        <w:rPr>
          <w:rFonts w:ascii="Times New Roman" w:cs="Times New Roman" w:eastAsia="Times New Roman" w:hAnsi="Times New Roman"/>
          <w:sz w:val="18"/>
          <w:szCs w:val="18"/>
          <w:i w:val="1"/>
          <w:iCs w:val="1"/>
          <w:color w:val="auto"/>
        </w:rPr>
        <w:t>Bispecific antibody</w:t>
      </w:r>
      <w:r>
        <w:rPr>
          <w:sz w:val="20"/>
          <w:szCs w:val="20"/>
          <w:color w:val="auto"/>
        </w:rPr>
        <w:tab/>
      </w:r>
      <w:r>
        <w:rPr>
          <w:rFonts w:ascii="Times New Roman" w:cs="Times New Roman" w:eastAsia="Times New Roman" w:hAnsi="Times New Roman"/>
          <w:sz w:val="18"/>
          <w:szCs w:val="18"/>
          <w:color w:val="auto"/>
        </w:rPr>
        <w:t>resistant</w:t>
      </w:r>
    </w:p>
    <w:p>
      <w:pPr>
        <w:ind w:left="20"/>
        <w:spacing w:after="0" w:line="203" w:lineRule="auto"/>
        <w:tabs>
          <w:tab w:leader="none" w:pos="1860" w:val="left"/>
        </w:tabs>
        <w:rPr>
          <w:sz w:val="20"/>
          <w:szCs w:val="20"/>
          <w:color w:val="auto"/>
        </w:rPr>
      </w:pPr>
      <w:r>
        <w:rPr>
          <w:rFonts w:ascii="Times New Roman" w:cs="Times New Roman" w:eastAsia="Times New Roman" w:hAnsi="Times New Roman"/>
          <w:sz w:val="18"/>
          <w:szCs w:val="18"/>
          <w:i w:val="1"/>
          <w:iCs w:val="1"/>
          <w:color w:val="auto"/>
        </w:rPr>
        <w:t>targeting MUC16 and</w:t>
      </w:r>
      <w:r>
        <w:rPr>
          <w:sz w:val="20"/>
          <w:szCs w:val="20"/>
          <w:color w:val="auto"/>
        </w:rPr>
        <w:tab/>
      </w:r>
      <w:r>
        <w:rPr>
          <w:rFonts w:ascii="Times New Roman" w:cs="Times New Roman" w:eastAsia="Times New Roman" w:hAnsi="Times New Roman"/>
          <w:sz w:val="18"/>
          <w:szCs w:val="18"/>
          <w:color w:val="auto"/>
        </w:rPr>
        <w:t>ovarian cancer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CD28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–Presented positive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data from</w:t>
      </w:r>
    </w:p>
    <w:p>
      <w:pPr>
        <w:spacing w:after="0" w:line="234" w:lineRule="auto"/>
        <w:rPr>
          <w:sz w:val="20"/>
          <w:szCs w:val="20"/>
          <w:color w:val="auto"/>
        </w:rPr>
      </w:pPr>
      <w:r>
        <w:rPr>
          <w:rFonts w:ascii="Times New Roman" w:cs="Times New Roman" w:eastAsia="Times New Roman" w:hAnsi="Times New Roman"/>
          <w:sz w:val="18"/>
          <w:szCs w:val="18"/>
          <w:color w:val="auto"/>
        </w:rPr>
        <w:t>monotherapy dose</w:t>
      </w:r>
    </w:p>
    <w:p>
      <w:pPr>
        <w:spacing w:after="0" w:line="235" w:lineRule="auto"/>
        <w:rPr>
          <w:sz w:val="20"/>
          <w:szCs w:val="20"/>
          <w:color w:val="auto"/>
        </w:rPr>
      </w:pPr>
      <w:r>
        <w:rPr>
          <w:rFonts w:ascii="Times New Roman" w:cs="Times New Roman" w:eastAsia="Times New Roman" w:hAnsi="Times New Roman"/>
          <w:sz w:val="18"/>
          <w:szCs w:val="18"/>
          <w:color w:val="auto"/>
        </w:rPr>
        <w:t>escalation portion of</w:t>
      </w:r>
    </w:p>
    <w:p>
      <w:pPr>
        <w:spacing w:after="0" w:line="235" w:lineRule="auto"/>
        <w:rPr>
          <w:sz w:val="20"/>
          <w:szCs w:val="20"/>
          <w:color w:val="auto"/>
        </w:rPr>
      </w:pPr>
      <w:r>
        <w:rPr>
          <w:rFonts w:ascii="Times New Roman" w:cs="Times New Roman" w:eastAsia="Times New Roman" w:hAnsi="Times New Roman"/>
          <w:sz w:val="18"/>
          <w:szCs w:val="18"/>
          <w:color w:val="auto"/>
        </w:rPr>
        <w:t>Phase 1/2 study in</w:t>
      </w:r>
    </w:p>
    <w:p>
      <w:pPr>
        <w:spacing w:after="0" w:line="235" w:lineRule="auto"/>
        <w:rPr>
          <w:sz w:val="20"/>
          <w:szCs w:val="20"/>
          <w:color w:val="auto"/>
        </w:rPr>
      </w:pPr>
      <w:r>
        <w:rPr>
          <w:rFonts w:ascii="Times New Roman" w:cs="Times New Roman" w:eastAsia="Times New Roman" w:hAnsi="Times New Roman"/>
          <w:sz w:val="18"/>
          <w:szCs w:val="18"/>
          <w:color w:val="auto"/>
        </w:rPr>
        <w:t>platinum-resistant</w:t>
      </w:r>
    </w:p>
    <w:p>
      <w:pPr>
        <w:spacing w:after="0" w:line="235" w:lineRule="auto"/>
        <w:rPr>
          <w:sz w:val="20"/>
          <w:szCs w:val="20"/>
          <w:color w:val="auto"/>
        </w:rPr>
      </w:pPr>
      <w:r>
        <w:rPr>
          <w:rFonts w:ascii="Times New Roman" w:cs="Times New Roman" w:eastAsia="Times New Roman" w:hAnsi="Times New Roman"/>
          <w:sz w:val="18"/>
          <w:szCs w:val="18"/>
          <w:color w:val="auto"/>
        </w:rPr>
        <w:t>ovarian cancer at ESMO</w:t>
      </w:r>
    </w:p>
    <w:p>
      <w:pPr>
        <w:spacing w:after="0"/>
        <w:rPr>
          <w:sz w:val="20"/>
          <w:szCs w:val="20"/>
          <w:color w:val="auto"/>
        </w:rPr>
      </w:pPr>
      <w:r>
        <w:rPr>
          <w:rFonts w:ascii="Times New Roman" w:cs="Times New Roman" w:eastAsia="Times New Roman" w:hAnsi="Times New Roman"/>
          <w:sz w:val="18"/>
          <w:szCs w:val="18"/>
          <w:color w:val="auto"/>
        </w:rPr>
        <w:t>Congress 2022</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Times New Roman" w:cs="Times New Roman" w:eastAsia="Times New Roman" w:hAnsi="Times New Roman"/>
          <w:sz w:val="18"/>
          <w:szCs w:val="18"/>
          <w:color w:val="auto"/>
        </w:rPr>
        <w:t>–Report results from</w:t>
      </w:r>
    </w:p>
    <w:p>
      <w:pPr>
        <w:spacing w:after="0" w:line="1" w:lineRule="exact"/>
        <w:rPr>
          <w:sz w:val="20"/>
          <w:szCs w:val="20"/>
          <w:color w:val="auto"/>
        </w:rPr>
      </w:pPr>
    </w:p>
    <w:p>
      <w:pPr>
        <w:ind w:right="260"/>
        <w:spacing w:after="0" w:line="220" w:lineRule="auto"/>
        <w:rPr>
          <w:sz w:val="20"/>
          <w:szCs w:val="20"/>
          <w:color w:val="auto"/>
        </w:rPr>
      </w:pPr>
      <w:r>
        <w:rPr>
          <w:rFonts w:ascii="Times New Roman" w:cs="Times New Roman" w:eastAsia="Times New Roman" w:hAnsi="Times New Roman"/>
          <w:sz w:val="17"/>
          <w:szCs w:val="17"/>
          <w:color w:val="auto"/>
        </w:rPr>
        <w:t>Phase 1/2 study (in combination with Libtayo) in platinum-</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resistant ovarian cancer (2023)</w:t>
      </w:r>
    </w:p>
    <w:p>
      <w:pPr>
        <w:spacing w:after="0" w:line="1289" w:lineRule="exact"/>
        <w:rPr>
          <w:sz w:val="20"/>
          <w:szCs w:val="20"/>
          <w:color w:val="auto"/>
        </w:rPr>
      </w:pPr>
    </w:p>
    <w:p>
      <w:pPr>
        <w:sectPr>
          <w:pgSz w:w="11900" w:h="16838" w:orient="portrait"/>
          <w:cols w:equalWidth="0" w:num="3">
            <w:col w:w="6800" w:space="720"/>
            <w:col w:w="1780" w:space="140"/>
            <w:col w:w="1800"/>
          </w:cols>
          <w:pgMar w:left="320" w:top="369" w:right="339" w:bottom="1440" w:gutter="0" w:footer="0" w:header="0"/>
          <w:type w:val="continuous"/>
        </w:sectPr>
      </w:pPr>
    </w:p>
    <w:tbl>
      <w:tblPr>
        <w:tblLayout w:type="fixed"/>
        <w:tblInd w:w="20" w:type="dxa"/>
        <w:tblCellMar>
          <w:top w:w="0" w:type="dxa"/>
          <w:left w:w="0" w:type="dxa"/>
          <w:bottom w:w="0" w:type="dxa"/>
          <w:right w:w="0" w:type="dxa"/>
        </w:tblCellMar>
      </w:tblPr>
      <w:tr>
        <w:trPr>
          <w:trHeight w:val="190"/>
        </w:trPr>
        <w:tc>
          <w:tcPr>
            <w:tcW w:w="16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33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–Prostate</w:t>
            </w:r>
          </w:p>
        </w:tc>
        <w:tc>
          <w:tcPr>
            <w:tcW w:w="4120" w:type="dxa"/>
            <w:vAlign w:val="bottom"/>
          </w:tcPr>
          <w:p>
            <w:pPr>
              <w:ind w:left="2480"/>
              <w:spacing w:after="0" w:line="189" w:lineRule="exact"/>
              <w:rPr>
                <w:sz w:val="20"/>
                <w:szCs w:val="20"/>
                <w:color w:val="auto"/>
              </w:rPr>
            </w:pPr>
            <w:r>
              <w:rPr>
                <w:rFonts w:ascii="Times New Roman" w:cs="Times New Roman" w:eastAsia="Times New Roman" w:hAnsi="Times New Roman"/>
                <w:sz w:val="18"/>
                <w:szCs w:val="18"/>
                <w:color w:val="auto"/>
                <w:w w:val="99"/>
              </w:rPr>
              <w:t>–Reported preliminary</w:t>
            </w:r>
          </w:p>
        </w:tc>
      </w:tr>
      <w:tr>
        <w:trPr>
          <w:trHeight w:val="182"/>
        </w:trPr>
        <w:tc>
          <w:tcPr>
            <w:tcW w:w="168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334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cancer</w:t>
            </w:r>
          </w:p>
        </w:tc>
        <w:tc>
          <w:tcPr>
            <w:tcW w:w="4120" w:type="dxa"/>
            <w:vAlign w:val="bottom"/>
          </w:tcPr>
          <w:p>
            <w:pPr>
              <w:ind w:left="2480"/>
              <w:spacing w:after="0" w:line="182" w:lineRule="exact"/>
              <w:rPr>
                <w:sz w:val="20"/>
                <w:szCs w:val="20"/>
                <w:color w:val="auto"/>
              </w:rPr>
            </w:pPr>
            <w:r>
              <w:rPr>
                <w:rFonts w:ascii="Times New Roman" w:cs="Times New Roman" w:eastAsia="Times New Roman" w:hAnsi="Times New Roman"/>
                <w:sz w:val="18"/>
                <w:szCs w:val="18"/>
                <w:color w:val="auto"/>
              </w:rPr>
              <w:t>data from dose</w:t>
            </w:r>
          </w:p>
        </w:tc>
      </w:tr>
      <w:tr>
        <w:trPr>
          <w:trHeight w:val="175"/>
        </w:trPr>
        <w:tc>
          <w:tcPr>
            <w:tcW w:w="168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3340" w:type="dxa"/>
            <w:vAlign w:val="bottom"/>
          </w:tcPr>
          <w:p>
            <w:pPr>
              <w:spacing w:after="0"/>
              <w:rPr>
                <w:sz w:val="15"/>
                <w:szCs w:val="15"/>
                <w:color w:val="auto"/>
              </w:rPr>
            </w:pPr>
          </w:p>
        </w:tc>
        <w:tc>
          <w:tcPr>
            <w:tcW w:w="4120" w:type="dxa"/>
            <w:vAlign w:val="bottom"/>
          </w:tcPr>
          <w:p>
            <w:pPr>
              <w:ind w:left="2480"/>
              <w:spacing w:after="0" w:line="176" w:lineRule="exact"/>
              <w:rPr>
                <w:sz w:val="20"/>
                <w:szCs w:val="20"/>
                <w:color w:val="auto"/>
              </w:rPr>
            </w:pPr>
            <w:r>
              <w:rPr>
                <w:rFonts w:ascii="Times New Roman" w:cs="Times New Roman" w:eastAsia="Times New Roman" w:hAnsi="Times New Roman"/>
                <w:sz w:val="18"/>
                <w:szCs w:val="18"/>
                <w:color w:val="auto"/>
              </w:rPr>
              <w:t>escalation portion of</w:t>
            </w:r>
          </w:p>
        </w:tc>
      </w:tr>
      <w:tr>
        <w:trPr>
          <w:trHeight w:val="184"/>
        </w:trPr>
        <w:tc>
          <w:tcPr>
            <w:tcW w:w="1680" w:type="dxa"/>
            <w:vAlign w:val="bottom"/>
          </w:tcPr>
          <w:p>
            <w:pPr>
              <w:spacing w:after="0" w:line="184" w:lineRule="exact"/>
              <w:rPr>
                <w:sz w:val="20"/>
                <w:szCs w:val="20"/>
                <w:color w:val="auto"/>
              </w:rPr>
            </w:pPr>
            <w:r>
              <w:rPr>
                <w:rFonts w:ascii="Times New Roman" w:cs="Times New Roman" w:eastAsia="Times New Roman" w:hAnsi="Times New Roman"/>
                <w:sz w:val="18"/>
                <w:szCs w:val="18"/>
                <w:i w:val="1"/>
                <w:iCs w:val="1"/>
                <w:color w:val="auto"/>
              </w:rPr>
              <w:t>CD28</w:t>
            </w:r>
          </w:p>
        </w:tc>
        <w:tc>
          <w:tcPr>
            <w:tcW w:w="3340" w:type="dxa"/>
            <w:vAlign w:val="bottom"/>
          </w:tcPr>
          <w:p>
            <w:pPr>
              <w:spacing w:after="0"/>
              <w:rPr>
                <w:sz w:val="16"/>
                <w:szCs w:val="16"/>
                <w:color w:val="auto"/>
              </w:rPr>
            </w:pPr>
          </w:p>
        </w:tc>
        <w:tc>
          <w:tcPr>
            <w:tcW w:w="4120" w:type="dxa"/>
            <w:vAlign w:val="bottom"/>
          </w:tcPr>
          <w:p>
            <w:pPr>
              <w:ind w:left="2480"/>
              <w:spacing w:after="0" w:line="184" w:lineRule="exact"/>
              <w:rPr>
                <w:sz w:val="20"/>
                <w:szCs w:val="20"/>
                <w:color w:val="auto"/>
              </w:rPr>
            </w:pPr>
            <w:r>
              <w:rPr>
                <w:rFonts w:ascii="Times New Roman" w:cs="Times New Roman" w:eastAsia="Times New Roman" w:hAnsi="Times New Roman"/>
                <w:sz w:val="18"/>
                <w:szCs w:val="18"/>
                <w:color w:val="auto"/>
              </w:rPr>
              <w:t>Phase 1/2 study (in</w:t>
            </w:r>
          </w:p>
        </w:tc>
      </w:tr>
      <w:tr>
        <w:trPr>
          <w:trHeight w:val="180"/>
        </w:trPr>
        <w:tc>
          <w:tcPr>
            <w:tcW w:w="16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120" w:type="dxa"/>
            <w:vAlign w:val="bottom"/>
          </w:tcPr>
          <w:p>
            <w:pPr>
              <w:ind w:left="2480"/>
              <w:spacing w:after="0" w:line="181" w:lineRule="exact"/>
              <w:rPr>
                <w:sz w:val="20"/>
                <w:szCs w:val="20"/>
                <w:color w:val="auto"/>
              </w:rPr>
            </w:pPr>
            <w:r>
              <w:rPr>
                <w:rFonts w:ascii="Times New Roman" w:cs="Times New Roman" w:eastAsia="Times New Roman" w:hAnsi="Times New Roman"/>
                <w:sz w:val="18"/>
                <w:szCs w:val="18"/>
                <w:color w:val="auto"/>
              </w:rPr>
              <w:t>combination with</w:t>
            </w:r>
          </w:p>
        </w:tc>
      </w:tr>
      <w:tr>
        <w:trPr>
          <w:trHeight w:val="175"/>
        </w:trPr>
        <w:tc>
          <w:tcPr>
            <w:tcW w:w="16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120" w:type="dxa"/>
            <w:vAlign w:val="bottom"/>
          </w:tcPr>
          <w:p>
            <w:pPr>
              <w:ind w:left="2480"/>
              <w:spacing w:after="0" w:line="176" w:lineRule="exact"/>
              <w:rPr>
                <w:sz w:val="20"/>
                <w:szCs w:val="20"/>
                <w:color w:val="auto"/>
              </w:rPr>
            </w:pPr>
            <w:r>
              <w:rPr>
                <w:rFonts w:ascii="Times New Roman" w:cs="Times New Roman" w:eastAsia="Times New Roman" w:hAnsi="Times New Roman"/>
                <w:sz w:val="18"/>
                <w:szCs w:val="18"/>
                <w:color w:val="auto"/>
              </w:rPr>
              <w:t>Libtayo) in prostate</w:t>
            </w:r>
          </w:p>
        </w:tc>
      </w:tr>
      <w:tr>
        <w:trPr>
          <w:trHeight w:val="230"/>
        </w:trPr>
        <w:tc>
          <w:tcPr>
            <w:tcW w:w="16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cancer</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–Report additional</w:t>
      </w:r>
    </w:p>
    <w:p>
      <w:pPr>
        <w:ind w:right="20"/>
        <w:spacing w:after="0" w:line="220" w:lineRule="auto"/>
        <w:rPr>
          <w:sz w:val="20"/>
          <w:szCs w:val="20"/>
          <w:color w:val="auto"/>
        </w:rPr>
      </w:pPr>
      <w:r>
        <w:rPr>
          <w:rFonts w:ascii="Times New Roman" w:cs="Times New Roman" w:eastAsia="Times New Roman" w:hAnsi="Times New Roman"/>
          <w:sz w:val="17"/>
          <w:szCs w:val="17"/>
          <w:color w:val="auto"/>
        </w:rPr>
        <w:t>results from Phase 1/2 study (in combination with Libtayo) in prostate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cancer (2023)</w:t>
      </w:r>
    </w:p>
    <w:p>
      <w:pPr>
        <w:spacing w:after="0" w:line="359" w:lineRule="exact"/>
        <w:rPr>
          <w:sz w:val="20"/>
          <w:szCs w:val="20"/>
          <w:color w:val="auto"/>
        </w:rPr>
      </w:pPr>
    </w:p>
    <w:p>
      <w:pPr>
        <w:sectPr>
          <w:pgSz w:w="11900" w:h="16838" w:orient="portrait"/>
          <w:cols w:equalWidth="0" w:num="2">
            <w:col w:w="9160" w:space="280"/>
            <w:col w:w="18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REGN4336</w:t>
            </w:r>
          </w:p>
        </w:tc>
        <w:tc>
          <w:tcPr>
            <w:tcW w:w="256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–Prostate</w:t>
            </w:r>
          </w:p>
        </w:tc>
        <w:tc>
          <w:tcPr>
            <w:tcW w:w="6960" w:type="dxa"/>
            <w:vAlign w:val="bottom"/>
            <w:shd w:val="clear" w:color="auto" w:fill="CCEEFF"/>
          </w:tcPr>
          <w:p>
            <w:pPr>
              <w:spacing w:after="0"/>
              <w:rPr>
                <w:sz w:val="15"/>
                <w:szCs w:val="15"/>
                <w:color w:val="auto"/>
              </w:rPr>
            </w:pPr>
          </w:p>
        </w:tc>
      </w:tr>
      <w:tr>
        <w:trPr>
          <w:trHeight w:val="182"/>
        </w:trPr>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256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cancer</w:t>
            </w:r>
          </w:p>
        </w:tc>
        <w:tc>
          <w:tcPr>
            <w:tcW w:w="6960" w:type="dxa"/>
            <w:vAlign w:val="bottom"/>
            <w:shd w:val="clear" w:color="auto" w:fill="CCEEFF"/>
          </w:tcPr>
          <w:p>
            <w:pPr>
              <w:spacing w:after="0"/>
              <w:rPr>
                <w:sz w:val="15"/>
                <w:szCs w:val="15"/>
                <w:color w:val="auto"/>
              </w:rPr>
            </w:pPr>
          </w:p>
        </w:tc>
      </w:tr>
      <w:tr>
        <w:trPr>
          <w:trHeight w:val="175"/>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2560" w:type="dxa"/>
            <w:vAlign w:val="bottom"/>
            <w:shd w:val="clear" w:color="auto" w:fill="CCEEFF"/>
          </w:tcPr>
          <w:p>
            <w:pPr>
              <w:spacing w:after="0"/>
              <w:rPr>
                <w:sz w:val="15"/>
                <w:szCs w:val="15"/>
                <w:color w:val="auto"/>
              </w:rPr>
            </w:pPr>
          </w:p>
        </w:tc>
        <w:tc>
          <w:tcPr>
            <w:tcW w:w="6960" w:type="dxa"/>
            <w:vAlign w:val="bottom"/>
            <w:shd w:val="clear" w:color="auto" w:fill="CCEEFF"/>
          </w:tcPr>
          <w:p>
            <w:pPr>
              <w:spacing w:after="0"/>
              <w:rPr>
                <w:sz w:val="15"/>
                <w:szCs w:val="15"/>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256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r>
      <w:tr>
        <w:trPr>
          <w:trHeight w:val="182"/>
        </w:trPr>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REGN5093</w:t>
            </w:r>
          </w:p>
        </w:tc>
        <w:tc>
          <w:tcPr>
            <w:tcW w:w="256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–MET-altered</w:t>
            </w:r>
          </w:p>
        </w:tc>
        <w:tc>
          <w:tcPr>
            <w:tcW w:w="6960" w:type="dxa"/>
            <w:vAlign w:val="bottom"/>
          </w:tcPr>
          <w:p>
            <w:pPr>
              <w:ind w:left="3240"/>
              <w:spacing w:after="0" w:line="182" w:lineRule="exact"/>
              <w:rPr>
                <w:sz w:val="20"/>
                <w:szCs w:val="20"/>
                <w:color w:val="auto"/>
              </w:rPr>
            </w:pPr>
            <w:r>
              <w:rPr>
                <w:rFonts w:ascii="Times New Roman" w:cs="Times New Roman" w:eastAsia="Times New Roman" w:hAnsi="Times New Roman"/>
                <w:sz w:val="18"/>
                <w:szCs w:val="18"/>
                <w:color w:val="auto"/>
              </w:rPr>
              <w:t>–Presented positive</w:t>
            </w:r>
          </w:p>
        </w:tc>
      </w:tr>
      <w:tr>
        <w:trPr>
          <w:trHeight w:val="182"/>
        </w:trPr>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256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advanced</w:t>
            </w:r>
          </w:p>
        </w:tc>
        <w:tc>
          <w:tcPr>
            <w:tcW w:w="6960" w:type="dxa"/>
            <w:vAlign w:val="bottom"/>
          </w:tcPr>
          <w:p>
            <w:pPr>
              <w:ind w:left="3240"/>
              <w:spacing w:after="0" w:line="182" w:lineRule="exact"/>
              <w:rPr>
                <w:sz w:val="20"/>
                <w:szCs w:val="20"/>
                <w:color w:val="auto"/>
              </w:rPr>
            </w:pPr>
            <w:r>
              <w:rPr>
                <w:rFonts w:ascii="Times New Roman" w:cs="Times New Roman" w:eastAsia="Times New Roman" w:hAnsi="Times New Roman"/>
                <w:sz w:val="18"/>
                <w:szCs w:val="18"/>
                <w:color w:val="auto"/>
              </w:rPr>
              <w:t>initial data from dose</w:t>
            </w:r>
          </w:p>
        </w:tc>
      </w:tr>
      <w:tr>
        <w:trPr>
          <w:trHeight w:val="175"/>
        </w:trPr>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25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NSCLC</w:t>
            </w:r>
          </w:p>
        </w:tc>
        <w:tc>
          <w:tcPr>
            <w:tcW w:w="6960" w:type="dxa"/>
            <w:vAlign w:val="bottom"/>
          </w:tcPr>
          <w:p>
            <w:pPr>
              <w:ind w:left="3240"/>
              <w:spacing w:after="0" w:line="176" w:lineRule="exact"/>
              <w:rPr>
                <w:sz w:val="20"/>
                <w:szCs w:val="20"/>
                <w:color w:val="auto"/>
              </w:rPr>
            </w:pPr>
            <w:r>
              <w:rPr>
                <w:rFonts w:ascii="Times New Roman" w:cs="Times New Roman" w:eastAsia="Times New Roman" w:hAnsi="Times New Roman"/>
                <w:sz w:val="18"/>
                <w:szCs w:val="18"/>
                <w:color w:val="auto"/>
              </w:rPr>
              <w:t>escalation portion of</w:t>
            </w:r>
          </w:p>
        </w:tc>
      </w:tr>
      <w:tr>
        <w:trPr>
          <w:trHeight w:val="184"/>
        </w:trPr>
        <w:tc>
          <w:tcPr>
            <w:tcW w:w="1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MET epitopes</w:t>
            </w:r>
          </w:p>
        </w:tc>
        <w:tc>
          <w:tcPr>
            <w:tcW w:w="2560" w:type="dxa"/>
            <w:vAlign w:val="bottom"/>
          </w:tcPr>
          <w:p>
            <w:pPr>
              <w:spacing w:after="0"/>
              <w:rPr>
                <w:sz w:val="16"/>
                <w:szCs w:val="16"/>
                <w:color w:val="auto"/>
              </w:rPr>
            </w:pPr>
          </w:p>
        </w:tc>
        <w:tc>
          <w:tcPr>
            <w:tcW w:w="6960" w:type="dxa"/>
            <w:vAlign w:val="bottom"/>
          </w:tcPr>
          <w:p>
            <w:pPr>
              <w:ind w:left="3240"/>
              <w:spacing w:after="0" w:line="184" w:lineRule="exact"/>
              <w:rPr>
                <w:sz w:val="20"/>
                <w:szCs w:val="20"/>
                <w:color w:val="auto"/>
              </w:rPr>
            </w:pPr>
            <w:r>
              <w:rPr>
                <w:rFonts w:ascii="Times New Roman" w:cs="Times New Roman" w:eastAsia="Times New Roman" w:hAnsi="Times New Roman"/>
                <w:sz w:val="18"/>
                <w:szCs w:val="18"/>
                <w:color w:val="auto"/>
              </w:rPr>
              <w:t>Phase 1/2 study in MET-</w:t>
            </w:r>
          </w:p>
        </w:tc>
      </w:tr>
      <w:tr>
        <w:trPr>
          <w:trHeight w:val="180"/>
        </w:trPr>
        <w:tc>
          <w:tcPr>
            <w:tcW w:w="17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960" w:type="dxa"/>
            <w:vAlign w:val="bottom"/>
          </w:tcPr>
          <w:p>
            <w:pPr>
              <w:ind w:left="3240"/>
              <w:spacing w:after="0" w:line="181" w:lineRule="exact"/>
              <w:rPr>
                <w:sz w:val="20"/>
                <w:szCs w:val="20"/>
                <w:color w:val="auto"/>
              </w:rPr>
            </w:pPr>
            <w:r>
              <w:rPr>
                <w:rFonts w:ascii="Times New Roman" w:cs="Times New Roman" w:eastAsia="Times New Roman" w:hAnsi="Times New Roman"/>
                <w:sz w:val="18"/>
                <w:szCs w:val="18"/>
                <w:color w:val="auto"/>
              </w:rPr>
              <w:t>altered advanced</w:t>
            </w:r>
          </w:p>
        </w:tc>
      </w:tr>
      <w:tr>
        <w:trPr>
          <w:trHeight w:val="175"/>
        </w:trPr>
        <w:tc>
          <w:tcPr>
            <w:tcW w:w="17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960" w:type="dxa"/>
            <w:vAlign w:val="bottom"/>
          </w:tcPr>
          <w:p>
            <w:pPr>
              <w:ind w:left="3240"/>
              <w:spacing w:after="0" w:line="176" w:lineRule="exact"/>
              <w:rPr>
                <w:sz w:val="20"/>
                <w:szCs w:val="20"/>
                <w:color w:val="auto"/>
              </w:rPr>
            </w:pPr>
            <w:r>
              <w:rPr>
                <w:rFonts w:ascii="Times New Roman" w:cs="Times New Roman" w:eastAsia="Times New Roman" w:hAnsi="Times New Roman"/>
                <w:sz w:val="18"/>
                <w:szCs w:val="18"/>
                <w:color w:val="auto"/>
              </w:rPr>
              <w:t>NSCLC at ESMO</w:t>
            </w:r>
          </w:p>
        </w:tc>
      </w:tr>
      <w:tr>
        <w:trPr>
          <w:trHeight w:val="230"/>
        </w:trPr>
        <w:tc>
          <w:tcPr>
            <w:tcW w:w="1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96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Congress 2022</w:t>
            </w:r>
          </w:p>
        </w:tc>
      </w:tr>
      <w:tr>
        <w:trPr>
          <w:trHeight w:val="182"/>
        </w:trPr>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REGN5093-M114</w:t>
            </w:r>
          </w:p>
        </w:tc>
        <w:tc>
          <w:tcPr>
            <w:tcW w:w="256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–MET</w:t>
            </w:r>
          </w:p>
        </w:tc>
        <w:tc>
          <w:tcPr>
            <w:tcW w:w="6960" w:type="dxa"/>
            <w:vAlign w:val="bottom"/>
            <w:shd w:val="clear" w:color="auto" w:fill="CCEEFF"/>
          </w:tcPr>
          <w:p>
            <w:pPr>
              <w:spacing w:after="0"/>
              <w:rPr>
                <w:sz w:val="15"/>
                <w:szCs w:val="15"/>
                <w:color w:val="auto"/>
              </w:rPr>
            </w:pPr>
          </w:p>
        </w:tc>
      </w:tr>
      <w:tr>
        <w:trPr>
          <w:trHeight w:val="182"/>
        </w:trPr>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256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overexpressing</w:t>
            </w:r>
          </w:p>
        </w:tc>
        <w:tc>
          <w:tcPr>
            <w:tcW w:w="6960" w:type="dxa"/>
            <w:vAlign w:val="bottom"/>
            <w:shd w:val="clear" w:color="auto" w:fill="CCEEFF"/>
          </w:tcPr>
          <w:p>
            <w:pPr>
              <w:spacing w:after="0"/>
              <w:rPr>
                <w:sz w:val="15"/>
                <w:szCs w:val="15"/>
                <w:color w:val="auto"/>
              </w:rPr>
            </w:pPr>
          </w:p>
        </w:tc>
      </w:tr>
      <w:tr>
        <w:trPr>
          <w:trHeight w:val="176"/>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drug conjugate</w:t>
            </w:r>
          </w:p>
        </w:tc>
        <w:tc>
          <w:tcPr>
            <w:tcW w:w="25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advanced</w:t>
            </w:r>
          </w:p>
        </w:tc>
        <w:tc>
          <w:tcPr>
            <w:tcW w:w="6960" w:type="dxa"/>
            <w:vAlign w:val="bottom"/>
            <w:shd w:val="clear" w:color="auto" w:fill="CCEEFF"/>
          </w:tcPr>
          <w:p>
            <w:pPr>
              <w:spacing w:after="0"/>
              <w:rPr>
                <w:sz w:val="15"/>
                <w:szCs w:val="15"/>
                <w:color w:val="auto"/>
              </w:rPr>
            </w:pPr>
          </w:p>
        </w:tc>
      </w:tr>
      <w:tr>
        <w:trPr>
          <w:trHeight w:val="182"/>
        </w:trPr>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256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cancer</w:t>
            </w:r>
          </w:p>
        </w:tc>
        <w:tc>
          <w:tcPr>
            <w:tcW w:w="6960" w:type="dxa"/>
            <w:vAlign w:val="bottom"/>
            <w:shd w:val="clear" w:color="auto" w:fill="CCEEFF"/>
          </w:tcPr>
          <w:p>
            <w:pPr>
              <w:spacing w:after="0"/>
              <w:rPr>
                <w:sz w:val="15"/>
                <w:szCs w:val="15"/>
                <w:color w:val="auto"/>
              </w:rPr>
            </w:pPr>
          </w:p>
        </w:tc>
      </w:tr>
      <w:tr>
        <w:trPr>
          <w:trHeight w:val="23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MET epitopes</w:t>
            </w:r>
          </w:p>
        </w:tc>
        <w:tc>
          <w:tcPr>
            <w:tcW w:w="2560" w:type="dxa"/>
            <w:vAlign w:val="bottom"/>
            <w:shd w:val="clear" w:color="auto" w:fill="CCEEFF"/>
          </w:tcPr>
          <w:p>
            <w:pPr>
              <w:spacing w:after="0"/>
              <w:rPr>
                <w:sz w:val="20"/>
                <w:szCs w:val="20"/>
                <w:color w:val="auto"/>
              </w:rPr>
            </w:pPr>
          </w:p>
        </w:tc>
        <w:tc>
          <w:tcPr>
            <w:tcW w:w="6960" w:type="dxa"/>
            <w:vAlign w:val="bottom"/>
            <w:shd w:val="clear" w:color="auto" w:fill="CCEEFF"/>
          </w:tcPr>
          <w:p>
            <w:pPr>
              <w:spacing w:after="0"/>
              <w:rPr>
                <w:sz w:val="20"/>
                <w:szCs w:val="20"/>
                <w:color w:val="auto"/>
              </w:rPr>
            </w:pPr>
          </w:p>
        </w:tc>
      </w:tr>
      <w:tr>
        <w:trPr>
          <w:trHeight w:val="182"/>
        </w:trPr>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REGN6569</w:t>
            </w:r>
          </w:p>
        </w:tc>
        <w:tc>
          <w:tcPr>
            <w:tcW w:w="256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–Solid tumors</w:t>
            </w:r>
          </w:p>
        </w:tc>
        <w:tc>
          <w:tcPr>
            <w:tcW w:w="6960" w:type="dxa"/>
            <w:vAlign w:val="bottom"/>
          </w:tcPr>
          <w:p>
            <w:pPr>
              <w:spacing w:after="0"/>
              <w:rPr>
                <w:sz w:val="15"/>
                <w:szCs w:val="15"/>
                <w:color w:val="auto"/>
              </w:rPr>
            </w:pPr>
          </w:p>
        </w:tc>
      </w:tr>
      <w:tr>
        <w:trPr>
          <w:trHeight w:val="236"/>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GITR</w:t>
            </w:r>
          </w:p>
        </w:tc>
        <w:tc>
          <w:tcPr>
            <w:tcW w:w="256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810"/>
        </w:trPr>
        <w:tc>
          <w:tcPr>
            <w:tcW w:w="1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9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9</w:t>
            </w:r>
          </w:p>
        </w:tc>
      </w:tr>
      <w:tr>
        <w:trPr>
          <w:trHeight w:val="358"/>
        </w:trPr>
        <w:tc>
          <w:tcPr>
            <w:tcW w:w="17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2022 and 2023</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8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30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76"/>
        </w:trPr>
        <w:tc>
          <w:tcPr>
            <w:tcW w:w="17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REGN7075</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–Solid tumors</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EGFR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60" w:type="dxa"/>
            <w:vAlign w:val="bottom"/>
            <w:gridSpan w:val="2"/>
            <w:shd w:val="clear" w:color="auto" w:fill="ACACAC"/>
          </w:tcPr>
          <w:p>
            <w:pPr>
              <w:ind w:left="500"/>
              <w:spacing w:after="0"/>
              <w:rPr>
                <w:sz w:val="20"/>
                <w:szCs w:val="20"/>
                <w:color w:val="auto"/>
              </w:rPr>
            </w:pPr>
            <w:r>
              <w:rPr>
                <w:rFonts w:ascii="Times New Roman" w:cs="Times New Roman" w:eastAsia="Times New Roman" w:hAnsi="Times New Roman"/>
                <w:sz w:val="18"/>
                <w:szCs w:val="18"/>
                <w:b w:val="1"/>
                <w:bCs w:val="1"/>
                <w:color w:val="auto"/>
              </w:rPr>
              <w:t>Hematology</w:t>
            </w: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tbl>
      <w:tblPr>
        <w:tblLayout w:type="fixed"/>
        <w:tblInd w:w="20" w:type="dxa"/>
        <w:tblCellMar>
          <w:top w:w="0" w:type="dxa"/>
          <w:left w:w="0" w:type="dxa"/>
          <w:bottom w:w="0" w:type="dxa"/>
          <w:right w:w="0" w:type="dxa"/>
        </w:tblCellMar>
      </w:tblPr>
      <w:tr>
        <w:trPr>
          <w:trHeight w:val="234"/>
        </w:trPr>
        <w:tc>
          <w:tcPr>
            <w:tcW w:w="1640" w:type="dxa"/>
            <w:vAlign w:val="bottom"/>
          </w:tcPr>
          <w:p>
            <w:pPr>
              <w:spacing w:after="0" w:line="234" w:lineRule="exact"/>
              <w:rPr>
                <w:sz w:val="20"/>
                <w:szCs w:val="20"/>
                <w:color w:val="auto"/>
              </w:rPr>
            </w:pPr>
            <w:r>
              <w:rPr>
                <w:rFonts w:ascii="Times New Roman" w:cs="Times New Roman" w:eastAsia="Times New Roman" w:hAnsi="Times New Roman"/>
                <w:sz w:val="18"/>
                <w:szCs w:val="18"/>
                <w:b w:val="1"/>
                <w:bCs w:val="1"/>
                <w:color w:val="auto"/>
              </w:rPr>
              <w:t>Odronextamab</w:t>
            </w:r>
            <w:r>
              <w:rPr>
                <w:rFonts w:ascii="Times New Roman" w:cs="Times New Roman" w:eastAsia="Times New Roman" w:hAnsi="Times New Roman"/>
                <w:sz w:val="23"/>
                <w:szCs w:val="23"/>
                <w:b w:val="1"/>
                <w:bCs w:val="1"/>
                <w:color w:val="auto"/>
                <w:vertAlign w:val="superscript"/>
              </w:rPr>
              <w:t>(i)</w:t>
            </w: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B-cell</w:t>
            </w: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–B-cell non-</w:t>
            </w:r>
          </w:p>
        </w:tc>
        <w:tc>
          <w:tcPr>
            <w:tcW w:w="34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8"/>
              </w:rPr>
              <w:t>–Presented positive data</w:t>
            </w:r>
          </w:p>
        </w:tc>
        <w:tc>
          <w:tcPr>
            <w:tcW w:w="0" w:type="dxa"/>
            <w:vAlign w:val="bottom"/>
          </w:tcPr>
          <w:p>
            <w:pPr>
              <w:spacing w:after="0"/>
              <w:rPr>
                <w:sz w:val="1"/>
                <w:szCs w:val="1"/>
                <w:color w:val="auto"/>
              </w:rPr>
            </w:pPr>
          </w:p>
        </w:tc>
      </w:tr>
      <w:tr>
        <w:trPr>
          <w:trHeight w:val="184"/>
        </w:trPr>
        <w:tc>
          <w:tcPr>
            <w:tcW w:w="16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(REGN1979)</w:t>
            </w:r>
          </w:p>
        </w:tc>
        <w:tc>
          <w:tcPr>
            <w:tcW w:w="1400" w:type="dxa"/>
            <w:vAlign w:val="bottom"/>
          </w:tcPr>
          <w:p>
            <w:pPr>
              <w:ind w:left="200"/>
              <w:spacing w:after="0" w:line="185" w:lineRule="exact"/>
              <w:rPr>
                <w:sz w:val="20"/>
                <w:szCs w:val="20"/>
                <w:color w:val="auto"/>
              </w:rPr>
            </w:pPr>
            <w:r>
              <w:rPr>
                <w:rFonts w:ascii="Times New Roman" w:cs="Times New Roman" w:eastAsia="Times New Roman" w:hAnsi="Times New Roman"/>
                <w:sz w:val="17"/>
                <w:szCs w:val="17"/>
                <w:color w:val="auto"/>
              </w:rPr>
              <w:t>malignancies</w:t>
            </w:r>
            <w:r>
              <w:rPr>
                <w:rFonts w:ascii="Times New Roman" w:cs="Times New Roman" w:eastAsia="Times New Roman" w:hAnsi="Times New Roman"/>
                <w:sz w:val="21"/>
                <w:szCs w:val="21"/>
                <w:color w:val="auto"/>
                <w:vertAlign w:val="superscript"/>
              </w:rPr>
              <w:t>(c)</w:t>
            </w:r>
          </w:p>
        </w:tc>
        <w:tc>
          <w:tcPr>
            <w:tcW w:w="28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Hodgkin</w:t>
            </w:r>
          </w:p>
        </w:tc>
        <w:tc>
          <w:tcPr>
            <w:tcW w:w="3400" w:type="dxa"/>
            <w:vAlign w:val="bottom"/>
          </w:tcPr>
          <w:p>
            <w:pPr>
              <w:ind w:left="1660"/>
              <w:spacing w:after="0" w:line="184" w:lineRule="exact"/>
              <w:rPr>
                <w:sz w:val="20"/>
                <w:szCs w:val="20"/>
                <w:color w:val="auto"/>
              </w:rPr>
            </w:pPr>
            <w:r>
              <w:rPr>
                <w:rFonts w:ascii="Times New Roman" w:cs="Times New Roman" w:eastAsia="Times New Roman" w:hAnsi="Times New Roman"/>
                <w:sz w:val="18"/>
                <w:szCs w:val="18"/>
                <w:color w:val="auto"/>
              </w:rPr>
              <w:t>from two cohorts of</w:t>
            </w:r>
          </w:p>
        </w:tc>
        <w:tc>
          <w:tcPr>
            <w:tcW w:w="0" w:type="dxa"/>
            <w:vAlign w:val="bottom"/>
          </w:tcPr>
          <w:p>
            <w:pPr>
              <w:spacing w:after="0"/>
              <w:rPr>
                <w:sz w:val="1"/>
                <w:szCs w:val="1"/>
                <w:color w:val="auto"/>
              </w:rPr>
            </w:pPr>
          </w:p>
        </w:tc>
      </w:tr>
      <w:tr>
        <w:trPr>
          <w:trHeight w:val="150"/>
        </w:trPr>
        <w:tc>
          <w:tcPr>
            <w:tcW w:w="164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(m)</w:t>
            </w:r>
          </w:p>
        </w:tc>
        <w:tc>
          <w:tcPr>
            <w:tcW w:w="2820" w:type="dxa"/>
            <w:vAlign w:val="bottom"/>
            <w:vMerge w:val="restart"/>
          </w:tcPr>
          <w:p>
            <w:pPr>
              <w:ind w:left="100"/>
              <w:spacing w:after="0" w:line="176" w:lineRule="exact"/>
              <w:rPr>
                <w:sz w:val="20"/>
                <w:szCs w:val="20"/>
                <w:color w:val="auto"/>
              </w:rPr>
            </w:pPr>
            <w:r>
              <w:rPr>
                <w:rFonts w:ascii="Times New Roman" w:cs="Times New Roman" w:eastAsia="Times New Roman" w:hAnsi="Times New Roman"/>
                <w:sz w:val="18"/>
                <w:szCs w:val="18"/>
                <w:color w:val="auto"/>
              </w:rPr>
              <w:t>lymphoma</w:t>
            </w:r>
          </w:p>
        </w:tc>
        <w:tc>
          <w:tcPr>
            <w:tcW w:w="3400" w:type="dxa"/>
            <w:vAlign w:val="bottom"/>
            <w:vMerge w:val="restart"/>
          </w:tcPr>
          <w:p>
            <w:pPr>
              <w:ind w:left="1660"/>
              <w:spacing w:after="0" w:line="176" w:lineRule="exact"/>
              <w:rPr>
                <w:sz w:val="20"/>
                <w:szCs w:val="20"/>
                <w:color w:val="auto"/>
              </w:rPr>
            </w:pPr>
            <w:r>
              <w:rPr>
                <w:rFonts w:ascii="Times New Roman" w:cs="Times New Roman" w:eastAsia="Times New Roman" w:hAnsi="Times New Roman"/>
                <w:sz w:val="18"/>
                <w:szCs w:val="18"/>
                <w:color w:val="auto"/>
                <w:w w:val="99"/>
              </w:rPr>
              <w:t>pivotal Phase 2 study in</w:t>
            </w:r>
          </w:p>
        </w:tc>
        <w:tc>
          <w:tcPr>
            <w:tcW w:w="0" w:type="dxa"/>
            <w:vAlign w:val="bottom"/>
          </w:tcPr>
          <w:p>
            <w:pPr>
              <w:spacing w:after="0"/>
              <w:rPr>
                <w:sz w:val="1"/>
                <w:szCs w:val="1"/>
                <w:color w:val="auto"/>
              </w:rPr>
            </w:pPr>
          </w:p>
        </w:tc>
      </w:tr>
      <w:tr>
        <w:trPr>
          <w:trHeight w:val="25"/>
        </w:trPr>
        <w:tc>
          <w:tcPr>
            <w:tcW w:w="1640" w:type="dxa"/>
            <w:vAlign w:val="bottom"/>
            <w:vMerge w:val="continue"/>
          </w:tcPr>
          <w:p>
            <w:pPr>
              <w:spacing w:after="0"/>
              <w:rPr>
                <w:sz w:val="2"/>
                <w:szCs w:val="2"/>
                <w:color w:val="auto"/>
              </w:rPr>
            </w:pPr>
          </w:p>
        </w:tc>
        <w:tc>
          <w:tcPr>
            <w:tcW w:w="1400" w:type="dxa"/>
            <w:vAlign w:val="bottom"/>
          </w:tcPr>
          <w:p>
            <w:pPr>
              <w:spacing w:after="0"/>
              <w:rPr>
                <w:sz w:val="2"/>
                <w:szCs w:val="2"/>
                <w:color w:val="auto"/>
              </w:rPr>
            </w:pPr>
          </w:p>
        </w:tc>
        <w:tc>
          <w:tcPr>
            <w:tcW w:w="2820" w:type="dxa"/>
            <w:vAlign w:val="bottom"/>
            <w:vMerge w:val="continue"/>
          </w:tcPr>
          <w:p>
            <w:pPr>
              <w:spacing w:after="0"/>
              <w:rPr>
                <w:sz w:val="2"/>
                <w:szCs w:val="2"/>
                <w:color w:val="auto"/>
              </w:rPr>
            </w:pPr>
          </w:p>
        </w:tc>
        <w:tc>
          <w:tcPr>
            <w:tcW w:w="3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64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targeting CD20 and</w:t>
            </w:r>
          </w:p>
        </w:tc>
        <w:tc>
          <w:tcPr>
            <w:tcW w:w="1400" w:type="dxa"/>
            <w:vAlign w:val="bottom"/>
          </w:tcPr>
          <w:p>
            <w:pPr>
              <w:spacing w:after="0"/>
              <w:rPr>
                <w:sz w:val="15"/>
                <w:szCs w:val="15"/>
                <w:color w:val="auto"/>
              </w:rPr>
            </w:pPr>
          </w:p>
        </w:tc>
        <w:tc>
          <w:tcPr>
            <w:tcW w:w="282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("B-NHL")</w:t>
            </w:r>
            <w:r>
              <w:rPr>
                <w:rFonts w:ascii="Times New Roman" w:cs="Times New Roman" w:eastAsia="Times New Roman" w:hAnsi="Times New Roman"/>
                <w:sz w:val="21"/>
                <w:szCs w:val="21"/>
                <w:color w:val="auto"/>
                <w:vertAlign w:val="superscript"/>
              </w:rPr>
              <w:t>(m)</w:t>
            </w:r>
          </w:p>
        </w:tc>
        <w:tc>
          <w:tcPr>
            <w:tcW w:w="3400" w:type="dxa"/>
            <w:vAlign w:val="bottom"/>
          </w:tcPr>
          <w:p>
            <w:pPr>
              <w:ind w:left="1660"/>
              <w:spacing w:after="0" w:line="182" w:lineRule="exact"/>
              <w:rPr>
                <w:sz w:val="20"/>
                <w:szCs w:val="20"/>
                <w:color w:val="auto"/>
              </w:rPr>
            </w:pPr>
            <w:r>
              <w:rPr>
                <w:rFonts w:ascii="Times New Roman" w:cs="Times New Roman" w:eastAsia="Times New Roman" w:hAnsi="Times New Roman"/>
                <w:sz w:val="18"/>
                <w:szCs w:val="18"/>
                <w:color w:val="auto"/>
              </w:rPr>
              <w:t>patients with diffuse</w:t>
            </w:r>
          </w:p>
        </w:tc>
        <w:tc>
          <w:tcPr>
            <w:tcW w:w="0" w:type="dxa"/>
            <w:vAlign w:val="bottom"/>
          </w:tcPr>
          <w:p>
            <w:pPr>
              <w:spacing w:after="0"/>
              <w:rPr>
                <w:sz w:val="1"/>
                <w:szCs w:val="1"/>
                <w:color w:val="auto"/>
              </w:rPr>
            </w:pPr>
          </w:p>
        </w:tc>
      </w:tr>
      <w:tr>
        <w:trPr>
          <w:trHeight w:val="182"/>
        </w:trPr>
        <w:tc>
          <w:tcPr>
            <w:tcW w:w="164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CD3</w:t>
            </w:r>
          </w:p>
        </w:tc>
        <w:tc>
          <w:tcPr>
            <w:tcW w:w="1400" w:type="dxa"/>
            <w:vAlign w:val="bottom"/>
          </w:tcPr>
          <w:p>
            <w:pPr>
              <w:spacing w:after="0"/>
              <w:rPr>
                <w:sz w:val="15"/>
                <w:szCs w:val="15"/>
                <w:color w:val="auto"/>
              </w:rPr>
            </w:pPr>
          </w:p>
        </w:tc>
        <w:tc>
          <w:tcPr>
            <w:tcW w:w="282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(pivotal study)</w:t>
            </w:r>
          </w:p>
        </w:tc>
        <w:tc>
          <w:tcPr>
            <w:tcW w:w="3400" w:type="dxa"/>
            <w:vAlign w:val="bottom"/>
          </w:tcPr>
          <w:p>
            <w:pPr>
              <w:ind w:left="1660"/>
              <w:spacing w:after="0" w:line="182" w:lineRule="exact"/>
              <w:rPr>
                <w:sz w:val="20"/>
                <w:szCs w:val="20"/>
                <w:color w:val="auto"/>
              </w:rPr>
            </w:pPr>
            <w:r>
              <w:rPr>
                <w:rFonts w:ascii="Times New Roman" w:cs="Times New Roman" w:eastAsia="Times New Roman" w:hAnsi="Times New Roman"/>
                <w:sz w:val="18"/>
                <w:szCs w:val="18"/>
                <w:color w:val="auto"/>
              </w:rPr>
              <w:t>large B-cell lymphoma</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400" w:type="dxa"/>
            <w:vAlign w:val="bottom"/>
          </w:tcPr>
          <w:p>
            <w:pPr>
              <w:ind w:left="1660"/>
              <w:spacing w:after="0" w:line="176" w:lineRule="exact"/>
              <w:rPr>
                <w:sz w:val="20"/>
                <w:szCs w:val="20"/>
                <w:color w:val="auto"/>
              </w:rPr>
            </w:pPr>
            <w:r>
              <w:rPr>
                <w:rFonts w:ascii="Times New Roman" w:cs="Times New Roman" w:eastAsia="Times New Roman" w:hAnsi="Times New Roman"/>
                <w:sz w:val="18"/>
                <w:szCs w:val="18"/>
                <w:color w:val="auto"/>
              </w:rPr>
              <w:t>("DLBCL") and</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400" w:type="dxa"/>
            <w:vAlign w:val="bottom"/>
          </w:tcPr>
          <w:p>
            <w:pPr>
              <w:ind w:left="1660"/>
              <w:spacing w:after="0" w:line="184" w:lineRule="exact"/>
              <w:rPr>
                <w:sz w:val="20"/>
                <w:szCs w:val="20"/>
                <w:color w:val="auto"/>
              </w:rPr>
            </w:pPr>
            <w:r>
              <w:rPr>
                <w:rFonts w:ascii="Times New Roman" w:cs="Times New Roman" w:eastAsia="Times New Roman" w:hAnsi="Times New Roman"/>
                <w:sz w:val="18"/>
                <w:szCs w:val="18"/>
                <w:color w:val="auto"/>
              </w:rPr>
              <w:t>follicular lymphoma</w:t>
            </w: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400" w:type="dxa"/>
            <w:vAlign w:val="bottom"/>
          </w:tcPr>
          <w:p>
            <w:pPr>
              <w:ind w:left="1660"/>
              <w:spacing w:after="0" w:line="181" w:lineRule="exact"/>
              <w:rPr>
                <w:sz w:val="20"/>
                <w:szCs w:val="20"/>
                <w:color w:val="auto"/>
              </w:rPr>
            </w:pPr>
            <w:r>
              <w:rPr>
                <w:rFonts w:ascii="Times New Roman" w:cs="Times New Roman" w:eastAsia="Times New Roman" w:hAnsi="Times New Roman"/>
                <w:sz w:val="18"/>
                <w:szCs w:val="18"/>
                <w:color w:val="auto"/>
              </w:rPr>
              <w:t>("FL") at American</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400" w:type="dxa"/>
            <w:vAlign w:val="bottom"/>
          </w:tcPr>
          <w:p>
            <w:pPr>
              <w:ind w:left="1660"/>
              <w:spacing w:after="0" w:line="176" w:lineRule="exact"/>
              <w:rPr>
                <w:sz w:val="20"/>
                <w:szCs w:val="20"/>
                <w:color w:val="auto"/>
              </w:rPr>
            </w:pPr>
            <w:r>
              <w:rPr>
                <w:rFonts w:ascii="Times New Roman" w:cs="Times New Roman" w:eastAsia="Times New Roman" w:hAnsi="Times New Roman"/>
                <w:sz w:val="18"/>
                <w:szCs w:val="18"/>
                <w:color w:val="auto"/>
              </w:rPr>
              <w:t>Society of Hematology</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400" w:type="dxa"/>
            <w:vAlign w:val="bottom"/>
          </w:tcPr>
          <w:p>
            <w:pPr>
              <w:ind w:left="1660"/>
              <w:spacing w:after="0" w:line="184" w:lineRule="exact"/>
              <w:rPr>
                <w:sz w:val="20"/>
                <w:szCs w:val="20"/>
                <w:color w:val="auto"/>
              </w:rPr>
            </w:pPr>
            <w:r>
              <w:rPr>
                <w:rFonts w:ascii="Times New Roman" w:cs="Times New Roman" w:eastAsia="Times New Roman" w:hAnsi="Times New Roman"/>
                <w:sz w:val="18"/>
                <w:szCs w:val="18"/>
                <w:color w:val="auto"/>
              </w:rPr>
              <w:t>("ASH") Annual</w:t>
            </w:r>
          </w:p>
        </w:tc>
        <w:tc>
          <w:tcPr>
            <w:tcW w:w="0" w:type="dxa"/>
            <w:vAlign w:val="bottom"/>
          </w:tcPr>
          <w:p>
            <w:pPr>
              <w:spacing w:after="0"/>
              <w:rPr>
                <w:sz w:val="1"/>
                <w:szCs w:val="1"/>
                <w:color w:val="auto"/>
              </w:rPr>
            </w:pPr>
          </w:p>
        </w:tc>
      </w:tr>
      <w:tr>
        <w:trPr>
          <w:trHeight w:val="232"/>
        </w:trPr>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4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Meeting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–Initiate Phase 3 studies</w:t>
      </w:r>
    </w:p>
    <w:p>
      <w:pPr>
        <w:spacing w:after="0" w:line="2"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7"/>
          <w:szCs w:val="17"/>
          <w:color w:val="auto"/>
        </w:rPr>
        <w:t>in FL and DLBCL, including earlier lines of therapy (first half 2023)</w:t>
      </w:r>
    </w:p>
    <w:p>
      <w:pPr>
        <w:spacing w:after="0" w:line="199"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7"/>
          <w:szCs w:val="17"/>
          <w:color w:val="auto"/>
        </w:rPr>
        <w:t>–Submit BLA for relapsed/refractory FL and DLBCL (second</w:t>
      </w:r>
    </w:p>
    <w:p>
      <w:pPr>
        <w:spacing w:after="0"/>
        <w:rPr>
          <w:sz w:val="20"/>
          <w:szCs w:val="20"/>
          <w:color w:val="auto"/>
        </w:rPr>
      </w:pPr>
      <w:r>
        <w:rPr>
          <w:rFonts w:ascii="Times New Roman" w:cs="Times New Roman" w:eastAsia="Times New Roman" w:hAnsi="Times New Roman"/>
          <w:sz w:val="18"/>
          <w:szCs w:val="18"/>
          <w:color w:val="auto"/>
        </w:rPr>
        <w:t>half 2023)</w:t>
      </w:r>
    </w:p>
    <w:p>
      <w:pPr>
        <w:spacing w:after="0" w:line="303" w:lineRule="exact"/>
        <w:rPr>
          <w:sz w:val="20"/>
          <w:szCs w:val="20"/>
          <w:color w:val="auto"/>
        </w:rPr>
      </w:pPr>
    </w:p>
    <w:p>
      <w:pPr>
        <w:sectPr>
          <w:pgSz w:w="11900" w:h="16838" w:orient="portrait"/>
          <w:cols w:equalWidth="0" w:num="2">
            <w:col w:w="9280" w:space="160"/>
            <w:col w:w="18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Linvoseltamab</w:t>
            </w:r>
            <w:r>
              <w:rPr>
                <w:rFonts w:ascii="Times New Roman" w:cs="Times New Roman" w:eastAsia="Times New Roman" w:hAnsi="Times New Roman"/>
                <w:sz w:val="21"/>
                <w:szCs w:val="21"/>
                <w:b w:val="1"/>
                <w:bCs w:val="1"/>
                <w:color w:val="auto"/>
                <w:vertAlign w:val="superscript"/>
              </w:rPr>
              <w:t>(f)</w:t>
            </w:r>
          </w:p>
        </w:tc>
        <w:tc>
          <w:tcPr>
            <w:tcW w:w="126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–Multiple</w:t>
            </w:r>
          </w:p>
        </w:tc>
        <w:tc>
          <w:tcPr>
            <w:tcW w:w="154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auto"/>
              </w:rPr>
              <w:t>–Multiple</w:t>
            </w:r>
          </w:p>
        </w:tc>
        <w:tc>
          <w:tcPr>
            <w:tcW w:w="1520" w:type="dxa"/>
            <w:vAlign w:val="bottom"/>
            <w:shd w:val="clear" w:color="auto" w:fill="CCEEFF"/>
          </w:tcPr>
          <w:p>
            <w:pPr>
              <w:spacing w:after="0"/>
              <w:rPr>
                <w:sz w:val="15"/>
                <w:szCs w:val="15"/>
                <w:color w:val="auto"/>
              </w:rPr>
            </w:pPr>
          </w:p>
        </w:tc>
        <w:tc>
          <w:tcPr>
            <w:tcW w:w="3240" w:type="dxa"/>
            <w:vAlign w:val="bottom"/>
            <w:shd w:val="clear" w:color="auto" w:fill="CCEEFF"/>
          </w:tcPr>
          <w:p>
            <w:pPr>
              <w:ind w:left="1420"/>
              <w:spacing w:after="0" w:line="182" w:lineRule="exact"/>
              <w:rPr>
                <w:sz w:val="20"/>
                <w:szCs w:val="20"/>
                <w:color w:val="auto"/>
              </w:rPr>
            </w:pPr>
            <w:r>
              <w:rPr>
                <w:rFonts w:ascii="Times New Roman" w:cs="Times New Roman" w:eastAsia="Times New Roman" w:hAnsi="Times New Roman"/>
                <w:sz w:val="18"/>
                <w:szCs w:val="18"/>
                <w:color w:val="auto"/>
              </w:rPr>
              <w:t>–Completed enrollment</w:t>
            </w:r>
          </w:p>
        </w:tc>
        <w:tc>
          <w:tcPr>
            <w:tcW w:w="188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–Initiate Phase 3 study</w:t>
            </w: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(REGN5458)</w:t>
            </w:r>
          </w:p>
        </w:tc>
        <w:tc>
          <w:tcPr>
            <w:tcW w:w="1260" w:type="dxa"/>
            <w:vAlign w:val="bottom"/>
            <w:shd w:val="clear" w:color="auto" w:fill="CCEEFF"/>
          </w:tcPr>
          <w:p>
            <w:pPr>
              <w:ind w:left="60"/>
              <w:spacing w:after="0" w:line="185" w:lineRule="exact"/>
              <w:rPr>
                <w:sz w:val="20"/>
                <w:szCs w:val="20"/>
                <w:color w:val="auto"/>
              </w:rPr>
            </w:pPr>
            <w:r>
              <w:rPr>
                <w:rFonts w:ascii="Times New Roman" w:cs="Times New Roman" w:eastAsia="Times New Roman" w:hAnsi="Times New Roman"/>
                <w:sz w:val="17"/>
                <w:szCs w:val="17"/>
                <w:color w:val="auto"/>
              </w:rPr>
              <w:t>myeloma</w:t>
            </w:r>
            <w:r>
              <w:rPr>
                <w:rFonts w:ascii="Times New Roman" w:cs="Times New Roman" w:eastAsia="Times New Roman" w:hAnsi="Times New Roman"/>
                <w:sz w:val="21"/>
                <w:szCs w:val="21"/>
                <w:color w:val="auto"/>
                <w:vertAlign w:val="superscript"/>
              </w:rPr>
              <w:t>(c)</w:t>
            </w:r>
          </w:p>
        </w:tc>
        <w:tc>
          <w:tcPr>
            <w:tcW w:w="15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myeloma (pivotal</w:t>
            </w:r>
          </w:p>
        </w:tc>
        <w:tc>
          <w:tcPr>
            <w:tcW w:w="1520" w:type="dxa"/>
            <w:vAlign w:val="bottom"/>
            <w:shd w:val="clear" w:color="auto" w:fill="CCEEFF"/>
          </w:tcPr>
          <w:p>
            <w:pPr>
              <w:spacing w:after="0"/>
              <w:rPr>
                <w:sz w:val="16"/>
                <w:szCs w:val="16"/>
                <w:color w:val="auto"/>
              </w:rPr>
            </w:pPr>
          </w:p>
        </w:tc>
        <w:tc>
          <w:tcPr>
            <w:tcW w:w="3240" w:type="dxa"/>
            <w:vAlign w:val="bottom"/>
            <w:shd w:val="clear" w:color="auto" w:fill="CCEEFF"/>
          </w:tcPr>
          <w:p>
            <w:pPr>
              <w:ind w:left="1420"/>
              <w:spacing w:after="0" w:line="184" w:lineRule="exact"/>
              <w:rPr>
                <w:sz w:val="20"/>
                <w:szCs w:val="20"/>
                <w:color w:val="auto"/>
              </w:rPr>
            </w:pPr>
            <w:r>
              <w:rPr>
                <w:rFonts w:ascii="Times New Roman" w:cs="Times New Roman" w:eastAsia="Times New Roman" w:hAnsi="Times New Roman"/>
                <w:sz w:val="18"/>
                <w:szCs w:val="18"/>
                <w:color w:val="auto"/>
              </w:rPr>
              <w:t>in pivotal Phase 2 study</w:t>
            </w:r>
          </w:p>
        </w:tc>
        <w:tc>
          <w:tcPr>
            <w:tcW w:w="18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in multiple myeloma,</w:t>
            </w: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6"/>
                <w:szCs w:val="16"/>
                <w:color w:val="auto"/>
              </w:rPr>
              <w:t>study)</w:t>
            </w:r>
            <w:r>
              <w:rPr>
                <w:rFonts w:ascii="Times New Roman" w:cs="Times New Roman" w:eastAsia="Times New Roman" w:hAnsi="Times New Roman"/>
                <w:sz w:val="20"/>
                <w:szCs w:val="20"/>
                <w:color w:val="auto"/>
                <w:vertAlign w:val="superscript"/>
              </w:rPr>
              <w:t>(c)</w:t>
            </w:r>
          </w:p>
        </w:tc>
        <w:tc>
          <w:tcPr>
            <w:tcW w:w="1520" w:type="dxa"/>
            <w:vAlign w:val="bottom"/>
            <w:shd w:val="clear" w:color="auto" w:fill="CCEEFF"/>
          </w:tcPr>
          <w:p>
            <w:pPr>
              <w:spacing w:after="0"/>
              <w:rPr>
                <w:sz w:val="15"/>
                <w:szCs w:val="15"/>
                <w:color w:val="auto"/>
              </w:rPr>
            </w:pPr>
          </w:p>
        </w:tc>
        <w:tc>
          <w:tcPr>
            <w:tcW w:w="324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in multiple myeloma</w:t>
            </w:r>
          </w:p>
        </w:tc>
        <w:tc>
          <w:tcPr>
            <w:tcW w:w="18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including earlier lines of</w:t>
            </w: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88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therapy (first half 2023)</w:t>
            </w:r>
          </w:p>
        </w:tc>
        <w:tc>
          <w:tcPr>
            <w:tcW w:w="0" w:type="dxa"/>
            <w:vAlign w:val="bottom"/>
          </w:tcPr>
          <w:p>
            <w:pPr>
              <w:spacing w:after="0"/>
              <w:rPr>
                <w:sz w:val="1"/>
                <w:szCs w:val="1"/>
                <w:color w:val="auto"/>
              </w:rPr>
            </w:pPr>
          </w:p>
        </w:tc>
      </w:tr>
      <w:tr>
        <w:trPr>
          <w:trHeight w:val="23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240" w:type="dxa"/>
            <w:vAlign w:val="bottom"/>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–Presented positive data</w:t>
            </w:r>
          </w:p>
        </w:tc>
        <w:tc>
          <w:tcPr>
            <w:tcW w:w="18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–Submit BLA for</w:t>
            </w: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3240" w:type="dxa"/>
            <w:vAlign w:val="bottom"/>
            <w:vMerge w:val="continue"/>
            <w:shd w:val="clear" w:color="auto" w:fill="CCEEFF"/>
          </w:tcPr>
          <w:p>
            <w:pPr>
              <w:spacing w:after="0"/>
              <w:rPr>
                <w:sz w:val="10"/>
                <w:szCs w:val="10"/>
                <w:color w:val="auto"/>
              </w:rPr>
            </w:pPr>
          </w:p>
        </w:tc>
        <w:tc>
          <w:tcPr>
            <w:tcW w:w="18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240" w:type="dxa"/>
            <w:vAlign w:val="bottom"/>
            <w:shd w:val="clear" w:color="auto" w:fill="CCEEFF"/>
          </w:tcPr>
          <w:p>
            <w:pPr>
              <w:ind w:left="1420"/>
              <w:spacing w:after="0" w:line="68" w:lineRule="exact"/>
              <w:rPr>
                <w:sz w:val="20"/>
                <w:szCs w:val="20"/>
                <w:color w:val="auto"/>
              </w:rPr>
            </w:pPr>
            <w:r>
              <w:rPr>
                <w:rFonts w:ascii="Times New Roman" w:cs="Times New Roman" w:eastAsia="Times New Roman" w:hAnsi="Times New Roman"/>
                <w:sz w:val="7"/>
                <w:szCs w:val="7"/>
                <w:color w:val="auto"/>
              </w:rPr>
              <w:t>from pivotal Phase 2</w:t>
            </w:r>
          </w:p>
        </w:tc>
        <w:tc>
          <w:tcPr>
            <w:tcW w:w="1880" w:type="dxa"/>
            <w:vAlign w:val="bottom"/>
            <w:vMerge w:val="restart"/>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relapsed/refractory</w:t>
            </w: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3240" w:type="dxa"/>
            <w:vAlign w:val="bottom"/>
            <w:vMerge w:val="restart"/>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study in multiple</w:t>
            </w:r>
          </w:p>
        </w:tc>
        <w:tc>
          <w:tcPr>
            <w:tcW w:w="1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240" w:type="dxa"/>
            <w:vAlign w:val="bottom"/>
            <w:vMerge w:val="continue"/>
            <w:shd w:val="clear" w:color="auto" w:fill="CCEEFF"/>
          </w:tcPr>
          <w:p>
            <w:pPr>
              <w:spacing w:after="0"/>
              <w:rPr>
                <w:sz w:val="5"/>
                <w:szCs w:val="5"/>
                <w:color w:val="auto"/>
              </w:rPr>
            </w:pPr>
          </w:p>
        </w:tc>
        <w:tc>
          <w:tcPr>
            <w:tcW w:w="1880" w:type="dxa"/>
            <w:vAlign w:val="bottom"/>
            <w:vMerge w:val="restart"/>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multiple myeloma</w:t>
            </w:r>
          </w:p>
        </w:tc>
        <w:tc>
          <w:tcPr>
            <w:tcW w:w="0" w:type="dxa"/>
            <w:vAlign w:val="bottom"/>
          </w:tcPr>
          <w:p>
            <w:pPr>
              <w:spacing w:after="0"/>
              <w:rPr>
                <w:sz w:val="1"/>
                <w:szCs w:val="1"/>
                <w:color w:val="auto"/>
              </w:rPr>
            </w:pPr>
          </w:p>
        </w:tc>
      </w:tr>
      <w:tr>
        <w:trPr>
          <w:trHeight w:val="117"/>
        </w:trPr>
        <w:tc>
          <w:tcPr>
            <w:tcW w:w="18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3240" w:type="dxa"/>
            <w:vAlign w:val="bottom"/>
            <w:vMerge w:val="restart"/>
            <w:shd w:val="clear" w:color="auto" w:fill="CCEEFF"/>
          </w:tcPr>
          <w:p>
            <w:pPr>
              <w:ind w:left="1420"/>
              <w:spacing w:after="0" w:line="184" w:lineRule="exact"/>
              <w:rPr>
                <w:sz w:val="20"/>
                <w:szCs w:val="20"/>
                <w:color w:val="auto"/>
              </w:rPr>
            </w:pPr>
            <w:r>
              <w:rPr>
                <w:rFonts w:ascii="Times New Roman" w:cs="Times New Roman" w:eastAsia="Times New Roman" w:hAnsi="Times New Roman"/>
                <w:sz w:val="18"/>
                <w:szCs w:val="18"/>
                <w:color w:val="auto"/>
              </w:rPr>
              <w:t>myeloma at ASH</w:t>
            </w:r>
          </w:p>
        </w:tc>
        <w:tc>
          <w:tcPr>
            <w:tcW w:w="18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240" w:type="dxa"/>
            <w:vAlign w:val="bottom"/>
            <w:vMerge w:val="continue"/>
            <w:shd w:val="clear" w:color="auto" w:fill="CCEEFF"/>
          </w:tcPr>
          <w:p>
            <w:pPr>
              <w:spacing w:after="0"/>
              <w:rPr>
                <w:sz w:val="5"/>
                <w:szCs w:val="5"/>
                <w:color w:val="auto"/>
              </w:rPr>
            </w:pPr>
          </w:p>
        </w:tc>
        <w:tc>
          <w:tcPr>
            <w:tcW w:w="18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(second half 2023)</w:t>
            </w:r>
          </w:p>
        </w:tc>
        <w:tc>
          <w:tcPr>
            <w:tcW w:w="0" w:type="dxa"/>
            <w:vAlign w:val="bottom"/>
          </w:tcPr>
          <w:p>
            <w:pPr>
              <w:spacing w:after="0"/>
              <w:rPr>
                <w:sz w:val="1"/>
                <w:szCs w:val="1"/>
                <w:color w:val="auto"/>
              </w:rPr>
            </w:pPr>
          </w:p>
        </w:tc>
      </w:tr>
      <w:tr>
        <w:trPr>
          <w:trHeight w:val="167"/>
        </w:trPr>
        <w:tc>
          <w:tcPr>
            <w:tcW w:w="18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240" w:type="dxa"/>
            <w:vAlign w:val="bottom"/>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Annual Meeting</w:t>
            </w:r>
          </w:p>
        </w:tc>
        <w:tc>
          <w:tcPr>
            <w:tcW w:w="1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8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240" w:type="dxa"/>
            <w:vAlign w:val="bottom"/>
            <w:vMerge w:val="continue"/>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REGN5459</w:t>
            </w:r>
            <w:r>
              <w:rPr>
                <w:rFonts w:ascii="Times New Roman" w:cs="Times New Roman" w:eastAsia="Times New Roman" w:hAnsi="Times New Roman"/>
                <w:sz w:val="21"/>
                <w:szCs w:val="21"/>
                <w:b w:val="1"/>
                <w:bCs w:val="1"/>
                <w:color w:val="auto"/>
                <w:vertAlign w:val="superscript"/>
              </w:rPr>
              <w:t>(f)</w:t>
            </w:r>
          </w:p>
        </w:tc>
        <w:tc>
          <w:tcPr>
            <w:tcW w:w="126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–Transplant</w:t>
            </w: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6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desensitization</w:t>
            </w: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2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in patients with</w:t>
            </w: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CD3</w:t>
            </w:r>
          </w:p>
        </w:tc>
        <w:tc>
          <w:tcPr>
            <w:tcW w:w="12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chronic kidney</w:t>
            </w: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disease</w:t>
            </w:r>
          </w:p>
        </w:tc>
        <w:tc>
          <w:tcPr>
            <w:tcW w:w="1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Pozelimab</w:t>
            </w:r>
            <w:r>
              <w:rPr>
                <w:rFonts w:ascii="Times New Roman" w:cs="Times New Roman" w:eastAsia="Times New Roman" w:hAnsi="Times New Roman"/>
                <w:sz w:val="20"/>
                <w:szCs w:val="20"/>
                <w:b w:val="1"/>
                <w:bCs w:val="1"/>
                <w:color w:val="auto"/>
                <w:vertAlign w:val="superscript"/>
              </w:rPr>
              <w:t>(f)</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–CD55-deficient</w:t>
            </w:r>
          </w:p>
        </w:tc>
        <w:tc>
          <w:tcPr>
            <w:tcW w:w="152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–Myasthenia</w:t>
            </w:r>
          </w:p>
        </w:tc>
        <w:tc>
          <w:tcPr>
            <w:tcW w:w="324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18"/>
                <w:szCs w:val="18"/>
                <w:color w:val="auto"/>
              </w:rPr>
              <w:t>–CHAPLE,</w:t>
            </w:r>
          </w:p>
        </w:tc>
        <w:tc>
          <w:tcPr>
            <w:tcW w:w="188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–FDA decision on BLA</w:t>
            </w: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260" w:type="dxa"/>
            <w:vAlign w:val="bottom"/>
            <w:shd w:val="clear" w:color="auto" w:fill="CCEEFF"/>
          </w:tcPr>
          <w:p>
            <w:pPr>
              <w:spacing w:after="0"/>
              <w:rPr>
                <w:sz w:val="16"/>
                <w:szCs w:val="16"/>
                <w:color w:val="auto"/>
              </w:rPr>
            </w:pPr>
          </w:p>
        </w:tc>
        <w:tc>
          <w:tcPr>
            <w:tcW w:w="15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protein-losing</w:t>
            </w:r>
          </w:p>
        </w:tc>
        <w:tc>
          <w:tcPr>
            <w:tcW w:w="15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gravis, cemdisiran</w:t>
            </w:r>
          </w:p>
        </w:tc>
        <w:tc>
          <w:tcPr>
            <w:tcW w:w="32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monotherapy</w:t>
            </w:r>
          </w:p>
        </w:tc>
        <w:tc>
          <w:tcPr>
            <w:tcW w:w="18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for CHAPLE,</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C5; studied</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enteropathy</w:t>
            </w:r>
          </w:p>
        </w:tc>
        <w:tc>
          <w:tcPr>
            <w:tcW w:w="15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6"/>
                <w:szCs w:val="16"/>
                <w:color w:val="auto"/>
              </w:rPr>
              <w:t>combination</w:t>
            </w:r>
            <w:r>
              <w:rPr>
                <w:rFonts w:ascii="Times New Roman" w:cs="Times New Roman" w:eastAsia="Times New Roman" w:hAnsi="Times New Roman"/>
                <w:sz w:val="20"/>
                <w:szCs w:val="20"/>
                <w:color w:val="auto"/>
                <w:vertAlign w:val="superscript"/>
              </w:rPr>
              <w:t>(k)</w:t>
            </w:r>
          </w:p>
        </w:tc>
        <w:tc>
          <w:tcPr>
            <w:tcW w:w="32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(U.S.)</w:t>
            </w:r>
          </w:p>
        </w:tc>
        <w:tc>
          <w:tcPr>
            <w:tcW w:w="18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monotherapy (second</w:t>
            </w:r>
          </w:p>
        </w:tc>
        <w:tc>
          <w:tcPr>
            <w:tcW w:w="0" w:type="dxa"/>
            <w:vAlign w:val="bottom"/>
          </w:tcPr>
          <w:p>
            <w:pPr>
              <w:spacing w:after="0"/>
              <w:rPr>
                <w:sz w:val="1"/>
                <w:szCs w:val="1"/>
                <w:color w:val="auto"/>
              </w:rPr>
            </w:pPr>
          </w:p>
        </w:tc>
      </w:tr>
      <w:tr>
        <w:trPr>
          <w:trHeight w:val="181"/>
        </w:trPr>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as monotherapy and in</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("CHAPLE"),</w:t>
            </w:r>
          </w:p>
        </w:tc>
        <w:tc>
          <w:tcPr>
            <w:tcW w:w="152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8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half 2023)</w:t>
            </w:r>
          </w:p>
        </w:tc>
        <w:tc>
          <w:tcPr>
            <w:tcW w:w="0" w:type="dxa"/>
            <w:vAlign w:val="bottom"/>
          </w:tcPr>
          <w:p>
            <w:pPr>
              <w:spacing w:after="0"/>
              <w:rPr>
                <w:sz w:val="1"/>
                <w:szCs w:val="1"/>
                <w:color w:val="auto"/>
              </w:rPr>
            </w:pPr>
          </w:p>
        </w:tc>
      </w:tr>
      <w:tr>
        <w:trPr>
          <w:trHeight w:val="23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combination with</w:t>
            </w:r>
          </w:p>
        </w:tc>
        <w:tc>
          <w:tcPr>
            <w:tcW w:w="1260" w:type="dxa"/>
            <w:vAlign w:val="bottom"/>
            <w:shd w:val="clear" w:color="auto" w:fill="CCEEFF"/>
          </w:tcPr>
          <w:p>
            <w:pPr>
              <w:spacing w:after="0"/>
              <w:rPr>
                <w:sz w:val="20"/>
                <w:szCs w:val="20"/>
                <w:color w:val="auto"/>
              </w:rPr>
            </w:pPr>
          </w:p>
        </w:tc>
        <w:tc>
          <w:tcPr>
            <w:tcW w:w="1540" w:type="dxa"/>
            <w:vAlign w:val="bottom"/>
            <w:shd w:val="clear" w:color="auto" w:fill="CCEEFF"/>
          </w:tcPr>
          <w:p>
            <w:pPr>
              <w:ind w:left="100"/>
              <w:spacing w:after="0" w:line="237" w:lineRule="exact"/>
              <w:rPr>
                <w:sz w:val="20"/>
                <w:szCs w:val="20"/>
                <w:color w:val="auto"/>
              </w:rPr>
            </w:pPr>
            <w:r>
              <w:rPr>
                <w:rFonts w:ascii="Times New Roman" w:cs="Times New Roman" w:eastAsia="Times New Roman" w:hAnsi="Times New Roman"/>
                <w:sz w:val="18"/>
                <w:szCs w:val="18"/>
                <w:color w:val="auto"/>
              </w:rPr>
              <w:t>monotherapy</w:t>
            </w:r>
            <w:r>
              <w:rPr>
                <w:rFonts w:ascii="Times New Roman" w:cs="Times New Roman" w:eastAsia="Times New Roman" w:hAnsi="Times New Roman"/>
                <w:sz w:val="23"/>
                <w:szCs w:val="23"/>
                <w:color w:val="auto"/>
                <w:vertAlign w:val="superscript"/>
              </w:rPr>
              <w:t>(c)(e)</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–Paroxysmal</w:t>
            </w:r>
          </w:p>
        </w:tc>
        <w:tc>
          <w:tcPr>
            <w:tcW w:w="32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cemdisiran</w:t>
            </w:r>
          </w:p>
        </w:tc>
        <w:tc>
          <w:tcPr>
            <w:tcW w:w="1260" w:type="dxa"/>
            <w:vAlign w:val="bottom"/>
            <w:shd w:val="clear" w:color="auto" w:fill="CCEEFF"/>
          </w:tcPr>
          <w:p>
            <w:pPr>
              <w:spacing w:after="0"/>
              <w:rPr>
                <w:sz w:val="16"/>
                <w:szCs w:val="16"/>
                <w:color w:val="auto"/>
              </w:rPr>
            </w:pPr>
          </w:p>
        </w:tc>
        <w:tc>
          <w:tcPr>
            <w:tcW w:w="154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(potentially pivotal</w:t>
            </w:r>
          </w:p>
        </w:tc>
        <w:tc>
          <w:tcPr>
            <w:tcW w:w="152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nocturnal</w:t>
            </w:r>
          </w:p>
        </w:tc>
        <w:tc>
          <w:tcPr>
            <w:tcW w:w="32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study)</w:t>
            </w:r>
          </w:p>
        </w:tc>
        <w:tc>
          <w:tcPr>
            <w:tcW w:w="15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hemoglobinuria</w:t>
            </w:r>
          </w:p>
        </w:tc>
        <w:tc>
          <w:tcPr>
            <w:tcW w:w="32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5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("PNH"),</w:t>
            </w:r>
          </w:p>
        </w:tc>
        <w:tc>
          <w:tcPr>
            <w:tcW w:w="32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52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cemdisiran</w:t>
            </w:r>
          </w:p>
        </w:tc>
        <w:tc>
          <w:tcPr>
            <w:tcW w:w="32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(c)(k)</w:t>
            </w:r>
          </w:p>
        </w:tc>
        <w:tc>
          <w:tcPr>
            <w:tcW w:w="3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126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–Aplastic</w:t>
            </w: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anemia</w:t>
            </w:r>
          </w:p>
        </w:tc>
        <w:tc>
          <w:tcPr>
            <w:tcW w:w="1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NTLA-2001</w:t>
            </w:r>
            <w:r>
              <w:rPr>
                <w:rFonts w:ascii="Times New Roman" w:cs="Times New Roman" w:eastAsia="Times New Roman" w:hAnsi="Times New Roman"/>
                <w:sz w:val="21"/>
                <w:szCs w:val="21"/>
                <w:b w:val="1"/>
                <w:bCs w:val="1"/>
                <w:color w:val="auto"/>
                <w:vertAlign w:val="superscript"/>
              </w:rPr>
              <w:t>(j)</w:t>
            </w:r>
          </w:p>
        </w:tc>
        <w:tc>
          <w:tcPr>
            <w:tcW w:w="126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–Transthyretin</w:t>
            </w:r>
          </w:p>
        </w:tc>
        <w:tc>
          <w:tcPr>
            <w:tcW w:w="15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240" w:type="dxa"/>
            <w:vAlign w:val="bottom"/>
            <w:shd w:val="clear" w:color="auto" w:fill="CCEEFF"/>
          </w:tcPr>
          <w:p>
            <w:pPr>
              <w:ind w:left="1420"/>
              <w:spacing w:after="0" w:line="182" w:lineRule="exact"/>
              <w:rPr>
                <w:sz w:val="20"/>
                <w:szCs w:val="20"/>
                <w:color w:val="auto"/>
              </w:rPr>
            </w:pPr>
            <w:r>
              <w:rPr>
                <w:rFonts w:ascii="Times New Roman" w:cs="Times New Roman" w:eastAsia="Times New Roman" w:hAnsi="Times New Roman"/>
                <w:sz w:val="18"/>
                <w:szCs w:val="18"/>
                <w:color w:val="auto"/>
              </w:rPr>
              <w:t>–Reported positive</w:t>
            </w: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TTR gene knockout</w:t>
            </w:r>
          </w:p>
        </w:tc>
        <w:tc>
          <w:tcPr>
            <w:tcW w:w="126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("ATTR")</w:t>
            </w:r>
          </w:p>
        </w:tc>
        <w:tc>
          <w:tcPr>
            <w:tcW w:w="15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240" w:type="dxa"/>
            <w:vAlign w:val="bottom"/>
            <w:shd w:val="clear" w:color="auto" w:fill="CCEEFF"/>
          </w:tcPr>
          <w:p>
            <w:pPr>
              <w:ind w:left="1420"/>
              <w:spacing w:after="0" w:line="182" w:lineRule="exact"/>
              <w:rPr>
                <w:sz w:val="20"/>
                <w:szCs w:val="20"/>
                <w:color w:val="auto"/>
              </w:rPr>
            </w:pPr>
            <w:r>
              <w:rPr>
                <w:rFonts w:ascii="Times New Roman" w:cs="Times New Roman" w:eastAsia="Times New Roman" w:hAnsi="Times New Roman"/>
                <w:sz w:val="18"/>
                <w:szCs w:val="18"/>
                <w:color w:val="auto"/>
              </w:rPr>
              <w:t>interim data from Phase</w:t>
            </w: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using CRISPR/Cas9</w:t>
            </w:r>
          </w:p>
        </w:tc>
        <w:tc>
          <w:tcPr>
            <w:tcW w:w="12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amyloidosis</w:t>
            </w:r>
            <w:r>
              <w:rPr>
                <w:rFonts w:ascii="Times New Roman" w:cs="Times New Roman" w:eastAsia="Times New Roman" w:hAnsi="Times New Roman"/>
                <w:sz w:val="23"/>
                <w:szCs w:val="23"/>
                <w:color w:val="auto"/>
                <w:vertAlign w:val="superscript"/>
              </w:rPr>
              <w:t>(c)</w:t>
            </w:r>
          </w:p>
        </w:tc>
        <w:tc>
          <w:tcPr>
            <w:tcW w:w="15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 trial in ATTR</w:t>
            </w: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REGN9933</w:t>
            </w:r>
          </w:p>
        </w:tc>
        <w:tc>
          <w:tcPr>
            <w:tcW w:w="126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–Thrombosis</w:t>
            </w: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Factor XI</w:t>
            </w: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10</w:t>
            </w:r>
          </w:p>
        </w:tc>
        <w:tc>
          <w:tcPr>
            <w:tcW w:w="3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8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8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2022 and 2023</w:t>
            </w:r>
          </w:p>
        </w:tc>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6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80" w:type="dxa"/>
            <w:vAlign w:val="bottom"/>
            <w:gridSpan w:val="2"/>
          </w:tcPr>
          <w:p>
            <w:pPr>
              <w:ind w:left="24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8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18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6"/>
        </w:trPr>
        <w:tc>
          <w:tcPr>
            <w:tcW w:w="18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REGN7508</w:t>
            </w: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–Thrombosis</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Factor XI</w:t>
            </w: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12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–Transfusion</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TMPRSS6</w:t>
            </w:r>
          </w:p>
        </w:tc>
        <w:tc>
          <w:tcPr>
            <w:tcW w:w="12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dependent iron</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overload</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840" w:type="dxa"/>
            <w:vAlign w:val="bottom"/>
            <w:gridSpan w:val="4"/>
            <w:shd w:val="clear" w:color="auto" w:fill="ACACAC"/>
          </w:tcPr>
          <w:p>
            <w:pPr>
              <w:ind w:left="220"/>
              <w:spacing w:after="0"/>
              <w:rPr>
                <w:sz w:val="20"/>
                <w:szCs w:val="20"/>
                <w:color w:val="auto"/>
              </w:rPr>
            </w:pPr>
            <w:r>
              <w:rPr>
                <w:rFonts w:ascii="Times New Roman" w:cs="Times New Roman" w:eastAsia="Times New Roman" w:hAnsi="Times New Roman"/>
                <w:sz w:val="18"/>
                <w:szCs w:val="18"/>
                <w:b w:val="1"/>
                <w:bCs w:val="1"/>
                <w:color w:val="auto"/>
              </w:rPr>
              <w:t>General Medicine</w:t>
            </w:r>
          </w:p>
        </w:tc>
        <w:tc>
          <w:tcPr>
            <w:tcW w:w="18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"Next Generation"</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–Initiate clinical</w:t>
            </w:r>
          </w:p>
        </w:tc>
        <w:tc>
          <w:tcPr>
            <w:tcW w:w="0" w:type="dxa"/>
            <w:vAlign w:val="bottom"/>
          </w:tcPr>
          <w:p>
            <w:pPr>
              <w:spacing w:after="0"/>
              <w:rPr>
                <w:sz w:val="1"/>
                <w:szCs w:val="1"/>
                <w:color w:val="auto"/>
              </w:rPr>
            </w:pPr>
          </w:p>
        </w:tc>
      </w:tr>
      <w:tr>
        <w:trPr>
          <w:trHeight w:val="184"/>
        </w:trPr>
        <w:tc>
          <w:tcPr>
            <w:tcW w:w="19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Covid Antibodies</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development of "next</w:t>
            </w:r>
          </w:p>
        </w:tc>
        <w:tc>
          <w:tcPr>
            <w:tcW w:w="0" w:type="dxa"/>
            <w:vAlign w:val="bottom"/>
          </w:tcPr>
          <w:p>
            <w:pPr>
              <w:spacing w:after="0"/>
              <w:rPr>
                <w:sz w:val="1"/>
                <w:szCs w:val="1"/>
                <w:color w:val="auto"/>
              </w:rPr>
            </w:pPr>
          </w:p>
        </w:tc>
      </w:tr>
      <w:tr>
        <w:trPr>
          <w:trHeight w:val="175"/>
        </w:trPr>
        <w:tc>
          <w:tcPr>
            <w:tcW w:w="1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Antibodies to SARS-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generation" antibody</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CoV-2 variants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Praluent (alirocumab)</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–HeFH in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–Submit sBLA for</w:t>
            </w: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PCSK9</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pediatrics</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HeFH in pediatrics</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(mid-2023)</w:t>
            </w:r>
          </w:p>
        </w:tc>
        <w:tc>
          <w:tcPr>
            <w:tcW w:w="0" w:type="dxa"/>
            <w:vAlign w:val="bottom"/>
          </w:tcPr>
          <w:p>
            <w:pPr>
              <w:spacing w:after="0"/>
              <w:rPr>
                <w:sz w:val="1"/>
                <w:szCs w:val="1"/>
                <w:color w:val="auto"/>
              </w:rPr>
            </w:pPr>
          </w:p>
        </w:tc>
      </w:tr>
      <w:tr>
        <w:trPr>
          <w:trHeight w:val="176"/>
        </w:trPr>
        <w:tc>
          <w:tcPr>
            <w:tcW w:w="1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Evkeeza (evinacumab)</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–HoFH in</w:t>
            </w:r>
          </w:p>
        </w:tc>
        <w:tc>
          <w:tcPr>
            <w:tcW w:w="1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–Reported that Phase 3</w:t>
            </w: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–FDA decision on</w:t>
            </w:r>
          </w:p>
        </w:tc>
        <w:tc>
          <w:tcPr>
            <w:tcW w:w="0" w:type="dxa"/>
            <w:vAlign w:val="bottom"/>
          </w:tcPr>
          <w:p>
            <w:pPr>
              <w:spacing w:after="0"/>
              <w:rPr>
                <w:sz w:val="1"/>
                <w:szCs w:val="1"/>
                <w:color w:val="auto"/>
              </w:rPr>
            </w:pPr>
          </w:p>
        </w:tc>
      </w:tr>
      <w:tr>
        <w:trPr>
          <w:trHeight w:val="115"/>
        </w:trPr>
        <w:tc>
          <w:tcPr>
            <w:tcW w:w="1940" w:type="dxa"/>
            <w:vAlign w:val="bottom"/>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(f)(l)</w:t>
            </w: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pediatrics (5–11</w:t>
            </w:r>
          </w:p>
        </w:tc>
        <w:tc>
          <w:tcPr>
            <w:tcW w:w="188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trial for HoFH in</w:t>
            </w:r>
          </w:p>
        </w:tc>
        <w:tc>
          <w:tcPr>
            <w:tcW w:w="1800" w:type="dxa"/>
            <w:vAlign w:val="bottom"/>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sBLA for HoFH in</w:t>
            </w:r>
          </w:p>
        </w:tc>
        <w:tc>
          <w:tcPr>
            <w:tcW w:w="0" w:type="dxa"/>
            <w:vAlign w:val="bottom"/>
          </w:tcPr>
          <w:p>
            <w:pPr>
              <w:spacing w:after="0"/>
              <w:rPr>
                <w:sz w:val="1"/>
                <w:szCs w:val="1"/>
                <w:color w:val="auto"/>
              </w:rPr>
            </w:pPr>
          </w:p>
        </w:tc>
      </w:tr>
      <w:tr>
        <w:trPr>
          <w:trHeight w:val="74"/>
        </w:trPr>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ANGPTL3</w:t>
            </w: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880" w:type="dxa"/>
            <w:vAlign w:val="bottom"/>
            <w:gridSpan w:val="2"/>
            <w:vMerge w:val="continue"/>
            <w:shd w:val="clear" w:color="auto" w:fill="CCEEFF"/>
          </w:tcPr>
          <w:p>
            <w:pPr>
              <w:spacing w:after="0"/>
              <w:rPr>
                <w:sz w:val="6"/>
                <w:szCs w:val="6"/>
                <w:color w:val="auto"/>
              </w:rPr>
            </w:pPr>
          </w:p>
        </w:tc>
        <w:tc>
          <w:tcPr>
            <w:tcW w:w="1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94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years of age)</w:t>
            </w:r>
          </w:p>
        </w:tc>
        <w:tc>
          <w:tcPr>
            <w:tcW w:w="1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pediatrics (5–11 years</w:t>
            </w: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pediatrics (5–11 years</w:t>
            </w:r>
          </w:p>
        </w:tc>
        <w:tc>
          <w:tcPr>
            <w:tcW w:w="0" w:type="dxa"/>
            <w:vAlign w:val="bottom"/>
          </w:tcPr>
          <w:p>
            <w:pPr>
              <w:spacing w:after="0"/>
              <w:rPr>
                <w:sz w:val="1"/>
                <w:szCs w:val="1"/>
                <w:color w:val="auto"/>
              </w:rPr>
            </w:pPr>
          </w:p>
        </w:tc>
      </w:tr>
      <w:tr>
        <w:trPr>
          <w:trHeight w:val="184"/>
        </w:trPr>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(U.S.)</w:t>
            </w:r>
          </w:p>
        </w:tc>
        <w:tc>
          <w:tcPr>
            <w:tcW w:w="18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of age) met its primary</w:t>
            </w:r>
          </w:p>
        </w:tc>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of age) (target action</w:t>
            </w: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endpoint</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of March 30, 2023)</w:t>
            </w:r>
          </w:p>
        </w:tc>
        <w:tc>
          <w:tcPr>
            <w:tcW w:w="0" w:type="dxa"/>
            <w:vAlign w:val="bottom"/>
          </w:tcPr>
          <w:p>
            <w:pPr>
              <w:spacing w:after="0"/>
              <w:rPr>
                <w:sz w:val="1"/>
                <w:szCs w:val="1"/>
                <w:color w:val="auto"/>
              </w:rPr>
            </w:pPr>
          </w:p>
        </w:tc>
      </w:tr>
      <w:tr>
        <w:trPr>
          <w:trHeight w:val="180"/>
        </w:trPr>
        <w:tc>
          <w:tcPr>
            <w:tcW w:w="1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Garetosmab</w:t>
            </w:r>
            <w:r>
              <w:rPr>
                <w:rFonts w:ascii="Times New Roman" w:cs="Times New Roman" w:eastAsia="Times New Roman" w:hAnsi="Times New Roman"/>
                <w:sz w:val="20"/>
                <w:szCs w:val="20"/>
                <w:b w:val="1"/>
                <w:bCs w:val="1"/>
                <w:color w:val="auto"/>
                <w:vertAlign w:val="superscript"/>
              </w:rPr>
              <w:t>(f)</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–Fibrodysplasia</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ossificans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Activin A</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progressiva</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("FOP")</w:t>
            </w:r>
            <w:r>
              <w:rPr>
                <w:rFonts w:ascii="Times New Roman" w:cs="Times New Roman" w:eastAsia="Times New Roman" w:hAnsi="Times New Roman"/>
                <w:sz w:val="10"/>
                <w:szCs w:val="10"/>
                <w:color w:val="auto"/>
              </w:rPr>
              <w:t>(c)(d)(e)</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–Generalized</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(e)</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leptin receptor ("LEPR")</w:t>
            </w: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–Partial</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lipodystrophy</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REGN5381/REGN9035</w:t>
            </w:r>
          </w:p>
        </w:tc>
        <w:tc>
          <w:tcPr>
            <w:tcW w:w="12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–Reversal</w:t>
            </w:r>
          </w:p>
        </w:tc>
        <w:tc>
          <w:tcPr>
            <w:tcW w:w="15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–Heart failure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initial data in</w:t>
            </w: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2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agent in healthy</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healthy volunteers</w:t>
            </w:r>
          </w:p>
        </w:tc>
        <w:tc>
          <w:tcPr>
            <w:tcW w:w="0" w:type="dxa"/>
            <w:vAlign w:val="bottom"/>
          </w:tcPr>
          <w:p>
            <w:pPr>
              <w:spacing w:after="0"/>
              <w:rPr>
                <w:sz w:val="1"/>
                <w:szCs w:val="1"/>
                <w:color w:val="auto"/>
              </w:rPr>
            </w:pPr>
          </w:p>
        </w:tc>
      </w:tr>
      <w:tr>
        <w:trPr>
          <w:trHeight w:val="175"/>
        </w:trPr>
        <w:tc>
          <w:tcPr>
            <w:tcW w:w="1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NPR1/reversal agent to</w:t>
            </w:r>
          </w:p>
        </w:tc>
        <w:tc>
          <w:tcPr>
            <w:tcW w:w="12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volunteers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REGN5381</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4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ALN-HSD</w:t>
            </w:r>
            <w:r>
              <w:rPr>
                <w:rFonts w:ascii="Times New Roman" w:cs="Times New Roman" w:eastAsia="Times New Roman" w:hAnsi="Times New Roman"/>
                <w:sz w:val="21"/>
                <w:szCs w:val="21"/>
                <w:b w:val="1"/>
                <w:bCs w:val="1"/>
                <w:color w:val="auto"/>
                <w:vertAlign w:val="superscript"/>
              </w:rPr>
              <w:t>(p)</w:t>
            </w:r>
          </w:p>
        </w:tc>
        <w:tc>
          <w:tcPr>
            <w:tcW w:w="12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–Nonalcoholic</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–Reported preliminary</w:t>
            </w:r>
          </w:p>
        </w:tc>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–Initiate Phase 2 study</w:t>
            </w:r>
          </w:p>
        </w:tc>
        <w:tc>
          <w:tcPr>
            <w:tcW w:w="0" w:type="dxa"/>
            <w:vAlign w:val="bottom"/>
          </w:tcPr>
          <w:p>
            <w:pPr>
              <w:spacing w:after="0"/>
              <w:rPr>
                <w:sz w:val="1"/>
                <w:szCs w:val="1"/>
                <w:color w:val="auto"/>
              </w:rPr>
            </w:pPr>
          </w:p>
        </w:tc>
      </w:tr>
      <w:tr>
        <w:trPr>
          <w:trHeight w:val="182"/>
        </w:trPr>
        <w:tc>
          <w:tcPr>
            <w:tcW w:w="19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2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steatohepatitis</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data from Phase 1 study</w:t>
            </w:r>
          </w:p>
        </w:tc>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 NASH (first quarter</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HSD17B13</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("NASH")</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NASH</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ALN-PNP</w:t>
            </w:r>
            <w:r>
              <w:rPr>
                <w:rFonts w:ascii="Times New Roman" w:cs="Times New Roman" w:eastAsia="Times New Roman" w:hAnsi="Times New Roman"/>
                <w:sz w:val="21"/>
                <w:szCs w:val="21"/>
                <w:b w:val="1"/>
                <w:bCs w:val="1"/>
                <w:color w:val="auto"/>
                <w:vertAlign w:val="superscript"/>
              </w:rPr>
              <w:t>(k)</w:t>
            </w:r>
          </w:p>
        </w:tc>
        <w:tc>
          <w:tcPr>
            <w:tcW w:w="12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–NASH</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PNPLA3</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4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ALN-APP</w:t>
            </w:r>
            <w:r>
              <w:rPr>
                <w:rFonts w:ascii="Times New Roman" w:cs="Times New Roman" w:eastAsia="Times New Roman" w:hAnsi="Times New Roman"/>
                <w:sz w:val="21"/>
                <w:szCs w:val="21"/>
                <w:b w:val="1"/>
                <w:bCs w:val="1"/>
                <w:color w:val="auto"/>
                <w:vertAlign w:val="superscript"/>
              </w:rPr>
              <w:t>(k)</w:t>
            </w:r>
          </w:p>
        </w:tc>
        <w:tc>
          <w:tcPr>
            <w:tcW w:w="12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–Early-onset</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82"/>
        </w:trPr>
        <w:tc>
          <w:tcPr>
            <w:tcW w:w="19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2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Alzheimer’s</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Phase 1 study in early-</w:t>
            </w:r>
          </w:p>
        </w:tc>
        <w:tc>
          <w:tcPr>
            <w:tcW w:w="0" w:type="dxa"/>
            <w:vAlign w:val="bottom"/>
          </w:tcPr>
          <w:p>
            <w:pPr>
              <w:spacing w:after="0"/>
              <w:rPr>
                <w:sz w:val="1"/>
                <w:szCs w:val="1"/>
                <w:color w:val="auto"/>
              </w:rPr>
            </w:pPr>
          </w:p>
        </w:tc>
      </w:tr>
      <w:tr>
        <w:trPr>
          <w:trHeight w:val="175"/>
        </w:trPr>
        <w:tc>
          <w:tcPr>
            <w:tcW w:w="1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APP</w:t>
            </w:r>
          </w:p>
        </w:tc>
        <w:tc>
          <w:tcPr>
            <w:tcW w:w="12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disease</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onset Alzheimer’s</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disease (mid-2023)</w:t>
            </w:r>
          </w:p>
        </w:tc>
        <w:tc>
          <w:tcPr>
            <w:tcW w:w="0" w:type="dxa"/>
            <w:vAlign w:val="bottom"/>
          </w:tcPr>
          <w:p>
            <w:pPr>
              <w:spacing w:after="0"/>
              <w:rPr>
                <w:sz w:val="1"/>
                <w:szCs w:val="1"/>
                <w:color w:val="auto"/>
              </w:rPr>
            </w:pPr>
          </w:p>
        </w:tc>
      </w:tr>
      <w:tr>
        <w:trPr>
          <w:trHeight w:val="810"/>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40" w:right="280"/>
        <w:spacing w:after="0" w:line="245" w:lineRule="auto"/>
        <w:rPr>
          <w:sz w:val="20"/>
          <w:szCs w:val="20"/>
          <w:color w:val="auto"/>
        </w:rPr>
      </w:pPr>
      <w:r>
        <w:rPr>
          <w:rFonts w:ascii="Times New Roman" w:cs="Times New Roman" w:eastAsia="Times New Roman" w:hAnsi="Times New Roman"/>
          <w:sz w:val="16"/>
          <w:szCs w:val="16"/>
          <w:color w:val="auto"/>
        </w:rPr>
        <w:t>Note 1: For purposes of the table above, a program is classified in Phase 1, 2, or 3 clinical development after recruitment for the corresponding study or studies has commenced.</w:t>
      </w:r>
    </w:p>
    <w:p>
      <w:pPr>
        <w:spacing w:after="0" w:line="2" w:lineRule="exact"/>
        <w:rPr>
          <w:sz w:val="20"/>
          <w:szCs w:val="20"/>
          <w:color w:val="auto"/>
        </w:rPr>
      </w:pPr>
    </w:p>
    <w:p>
      <w:pPr>
        <w:ind w:left="240"/>
        <w:spacing w:after="0" w:line="230" w:lineRule="auto"/>
        <w:rPr>
          <w:sz w:val="20"/>
          <w:szCs w:val="20"/>
          <w:color w:val="auto"/>
        </w:rPr>
      </w:pPr>
      <w:r>
        <w:rPr>
          <w:rFonts w:ascii="Times New Roman" w:cs="Times New Roman" w:eastAsia="Times New Roman" w:hAnsi="Times New Roman"/>
          <w:sz w:val="16"/>
          <w:szCs w:val="16"/>
          <w:color w:val="auto"/>
        </w:rPr>
        <w:t>Note 2: We have discontinued further clinical development of fasinumab (REGN475), an antibody to NGF, which was previously being studied in osteoarthritis pain of the knee or hip in collaboration with Teva and Mitsubishi Tanabe Pharma Corporation ("MTPC"); REGN6490, an antibody to IL-36R, which was previously being studied in palmo-plantar pustulosis; and the Phase 3 study of REGN1908-1909, a multi-antibody therapy to Fel d 1, in cat allergy, due to futility.</w:t>
      </w:r>
    </w:p>
    <w:p>
      <w:pPr>
        <w:ind w:left="400" w:hanging="165"/>
        <w:spacing w:after="0" w:line="210" w:lineRule="auto"/>
        <w:tabs>
          <w:tab w:leader="none" w:pos="4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23" w:lineRule="exact"/>
        <w:rPr>
          <w:rFonts w:ascii="Times New Roman" w:cs="Times New Roman" w:eastAsia="Times New Roman" w:hAnsi="Times New Roman"/>
          <w:sz w:val="22"/>
          <w:szCs w:val="22"/>
          <w:color w:val="auto"/>
          <w:vertAlign w:val="superscript"/>
        </w:rPr>
      </w:pPr>
    </w:p>
    <w:p>
      <w:pPr>
        <w:ind w:left="400" w:hanging="165"/>
        <w:spacing w:after="0" w:line="191" w:lineRule="auto"/>
        <w:tabs>
          <w:tab w:leader="none" w:pos="40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21"/>
          <w:szCs w:val="21"/>
          <w:color w:val="auto"/>
          <w:vertAlign w:val="superscript"/>
        </w:rPr>
      </w:pPr>
    </w:p>
    <w:p>
      <w:pPr>
        <w:ind w:left="400" w:hanging="165"/>
        <w:spacing w:after="0" w:line="182" w:lineRule="auto"/>
        <w:tabs>
          <w:tab w:leader="none" w:pos="4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w:t>
      </w:r>
    </w:p>
    <w:p>
      <w:pPr>
        <w:spacing w:after="0" w:line="24" w:lineRule="exact"/>
        <w:rPr>
          <w:rFonts w:ascii="Times New Roman" w:cs="Times New Roman" w:eastAsia="Times New Roman" w:hAnsi="Times New Roman"/>
          <w:sz w:val="22"/>
          <w:szCs w:val="22"/>
          <w:color w:val="auto"/>
          <w:vertAlign w:val="superscript"/>
        </w:rPr>
      </w:pPr>
    </w:p>
    <w:p>
      <w:pPr>
        <w:ind w:left="400" w:hanging="165"/>
        <w:spacing w:after="0" w:line="191" w:lineRule="auto"/>
        <w:tabs>
          <w:tab w:leader="none" w:pos="40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Breakthrough Therapy designation</w:t>
      </w:r>
    </w:p>
    <w:p>
      <w:pPr>
        <w:spacing w:after="0" w:line="23" w:lineRule="exact"/>
        <w:rPr>
          <w:rFonts w:ascii="Times New Roman" w:cs="Times New Roman" w:eastAsia="Times New Roman" w:hAnsi="Times New Roman"/>
          <w:sz w:val="21"/>
          <w:szCs w:val="21"/>
          <w:color w:val="auto"/>
          <w:vertAlign w:val="superscript"/>
        </w:rPr>
      </w:pPr>
    </w:p>
    <w:p>
      <w:pPr>
        <w:ind w:left="400" w:hanging="165"/>
        <w:spacing w:after="0" w:line="182" w:lineRule="auto"/>
        <w:tabs>
          <w:tab w:leader="none" w:pos="4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w:t>
      </w:r>
    </w:p>
    <w:p>
      <w:pPr>
        <w:spacing w:after="0" w:line="24" w:lineRule="exact"/>
        <w:rPr>
          <w:rFonts w:ascii="Times New Roman" w:cs="Times New Roman" w:eastAsia="Times New Roman" w:hAnsi="Times New Roman"/>
          <w:sz w:val="22"/>
          <w:szCs w:val="22"/>
          <w:color w:val="auto"/>
          <w:vertAlign w:val="superscript"/>
        </w:rPr>
      </w:pPr>
    </w:p>
    <w:p>
      <w:pPr>
        <w:ind w:left="240" w:right="220" w:hanging="5"/>
        <w:spacing w:after="0" w:line="189" w:lineRule="auto"/>
        <w:tabs>
          <w:tab w:leader="none" w:pos="39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sales of the product, if any.</w:t>
      </w:r>
    </w:p>
    <w:p>
      <w:pPr>
        <w:spacing w:after="0" w:line="1" w:lineRule="exact"/>
        <w:rPr>
          <w:rFonts w:ascii="Times New Roman" w:cs="Times New Roman" w:eastAsia="Times New Roman" w:hAnsi="Times New Roman"/>
          <w:sz w:val="23"/>
          <w:szCs w:val="23"/>
          <w:color w:val="auto"/>
          <w:vertAlign w:val="superscript"/>
        </w:rPr>
      </w:pPr>
    </w:p>
    <w:p>
      <w:pPr>
        <w:ind w:left="420" w:hanging="185"/>
        <w:spacing w:after="0" w:line="208" w:lineRule="auto"/>
        <w:tabs>
          <w:tab w:leader="none" w:pos="4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23"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relates to U.S., EU, and Japan regulatory submissions only</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Zai Lab in mainland China, Hong Kong, Taiwan, and Macau</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Alnylam</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Ultragenyx outside the United States</w:t>
      </w:r>
    </w:p>
    <w:p>
      <w:pPr>
        <w:spacing w:after="0" w:line="24"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Fast Track designation for follicular lymphoma and diffuse large B-cell lymphoma</w:t>
      </w:r>
    </w:p>
    <w:p>
      <w:pPr>
        <w:spacing w:after="0" w:line="23" w:lineRule="exact"/>
        <w:rPr>
          <w:rFonts w:ascii="Times New Roman" w:cs="Times New Roman" w:eastAsia="Times New Roman" w:hAnsi="Times New Roman"/>
          <w:sz w:val="21"/>
          <w:szCs w:val="21"/>
          <w:color w:val="auto"/>
          <w:vertAlign w:val="superscript"/>
        </w:rPr>
      </w:pPr>
    </w:p>
    <w:p>
      <w:pPr>
        <w:ind w:left="240" w:right="340" w:hanging="5"/>
        <w:spacing w:after="0" w:line="205" w:lineRule="auto"/>
        <w:tabs>
          <w:tab w:leader="none" w:pos="402"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 prior to July 2022. Effective July 2022, the Company is solely responsible for the research, development, and commercialization of Libtayo. Refer to "Collaboration, License, and Other Agreements" section below for further details.</w:t>
      </w:r>
    </w:p>
    <w:p>
      <w:pPr>
        <w:ind w:left="420" w:hanging="185"/>
        <w:spacing w:after="0" w:line="208" w:lineRule="auto"/>
        <w:tabs>
          <w:tab w:leader="none" w:pos="4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in combination with ubamatamab</w:t>
      </w:r>
    </w:p>
    <w:p>
      <w:pPr>
        <w:spacing w:after="0" w:line="23"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Alnylam elected to opt-out of the product candidate. Under the terms of our agreement, Alnylam is entitled to receive royalties on sales of the product, if any.</w:t>
      </w: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9"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Aflibercept 8 mg</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2022, the Company announced that the primary endpoints were met in two pivotal trials investigating aflibercept 8 mg with 12- and 16-week dosing regimens in patients with DME and wet AMD. The PHOTON trial in DME and the PULSAR trial in wet AMD both demonstrated that aflibercept 8 mg 12- and 16-week dosing regimens achieved non-inferiority in vision gains compared to the EYLEA 8-week dosing regimen. Furthermore, of the patients randomized to 12- and 16-week dosing intervals, 91% and 89% of DME patients, respectively, and 79% and 77% of wet AMD patients, respectively, maintained those intervals through 48 weeks. The safety of aflibercept 8 mg was similar to EYLEA in both trials, and consistent with the known safety profile of EYLEA from previous clinical trials. The Company is utilizing a priority review voucher in connection with the December 2022 submission of the BLA for DME and wet AMD.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REGEN-COV (casirivimab and imdevimab)</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REGEN-COV, a multi-antibody therapy to SARS-CoV-2 virus, previously received an EUA for use in certain post-exposure prophylaxis settings and as a treatment for people with mild to moderate COVID-19 who are at high risk of serious consequences from COVID-19. Based on laboratory data, in January 2022, the FDA revised the EUA for REGEN-COV to exclude its use in geographic regions where, based on available information including variant susceptibility and regional variant frequency, infection or exposure is likely due to a variant such as an Omicron-lineage variant that is not susceptible to the treatment. With this EUA revision, REGEN-COV is not currently authorized for use in any U.S. states, territories, or jurisdictions, since Omicron-lineage variants are currently dominant across the United States. In December 2022, the FDA issued a complete response letter ("CRL") on the BLA for REGEN-COV to treat COVID-19 in non-hospitalized patients and as prophylaxis in certain individuals.</w:t>
      </w:r>
    </w:p>
    <w:p>
      <w:pPr>
        <w:spacing w:after="0" w:line="117" w:lineRule="exact"/>
        <w:rPr>
          <w:sz w:val="20"/>
          <w:szCs w:val="20"/>
          <w:color w:val="auto"/>
        </w:rPr>
      </w:pPr>
    </w:p>
    <w:p>
      <w:pPr>
        <w:ind w:right="162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Descriptions of Marketed Products Studied in Additional Indications and Product Candidates in Late-Stage Clinical Development </w:t>
      </w:r>
      <w:r>
        <w:rPr>
          <w:rFonts w:ascii="Times New Roman" w:cs="Times New Roman" w:eastAsia="Times New Roman" w:hAnsi="Times New Roman"/>
          <w:sz w:val="18"/>
          <w:szCs w:val="18"/>
          <w:i w:val="1"/>
          <w:iCs w:val="1"/>
          <w:color w:val="auto"/>
        </w:rPr>
        <w:t>EYLEA (aflibercept)</w:t>
      </w:r>
    </w:p>
    <w:p>
      <w:pPr>
        <w:jc w:val="both"/>
        <w:spacing w:after="0" w:line="266" w:lineRule="auto"/>
        <w:rPr>
          <w:sz w:val="20"/>
          <w:szCs w:val="20"/>
          <w:color w:val="auto"/>
        </w:rPr>
      </w:pPr>
      <w:r>
        <w:rPr>
          <w:rFonts w:ascii="Times New Roman" w:cs="Times New Roman" w:eastAsia="Times New Roman" w:hAnsi="Times New Roman"/>
          <w:sz w:val="18"/>
          <w:szCs w:val="18"/>
          <w:color w:val="auto"/>
        </w:rPr>
        <w:t>EYLEA is a soluble fusion protein that acts as a vascular endothelial growth factor ("VEGF") inhibitor, formulated as a 2 mg intravitreal injection for the eye. It is designed to block the growth of new blood vessels and decrease the ability of fluid to pass through blood vessels (vascular permeability) in the eye by blocking VEGF-A and PLGF, two growth factors involved in angiogenesis.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Aflibercept 8 mg</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Aflibercept 8 mg is an investigational soluble fusion protein that acts as a VEGF inhibitor. Through a novel formulation, it is designed to deliver a concentrated dose of aflibercept to block VEGF-A and PLGF and inhibit the growth of new blood vessels and decrease vascular permeability. Aflibercept 8 mg is being studied in wet AMD and DME using extended dosing intervals of every 12 weeks and every 16 weeks.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Dupixent (dupilumab)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Dupixent is a fully human monoclonal antibody that inhibits signaling of the IL-4 and IL-13 pathways, and is not an immunosuppressant. IL-4 and IL-13 are key and central drivers of the type 2 inflammation that plays a major role in atopic dermatitis, asthma, CRSwNP, EoE, prurigo nodularis, and potentially other chronic allergic and inflammatory diseases.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Kevzara (sarilumab)</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Kevzara is a fully human monoclonal antibody that binds specifically to the IL-6 receptor and inhibits IL-6-mediated signaling. IL-6 is a signaling protein produced in increased quantities in patients with RA and has been associated with disease activity, joint destruction, and other systemic problems.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Itepekimab</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Itepekimab is an investigational, fully human monoclonal antibody that inhibits IL-33, a protein that is believed to play a key role in lung inflammation in COPD.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REGN5713-5714-5715</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REGN5713-5714-5715 is an investigational combination of three fully human monoclonal antibodies designed to treat allergic inflammatory conditions caused by the allergen Betv1, which is the main allergen responsible for birch pollen allergies. Birch pollen allergy is one of the most common causes of seasonal allergies that occur in the spring, and is also believed to trigger "oral allergy syndrome" food reactions to related allergens found in nuts and fruits such as apples, pears, and cherries.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Libtayo (cemiplimab)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Libtayo is a fully human monoclonal antibody targeting the immune checkpoint receptor PD-1 on T-cells. The PD-1/PD-L1 immune checkpoint pathway is a well-known mechanism by which cancers evade immune destruction. Regeneron is studying Libtayo as monotherapy and in combination with either conventional or novel therapeutic approaches in various solid tumors and blood cancers. It is also being studied in combination with proprietary anti-cancer assets of other companies.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Fianlimab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Fianlimab is an investigational, fully human monoclonal antibody targeting the immune checkpoint receptor LAG-3 on T-cells. In melanoma, LAG-3 expression in the tumor microenvironment may be associated with therapeutic resistance to PD-1 inhibitors. Fianlimab is being investigated in combination with Libtayo to determine whether concurrent blockade of LAG-3 and PD-1 can help overcome this resistance and release the brakes on T-cell activation.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Odronextamab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Odronextamab is an investigational bispecific monoclonal antibody designed to bind to a component of the T-cell receptor ("TCR") complex (CD3), while also binding and bridging T-cells to a protein expressed on B-cells (CD20). We are studying whether odronextamab may help to activate T-cells via their CD3 receptors and trigger targeted, T-cell mediated killing of cancerous cells in several types of B-cell non-Hodgkin lymphoma.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Linvoseltamab</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Linvoseltamab is an investigational bispecific monoclonal antibody designed to bind to CD3 while also binding and bridging T-cells to the BCMA protein on multiple myeloma cells. We are studying whether linvoseltamab may help to activate T-cells via their CD3 receptors and trigger targeted, T-cell mediated killing of multiple myeloma.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Pozelimab</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Pozelimab is an investigational, fully human monoclonal antibody designed to block complement factor C5 in order to treat diseases mediated by abnormal complement pathway activity, including PNH, CHAPLE, and myasthenia gravis. Pozelimab is being studied as monotherapy and also in combination with Alnylam’s investigational small interfering RNA ("siRNA") therapy, cemdisiran.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Praluent (alirocumab)</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Praluent is a fully human monoclonal antibody that inhibits the binding of PCSK9 to the LDL receptor. Through inhibiting PCSK9, Praluent increases the number of available LDL receptors on the surface of liver cells to clear LDL, which lowers LDL cholesterol levels in the blood.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Evkeeza (evinacumab)</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Evkeeza is a fully human monoclonal antibody that specifically binds to and blocks ANGPTL3. ANGPTL3 plays a key role in regulating plasma lipid levels, including triglycerides, LDL cholesterol, and HDL cholesterol, through inhibition of lipase enzymes (lipoprotein lipase and endothelial lipase).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Garetosmab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Garetosmab is an investigational, fully-human monoclonal antibody that binds to and neutralizes Activin A, which drives the abnormal bone formation that is the main pathology of the ultra-rare genetic disorder FOP. This abnormal bone formation in soft tissue outside of the normal skeleton, a process known as heterotopic ossification, leads to loss of mobility and premature death in FOP patients. Garetosmab is being investigated to determine whether it can help reduce and/or prevent the formation of heterotopic bone lesions by neutralizing the Activin A protein.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Programs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auditory conditions, enzyme replacement therapy, cardiovascular diseases, infectious diseases, and diseases related to aging. These preclinical research programs include both rare diseases and those involving broader populations.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Technologies</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ZALTRAP, and ARCALYST are drugs generated using our Trap technology.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our second technology platform, which is used for discovering, developing, and producing fully human antibodies that can address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secreted and cell-surface targets.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VelociSuite</w:t>
      </w:r>
    </w:p>
    <w:p>
      <w:pPr>
        <w:spacing w:after="0" w:line="14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VelociSuite </w:t>
      </w:r>
      <w:r>
        <w:rPr>
          <w:rFonts w:ascii="Times New Roman" w:cs="Times New Roman" w:eastAsia="Times New Roman" w:hAnsi="Times New Roman"/>
          <w:sz w:val="18"/>
          <w:szCs w:val="18"/>
          <w:color w:val="auto"/>
        </w:rPr>
        <w:t>consists of</w:t>
      </w:r>
      <w:r>
        <w:rPr>
          <w:rFonts w:ascii="Times New Roman" w:cs="Times New Roman" w:eastAsia="Times New Roman" w:hAnsi="Times New Roman"/>
          <w:sz w:val="18"/>
          <w:szCs w:val="18"/>
          <w:i w:val="1"/>
          <w:iCs w:val="1"/>
          <w:color w:val="auto"/>
        </w:rPr>
        <w:t xml:space="preserve"> VelocImmune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VelociGene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VelociMouse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VelociMab</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Veloci-Bi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VelociHum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other related technologies. The</w:t>
      </w:r>
      <w:r>
        <w:rPr>
          <w:rFonts w:ascii="Times New Roman" w:cs="Times New Roman" w:eastAsia="Times New Roman" w:hAnsi="Times New Roman"/>
          <w:sz w:val="18"/>
          <w:szCs w:val="18"/>
          <w:i w:val="1"/>
          <w:iCs w:val="1"/>
          <w:color w:val="auto"/>
        </w:rPr>
        <w:t xml:space="preserve"> VelocImmune </w:t>
      </w:r>
      <w:r>
        <w:rPr>
          <w:rFonts w:ascii="Times New Roman" w:cs="Times New Roman" w:eastAsia="Times New Roman" w:hAnsi="Times New Roman"/>
          <w:sz w:val="18"/>
          <w:szCs w:val="18"/>
          <w:color w:val="auto"/>
        </w:rPr>
        <w:t>mouse platform is utilized to produce fully human antibodies.</w:t>
      </w:r>
      <w:r>
        <w:rPr>
          <w:rFonts w:ascii="Times New Roman" w:cs="Times New Roman" w:eastAsia="Times New Roman" w:hAnsi="Times New Roman"/>
          <w:sz w:val="18"/>
          <w:szCs w:val="18"/>
          <w:i w:val="1"/>
          <w:iCs w:val="1"/>
          <w:color w:val="auto"/>
        </w:rPr>
        <w:t xml:space="preserve"> VelocImmune </w:t>
      </w:r>
      <w:r>
        <w:rPr>
          <w:rFonts w:ascii="Times New Roman" w:cs="Times New Roman" w:eastAsia="Times New Roman" w:hAnsi="Times New Roman"/>
          <w:sz w:val="18"/>
          <w:szCs w:val="18"/>
          <w:color w:val="auto"/>
        </w:rPr>
        <w:t>was generated by leveraging our</w:t>
      </w:r>
      <w:r>
        <w:rPr>
          <w:rFonts w:ascii="Times New Roman" w:cs="Times New Roman" w:eastAsia="Times New Roman" w:hAnsi="Times New Roman"/>
          <w:sz w:val="18"/>
          <w:szCs w:val="18"/>
          <w:i w:val="1"/>
          <w:iCs w:val="1"/>
          <w:color w:val="auto"/>
        </w:rPr>
        <w:t xml:space="preserve"> VelociGene </w:t>
      </w:r>
      <w:r>
        <w:rPr>
          <w:rFonts w:ascii="Times New Roman" w:cs="Times New Roman" w:eastAsia="Times New Roman" w:hAnsi="Times New Roman"/>
          <w:sz w:val="18"/>
          <w:szCs w:val="18"/>
          <w:color w:val="auto"/>
        </w:rPr>
        <w:t>technology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below), in a process in which six megabases of mouse immunoglobulin gene loci were replaced, or "humanized," with corresponding human immunoglobulin gene loci.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mice can be used efficiently to generate fully human antibodies to targets of therapeutic interest.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and our entire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offer the potential to increase the speed and efficiency through which human antibody therapeutics may be discovered and validated, thereby improving the overall efficiency of our early-stage drug development activities. We are utilizing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produce our next generation of therapeutic antibody drug candidates for preclinical and clinical development.</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platform allows custom and precise manipulation of very large sequences of DNA to produce highly customized alterations of a specified target gene, or genes, and accelerates the production of knock-out and transgenic expression models.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offers the opportunity to humanize targets by replacing the mouse gene with the human homolog or variants thereof. Thus,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scientists to rapidly identify the physical and biological effects of deleting or over-expressing the target gene, as well as to characterize and test potential therapeutic molecules.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are suitable for direct phenotyping or other studies.</w:t>
      </w:r>
    </w:p>
    <w:p>
      <w:pPr>
        <w:spacing w:after="0" w:line="1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have also developed our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18"/>
          <w:szCs w:val="18"/>
          <w:color w:val="auto"/>
        </w:rPr>
        <w:t xml:space="preserve"> platform for the rapid screening of antibodies and rapid generation of expression cell lines for our Traps and our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human antibodies.</w:t>
      </w:r>
    </w:p>
    <w:p>
      <w:pPr>
        <w:spacing w:after="0" w:line="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have utilized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to develop a class of potential drug candidates, known as bispecific antibodies. </w:t>
      </w:r>
      <w:r>
        <w:rPr>
          <w:rFonts w:ascii="Times New Roman" w:cs="Times New Roman" w:eastAsia="Times New Roman" w:hAnsi="Times New Roman"/>
          <w:sz w:val="18"/>
          <w:szCs w:val="18"/>
          <w:i w:val="1"/>
          <w:iCs w:val="1"/>
          <w:color w:val="auto"/>
        </w:rPr>
        <w:t>Veloci-Bi</w:t>
      </w:r>
      <w:r>
        <w:rPr>
          <w:rFonts w:ascii="Times New Roman" w:cs="Times New Roman" w:eastAsia="Times New Roman" w:hAnsi="Times New Roman"/>
          <w:sz w:val="18"/>
          <w:szCs w:val="18"/>
          <w:color w:val="auto"/>
        </w:rPr>
        <w:t xml:space="preserve"> allows for the generation of full-length bispecific antibodies similar to native antibodies that are amenable to production 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We are exploring additional indications and applications for our bispecific technologies, including a new class of CD28 and 4-1BB costimulatory bispecifics. We are also exploring a variety of alternative antibody formats (Altibodies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that can bring binding partners together in restrained geometries.</w:t>
      </w:r>
    </w:p>
    <w:p>
      <w:pPr>
        <w:spacing w:after="0" w:line="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mouse extends our research and drug discovery capabilities into cell-mediated immunity and therapeutic TCRs for oncology and other indications.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was developed by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technology to humanize genes encoding TCRα and TCRβ variable sequences, CD4 and CD8 co-receptors, β2m, and class-I and -II major histocompatibility complexes. As a result,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mice generate fully human TCRs, providing for customized modeling of T-cell function in different diseases and a powerful platform for the discovery of unique TCR-based therapies. We are also able to produce antibodies that recognize intracellular peptides bound in the groove of human leukocyte antigen ("HLA"), enabling the targeting of intracellular proteins in cancer cells.</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VelociHum </w:t>
      </w:r>
      <w:r>
        <w:rPr>
          <w:rFonts w:ascii="Times New Roman" w:cs="Times New Roman" w:eastAsia="Times New Roman" w:hAnsi="Times New Roman"/>
          <w:sz w:val="18"/>
          <w:szCs w:val="18"/>
          <w:color w:val="auto"/>
        </w:rPr>
        <w:t>is our immunodeficient mouse platform that can be used to accurately test human therapeutics against human immune cells and to study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tumor models. Through genetic humanizations, </w:t>
      </w:r>
      <w:r>
        <w:rPr>
          <w:rFonts w:ascii="Times New Roman" w:cs="Times New Roman" w:eastAsia="Times New Roman" w:hAnsi="Times New Roman"/>
          <w:sz w:val="18"/>
          <w:szCs w:val="18"/>
          <w:i w:val="1"/>
          <w:iCs w:val="1"/>
          <w:color w:val="auto"/>
        </w:rPr>
        <w:t>VelociHum</w:t>
      </w:r>
      <w:r>
        <w:rPr>
          <w:rFonts w:ascii="Times New Roman" w:cs="Times New Roman" w:eastAsia="Times New Roman" w:hAnsi="Times New Roman"/>
          <w:sz w:val="18"/>
          <w:szCs w:val="18"/>
          <w:color w:val="auto"/>
        </w:rPr>
        <w:t xml:space="preserve"> mice have been optimized to allow for better development of human immune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well as to allow for engraftment of primary patient-derived tumors that do not take in other commercially available mice.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Genetics Center</w:t>
      </w:r>
      <w:r>
        <w:rPr>
          <w:rFonts w:ascii="Times New Roman" w:cs="Times New Roman" w:eastAsia="Times New Roman" w:hAnsi="Times New Roman"/>
          <w:sz w:val="23"/>
          <w:szCs w:val="23"/>
          <w:b w:val="1"/>
          <w:bCs w:val="1"/>
          <w:color w:val="auto"/>
          <w:vertAlign w:val="superscript"/>
        </w:rPr>
        <w:t>®</w:t>
      </w:r>
    </w:p>
    <w:p>
      <w:pPr>
        <w:spacing w:after="0" w:line="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Regeneron Genetics Center LLC (RGC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wholly owned subsidiary of Regeneron Pharmaceuticals, Inc., leverages de-identified clinical, genomic, and other types of molecular data from properly consented human volunteers from around the world to identify medically relevant associations in a blinded fashion designed to preserve a patients' privacy while uncovering the unique characteristics of their health and wellness. The objective of RGC is to expand the use of human genetics for discovering and validating genetic factors that cause or influence a range of diseases where there are major unmet medical needs, with the prospect of improving the drug discovery and development process and to advance innovation in clinical care design. RGC is undertaking multiple collaborative approaches to study design and implementation, including large population-based efforts that engage study participants to more discrete disease specific and founder populations with data on strategic phenotypes of interest. RGC utilizes laboratory automation and innovative approaches to cloud computing to achieve high-quality throughput, attaining approximately 2 million samples sequenced to date.</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Central to the work of RGC is the portfolio of collaborations with over 100 academic and clinical collaborators around the world, including the University of Colorado, Geisinger Health System, Mayo Clinic, University of Pennsylvania, UCLA Medical Center, UK Biobank, University of Oxford, University of Cambridge, and the University of Helsinki. These collaborations provide access to biological samples and associated phenotype data from properly consented patient volunteers for purposes of genomic research. RGC undertakes genetic sequencing of these samples to create a unique resource of de-identified genetic data and associated phenotype data for research. Furthermore, the RGC has deployed bulk RNA sequencing, whole genome sequencing, and an O-LINK proteomic assay to complement whole exome sequencing and genotyping. In addition, the RGC leverages organoid models, siRNA, and CRISPR knockout models to validate genetic associations that lead to new therapeutic targets. The RGC continues to publish results from its research efforts in journals and publications in partnership with its collaborators to advance the field of genomics.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These efforts at the RGC have led to the identification of more than 20 novel genetic targets. Through our Regeneron Genetics Medicines initiative, we are currently advancing these targets using either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or other technologies, such as siRNA gene silencing, genome editing, and targeted viral-based gene delivery and expression. See the "Collaboration, License, and Other Agreements" section below for descriptions of our collaborations with Alnylam and Intellia.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COVID-19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the Company expanded its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 In 2020, the Company also entered into an agreement with entities acting at the direction of BARDA and the U.S. Department of Defense to manufacture and deliver filled and finished drug product of REGEN-COV to the U.S. government. The agreement, as subsequently amended, provided for payments to the Company of up to $465.9 million in the aggregate for bulk manufacturing of the drug substance, as well as fill/finish, storage, and other activities.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2021, the Company entered into an agreement with the U.S. Department of Defense and HHS to manufacture and deliver additional filled and finished drug product of REGEN-COV to the U.S. government. Pursuant to the agreement, the U.S. government was obligated to purchase 1.25 million doses of drug product, resulting in payments to the Company of $2.625 billion.</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2021, the Company entered into an amendment to its January 2021 agreement to supply the U.S. government with an additional 1.4 million doses of REGEN-COV. Pursuant to the agreement, the U.S. government was obligated to purchase all filled and finished doses of such additional drug product delivered by January 31, 2022, resulting in payments to the Company of $2.940 billion in the aggregate. Additionally, Roche supplied a portion of the doses to Regeneron to fulfill our agreement with the U.S. government (see "Roche" section below for further details regarding our collaboration agreement with Roche).</w:t>
      </w:r>
    </w:p>
    <w:p>
      <w:pPr>
        <w:spacing w:after="0" w:line="116" w:lineRule="exact"/>
        <w:rPr>
          <w:sz w:val="20"/>
          <w:szCs w:val="20"/>
          <w:color w:val="auto"/>
        </w:rPr>
      </w:pPr>
    </w:p>
    <w:p>
      <w:pPr>
        <w:ind w:right="1880"/>
        <w:spacing w:after="0" w:line="414" w:lineRule="auto"/>
        <w:rPr>
          <w:sz w:val="20"/>
          <w:szCs w:val="20"/>
          <w:color w:val="auto"/>
        </w:rPr>
      </w:pPr>
      <w:r>
        <w:rPr>
          <w:rFonts w:ascii="Times New Roman" w:cs="Times New Roman" w:eastAsia="Times New Roman" w:hAnsi="Times New Roman"/>
          <w:sz w:val="18"/>
          <w:szCs w:val="18"/>
          <w:color w:val="auto"/>
        </w:rPr>
        <w:t xml:space="preserve">As of December 31, 2021, the Company had completed its final deliveries of drug product under the agreements described above. </w:t>
      </w:r>
      <w:r>
        <w:rPr>
          <w:rFonts w:ascii="Times New Roman" w:cs="Times New Roman" w:eastAsia="Times New Roman" w:hAnsi="Times New Roman"/>
          <w:sz w:val="18"/>
          <w:szCs w:val="18"/>
          <w:b w:val="1"/>
          <w:bCs w:val="1"/>
          <w:i w:val="1"/>
          <w:iCs w:val="1"/>
          <w:color w:val="auto"/>
        </w:rPr>
        <w:t>Roche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2020, we entered into a collaboration agreement with Roche to develop, manufacture, and distribute the casirivimab and imdevimab antibody cocktail (known as REGEN-COV in the United States and Ronapreve in other countries). We have the right to distribute the product in the United States and Roche has the right to distribute the product outside of the United States. The parties share gross profits from worldwide sales based on a pre-specified formula, depending on the amount of manufactured product supplied by each party to the market.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License and Collaboration Agreement (the "LCA"), Sanofi is generally responsible for funding 80% to 100% of agreed-upon development costs. We are obligated to reimburse Sanofi for 30% to 50% of worldwide development expenses that were funded by Sanofi based on our share of collaboration profits from commercialization of collaboration products. Under the terms of the LCA, we were required to apply 10% of our share of the profits from the Antibody Collaboration in any calendar quarter to reimburse Sanofi for these development costs. On July 1, 2022, an amendment to the LCA became effective, pursuant to which the percentage of Regeneron’s share of profits used to reimburse Sanofi for such development costs increased from 10% to 20%.</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each of 2020 and 2021, we earned a $50.0 million sales-based milestone from Sanofi, upon aggregate annual sales of antibodies outside the United States (including Praluent) exceeding $1.0 billion and $1.5 billion, respectively, on a rolling twelve-month basis. In 2022, we earned two additional $50.0 million sales-based milestones, upon aggregate annual sales of antibodies outside the United States (including Praluent) exceeding $2.0 billion and $2.5 billion, respectively, on a rolling twelve-month basis. We are entitled to receive the final sales milestone payment of $50.0 million when such sales outside the United States exceed $3.0 billion on a rolling twelve-month basis.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is solely responsible for the development and commercialization of Praluent outside of the United States. Under the Praluent Agreement, Sanofi pays the Company a 5% royalty on Sanofi’s net product sales of Praluent outside the United States until March 31, 2032. The Company does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previously collaborated with Sanofi for antibody-based cancer treatments in the field of immuno-oncology (the "IO Collaboration"). Under the terms of the Immuno-oncology License and Collaboration Agreement, the parties were co-developing and co-commercializing Libtayo. The parties shared equally, on an ongoing basis, development and commercialization expenses for Libtayo. We had principal control over the development of Libtayo and led commercialization activities in the United States, while Sanofi led commercialization activities outside of the United States. The parties shared equally in profits and losses in connection with the commercialization of Libtayo.</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July 1, 2022, the Company obtained the exclusive right to develop, commercialize, and manufacture Libtayo worldwide under an Amended and Restated Immuno-oncology License and Collaboration Agreement with Sanofi (the "A&amp;R IO LCA"). In connection with the A&amp;R IO LCA, in 2022, the Company made a $900.0 million up-front payment to Sanofi, as well as a $100.0 million regulatory milestone payment. In addition, Sanofi earned a $65.0 million sales-based milestone upon the achievement of a specified amount of worldwide net product sales of Libtayo in 2022, and is eligible to receive an additional $35.0 million sales-based milestone upon the achievement of a specified amount of worldwide net product sales of Libtayo in 2023. We also pay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Sanofi an 11% royalty on net product sales of Libtayo through March 31, 2034. The parties have also entered into a transition services agreement, a transitional distribution agreement, and a manufacturing services agreement, pursuant to which, during certain transitional periods, Sanofi will perform for Regeneron certain transition, distribution, and manufacturing services, respectively.</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Amended and Restated Immuno-oncology Discovery and Development Agreement, we were obligated to reimburse Sanofi for half of the development costs it funded that were attributable to clinical development of product candidates from our share of profits from commercialized IO Collaboration products. Under the A&amp;R IO LCA, the amount of development costs incurred under the IO Collaboration for which we are obligated to reimburse Sanofi was $35.0 million as of the effective date of the A&amp;R IO LCA, and we pay Sanofi a 0.5% royalty on net product sales of Libtayo until all such development costs have been reimbursed by 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and aflibercept 8 mg outside the United States. Agreed-upon development expenses incurred by the Company and Bayer are generally shared equally. Bayer markets EYLEA outside the United States, and the companies share equally in profits and losses from such sales. In Japan, we were entitled to receive a tiered percentage of between 33.5% and 40.0% of EYLEA net sales through 2021, and, effective January 1, 2022, the companies share equally in profits and losses from sales.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Teva</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Teva are parties to a collaboration agreement to develop and commercialize fasinumab globally, excluding certain Asian countries that are subject to our collaboration agreement with MTPC. In connection with the agreement, Teva made a $250.0 million non-refundable up-front payment in 2016. We led global development activities, including the manufacturing of fasinumab, and the parties shared development costs equally. As of December 31, 2022, we had received an aggregate $120.0 million of development milestones from Teva.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2022, we discontinued further clinical development of fasinumab.</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we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clinical development). Under the terms of the collaboration agreement, the parties share development costs equally. During the fourth quarter of 2022, Alnylam elected to opt-out of further development activities related to ALN-HSD; as a result, we retain the exclusive right to develop and commercialize such product and Alnylam will receive a royalty on sales (if any).</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we and Alnylam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In connection with the collaboration, the Company made an up-front payment of $400.0 million to Alnylam, and also purchased shares of Alnylam common stock for $400.0 million. For each program, we provide Alnylam with a specified amount of funding at program initiation and at lead candidate designation, and Alnylam is eligible to receive up to an aggregate of $200.0 million in clinical proof-of-principle milestones for eye and CNS programs.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collaboration, the parties plan to perform discovery research until designation of lead candidates. Following designation of a lead candidate, the parties may further advance such lead candidate under either a co-development/co-commercialization collaboration agreement ("Co-Co Collaboration Agreement") (under which the parties are advancing ALN-APP and ALN-PNP, which are currently in clinical development) or a License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Investigational New Drug Applications ("INDs") (or their equivalent in certain other countries) for programs in the eye and CNS.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stage of designation of a lead candidate for CNS programs and liver programs, the parties have alternating rights to be a lead party for collaboration products. At the stage of designation of a lead candidate for eye programs, we have the sole right to take the product forward as a licensee. The lead party is required to take the program forward under the License Agreement structure unless the other party exercises its rights to opt-in to a Co-Co Collaboration Agreement as a participating party, in which case the lead party is required to take the program forward under the Co-Co Collaboration Agreement structure. Alnylam does not have rights to opt-in to a Co-Co Collaboration Agreement for eye programs.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 License Agreement, the lead party is designated as the licensee and has the right to develop and commercialize the collaboration product under such program. The licensee will be responsible for its own costs and expenses incurred in connection with the development and commercialization of the collaboration products under the License Agreement. The licensee will pay to the licensor certain development and/or commercialization milestone payments, as well as certain tiered royalty payments to the licensor based on the aggregate annual net sales of the collaboration product.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CNS programs and liver programs, under a Co-Co Collaboration Agreement, the party designated as the lead party will lead development and commercialization of the program and the parties will split profits and share costs equally, subject to certain co-funding opt-outs at specified clinical trial phases or under other conditions. If a party exercises its co-funding opt-out right, the lead party will be required to make certain tiered royalty payments to the other party based on the aggregate annual net sales of the collaboration product and the timing of the exercise of the co-funding opt-out right.</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collaboration, when we are the licensee under a License Agreement or the lead party under a Co-Co Collaboration Agreement, Alnylam will be responsible for the manufacture and supply of the product to us for Phase 1 and Phase 2 clinical trials.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during 2019, the parties entered into a Co-Co Collaboration Agreement for cemdisiran, an siRNA therapeutic targeting the C5 component of the human complement pathway being developed by Alnylam, with Alnylam as the lead party, and a License Agreement for a combination consisting of cemdisiran and pozelimab, with us as the licensee. Under the C5 siRNA Co-Co Collaboration Agreement, the parties shared costs equally, and under the License Agreement, we as the licensee are responsible for our own costs and expenses. The C5 siRNA License Agreement contains a flat low double-digit royalty payable to Alnylam on potential future net sales of the combination only subject to customary reductions, as well as up to $325.0 million in sales milestones.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2022, we elected to opt-out of further development activities pursuant to the Co-Co Collaboration Agreement for cemdisiran as a monotherapy; as a result, Alnylam retains the right to develop and commercialize such product and we will receive a royalty on sales (if 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2016, we entered into a license and collaboration agreement with Intellia Therapeutics, Inc. to advance CRISPR/Cas9 gene-editing technology for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therapeutic development. NTLA-2001, which is in clinical development, is subject to a co-development and co-commercialization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Intellia will lead development and commercialization activities and the parties share an agreed-upon percentage of development expenses and profits (if commercialized).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2020, we expanded our existing collaboration with Intellia to provide us with rights to develop 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 In connection with the 2020 agreement, we made a $70.0 million up-front payment to Intellia.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BARDA</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BARDA are parties to agreements pursuant to which HHS provided certain funding to develop, test, and manufacture a treatment for Ebola virus infection. In 2020, HHS exercised its option under an existing agreement to provide additional funding for the manufacture and supply of Inmazeb. We expect to deliver a pre-specified number of Inmazeb treatment doses over the course of approximately six years.</w:t>
      </w:r>
    </w:p>
    <w:p>
      <w:pPr>
        <w:spacing w:after="0" w:line="102" w:lineRule="exact"/>
        <w:rPr>
          <w:sz w:val="20"/>
          <w:szCs w:val="20"/>
          <w:color w:val="auto"/>
        </w:rPr>
      </w:pPr>
    </w:p>
    <w:p>
      <w:pPr>
        <w:ind w:right="1920"/>
        <w:spacing w:after="0" w:line="414" w:lineRule="auto"/>
        <w:rPr>
          <w:sz w:val="20"/>
          <w:szCs w:val="20"/>
          <w:color w:val="auto"/>
        </w:rPr>
      </w:pPr>
      <w:r>
        <w:rPr>
          <w:rFonts w:ascii="Times New Roman" w:cs="Times New Roman" w:eastAsia="Times New Roman" w:hAnsi="Times New Roman"/>
          <w:sz w:val="18"/>
          <w:szCs w:val="18"/>
          <w:color w:val="auto"/>
        </w:rPr>
        <w:t xml:space="preserve">See "Agreements Related to COVID-19 - U.S. Government" section above for information related to our COVID-19 agreements. </w:t>
      </w:r>
      <w:r>
        <w:rPr>
          <w:rFonts w:ascii="Times New Roman" w:cs="Times New Roman" w:eastAsia="Times New Roman" w:hAnsi="Times New Roman"/>
          <w:sz w:val="18"/>
          <w:szCs w:val="18"/>
          <w:b w:val="1"/>
          <w:bCs w:val="1"/>
          <w:i w:val="1"/>
          <w:iCs w:val="1"/>
          <w:color w:val="auto"/>
        </w:rPr>
        <w:t>Kiniksa</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a 2017 license agreement, we granted Kiniksa Pharmaceuticals, Ltd. the right to develop and commercialize certain new indications for ARCALYST. During the first quarter of 2021, Kiniksa received marketing approval in the United States for a new indication of ARCALYST, recurrent pericarditis. The quarterly period ended March 31, 2021 was the last quarter for which the Company recorded net product sales of ARCALYST.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this approval, Kiniksa is solely responsible for the U.S. development and commercialization of ARCALYST in all approved indications, and Regeneron will continue to supply clinical and commercial product to Kiniksa. Kiniksa will pay Regeneron 50% of its profits from sales of ARCALYST and the parties will not share in any losses incurred by Kiniksa in connection with commercialization of ARCALYST.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Ultragenyx</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January 2022, we entered into a license and collaboration agreement for Ultragenyx Pharmaceutical Inc. to develop and commercialize Evkeeza in countries outside of the United States. In connection with the agreement, Ultragenyx made a $30.0 million non-refundable up-front payment to the Company. Ultragenyx will share in certain costs for global trials led by the Company and also have the right to continue to clinically develop Evkeeza in countries outside of the U.S. We will supply commercial product to Ultragenyx at a tiered purchase price, which is calculated as a percentage of net sales of the product (subject to adjustment in certain circumstances), and are eligible to receive additional regulatory and sales milestone payments.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Checkmate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2022, the Company completed its acquisition of Checkmate Pharmaceuticals, Inc. for a total equity value of approximately $250 million. In connection with the acquisition, the Company obtained the rights to vidutolimod, which is in clinical development for oncology.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manufacture bulk drug materials and products at our manufacturing facilities in Rensselaer, New York and Limerick, Ireland. These facilities consist of owned and leased research, manufacturing, office, laboratory, and warehouse space. In addition, the construction of a fill/finish facility in Rensselaer, New York is in process.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approximately 100,000 liters of cell culture capacity at our Rensselaer facility and approximately 120,000 liters of cell culture capacity at our Limerick facility. Each of these facilities is approved by the FDA and certain other regulatory agencies to manufacture our bulk drug materials and products.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bulk drug materials and products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and to supply various raw materials and other products. See Part I, Item 1A. "Risk Factors - Risks Related to Manufacturing and Supply" for further information.</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medicines are marketed through our commercial group, which includes experienced professionals in the fields of marketing, sales, professional education, patient education, reimbursement and market access, trade and distribution, commercial operations, commercial analytics, and market research.</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we sell our marketed products primarily to wholesalers and specialty distributors that serve pharmacies, hospitals, government agencies, physicians, and other healthcare providers. We had sales to two customers (Besse Medical, a subsidiary of AmerisourceBergen Corporation, and McKesson Corporation) that each accounted for more than 10% of total gross product revenue for the year ended December 31, 2022. On a combined basis, our product sales to these customers accounted for 83% of our total gross product revenue for the year ended December 31, 2022. We promote approved medicines to healthcare professionals via our team of field employees, as well as medical journals, medical exhibitions, distribution of literature and samples, and online channels. In addition, we advertise certain products directly to consumers and maintain websites with information about our medicines. The commercial group also evaluates opportunities for our targets and product candidates and prepares for market launches of new medicines.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certain commercial capabilities outside the United States in connection with co-commercializing some products in accordance with our collaboration agreements. In addition, we are in process of building additional commercial capabilities outside the United States as a result of us obtaining the rights, in 2022, to commercialize Libtayo outside the United States. Refer to "Collaboration, License, and Other Agreements" section above for additional information related to these agreements.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substantial competition from pharmaceutical, biotechnology, and chemical companies. Our ability to compete depends, to a great extent, on how fast we can develop safe and effective product candidates, complete clinical testing and approval processes, and supply commercial quantities of the product to the market. Competition among products approved for sale is based on efficacy, safety, reliability, availability, price, patent and other intellectual property position, and other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Marketed Products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table below provides an overview of the current competitive landscape for the key products marketed by us and/or our collaborators in such products' currently approved indications. The table below is provided for illustrative purposes only and is not exhaustive. For additional information regarding the substantial competition these marketed products face, including potential future competition from product candidates in clinical development, see also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 w:type="dxa"/>
            <w:vAlign w:val="bottom"/>
          </w:tcPr>
          <w:p>
            <w:pPr>
              <w:spacing w:after="0"/>
              <w:rPr>
                <w:sz w:val="22"/>
                <w:szCs w:val="22"/>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Marketed Product</w:t>
            </w:r>
          </w:p>
        </w:tc>
        <w:tc>
          <w:tcPr>
            <w:tcW w:w="100" w:type="dxa"/>
            <w:vAlign w:val="bottom"/>
          </w:tcPr>
          <w:p>
            <w:pPr>
              <w:spacing w:after="0"/>
              <w:rPr>
                <w:sz w:val="22"/>
                <w:szCs w:val="22"/>
                <w:color w:val="auto"/>
              </w:rPr>
            </w:pPr>
          </w:p>
        </w:tc>
        <w:tc>
          <w:tcPr>
            <w:tcW w:w="25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100" w:type="dxa"/>
            <w:vAlign w:val="bottom"/>
          </w:tcPr>
          <w:p>
            <w:pPr>
              <w:spacing w:after="0"/>
              <w:rPr>
                <w:sz w:val="22"/>
                <w:szCs w:val="22"/>
                <w:color w:val="auto"/>
              </w:rPr>
            </w:pPr>
          </w:p>
        </w:tc>
        <w:tc>
          <w:tcPr>
            <w:tcW w:w="23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20" w:type="dxa"/>
            <w:vAlign w:val="bottom"/>
          </w:tcPr>
          <w:p>
            <w:pPr>
              <w:spacing w:after="0"/>
              <w:rPr>
                <w:sz w:val="22"/>
                <w:szCs w:val="22"/>
                <w:color w:val="auto"/>
              </w:rPr>
            </w:pPr>
          </w:p>
        </w:tc>
        <w:tc>
          <w:tcPr>
            <w:tcW w:w="1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00" w:type="dxa"/>
            <w:vAlign w:val="bottom"/>
          </w:tcPr>
          <w:p>
            <w:pPr>
              <w:spacing w:after="0"/>
              <w:rPr>
                <w:sz w:val="22"/>
                <w:szCs w:val="22"/>
                <w:color w:val="auto"/>
              </w:rPr>
            </w:pPr>
          </w:p>
        </w:tc>
        <w:tc>
          <w:tcPr>
            <w:tcW w:w="19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3"/>
                <w:szCs w:val="23"/>
                <w:b w:val="1"/>
                <w:bCs w:val="1"/>
                <w:color w:val="auto"/>
                <w:vertAlign w:val="superscript"/>
              </w:rPr>
              <w:t>(a)</w:t>
            </w:r>
          </w:p>
        </w:tc>
      </w:tr>
      <w:tr>
        <w:trPr>
          <w:trHeight w:val="169"/>
        </w:trPr>
        <w:tc>
          <w:tcPr>
            <w:tcW w:w="80" w:type="dxa"/>
            <w:vAlign w:val="bottom"/>
          </w:tcPr>
          <w:p>
            <w:pPr>
              <w:spacing w:after="0"/>
              <w:rPr>
                <w:sz w:val="14"/>
                <w:szCs w:val="14"/>
                <w:color w:val="auto"/>
              </w:rPr>
            </w:pPr>
          </w:p>
        </w:tc>
        <w:tc>
          <w:tcPr>
            <w:tcW w:w="20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EYLEA</w:t>
            </w:r>
          </w:p>
        </w:tc>
        <w:tc>
          <w:tcPr>
            <w:tcW w:w="10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Lucentis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(ranibizumab injection)</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Novartis AG and</w:t>
            </w:r>
          </w:p>
        </w:tc>
        <w:tc>
          <w:tcPr>
            <w:tcW w:w="12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Wet AMD, DME, macular</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Worldwide</w:t>
            </w:r>
          </w:p>
        </w:tc>
        <w:tc>
          <w:tcPr>
            <w:tcW w:w="60" w:type="dxa"/>
            <w:vAlign w:val="bottom"/>
          </w:tcPr>
          <w:p>
            <w:pPr>
              <w:spacing w:after="0"/>
              <w:rPr>
                <w:sz w:val="14"/>
                <w:szCs w:val="14"/>
                <w:color w:val="auto"/>
              </w:rPr>
            </w:pPr>
          </w:p>
        </w:tc>
      </w:tr>
      <w:tr>
        <w:trPr>
          <w:trHeight w:val="176"/>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edema following RVO</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(including CRVO and</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BRVO), diabetic</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retinopathy, mCNV, and</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ROP</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Byooviz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(ranibizumab-nuna)</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Samsung Bioepis Co., Ltd. and</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Wet AMD, DME, macular</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60" w:type="dxa"/>
            <w:vAlign w:val="bottom"/>
          </w:tcPr>
          <w:p>
            <w:pPr>
              <w:spacing w:after="0"/>
              <w:rPr>
                <w:sz w:val="16"/>
                <w:szCs w:val="16"/>
                <w:color w:val="auto"/>
              </w:rPr>
            </w:pPr>
          </w:p>
        </w:tc>
      </w:tr>
      <w:tr>
        <w:trPr>
          <w:trHeight w:val="176"/>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Biogen Inc.</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edema following RVO</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(including CRVO and</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BRVO), diabetic</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retinopathy, and mCNV</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Ximluci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Xbrane Biopharma AB, Bausch</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Wet AMD, DME, macular</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EU</w:t>
            </w:r>
          </w:p>
        </w:tc>
        <w:tc>
          <w:tcPr>
            <w:tcW w:w="60" w:type="dxa"/>
            <w:vAlign w:val="bottom"/>
          </w:tcPr>
          <w:p>
            <w:pPr>
              <w:spacing w:after="0"/>
              <w:rPr>
                <w:sz w:val="16"/>
                <w:szCs w:val="16"/>
                <w:color w:val="auto"/>
              </w:rPr>
            </w:pPr>
          </w:p>
        </w:tc>
      </w:tr>
      <w:tr>
        <w:trPr>
          <w:trHeight w:val="203"/>
        </w:trPr>
        <w:tc>
          <w:tcPr>
            <w:tcW w:w="80" w:type="dxa"/>
            <w:vAlign w:val="bottom"/>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Lomb, and STADA</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edema following RVO</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Arzneimittel AG</w:t>
            </w:r>
          </w:p>
        </w:tc>
        <w:tc>
          <w:tcPr>
            <w:tcW w:w="1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(including CRVO and</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180"/>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BRVO), diabetic</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retinopathy, and CNV</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Cimerli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(ranibizumab-eqrn)</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Formycon AG, Bioeq AG,</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Wet AMD, DME, macular</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60" w:type="dxa"/>
            <w:vAlign w:val="bottom"/>
          </w:tcPr>
          <w:p>
            <w:pPr>
              <w:spacing w:after="0"/>
              <w:rPr>
                <w:sz w:val="16"/>
                <w:szCs w:val="16"/>
                <w:color w:val="auto"/>
              </w:rPr>
            </w:pPr>
          </w:p>
        </w:tc>
      </w:tr>
      <w:tr>
        <w:trPr>
          <w:trHeight w:val="203"/>
        </w:trPr>
        <w:tc>
          <w:tcPr>
            <w:tcW w:w="80" w:type="dxa"/>
            <w:vAlign w:val="bottom"/>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Coherus BioSciences, Inc., and</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edema following RVO</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Teva Ltd.</w:t>
            </w:r>
          </w:p>
        </w:tc>
        <w:tc>
          <w:tcPr>
            <w:tcW w:w="1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(including CRVO and</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180"/>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BRVO), diabetic</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retinopathy, and CNV</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6"/>
        </w:trPr>
        <w:tc>
          <w:tcPr>
            <w:tcW w:w="80" w:type="dxa"/>
            <w:vAlign w:val="bottom"/>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AMD</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tcPr>
          <w:p>
            <w:pPr>
              <w:spacing w:after="0"/>
              <w:rPr>
                <w:sz w:val="17"/>
                <w:szCs w:val="17"/>
                <w:color w:val="auto"/>
              </w:rPr>
            </w:pPr>
          </w:p>
        </w:tc>
      </w:tr>
      <w:tr>
        <w:trPr>
          <w:trHeight w:val="234"/>
        </w:trPr>
        <w:tc>
          <w:tcPr>
            <w:tcW w:w="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implant)</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80" w:type="dxa"/>
            <w:vAlign w:val="bottom"/>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5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w:t>
            </w:r>
          </w:p>
        </w:tc>
        <w:tc>
          <w:tcPr>
            <w:tcW w:w="100" w:type="dxa"/>
            <w:vAlign w:val="bottom"/>
            <w:shd w:val="clear" w:color="auto" w:fill="CCEEFF"/>
          </w:tcPr>
          <w:p>
            <w:pPr>
              <w:spacing w:after="0"/>
              <w:rPr>
                <w:sz w:val="22"/>
                <w:szCs w:val="22"/>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AMD, DME</w:t>
            </w: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60" w:type="dxa"/>
            <w:vAlign w:val="bottom"/>
          </w:tcPr>
          <w:p>
            <w:pPr>
              <w:spacing w:after="0"/>
              <w:rPr>
                <w:sz w:val="22"/>
                <w:szCs w:val="22"/>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Avastin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(bevacizumab) (off-</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Wet AMD, DME, and</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Worldwide</w:t>
            </w:r>
          </w:p>
        </w:tc>
        <w:tc>
          <w:tcPr>
            <w:tcW w:w="60" w:type="dxa"/>
            <w:vAlign w:val="bottom"/>
          </w:tcPr>
          <w:p>
            <w:pPr>
              <w:spacing w:after="0"/>
              <w:rPr>
                <w:sz w:val="15"/>
                <w:szCs w:val="15"/>
                <w:color w:val="auto"/>
              </w:rPr>
            </w:pPr>
          </w:p>
        </w:tc>
      </w:tr>
      <w:tr>
        <w:trPr>
          <w:trHeight w:val="176"/>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label and repackaged)</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macular edema following</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RVO</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Injection</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 AG</w:t>
            </w: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AMD, DME</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60" w:type="dxa"/>
            <w:vAlign w:val="bottom"/>
          </w:tcPr>
          <w:p>
            <w:pPr>
              <w:spacing w:after="0"/>
              <w:rPr>
                <w:sz w:val="20"/>
                <w:szCs w:val="20"/>
                <w:color w:val="auto"/>
              </w:rPr>
            </w:pPr>
          </w:p>
        </w:tc>
      </w:tr>
      <w:tr>
        <w:trPr>
          <w:trHeight w:val="176"/>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Ozurdex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(dexamethasone</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Allergan/AbbVie Inc.</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DME, RVO</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States, EU</w:t>
            </w:r>
          </w:p>
        </w:tc>
        <w:tc>
          <w:tcPr>
            <w:tcW w:w="60" w:type="dxa"/>
            <w:vAlign w:val="bottom"/>
          </w:tcPr>
          <w:p>
            <w:pPr>
              <w:spacing w:after="0"/>
              <w:rPr>
                <w:sz w:val="15"/>
                <w:szCs w:val="15"/>
                <w:color w:val="auto"/>
              </w:rPr>
            </w:pPr>
          </w:p>
        </w:tc>
      </w:tr>
      <w:tr>
        <w:trPr>
          <w:trHeight w:val="243"/>
        </w:trPr>
        <w:tc>
          <w:tcPr>
            <w:tcW w:w="8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intravitreal implant)</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796"/>
        </w:trPr>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8"/>
        </w:trPr>
        <w:tc>
          <w:tcPr>
            <w:tcW w:w="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Marketed Product</w:t>
            </w:r>
          </w:p>
        </w:tc>
        <w:tc>
          <w:tcPr>
            <w:tcW w:w="100" w:type="dxa"/>
            <w:vAlign w:val="bottom"/>
          </w:tcPr>
          <w:p>
            <w:pPr>
              <w:spacing w:after="0"/>
              <w:rPr>
                <w:sz w:val="17"/>
                <w:szCs w:val="17"/>
                <w:color w:val="auto"/>
              </w:rPr>
            </w:pPr>
          </w:p>
        </w:tc>
        <w:tc>
          <w:tcPr>
            <w:tcW w:w="25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100" w:type="dxa"/>
            <w:vAlign w:val="bottom"/>
          </w:tcPr>
          <w:p>
            <w:pPr>
              <w:spacing w:after="0"/>
              <w:rPr>
                <w:sz w:val="17"/>
                <w:szCs w:val="17"/>
                <w:color w:val="auto"/>
              </w:rPr>
            </w:pPr>
          </w:p>
        </w:tc>
        <w:tc>
          <w:tcPr>
            <w:tcW w:w="238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20" w:type="dxa"/>
            <w:vAlign w:val="bottom"/>
          </w:tcPr>
          <w:p>
            <w:pPr>
              <w:spacing w:after="0"/>
              <w:rPr>
                <w:sz w:val="17"/>
                <w:szCs w:val="17"/>
                <w:color w:val="auto"/>
              </w:rPr>
            </w:pPr>
          </w:p>
        </w:tc>
        <w:tc>
          <w:tcPr>
            <w:tcW w:w="20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8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3"/>
                <w:szCs w:val="23"/>
                <w:b w:val="1"/>
                <w:bCs w:val="1"/>
                <w:color w:val="auto"/>
                <w:vertAlign w:val="superscript"/>
              </w:rPr>
              <w:t>(a)</w:t>
            </w:r>
          </w:p>
        </w:tc>
        <w:tc>
          <w:tcPr>
            <w:tcW w:w="0" w:type="dxa"/>
            <w:vAlign w:val="bottom"/>
          </w:tcPr>
          <w:p>
            <w:pPr>
              <w:spacing w:after="0"/>
              <w:rPr>
                <w:sz w:val="1"/>
                <w:szCs w:val="1"/>
                <w:color w:val="auto"/>
              </w:rPr>
            </w:pPr>
          </w:p>
        </w:tc>
      </w:tr>
      <w:tr>
        <w:trPr>
          <w:trHeight w:val="238"/>
        </w:trPr>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0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vMerge w:val="continue"/>
          </w:tcPr>
          <w:p>
            <w:pPr>
              <w:spacing w:after="0"/>
              <w:rPr>
                <w:sz w:val="20"/>
                <w:szCs w:val="20"/>
                <w:color w:val="auto"/>
              </w:rPr>
            </w:pPr>
          </w:p>
        </w:tc>
        <w:tc>
          <w:tcPr>
            <w:tcW w:w="1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0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 xml:space="preserve">EYLEA </w:t>
            </w:r>
            <w:r>
              <w:rPr>
                <w:rFonts w:ascii="Times New Roman" w:cs="Times New Roman" w:eastAsia="Times New Roman" w:hAnsi="Times New Roman"/>
                <w:sz w:val="18"/>
                <w:szCs w:val="18"/>
                <w:i w:val="1"/>
                <w:iCs w:val="1"/>
                <w:color w:val="auto"/>
              </w:rPr>
              <w:t>(continued)</w:t>
            </w:r>
          </w:p>
        </w:tc>
        <w:tc>
          <w:tcPr>
            <w:tcW w:w="10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Iluvien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(fluocinolone acetonide</w:t>
            </w:r>
          </w:p>
        </w:tc>
        <w:tc>
          <w:tcPr>
            <w:tcW w:w="1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Alimera Sciences, Inc.</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DME</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intravitreal implant)</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Conbercept</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Chengdu Kanghong</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Wet AMD, DME, mCNV</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Pharmaceutical Group Co., Ltd.</w:t>
            </w: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Dupixent</w:t>
            </w:r>
          </w:p>
        </w:tc>
        <w:tc>
          <w:tcPr>
            <w:tcW w:w="100" w:type="dxa"/>
            <w:vAlign w:val="bottom"/>
          </w:tcPr>
          <w:p>
            <w:pPr>
              <w:spacing w:after="0"/>
              <w:rPr>
                <w:sz w:val="16"/>
                <w:szCs w:val="16"/>
                <w:color w:val="auto"/>
              </w:rPr>
            </w:pPr>
          </w:p>
        </w:tc>
        <w:tc>
          <w:tcPr>
            <w:tcW w:w="25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Eucrisa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/Staquis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(crisaborole)</w:t>
            </w:r>
          </w:p>
        </w:tc>
        <w:tc>
          <w:tcPr>
            <w:tcW w:w="100" w:type="dxa"/>
            <w:vAlign w:val="bottom"/>
          </w:tcPr>
          <w:p>
            <w:pPr>
              <w:spacing w:after="0"/>
              <w:rPr>
                <w:sz w:val="16"/>
                <w:szCs w:val="16"/>
                <w:color w:val="auto"/>
              </w:rPr>
            </w:pPr>
          </w:p>
        </w:tc>
        <w:tc>
          <w:tcPr>
            <w:tcW w:w="2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Pfizer Inc.</w:t>
            </w:r>
          </w:p>
        </w:tc>
        <w:tc>
          <w:tcPr>
            <w:tcW w:w="120" w:type="dxa"/>
            <w:vAlign w:val="bottom"/>
          </w:tcPr>
          <w:p>
            <w:pPr>
              <w:spacing w:after="0"/>
              <w:rPr>
                <w:sz w:val="16"/>
                <w:szCs w:val="16"/>
                <w:color w:val="auto"/>
              </w:rPr>
            </w:pPr>
          </w:p>
        </w:tc>
        <w:tc>
          <w:tcPr>
            <w:tcW w:w="20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Mild-to-moderate atopic</w:t>
            </w:r>
          </w:p>
        </w:tc>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Opzelura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(ruxolitinib)</w:t>
            </w:r>
          </w:p>
        </w:tc>
        <w:tc>
          <w:tcPr>
            <w:tcW w:w="100" w:type="dxa"/>
            <w:vAlign w:val="bottom"/>
          </w:tcPr>
          <w:p>
            <w:pPr>
              <w:spacing w:after="0"/>
              <w:rPr>
                <w:sz w:val="16"/>
                <w:szCs w:val="16"/>
                <w:color w:val="auto"/>
              </w:rPr>
            </w:pPr>
          </w:p>
        </w:tc>
        <w:tc>
          <w:tcPr>
            <w:tcW w:w="23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Incyte Corporation</w:t>
            </w:r>
          </w:p>
        </w:tc>
        <w:tc>
          <w:tcPr>
            <w:tcW w:w="120" w:type="dxa"/>
            <w:vAlign w:val="bottom"/>
          </w:tcPr>
          <w:p>
            <w:pPr>
              <w:spacing w:after="0"/>
              <w:rPr>
                <w:sz w:val="16"/>
                <w:szCs w:val="16"/>
                <w:color w:val="auto"/>
              </w:rPr>
            </w:pPr>
          </w:p>
        </w:tc>
        <w:tc>
          <w:tcPr>
            <w:tcW w:w="2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Mild-to-moderate atopic</w:t>
            </w:r>
          </w:p>
        </w:tc>
        <w:tc>
          <w:tcPr>
            <w:tcW w:w="18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Olumiant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(baricitinib)</w:t>
            </w:r>
          </w:p>
        </w:tc>
        <w:tc>
          <w:tcPr>
            <w:tcW w:w="100" w:type="dxa"/>
            <w:vAlign w:val="bottom"/>
          </w:tcPr>
          <w:p>
            <w:pPr>
              <w:spacing w:after="0"/>
              <w:rPr>
                <w:sz w:val="16"/>
                <w:szCs w:val="16"/>
                <w:color w:val="auto"/>
              </w:rPr>
            </w:pPr>
          </w:p>
        </w:tc>
        <w:tc>
          <w:tcPr>
            <w:tcW w:w="23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Eli Lilly and Company/Incyte</w:t>
            </w:r>
          </w:p>
        </w:tc>
        <w:tc>
          <w:tcPr>
            <w:tcW w:w="120" w:type="dxa"/>
            <w:vAlign w:val="bottom"/>
          </w:tcPr>
          <w:p>
            <w:pPr>
              <w:spacing w:after="0"/>
              <w:rPr>
                <w:sz w:val="16"/>
                <w:szCs w:val="16"/>
                <w:color w:val="auto"/>
              </w:rPr>
            </w:pPr>
          </w:p>
        </w:tc>
        <w:tc>
          <w:tcPr>
            <w:tcW w:w="2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EU, Japan</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w:t>
            </w: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Cibinqo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(abrocitinib)</w:t>
            </w:r>
          </w:p>
        </w:tc>
        <w:tc>
          <w:tcPr>
            <w:tcW w:w="100" w:type="dxa"/>
            <w:vAlign w:val="bottom"/>
          </w:tcPr>
          <w:p>
            <w:pPr>
              <w:spacing w:after="0"/>
              <w:rPr>
                <w:sz w:val="16"/>
                <w:szCs w:val="16"/>
                <w:color w:val="auto"/>
              </w:rPr>
            </w:pPr>
          </w:p>
        </w:tc>
        <w:tc>
          <w:tcPr>
            <w:tcW w:w="2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Pfizer</w:t>
            </w:r>
          </w:p>
        </w:tc>
        <w:tc>
          <w:tcPr>
            <w:tcW w:w="120" w:type="dxa"/>
            <w:vAlign w:val="bottom"/>
          </w:tcPr>
          <w:p>
            <w:pPr>
              <w:spacing w:after="0"/>
              <w:rPr>
                <w:sz w:val="16"/>
                <w:szCs w:val="16"/>
                <w:color w:val="auto"/>
              </w:rPr>
            </w:pPr>
          </w:p>
        </w:tc>
        <w:tc>
          <w:tcPr>
            <w:tcW w:w="2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Rinvoq</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(upadacitinib)</w:t>
            </w:r>
          </w:p>
        </w:tc>
        <w:tc>
          <w:tcPr>
            <w:tcW w:w="100" w:type="dxa"/>
            <w:vAlign w:val="bottom"/>
          </w:tcPr>
          <w:p>
            <w:pPr>
              <w:spacing w:after="0"/>
              <w:rPr>
                <w:sz w:val="16"/>
                <w:szCs w:val="16"/>
                <w:color w:val="auto"/>
              </w:rPr>
            </w:pPr>
          </w:p>
        </w:tc>
        <w:tc>
          <w:tcPr>
            <w:tcW w:w="2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AbbVie</w:t>
            </w:r>
          </w:p>
        </w:tc>
        <w:tc>
          <w:tcPr>
            <w:tcW w:w="120" w:type="dxa"/>
            <w:vAlign w:val="bottom"/>
          </w:tcPr>
          <w:p>
            <w:pPr>
              <w:spacing w:after="0"/>
              <w:rPr>
                <w:sz w:val="16"/>
                <w:szCs w:val="16"/>
                <w:color w:val="auto"/>
              </w:rPr>
            </w:pPr>
          </w:p>
        </w:tc>
        <w:tc>
          <w:tcPr>
            <w:tcW w:w="2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Adbry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/Adtralza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(tralokinumab)</w:t>
            </w:r>
          </w:p>
        </w:tc>
        <w:tc>
          <w:tcPr>
            <w:tcW w:w="100" w:type="dxa"/>
            <w:vAlign w:val="bottom"/>
          </w:tcPr>
          <w:p>
            <w:pPr>
              <w:spacing w:after="0"/>
              <w:rPr>
                <w:sz w:val="16"/>
                <w:szCs w:val="16"/>
                <w:color w:val="auto"/>
              </w:rPr>
            </w:pPr>
          </w:p>
        </w:tc>
        <w:tc>
          <w:tcPr>
            <w:tcW w:w="2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LEO Pharma Inc.</w:t>
            </w:r>
          </w:p>
        </w:tc>
        <w:tc>
          <w:tcPr>
            <w:tcW w:w="120" w:type="dxa"/>
            <w:vAlign w:val="bottom"/>
          </w:tcPr>
          <w:p>
            <w:pPr>
              <w:spacing w:after="0"/>
              <w:rPr>
                <w:sz w:val="16"/>
                <w:szCs w:val="16"/>
                <w:color w:val="auto"/>
              </w:rPr>
            </w:pPr>
          </w:p>
        </w:tc>
        <w:tc>
          <w:tcPr>
            <w:tcW w:w="2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Corectim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(delgocitinib)</w:t>
            </w:r>
          </w:p>
        </w:tc>
        <w:tc>
          <w:tcPr>
            <w:tcW w:w="100" w:type="dxa"/>
            <w:vAlign w:val="bottom"/>
          </w:tcPr>
          <w:p>
            <w:pPr>
              <w:spacing w:after="0"/>
              <w:rPr>
                <w:sz w:val="17"/>
                <w:szCs w:val="17"/>
                <w:color w:val="auto"/>
              </w:rPr>
            </w:pPr>
          </w:p>
        </w:tc>
        <w:tc>
          <w:tcPr>
            <w:tcW w:w="23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Japan Tobacco Inc./Torii</w:t>
            </w:r>
          </w:p>
        </w:tc>
        <w:tc>
          <w:tcPr>
            <w:tcW w:w="120" w:type="dxa"/>
            <w:vAlign w:val="bottom"/>
          </w:tcPr>
          <w:p>
            <w:pPr>
              <w:spacing w:after="0"/>
              <w:rPr>
                <w:sz w:val="17"/>
                <w:szCs w:val="17"/>
                <w:color w:val="auto"/>
              </w:rPr>
            </w:pPr>
          </w:p>
        </w:tc>
        <w:tc>
          <w:tcPr>
            <w:tcW w:w="20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Atopic dermatitis</w:t>
            </w:r>
          </w:p>
        </w:tc>
        <w:tc>
          <w:tcPr>
            <w:tcW w:w="18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 Co., Ltd.</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Mitchga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(nemolizumab)</w:t>
            </w:r>
          </w:p>
        </w:tc>
        <w:tc>
          <w:tcPr>
            <w:tcW w:w="10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Maruho Co., Ltd./Chugai</w:t>
            </w:r>
          </w:p>
        </w:tc>
        <w:tc>
          <w:tcPr>
            <w:tcW w:w="1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Pruritus associated with</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 Co., Ltd.</w:t>
            </w: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atopic dermatitis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color w:val="auto"/>
              </w:rPr>
              <w:t>Xolair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(omalizumab)</w:t>
            </w: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Roche/Novartis</w:t>
            </w:r>
          </w:p>
        </w:tc>
        <w:tc>
          <w:tcPr>
            <w:tcW w:w="1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Asthma, nasal polyps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 (asthma);</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United States, EU (nasal</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polyps)</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Nucala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(mepolizumab)</w:t>
            </w:r>
          </w:p>
        </w:tc>
        <w:tc>
          <w:tcPr>
            <w:tcW w:w="100" w:type="dxa"/>
            <w:vAlign w:val="bottom"/>
          </w:tcPr>
          <w:p>
            <w:pPr>
              <w:spacing w:after="0"/>
              <w:rPr>
                <w:sz w:val="17"/>
                <w:szCs w:val="17"/>
                <w:color w:val="auto"/>
              </w:rPr>
            </w:pPr>
          </w:p>
        </w:tc>
        <w:tc>
          <w:tcPr>
            <w:tcW w:w="23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GlaxoSmithKline ("GSK")</w:t>
            </w:r>
          </w:p>
        </w:tc>
        <w:tc>
          <w:tcPr>
            <w:tcW w:w="120" w:type="dxa"/>
            <w:vAlign w:val="bottom"/>
          </w:tcPr>
          <w:p>
            <w:pPr>
              <w:spacing w:after="0"/>
              <w:rPr>
                <w:sz w:val="17"/>
                <w:szCs w:val="17"/>
                <w:color w:val="auto"/>
              </w:rPr>
            </w:pPr>
          </w:p>
        </w:tc>
        <w:tc>
          <w:tcPr>
            <w:tcW w:w="20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Asthma, nasal polyps</w:t>
            </w:r>
          </w:p>
        </w:tc>
        <w:tc>
          <w:tcPr>
            <w:tcW w:w="18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Worldwide (asthma);</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United States, EU (nasal</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polyps)</w:t>
            </w:r>
          </w:p>
        </w:tc>
        <w:tc>
          <w:tcPr>
            <w:tcW w:w="0" w:type="dxa"/>
            <w:vAlign w:val="bottom"/>
          </w:tcPr>
          <w:p>
            <w:pPr>
              <w:spacing w:after="0"/>
              <w:rPr>
                <w:sz w:val="1"/>
                <w:szCs w:val="1"/>
                <w:color w:val="auto"/>
              </w:rPr>
            </w:pPr>
          </w:p>
        </w:tc>
      </w:tr>
      <w:tr>
        <w:trPr>
          <w:trHeight w:val="252"/>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ind w:left="20"/>
              <w:spacing w:after="0" w:line="252" w:lineRule="exact"/>
              <w:rPr>
                <w:sz w:val="20"/>
                <w:szCs w:val="20"/>
                <w:color w:val="auto"/>
              </w:rPr>
            </w:pPr>
            <w:r>
              <w:rPr>
                <w:rFonts w:ascii="Times New Roman" w:cs="Times New Roman" w:eastAsia="Times New Roman" w:hAnsi="Times New Roman"/>
                <w:sz w:val="18"/>
                <w:szCs w:val="18"/>
                <w:color w:val="auto"/>
              </w:rPr>
              <w:t>Cinqair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(reslizumab)</w:t>
            </w:r>
          </w:p>
        </w:tc>
        <w:tc>
          <w:tcPr>
            <w:tcW w:w="10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Teva</w:t>
            </w:r>
          </w:p>
        </w:tc>
        <w:tc>
          <w:tcPr>
            <w:tcW w:w="120" w:type="dxa"/>
            <w:vAlign w:val="bottom"/>
          </w:tcPr>
          <w:p>
            <w:pPr>
              <w:spacing w:after="0"/>
              <w:rPr>
                <w:sz w:val="21"/>
                <w:szCs w:val="21"/>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Asthma</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310"/>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Fasenra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(benralizumab)</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w:t>
            </w:r>
          </w:p>
        </w:tc>
        <w:tc>
          <w:tcPr>
            <w:tcW w:w="12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Asthma</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20"/>
              <w:spacing w:after="0" w:line="234" w:lineRule="exact"/>
              <w:rPr>
                <w:sz w:val="20"/>
                <w:szCs w:val="20"/>
                <w:color w:val="auto"/>
              </w:rPr>
            </w:pPr>
            <w:r>
              <w:rPr>
                <w:rFonts w:ascii="Times New Roman" w:cs="Times New Roman" w:eastAsia="Times New Roman" w:hAnsi="Times New Roman"/>
                <w:sz w:val="18"/>
                <w:szCs w:val="18"/>
                <w:color w:val="auto"/>
              </w:rPr>
              <w:t>Tezspire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(tezepelumab-ekko)</w:t>
            </w: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AstraZeneca/Amgen</w:t>
            </w:r>
          </w:p>
        </w:tc>
        <w:tc>
          <w:tcPr>
            <w:tcW w:w="1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Asthma</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Merck &amp; Co., Inc.</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Bristol-Myers Squibb</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AstraZeneca</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Bavencio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(avelumab)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Pfizer/Merck KGaA</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Jemperli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(dostarlimab)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GSK</w:t>
            </w: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84"/>
        </w:trPr>
        <w:tc>
          <w:tcPr>
            <w:tcW w:w="2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Praluent</w:t>
            </w:r>
          </w:p>
        </w:tc>
        <w:tc>
          <w:tcPr>
            <w:tcW w:w="100" w:type="dxa"/>
            <w:vAlign w:val="bottom"/>
          </w:tcPr>
          <w:p>
            <w:pPr>
              <w:spacing w:after="0"/>
              <w:rPr>
                <w:sz w:val="16"/>
                <w:szCs w:val="16"/>
                <w:color w:val="auto"/>
              </w:rPr>
            </w:pPr>
          </w:p>
        </w:tc>
        <w:tc>
          <w:tcPr>
            <w:tcW w:w="25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Repatha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(evolocumab)</w:t>
            </w:r>
          </w:p>
        </w:tc>
        <w:tc>
          <w:tcPr>
            <w:tcW w:w="100" w:type="dxa"/>
            <w:vAlign w:val="bottom"/>
          </w:tcPr>
          <w:p>
            <w:pPr>
              <w:spacing w:after="0"/>
              <w:rPr>
                <w:sz w:val="16"/>
                <w:szCs w:val="16"/>
                <w:color w:val="auto"/>
              </w:rPr>
            </w:pPr>
          </w:p>
        </w:tc>
        <w:tc>
          <w:tcPr>
            <w:tcW w:w="2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Amgen</w:t>
            </w:r>
          </w:p>
        </w:tc>
        <w:tc>
          <w:tcPr>
            <w:tcW w:w="120" w:type="dxa"/>
            <w:vAlign w:val="bottom"/>
          </w:tcPr>
          <w:p>
            <w:pPr>
              <w:spacing w:after="0"/>
              <w:rPr>
                <w:sz w:val="16"/>
                <w:szCs w:val="16"/>
                <w:color w:val="auto"/>
              </w:rPr>
            </w:pPr>
          </w:p>
        </w:tc>
        <w:tc>
          <w:tcPr>
            <w:tcW w:w="20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Reduce the risk of</w:t>
            </w:r>
          </w:p>
        </w:tc>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myocardial infarction,</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stroke, and coronary</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revascularization in adults</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280"/>
        <w:spacing w:after="0" w:line="203" w:lineRule="auto"/>
        <w:rPr>
          <w:sz w:val="20"/>
          <w:szCs w:val="20"/>
          <w:color w:val="auto"/>
        </w:rPr>
      </w:pPr>
      <w:r>
        <w:rPr>
          <w:rFonts w:ascii="Times New Roman" w:cs="Times New Roman" w:eastAsia="Times New Roman" w:hAnsi="Times New Roman"/>
          <w:sz w:val="18"/>
          <w:szCs w:val="18"/>
          <w:color w:val="auto"/>
        </w:rPr>
        <w:t>with established</w:t>
      </w:r>
    </w:p>
    <w:p>
      <w:pPr>
        <w:ind w:left="7280"/>
        <w:spacing w:after="0" w:line="203" w:lineRule="auto"/>
        <w:rPr>
          <w:sz w:val="20"/>
          <w:szCs w:val="20"/>
          <w:color w:val="auto"/>
        </w:rPr>
      </w:pPr>
      <w:r>
        <w:rPr>
          <w:rFonts w:ascii="Times New Roman" w:cs="Times New Roman" w:eastAsia="Times New Roman" w:hAnsi="Times New Roman"/>
          <w:sz w:val="18"/>
          <w:szCs w:val="18"/>
          <w:color w:val="auto"/>
        </w:rPr>
        <w:t>cardiovascular disease;</w:t>
      </w:r>
    </w:p>
    <w:p>
      <w:pPr>
        <w:ind w:left="7280"/>
        <w:spacing w:after="0" w:line="220" w:lineRule="auto"/>
        <w:rPr>
          <w:sz w:val="20"/>
          <w:szCs w:val="20"/>
          <w:color w:val="auto"/>
        </w:rPr>
      </w:pPr>
      <w:r>
        <w:rPr>
          <w:rFonts w:ascii="Times New Roman" w:cs="Times New Roman" w:eastAsia="Times New Roman" w:hAnsi="Times New Roman"/>
          <w:sz w:val="18"/>
          <w:szCs w:val="18"/>
          <w:color w:val="auto"/>
        </w:rPr>
        <w:t>primary hyperlipidemia;</w:t>
      </w:r>
    </w:p>
    <w:p>
      <w:pPr>
        <w:ind w:left="7280"/>
        <w:spacing w:after="0"/>
        <w:rPr>
          <w:sz w:val="20"/>
          <w:szCs w:val="20"/>
          <w:color w:val="auto"/>
        </w:rPr>
      </w:pPr>
      <w:r>
        <w:rPr>
          <w:rFonts w:ascii="Times New Roman" w:cs="Times New Roman" w:eastAsia="Times New Roman" w:hAnsi="Times New Roman"/>
          <w:sz w:val="18"/>
          <w:szCs w:val="18"/>
          <w:color w:val="auto"/>
        </w:rPr>
        <w:t>and HoFH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Marketed Product</w:t>
            </w:r>
          </w:p>
        </w:tc>
        <w:tc>
          <w:tcPr>
            <w:tcW w:w="100" w:type="dxa"/>
            <w:vAlign w:val="bottom"/>
          </w:tcPr>
          <w:p>
            <w:pPr>
              <w:spacing w:after="0"/>
              <w:rPr>
                <w:sz w:val="17"/>
                <w:szCs w:val="17"/>
                <w:color w:val="auto"/>
              </w:rPr>
            </w:pPr>
          </w:p>
        </w:tc>
        <w:tc>
          <w:tcPr>
            <w:tcW w:w="24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100" w:type="dxa"/>
            <w:vAlign w:val="bottom"/>
          </w:tcPr>
          <w:p>
            <w:pPr>
              <w:spacing w:after="0"/>
              <w:rPr>
                <w:sz w:val="17"/>
                <w:szCs w:val="17"/>
                <w:color w:val="auto"/>
              </w:rPr>
            </w:pPr>
          </w:p>
        </w:tc>
        <w:tc>
          <w:tcPr>
            <w:tcW w:w="238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20" w:type="dxa"/>
            <w:vAlign w:val="bottom"/>
          </w:tcPr>
          <w:p>
            <w:pPr>
              <w:spacing w:after="0"/>
              <w:rPr>
                <w:sz w:val="17"/>
                <w:szCs w:val="17"/>
                <w:color w:val="auto"/>
              </w:rPr>
            </w:pPr>
          </w:p>
        </w:tc>
        <w:tc>
          <w:tcPr>
            <w:tcW w:w="20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8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3"/>
                <w:szCs w:val="23"/>
                <w:b w:val="1"/>
                <w:bCs w:val="1"/>
                <w:color w:val="auto"/>
                <w:vertAlign w:val="superscript"/>
              </w:rPr>
              <w:t>(a)</w:t>
            </w:r>
          </w:p>
        </w:tc>
        <w:tc>
          <w:tcPr>
            <w:tcW w:w="0" w:type="dxa"/>
            <w:vAlign w:val="bottom"/>
          </w:tcPr>
          <w:p>
            <w:pPr>
              <w:spacing w:after="0"/>
              <w:rPr>
                <w:sz w:val="1"/>
                <w:szCs w:val="1"/>
                <w:color w:val="auto"/>
              </w:rPr>
            </w:pPr>
          </w:p>
        </w:tc>
      </w:tr>
      <w:tr>
        <w:trPr>
          <w:trHeight w:val="23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0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1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Praluent (</w:t>
            </w:r>
            <w:r>
              <w:rPr>
                <w:rFonts w:ascii="Times New Roman" w:cs="Times New Roman" w:eastAsia="Times New Roman" w:hAnsi="Times New Roman"/>
                <w:sz w:val="18"/>
                <w:szCs w:val="18"/>
                <w:i w:val="1"/>
                <w:iCs w:val="1"/>
                <w:color w:val="auto"/>
              </w:rPr>
              <w:t>continued)</w:t>
            </w:r>
          </w:p>
        </w:tc>
        <w:tc>
          <w:tcPr>
            <w:tcW w:w="100" w:type="dxa"/>
            <w:vAlign w:val="bottom"/>
          </w:tcPr>
          <w:p>
            <w:pPr>
              <w:spacing w:after="0"/>
              <w:rPr>
                <w:sz w:val="15"/>
                <w:szCs w:val="15"/>
                <w:color w:val="auto"/>
              </w:rPr>
            </w:pPr>
          </w:p>
        </w:tc>
        <w:tc>
          <w:tcPr>
            <w:tcW w:w="248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Leqvio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(inclisiran)</w:t>
            </w:r>
          </w:p>
        </w:tc>
        <w:tc>
          <w:tcPr>
            <w:tcW w:w="100" w:type="dxa"/>
            <w:vAlign w:val="bottom"/>
          </w:tcPr>
          <w:p>
            <w:pPr>
              <w:spacing w:after="0"/>
              <w:rPr>
                <w:sz w:val="15"/>
                <w:szCs w:val="15"/>
                <w:color w:val="auto"/>
              </w:rPr>
            </w:pPr>
          </w:p>
        </w:tc>
        <w:tc>
          <w:tcPr>
            <w:tcW w:w="2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Novartis</w:t>
            </w:r>
          </w:p>
        </w:tc>
        <w:tc>
          <w:tcPr>
            <w:tcW w:w="120" w:type="dxa"/>
            <w:vAlign w:val="bottom"/>
          </w:tcPr>
          <w:p>
            <w:pPr>
              <w:spacing w:after="0"/>
              <w:rPr>
                <w:sz w:val="15"/>
                <w:szCs w:val="15"/>
                <w:color w:val="auto"/>
              </w:rPr>
            </w:pPr>
          </w:p>
        </w:tc>
        <w:tc>
          <w:tcPr>
            <w:tcW w:w="19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Primary</w:t>
            </w:r>
          </w:p>
        </w:tc>
        <w:tc>
          <w:tcPr>
            <w:tcW w:w="100" w:type="dxa"/>
            <w:vAlign w:val="bottom"/>
          </w:tcPr>
          <w:p>
            <w:pPr>
              <w:spacing w:after="0"/>
              <w:rPr>
                <w:sz w:val="15"/>
                <w:szCs w:val="15"/>
                <w:color w:val="auto"/>
              </w:rPr>
            </w:pPr>
          </w:p>
        </w:tc>
        <w:tc>
          <w:tcPr>
            <w:tcW w:w="18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hypercholesterolemia</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(heterozygous familial and</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non-familial) or mixed</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dyslipidemia</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Kevzara</w:t>
            </w:r>
          </w:p>
        </w:tc>
        <w:tc>
          <w:tcPr>
            <w:tcW w:w="10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Actemra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(tocilizumab)</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Genentech/Roche/Chugai</w:t>
            </w:r>
          </w:p>
        </w:tc>
        <w:tc>
          <w:tcPr>
            <w:tcW w:w="1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Rheumatoid arthritis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Pharmaceutical Co., Ltd.</w:t>
            </w:r>
          </w:p>
        </w:tc>
        <w:tc>
          <w:tcPr>
            <w:tcW w:w="1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Orencia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(abatacept)</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Bristol-Myers Squibb</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Xeljanz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(tofacitinib)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Pfizer</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Olumiant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(baricitinib)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 Lilly/Incyte</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Rinvoq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(upadacitinib)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AbbVie</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Jyseleca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(filgotinib)</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Gilead Sciences, Inc./Galapagos</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Rheumatoid arthritis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 Japan</w:t>
            </w:r>
          </w:p>
        </w:tc>
        <w:tc>
          <w:tcPr>
            <w:tcW w:w="0" w:type="dxa"/>
            <w:vAlign w:val="bottom"/>
          </w:tcPr>
          <w:p>
            <w:pPr>
              <w:spacing w:after="0"/>
              <w:rPr>
                <w:sz w:val="1"/>
                <w:szCs w:val="1"/>
                <w:color w:val="auto"/>
              </w:rPr>
            </w:pPr>
          </w:p>
        </w:tc>
      </w:tr>
      <w:tr>
        <w:trPr>
          <w:trHeight w:val="248"/>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NV</w:t>
            </w:r>
          </w:p>
        </w:tc>
        <w:tc>
          <w:tcPr>
            <w:tcW w:w="1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right="140" w:hanging="5"/>
        <w:spacing w:after="0" w:line="199" w:lineRule="auto"/>
        <w:tabs>
          <w:tab w:leader="none" w:pos="43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This table focuses primarily on the United States, EU, and Japan. "Worldwide" indicates that the relevant product is approved in the United States, EU, Japan, and at least one other country.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Candidates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late-stage and earlier-stage clinical candidates (including those being developed in collaboration with our collaborators) face competition from many pharmaceutical and biotechnology companies. For example, we are aware of other pharmaceutical and biotechnology companies actively engaged in the research and development of antibody-based products against targets that are also the targets of our early- and late-stage product candidates. These companies are using various technologies in competition with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and our other antibody generation technologies, including their own antibody generation technologies and other approaches such as RNAi, chimeric antigen receptor T cell (CAR-T cell), and gene therapy technologies. We are also aware of several companies developing or marketing small molecules that may compete with our antibody product candidates in various indications, if such product candidates obtain regulatory approval in those indications.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product candidates (including those being developed in collaboration with our collaborators) and the substantial competition they face, see also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Areas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pharmaceutical and biotechnology companies are attempting to discover new therapeutics for indications in which we 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inferior intellectual property position or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also may have established substantial intellectual property and other competitive advantages.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compete with academic institutions, governmental agencies, and other public or private research organizations, which conduct research, seek patent and other intellectual property protection, and establish collaborative arrangements for the development and marketing of products that would provide royalties or other consideration for use of their technology. These institutions are becoming more active in seeking patent and other intellectual property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Trade Secrets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Times New Roman" w:cs="Times New Roman" w:eastAsia="Times New Roman" w:hAnsi="Times New Roman"/>
          <w:sz w:val="18"/>
          <w:szCs w:val="18"/>
          <w:i w:val="1"/>
          <w:iCs w:val="1"/>
          <w:color w:val="auto"/>
        </w:rPr>
        <w:t>We may be restricted in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manufacturing, and/or commercialization activities by patents or other proprietary rights of others, and could be subject to awards of damages if we are found to have infringed such patents or rights</w:t>
      </w:r>
      <w:r>
        <w:rPr>
          <w:rFonts w:ascii="Times New Roman" w:cs="Times New Roman" w:eastAsia="Times New Roman" w:hAnsi="Times New Roman"/>
          <w:sz w:val="18"/>
          <w:szCs w:val="18"/>
          <w:color w:val="auto"/>
        </w:rPr>
        <w:t>"; and Note 16 to our Consolidated Financial Statements). Our policy is to file patent applications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inventions, and improvements that we consider important to our business and operations. We hold an ownership interest in a number of issued patents in the United States and foreign countries with respect to our products and technologies. In addition, we hold an ownership interest in thousands of patent applications in the United States and foreign countries.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patent portfolio includes granted patents and pending patent applications covering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including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mouse platform which produces fully human antibodies. Our issued patents covering these technologies generally expire between 2022 and 2032. However, we continue to file patent applications directed to improvements to these technology platforms.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patent portfolio also includes issued patents and pending applications relating to commercialized products and our product candidates in clinical development. These patents cover, among other things, proteins, DNA and RNA molecules, manufacturing patents, method of use patents, and pharmaceutical compositions and formulations.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describes our U.S. patents, European patents ("EP"), and Japanese patents ("JP") that are of particular relevance to key products marketed or otherwise commercialized by us and/or our collaborators, including the territory, patent number, general subject matter class, and expected expiration dates. The noted expiration dates include any patent term adjustments.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may not be separately listed.</w:t>
      </w:r>
    </w:p>
    <w:p>
      <w:pPr>
        <w:spacing w:after="0" w:line="13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00" w:type="dxa"/>
            <w:vAlign w:val="bottom"/>
          </w:tcPr>
          <w:p>
            <w:pPr>
              <w:spacing w:after="0"/>
              <w:rPr>
                <w:sz w:val="18"/>
                <w:szCs w:val="18"/>
                <w:color w:val="auto"/>
              </w:rPr>
            </w:pP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18"/>
                <w:szCs w:val="18"/>
                <w:color w:val="auto"/>
              </w:rPr>
            </w:pP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00" w:type="dxa"/>
            <w:vAlign w:val="bottom"/>
          </w:tcPr>
          <w:p>
            <w:pPr>
              <w:spacing w:after="0"/>
              <w:rPr>
                <w:sz w:val="18"/>
                <w:szCs w:val="18"/>
                <w:color w:val="auto"/>
              </w:rPr>
            </w:pP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20" w:type="dxa"/>
            <w:vAlign w:val="bottom"/>
          </w:tcPr>
          <w:p>
            <w:pPr>
              <w:spacing w:after="0"/>
              <w:rPr>
                <w:sz w:val="18"/>
                <w:szCs w:val="18"/>
                <w:color w:val="auto"/>
              </w:rPr>
            </w:pPr>
          </w:p>
        </w:tc>
        <w:tc>
          <w:tcPr>
            <w:tcW w:w="21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aflibercept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7,070,959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June 16, 2023</w:t>
            </w:r>
            <w:r>
              <w:rPr>
                <w:rFonts w:ascii="Times New Roman" w:cs="Times New Roman" w:eastAsia="Times New Roman" w:hAnsi="Times New Roman"/>
                <w:sz w:val="23"/>
                <w:szCs w:val="23"/>
                <w:color w:val="auto"/>
                <w:vertAlign w:val="superscript"/>
              </w:rPr>
              <w:t>(b)</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8,092,803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21, 2027</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10,464,992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10,857,231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22, 2026</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11,066,458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11,084,865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9,254,338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22, 2032</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10,857,205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10,828,345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10,888,601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5"/>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11,253,572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6"/>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10,406,226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 of Manufacturing</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22, 2026</w:t>
            </w:r>
          </w:p>
        </w:tc>
        <w:tc>
          <w:tcPr>
            <w:tcW w:w="0" w:type="dxa"/>
            <w:vAlign w:val="bottom"/>
          </w:tcPr>
          <w:p>
            <w:pPr>
              <w:spacing w:after="0"/>
              <w:rPr>
                <w:sz w:val="1"/>
                <w:szCs w:val="1"/>
                <w:color w:val="auto"/>
              </w:rPr>
            </w:pPr>
          </w:p>
        </w:tc>
      </w:tr>
      <w:tr>
        <w:trPr>
          <w:trHeight w:val="184"/>
        </w:trPr>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EP</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1183353</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(May 23, 2025)</w:t>
            </w:r>
            <w:r>
              <w:rPr>
                <w:rFonts w:ascii="Times New Roman" w:cs="Times New Roman" w:eastAsia="Times New Roman" w:hAnsi="Times New Roman"/>
                <w:sz w:val="21"/>
                <w:szCs w:val="21"/>
                <w:color w:val="auto"/>
                <w:vertAlign w:val="superscript"/>
              </w:rPr>
              <w:t>(c)</w:t>
            </w: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(Supplementary Protection</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2364691</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2944306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03"/>
        </w:trPr>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JP</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4,723,140</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29, 2022 –</w:t>
            </w:r>
          </w:p>
        </w:tc>
        <w:tc>
          <w:tcPr>
            <w:tcW w:w="0" w:type="dxa"/>
            <w:vAlign w:val="bottom"/>
          </w:tcPr>
          <w:p>
            <w:pPr>
              <w:spacing w:after="0"/>
              <w:rPr>
                <w:sz w:val="1"/>
                <w:szCs w:val="1"/>
                <w:color w:val="auto"/>
              </w:rPr>
            </w:pPr>
          </w:p>
        </w:tc>
      </w:tr>
      <w:tr>
        <w:trPr>
          <w:trHeight w:val="257"/>
        </w:trPr>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25, 2023</w:t>
            </w:r>
            <w:r>
              <w:rPr>
                <w:rFonts w:ascii="Times New Roman" w:cs="Times New Roman" w:eastAsia="Times New Roman" w:hAnsi="Times New Roman"/>
                <w:sz w:val="21"/>
                <w:szCs w:val="21"/>
                <w:color w:val="auto"/>
                <w:vertAlign w:val="superscript"/>
              </w:rPr>
              <w:t>(d)</w:t>
            </w: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5,273,746</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24, 2022</w:t>
            </w:r>
          </w:p>
        </w:tc>
        <w:tc>
          <w:tcPr>
            <w:tcW w:w="0" w:type="dxa"/>
            <w:vAlign w:val="bottom"/>
          </w:tcPr>
          <w:p>
            <w:pPr>
              <w:spacing w:after="0"/>
              <w:rPr>
                <w:sz w:val="1"/>
                <w:szCs w:val="1"/>
                <w:color w:val="auto"/>
              </w:rPr>
            </w:pPr>
          </w:p>
        </w:tc>
      </w:tr>
      <w:tr>
        <w:trPr>
          <w:trHeight w:val="225"/>
        </w:trPr>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5,216,002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27, 2028 – October</w:t>
            </w:r>
          </w:p>
        </w:tc>
        <w:tc>
          <w:tcPr>
            <w:tcW w:w="0" w:type="dxa"/>
            <w:vAlign w:val="bottom"/>
          </w:tcPr>
          <w:p>
            <w:pPr>
              <w:spacing w:after="0"/>
              <w:rPr>
                <w:sz w:val="1"/>
                <w:szCs w:val="1"/>
                <w:color w:val="auto"/>
              </w:rPr>
            </w:pPr>
          </w:p>
        </w:tc>
      </w:tr>
      <w:tr>
        <w:trPr>
          <w:trHeight w:val="261"/>
        </w:trPr>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1, 2029</w:t>
            </w:r>
            <w:r>
              <w:rPr>
                <w:rFonts w:ascii="Times New Roman" w:cs="Times New Roman" w:eastAsia="Times New Roman" w:hAnsi="Times New Roman"/>
                <w:sz w:val="21"/>
                <w:szCs w:val="21"/>
                <w:color w:val="auto"/>
                <w:vertAlign w:val="superscript"/>
              </w:rPr>
              <w:t>(d)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7"/>
                <w:szCs w:val="17"/>
                <w:color w:val="auto"/>
              </w:rPr>
            </w:pPr>
          </w:p>
        </w:tc>
        <w:tc>
          <w:tcPr>
            <w:tcW w:w="16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20" w:type="dxa"/>
            <w:vAlign w:val="bottom"/>
          </w:tcPr>
          <w:p>
            <w:pPr>
              <w:spacing w:after="0"/>
              <w:rPr>
                <w:sz w:val="17"/>
                <w:szCs w:val="17"/>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20" w:type="dxa"/>
            <w:vAlign w:val="bottom"/>
          </w:tcPr>
          <w:p>
            <w:pPr>
              <w:spacing w:after="0"/>
              <w:rPr>
                <w:sz w:val="17"/>
                <w:szCs w:val="17"/>
                <w:color w:val="auto"/>
              </w:rPr>
            </w:pPr>
          </w:p>
        </w:tc>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21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0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Dupixent</w:t>
            </w:r>
          </w:p>
        </w:tc>
        <w:tc>
          <w:tcPr>
            <w:tcW w:w="100" w:type="dxa"/>
            <w:vAlign w:val="bottom"/>
          </w:tcPr>
          <w:p>
            <w:pPr>
              <w:spacing w:after="0"/>
              <w:rPr>
                <w:sz w:val="18"/>
                <w:szCs w:val="18"/>
                <w:color w:val="auto"/>
              </w:rPr>
            </w:pPr>
          </w:p>
        </w:tc>
        <w:tc>
          <w:tcPr>
            <w:tcW w:w="1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dupilumab</w:t>
            </w:r>
          </w:p>
        </w:tc>
        <w:tc>
          <w:tcPr>
            <w:tcW w:w="100" w:type="dxa"/>
            <w:vAlign w:val="bottom"/>
          </w:tcPr>
          <w:p>
            <w:pPr>
              <w:spacing w:after="0"/>
              <w:rPr>
                <w:sz w:val="18"/>
                <w:szCs w:val="18"/>
                <w:color w:val="auto"/>
              </w:rPr>
            </w:pPr>
          </w:p>
        </w:tc>
        <w:tc>
          <w:tcPr>
            <w:tcW w:w="1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7,608,693</w:t>
            </w:r>
          </w:p>
        </w:tc>
        <w:tc>
          <w:tcPr>
            <w:tcW w:w="120" w:type="dxa"/>
            <w:vAlign w:val="bottom"/>
          </w:tcPr>
          <w:p>
            <w:pPr>
              <w:spacing w:after="0"/>
              <w:rPr>
                <w:sz w:val="18"/>
                <w:szCs w:val="18"/>
                <w:color w:val="auto"/>
              </w:rPr>
            </w:pPr>
          </w:p>
        </w:tc>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tcPr>
          <w:p>
            <w:pPr>
              <w:spacing w:after="0"/>
              <w:rPr>
                <w:sz w:val="18"/>
                <w:szCs w:val="18"/>
                <w:color w:val="auto"/>
              </w:rPr>
            </w:pPr>
          </w:p>
        </w:tc>
        <w:tc>
          <w:tcPr>
            <w:tcW w:w="2160" w:type="dxa"/>
            <w:vAlign w:val="bottom"/>
            <w:tcBorders>
              <w:top w:val="single" w:sz="8" w:color="auto"/>
            </w:tcBorders>
          </w:tcPr>
          <w:p>
            <w:pPr>
              <w:ind w:left="20"/>
              <w:spacing w:after="0" w:line="218" w:lineRule="exact"/>
              <w:rPr>
                <w:sz w:val="20"/>
                <w:szCs w:val="20"/>
                <w:color w:val="auto"/>
              </w:rPr>
            </w:pPr>
            <w:r>
              <w:rPr>
                <w:rFonts w:ascii="Times New Roman" w:cs="Times New Roman" w:eastAsia="Times New Roman" w:hAnsi="Times New Roman"/>
                <w:sz w:val="18"/>
                <w:szCs w:val="18"/>
                <w:color w:val="auto"/>
              </w:rPr>
              <w:t>March 28, 2031</w:t>
            </w:r>
            <w:r>
              <w:rPr>
                <w:rFonts w:ascii="Times New Roman" w:cs="Times New Roman" w:eastAsia="Times New Roman" w:hAnsi="Times New Roman"/>
                <w:sz w:val="23"/>
                <w:szCs w:val="23"/>
                <w:color w:val="auto"/>
                <w:vertAlign w:val="superscript"/>
              </w:rPr>
              <w:t>(e)</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8,945,559</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17, 2032</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9,238,692</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10,435,473</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11,059,896</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8,075,887</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17, 2028</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8,337,839</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 2027</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9,290,574</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9,574,004</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22, 2033</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11,421,036</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10,137,193</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18, 2036</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10,485,844</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10,059,771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 2034</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11,214,621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2036</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11,167,004</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11,034,768</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2039</w:t>
            </w:r>
          </w:p>
        </w:tc>
        <w:tc>
          <w:tcPr>
            <w:tcW w:w="0" w:type="dxa"/>
            <w:vAlign w:val="bottom"/>
          </w:tcPr>
          <w:p>
            <w:pPr>
              <w:spacing w:after="0"/>
              <w:rPr>
                <w:sz w:val="1"/>
                <w:szCs w:val="1"/>
                <w:color w:val="auto"/>
              </w:rPr>
            </w:pPr>
          </w:p>
        </w:tc>
      </w:tr>
      <w:tr>
        <w:trPr>
          <w:trHeight w:val="226"/>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11,292,847</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2039</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2356151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October 27, 2029</w:t>
            </w:r>
            <w:r>
              <w:rPr>
                <w:rFonts w:ascii="Times New Roman" w:cs="Times New Roman" w:eastAsia="Times New Roman" w:hAnsi="Times New Roman"/>
                <w:sz w:val="23"/>
                <w:szCs w:val="23"/>
                <w:color w:val="auto"/>
                <w:vertAlign w:val="superscript"/>
              </w:rPr>
              <w:t>(c)</w:t>
            </w: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line="183" w:lineRule="exact"/>
              <w:rPr>
                <w:sz w:val="20"/>
                <w:szCs w:val="20"/>
                <w:color w:val="auto"/>
              </w:rPr>
            </w:pPr>
            <w:r>
              <w:rPr>
                <w:rFonts w:ascii="Times New Roman" w:cs="Times New Roman" w:eastAsia="Times New Roman" w:hAnsi="Times New Roman"/>
                <w:sz w:val="18"/>
                <w:szCs w:val="18"/>
                <w:color w:val="auto"/>
              </w:rPr>
              <w:t>2356151</w:t>
            </w:r>
          </w:p>
        </w:tc>
        <w:tc>
          <w:tcPr>
            <w:tcW w:w="120" w:type="dxa"/>
            <w:vAlign w:val="bottom"/>
          </w:tcPr>
          <w:p>
            <w:pPr>
              <w:spacing w:after="0"/>
              <w:rPr>
                <w:sz w:val="15"/>
                <w:szCs w:val="15"/>
                <w:color w:val="auto"/>
              </w:rPr>
            </w:pPr>
          </w:p>
        </w:tc>
        <w:tc>
          <w:tcPr>
            <w:tcW w:w="22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(Supplementary Protection</w:t>
            </w:r>
          </w:p>
        </w:tc>
        <w:tc>
          <w:tcPr>
            <w:tcW w:w="216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(September 28, 2032)</w:t>
            </w:r>
            <w:r>
              <w:rPr>
                <w:rFonts w:ascii="Times New Roman" w:cs="Times New Roman" w:eastAsia="Times New Roman" w:hAnsi="Times New Roman"/>
                <w:sz w:val="21"/>
                <w:szCs w:val="21"/>
                <w:color w:val="auto"/>
                <w:vertAlign w:val="superscript"/>
              </w:rPr>
              <w:t>(c)</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3010539</w:t>
            </w:r>
          </w:p>
        </w:tc>
        <w:tc>
          <w:tcPr>
            <w:tcW w:w="120" w:type="dxa"/>
            <w:vAlign w:val="bottom"/>
          </w:tcPr>
          <w:p>
            <w:pPr>
              <w:spacing w:after="0"/>
              <w:rPr>
                <w:sz w:val="20"/>
                <w:szCs w:val="20"/>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 2034</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2888281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3064511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27, 2029</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3107575</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3470432</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3019191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2624865</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3354280</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40"/>
              <w:spacing w:after="0" w:line="199" w:lineRule="exact"/>
              <w:rPr>
                <w:sz w:val="20"/>
                <w:szCs w:val="20"/>
                <w:color w:val="auto"/>
              </w:rPr>
            </w:pPr>
            <w:r>
              <w:rPr>
                <w:rFonts w:ascii="Times New Roman" w:cs="Times New Roman" w:eastAsia="Times New Roman" w:hAnsi="Times New Roman"/>
                <w:sz w:val="18"/>
                <w:szCs w:val="18"/>
                <w:color w:val="auto"/>
              </w:rPr>
              <w:t>5,291,802</w:t>
            </w:r>
          </w:p>
        </w:tc>
        <w:tc>
          <w:tcPr>
            <w:tcW w:w="120" w:type="dxa"/>
            <w:vAlign w:val="bottom"/>
          </w:tcPr>
          <w:p>
            <w:pPr>
              <w:spacing w:after="0"/>
              <w:rPr>
                <w:sz w:val="17"/>
                <w:szCs w:val="17"/>
                <w:color w:val="auto"/>
              </w:rPr>
            </w:pPr>
          </w:p>
        </w:tc>
        <w:tc>
          <w:tcPr>
            <w:tcW w:w="228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October 27, 2029 – October</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27, 2034</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40"/>
              <w:spacing w:after="0" w:line="199" w:lineRule="exact"/>
              <w:rPr>
                <w:sz w:val="20"/>
                <w:szCs w:val="20"/>
                <w:color w:val="auto"/>
              </w:rPr>
            </w:pPr>
            <w:r>
              <w:rPr>
                <w:rFonts w:ascii="Times New Roman" w:cs="Times New Roman" w:eastAsia="Times New Roman" w:hAnsi="Times New Roman"/>
                <w:sz w:val="18"/>
                <w:szCs w:val="18"/>
                <w:color w:val="auto"/>
              </w:rPr>
              <w:t>5,918,246</w:t>
            </w:r>
          </w:p>
        </w:tc>
        <w:tc>
          <w:tcPr>
            <w:tcW w:w="120" w:type="dxa"/>
            <w:vAlign w:val="bottom"/>
          </w:tcPr>
          <w:p>
            <w:pPr>
              <w:spacing w:after="0"/>
              <w:rPr>
                <w:sz w:val="17"/>
                <w:szCs w:val="17"/>
                <w:color w:val="auto"/>
              </w:rPr>
            </w:pPr>
          </w:p>
        </w:tc>
        <w:tc>
          <w:tcPr>
            <w:tcW w:w="228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October 5, 2031 – September</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14, 2035</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40"/>
              <w:spacing w:after="0" w:line="199" w:lineRule="exact"/>
              <w:rPr>
                <w:sz w:val="20"/>
                <w:szCs w:val="20"/>
                <w:color w:val="auto"/>
              </w:rPr>
            </w:pPr>
            <w:r>
              <w:rPr>
                <w:rFonts w:ascii="Times New Roman" w:cs="Times New Roman" w:eastAsia="Times New Roman" w:hAnsi="Times New Roman"/>
                <w:sz w:val="18"/>
                <w:szCs w:val="18"/>
                <w:color w:val="auto"/>
              </w:rPr>
              <w:t>6,306,588</w:t>
            </w:r>
          </w:p>
        </w:tc>
        <w:tc>
          <w:tcPr>
            <w:tcW w:w="120" w:type="dxa"/>
            <w:vAlign w:val="bottom"/>
          </w:tcPr>
          <w:p>
            <w:pPr>
              <w:spacing w:after="0"/>
              <w:rPr>
                <w:sz w:val="17"/>
                <w:szCs w:val="17"/>
                <w:color w:val="auto"/>
              </w:rPr>
            </w:pPr>
          </w:p>
        </w:tc>
        <w:tc>
          <w:tcPr>
            <w:tcW w:w="228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August 20, 2033 – August</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29, 2034</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6,353,838</w:t>
            </w:r>
          </w:p>
        </w:tc>
        <w:tc>
          <w:tcPr>
            <w:tcW w:w="120" w:type="dxa"/>
            <w:vAlign w:val="bottom"/>
          </w:tcPr>
          <w:p>
            <w:pPr>
              <w:spacing w:after="0"/>
              <w:rPr>
                <w:sz w:val="20"/>
                <w:szCs w:val="20"/>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6,673,840</w:t>
            </w:r>
          </w:p>
        </w:tc>
        <w:tc>
          <w:tcPr>
            <w:tcW w:w="120" w:type="dxa"/>
            <w:vAlign w:val="bottom"/>
          </w:tcPr>
          <w:p>
            <w:pPr>
              <w:spacing w:after="0"/>
              <w:rPr>
                <w:sz w:val="22"/>
                <w:szCs w:val="22"/>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21"/>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6,463,351</w:t>
            </w:r>
          </w:p>
        </w:tc>
        <w:tc>
          <w:tcPr>
            <w:tcW w:w="12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 2034 – September</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2, 2035</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6,861,630</w:t>
            </w:r>
          </w:p>
        </w:tc>
        <w:tc>
          <w:tcPr>
            <w:tcW w:w="120" w:type="dxa"/>
            <w:vAlign w:val="bottom"/>
          </w:tcPr>
          <w:p>
            <w:pPr>
              <w:spacing w:after="0"/>
              <w:rPr>
                <w:sz w:val="20"/>
                <w:szCs w:val="20"/>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13, 2035</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7,164,530</w:t>
            </w:r>
          </w:p>
        </w:tc>
        <w:tc>
          <w:tcPr>
            <w:tcW w:w="120" w:type="dxa"/>
            <w:vAlign w:val="bottom"/>
          </w:tcPr>
          <w:p>
            <w:pPr>
              <w:spacing w:after="0"/>
              <w:rPr>
                <w:sz w:val="22"/>
                <w:szCs w:val="22"/>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cemiplimab</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9,987,500</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18, 2035</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10,737,113</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10, 2035</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10,457,725</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11,292,842</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18, 2038</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11,505,600</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 2038</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3097119</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23, 2035</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3455258</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3932951</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6,425,730</w:t>
            </w:r>
          </w:p>
        </w:tc>
        <w:tc>
          <w:tcPr>
            <w:tcW w:w="12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23, 2035</w:t>
            </w:r>
          </w:p>
        </w:tc>
        <w:tc>
          <w:tcPr>
            <w:tcW w:w="0" w:type="dxa"/>
            <w:vAlign w:val="bottom"/>
          </w:tcPr>
          <w:p>
            <w:pPr>
              <w:spacing w:after="0"/>
              <w:rPr>
                <w:sz w:val="1"/>
                <w:szCs w:val="1"/>
                <w:color w:val="auto"/>
              </w:rPr>
            </w:pPr>
          </w:p>
        </w:tc>
      </w:tr>
      <w:tr>
        <w:trPr>
          <w:trHeight w:val="22"/>
        </w:trPr>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369" w:right="739" w:bottom="1440" w:gutter="0" w:footer="0" w:header="0"/>
        </w:sectPr>
      </w:pPr>
    </w:p>
    <w:p>
      <w:pPr>
        <w:spacing w:after="0" w:line="3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69" w:right="7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7"/>
                <w:szCs w:val="17"/>
                <w:color w:val="auto"/>
              </w:rPr>
            </w:pPr>
          </w:p>
        </w:tc>
        <w:tc>
          <w:tcPr>
            <w:tcW w:w="16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20" w:type="dxa"/>
            <w:vAlign w:val="bottom"/>
          </w:tcPr>
          <w:p>
            <w:pPr>
              <w:spacing w:after="0"/>
              <w:rPr>
                <w:sz w:val="17"/>
                <w:szCs w:val="17"/>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20" w:type="dxa"/>
            <w:vAlign w:val="bottom"/>
          </w:tcPr>
          <w:p>
            <w:pPr>
              <w:spacing w:after="0"/>
              <w:rPr>
                <w:sz w:val="17"/>
                <w:szCs w:val="17"/>
                <w:color w:val="auto"/>
              </w:rPr>
            </w:pP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20" w:type="dxa"/>
            <w:vAlign w:val="bottom"/>
          </w:tcPr>
          <w:p>
            <w:pPr>
              <w:spacing w:after="0"/>
              <w:rPr>
                <w:sz w:val="17"/>
                <w:szCs w:val="17"/>
                <w:color w:val="auto"/>
              </w:rPr>
            </w:pPr>
          </w:p>
        </w:tc>
        <w:tc>
          <w:tcPr>
            <w:tcW w:w="25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0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0" w:type="dxa"/>
            <w:vAlign w:val="bottom"/>
          </w:tcPr>
          <w:p>
            <w:pPr>
              <w:spacing w:after="0"/>
              <w:rPr>
                <w:sz w:val="21"/>
                <w:szCs w:val="21"/>
                <w:color w:val="auto"/>
              </w:rPr>
            </w:pPr>
          </w:p>
        </w:tc>
        <w:tc>
          <w:tcPr>
            <w:tcW w:w="25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Libtayo </w:t>
            </w:r>
            <w:r>
              <w:rPr>
                <w:rFonts w:ascii="Times New Roman" w:cs="Times New Roman" w:eastAsia="Times New Roman" w:hAnsi="Times New Roman"/>
                <w:sz w:val="18"/>
                <w:szCs w:val="18"/>
                <w:i w:val="1"/>
                <w:iCs w:val="1"/>
                <w:color w:val="auto"/>
              </w:rPr>
              <w:t>(continued)</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6,999,577</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7,054,680</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1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(a)(f)</w:t>
            </w:r>
          </w:p>
        </w:tc>
        <w:tc>
          <w:tcPr>
            <w:tcW w:w="10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alirocumab</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8,062,640</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10,023,654</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10,472,425</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27, 2032</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8,357,371</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21, 2029</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9,550,837</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9,724,411</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15, 2031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11,246,925</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11, 2032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11,306,155</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16, 2035</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10,428,157</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26, 2037</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10,544,232</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13, 2035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10,995,150</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6, 2034</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11,116,839</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2033</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2358756</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tcPr>
          <w:p>
            <w:pPr>
              <w:spacing w:after="0"/>
              <w:rPr>
                <w:sz w:val="19"/>
                <w:szCs w:val="19"/>
                <w:color w:val="auto"/>
              </w:rPr>
            </w:pPr>
          </w:p>
        </w:tc>
        <w:tc>
          <w:tcPr>
            <w:tcW w:w="2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December 15, 2029</w:t>
            </w:r>
            <w:r>
              <w:rPr>
                <w:rFonts w:ascii="Times New Roman" w:cs="Times New Roman" w:eastAsia="Times New Roman" w:hAnsi="Times New Roman"/>
                <w:sz w:val="23"/>
                <w:szCs w:val="23"/>
                <w:color w:val="auto"/>
                <w:vertAlign w:val="superscript"/>
              </w:rPr>
              <w:t>(c)</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line="183" w:lineRule="exact"/>
              <w:rPr>
                <w:sz w:val="20"/>
                <w:szCs w:val="20"/>
                <w:color w:val="auto"/>
              </w:rPr>
            </w:pPr>
            <w:r>
              <w:rPr>
                <w:rFonts w:ascii="Times New Roman" w:cs="Times New Roman" w:eastAsia="Times New Roman" w:hAnsi="Times New Roman"/>
                <w:sz w:val="18"/>
                <w:szCs w:val="18"/>
                <w:color w:val="auto"/>
              </w:rPr>
              <w:t>2358756</w:t>
            </w:r>
          </w:p>
        </w:tc>
        <w:tc>
          <w:tcPr>
            <w:tcW w:w="120" w:type="dxa"/>
            <w:vAlign w:val="bottom"/>
          </w:tcPr>
          <w:p>
            <w:pPr>
              <w:spacing w:after="0"/>
              <w:rPr>
                <w:sz w:val="15"/>
                <w:szCs w:val="15"/>
                <w:color w:val="auto"/>
              </w:rPr>
            </w:pPr>
          </w:p>
        </w:tc>
        <w:tc>
          <w:tcPr>
            <w:tcW w:w="21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(Supplementary Protection</w:t>
            </w:r>
          </w:p>
        </w:tc>
        <w:tc>
          <w:tcPr>
            <w:tcW w:w="120" w:type="dxa"/>
            <w:vAlign w:val="bottom"/>
          </w:tcPr>
          <w:p>
            <w:pPr>
              <w:spacing w:after="0"/>
              <w:rPr>
                <w:sz w:val="15"/>
                <w:szCs w:val="15"/>
                <w:color w:val="auto"/>
              </w:rPr>
            </w:pPr>
          </w:p>
        </w:tc>
        <w:tc>
          <w:tcPr>
            <w:tcW w:w="2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(September 25, 2030)</w:t>
            </w:r>
            <w:r>
              <w:rPr>
                <w:rFonts w:ascii="Times New Roman" w:cs="Times New Roman" w:eastAsia="Times New Roman" w:hAnsi="Times New Roman"/>
                <w:sz w:val="21"/>
                <w:szCs w:val="21"/>
                <w:color w:val="auto"/>
                <w:vertAlign w:val="superscript"/>
              </w:rPr>
              <w:t>(c)</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3156422</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2756004</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12, 2032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3055333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10, 2034</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3689913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10, 2034</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3169353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16, 2035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3169362</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16, 2035</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3004171</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6, 2034</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3068803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12, 2034</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3395836</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Manufacturing</w:t>
            </w:r>
          </w:p>
        </w:tc>
        <w:tc>
          <w:tcPr>
            <w:tcW w:w="12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27, 2032</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Kevzara</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sarilumab</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7,582,298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May 22, 2031</w:t>
            </w:r>
            <w:r>
              <w:rPr>
                <w:rFonts w:ascii="Times New Roman" w:cs="Times New Roman" w:eastAsia="Times New Roman" w:hAnsi="Times New Roman"/>
                <w:sz w:val="23"/>
                <w:szCs w:val="23"/>
                <w:color w:val="auto"/>
                <w:vertAlign w:val="superscript"/>
              </w:rPr>
              <w:t>(g)</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10,072,086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19, 2031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11,098,127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7, 2031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8,080,248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8,568,721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9,943,594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10,927,435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10, 2032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2041177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June 1, 2027</w:t>
            </w:r>
            <w:r>
              <w:rPr>
                <w:rFonts w:ascii="Times New Roman" w:cs="Times New Roman" w:eastAsia="Times New Roman" w:hAnsi="Times New Roman"/>
                <w:sz w:val="23"/>
                <w:szCs w:val="23"/>
                <w:color w:val="auto"/>
                <w:vertAlign w:val="superscript"/>
              </w:rPr>
              <w:t>(c)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2041177</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(Supplementary Protection</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(June 1, 2032)</w:t>
            </w:r>
            <w:r>
              <w:rPr>
                <w:rFonts w:ascii="Times New Roman" w:cs="Times New Roman" w:eastAsia="Times New Roman" w:hAnsi="Times New Roman"/>
                <w:sz w:val="20"/>
                <w:szCs w:val="20"/>
                <w:color w:val="auto"/>
                <w:vertAlign w:val="superscript"/>
              </w:rPr>
              <w:t>(c)</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2766039</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10, 2032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3071230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21, 2034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3409269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7, 2031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3756652</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7, 2031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5,307,708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2027 – August 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20" w:type="dxa"/>
            <w:vAlign w:val="bottom"/>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2031</w:t>
            </w:r>
            <w:r>
              <w:rPr>
                <w:rFonts w:ascii="Times New Roman" w:cs="Times New Roman" w:eastAsia="Times New Roman" w:hAnsi="Times New Roman"/>
                <w:sz w:val="23"/>
                <w:szCs w:val="23"/>
                <w:color w:val="auto"/>
                <w:vertAlign w:val="superscript"/>
              </w:rPr>
              <w:t>(d)</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5,805,660</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January 7, 2031 – October</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20" w:type="dxa"/>
            <w:vAlign w:val="bottom"/>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24, 2031</w:t>
            </w:r>
            <w:r>
              <w:rPr>
                <w:rFonts w:ascii="Times New Roman" w:cs="Times New Roman" w:eastAsia="Times New Roman" w:hAnsi="Times New Roman"/>
                <w:sz w:val="23"/>
                <w:szCs w:val="23"/>
                <w:color w:val="auto"/>
                <w:vertAlign w:val="superscript"/>
              </w:rPr>
              <w:t>(d)</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6,122,018</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October 10, 2032 – March</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20" w:type="dxa"/>
            <w:vAlign w:val="bottom"/>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29, 2033</w:t>
            </w:r>
            <w:r>
              <w:rPr>
                <w:rFonts w:ascii="Times New Roman" w:cs="Times New Roman" w:eastAsia="Times New Roman" w:hAnsi="Times New Roman"/>
                <w:sz w:val="23"/>
                <w:szCs w:val="23"/>
                <w:color w:val="auto"/>
                <w:vertAlign w:val="superscript"/>
              </w:rPr>
              <w:t>(d)</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20" w:type="dxa"/>
            <w:vAlign w:val="bottom"/>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7,025,477</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10, 2032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7"/>
                <w:szCs w:val="17"/>
                <w:color w:val="auto"/>
              </w:rPr>
            </w:pPr>
          </w:p>
        </w:tc>
        <w:tc>
          <w:tcPr>
            <w:tcW w:w="1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General Subject Matter</w:t>
            </w:r>
          </w:p>
        </w:tc>
        <w:tc>
          <w:tcPr>
            <w:tcW w:w="21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0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Kevzara</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w w:val="99"/>
              </w:rPr>
              <w:t>6,657,089</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21, 2034</w:t>
            </w: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7,166,925</w:t>
            </w: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7, 2037</w:t>
            </w:r>
          </w:p>
        </w:tc>
        <w:tc>
          <w:tcPr>
            <w:tcW w:w="0" w:type="dxa"/>
            <w:vAlign w:val="bottom"/>
          </w:tcPr>
          <w:p>
            <w:pPr>
              <w:spacing w:after="0"/>
              <w:rPr>
                <w:sz w:val="1"/>
                <w:szCs w:val="1"/>
                <w:color w:val="auto"/>
              </w:rPr>
            </w:pPr>
          </w:p>
        </w:tc>
      </w:tr>
      <w:tr>
        <w:trPr>
          <w:trHeight w:val="27"/>
        </w:trPr>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640" w:right="840" w:hanging="7"/>
        <w:spacing w:after="0" w:line="200" w:lineRule="auto"/>
        <w:tabs>
          <w:tab w:leader="none" w:pos="81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See Note 16 to our Consolidated Financial Statements for information regarding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and post-grant review petitions filed in the U.S. Patent and Trademark Office relating to EYLEA and patent infringement proceedings relating to Praluent.</w:t>
      </w:r>
    </w:p>
    <w:p>
      <w:pPr>
        <w:spacing w:after="0" w:line="6" w:lineRule="exact"/>
        <w:rPr>
          <w:rFonts w:ascii="Times New Roman" w:cs="Times New Roman" w:eastAsia="Times New Roman" w:hAnsi="Times New Roman"/>
          <w:sz w:val="23"/>
          <w:szCs w:val="23"/>
          <w:color w:val="auto"/>
          <w:vertAlign w:val="superscript"/>
        </w:rPr>
      </w:pPr>
    </w:p>
    <w:p>
      <w:pPr>
        <w:ind w:left="640" w:right="440" w:hanging="7"/>
        <w:spacing w:after="0" w:line="199" w:lineRule="auto"/>
        <w:tabs>
          <w:tab w:leader="none" w:pos="81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patent term extension has been granted by the U.S. Patent and Trademark Office, extending the original patent term (May 23, 2020), insofar as it covers EYLEA, to June 16, 2023.</w:t>
      </w:r>
    </w:p>
    <w:p>
      <w:pPr>
        <w:spacing w:after="0" w:line="6" w:lineRule="exact"/>
        <w:rPr>
          <w:rFonts w:ascii="Times New Roman" w:cs="Times New Roman" w:eastAsia="Times New Roman" w:hAnsi="Times New Roman"/>
          <w:sz w:val="23"/>
          <w:szCs w:val="23"/>
          <w:color w:val="auto"/>
          <w:vertAlign w:val="superscript"/>
        </w:rPr>
      </w:pPr>
    </w:p>
    <w:p>
      <w:pPr>
        <w:ind w:left="640" w:right="580" w:hanging="7"/>
        <w:spacing w:after="0" w:line="199" w:lineRule="auto"/>
        <w:tabs>
          <w:tab w:leader="none" w:pos="81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Supplementary protection certificates ("SPCs") are pending and/or have been granted in various European countries, extending the original patent terms in those countries, where granted, to the applicable dates indicated in parentheses.</w:t>
      </w:r>
    </w:p>
    <w:p>
      <w:pPr>
        <w:spacing w:after="0" w:line="6" w:lineRule="exact"/>
        <w:rPr>
          <w:rFonts w:ascii="Times New Roman" w:cs="Times New Roman" w:eastAsia="Times New Roman" w:hAnsi="Times New Roman"/>
          <w:sz w:val="23"/>
          <w:szCs w:val="23"/>
          <w:color w:val="auto"/>
          <w:vertAlign w:val="superscript"/>
        </w:rPr>
      </w:pPr>
    </w:p>
    <w:p>
      <w:pPr>
        <w:ind w:left="640" w:right="460" w:hanging="7"/>
        <w:spacing w:after="0" w:line="204" w:lineRule="auto"/>
        <w:tabs>
          <w:tab w:leader="none" w:pos="81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patent term extension ("PTE") system in Japan allows for a patent to be extended more than once provided the later approval is directed to a different indication from that of the previous approval. This may result in multiple PTE approvals for a given patent, each with its own expiration date. In this table, date ranges are shown for the expiration of Japanese patents for which multiple PTEs have been granted, with the later date indicating the latest expiring PTE for the corresponding patent.</w:t>
      </w:r>
    </w:p>
    <w:p>
      <w:pPr>
        <w:spacing w:after="0" w:line="21" w:lineRule="exact"/>
        <w:rPr>
          <w:rFonts w:ascii="Times New Roman" w:cs="Times New Roman" w:eastAsia="Times New Roman" w:hAnsi="Times New Roman"/>
          <w:sz w:val="23"/>
          <w:szCs w:val="23"/>
          <w:color w:val="auto"/>
          <w:vertAlign w:val="superscript"/>
        </w:rPr>
      </w:pPr>
    </w:p>
    <w:p>
      <w:pPr>
        <w:ind w:left="640" w:right="760" w:hanging="7"/>
        <w:spacing w:after="0" w:line="199" w:lineRule="auto"/>
        <w:tabs>
          <w:tab w:leader="none" w:pos="814"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patent term extension has been granted by the U.S. Patent and Trademark Office, extending the original patent term (October 2, 2027), insofar as it covers Dupixent, to March 28, 2031.</w:t>
      </w:r>
    </w:p>
    <w:p>
      <w:pPr>
        <w:ind w:left="800" w:hanging="167"/>
        <w:spacing w:after="0" w:line="196" w:lineRule="auto"/>
        <w:tabs>
          <w:tab w:leader="none" w:pos="8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This table excludes Japanese patents related to Praluent because Praluent is not being commercialized in Japan at this time.</w:t>
      </w:r>
    </w:p>
    <w:p>
      <w:pPr>
        <w:spacing w:after="0" w:line="23" w:lineRule="exact"/>
        <w:rPr>
          <w:rFonts w:ascii="Times New Roman" w:cs="Times New Roman" w:eastAsia="Times New Roman" w:hAnsi="Times New Roman"/>
          <w:sz w:val="23"/>
          <w:szCs w:val="23"/>
          <w:color w:val="auto"/>
          <w:vertAlign w:val="superscript"/>
        </w:rPr>
      </w:pPr>
    </w:p>
    <w:p>
      <w:pPr>
        <w:ind w:left="640" w:right="520" w:hanging="7"/>
        <w:spacing w:after="0" w:line="189" w:lineRule="auto"/>
        <w:tabs>
          <w:tab w:leader="none" w:pos="81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patent term extension has been granted by the U.S. Patent and Trademark Office, extending the original patent term (June 1, 2027), insofar as it covers Kevzara, to May 22, 2031.</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patent portfolio,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Times New Roman" w:cs="Times New Roman" w:eastAsia="Times New Roman" w:hAnsi="Times New Roman"/>
          <w:sz w:val="18"/>
          <w:szCs w:val="18"/>
          <w:i w:val="1"/>
          <w:iCs w:val="1"/>
          <w:color w:val="auto"/>
        </w:rPr>
        <w:t>Loss or limitation of patent rights, and regulatory pathways for biosimilar competition, could reduce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duration of market exclusivity for our products</w:t>
      </w:r>
      <w:r>
        <w:rPr>
          <w:rFonts w:ascii="Times New Roman" w:cs="Times New Roman" w:eastAsia="Times New Roman" w:hAnsi="Times New Roman"/>
          <w:sz w:val="18"/>
          <w:szCs w:val="18"/>
          <w:color w:val="auto"/>
        </w:rPr>
        <w:t>"). For example, in the United States, the regulatory exclusivity period for EYLEA (i.e., the period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no biosimilar product can be approved by the FDA) extends through May 17, 2024 following the pediatric exclusivity granted by the FDA. The effect of expiration of a patent relating to a particular product also depends upon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 certain patents owned and/or exclusively licensed by one or more of these parties that includes the right to develop and sell Libtayo. Under the agreement, we pay royalties of 8.0% on worldwide sales of Libtayo through December 31, 2023, and royalties of 2.5% from January 1, 2024 through December 31, 2026.</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and Market Exclusivity - </w:t>
      </w:r>
      <w:r>
        <w:rPr>
          <w:rFonts w:ascii="Times New Roman" w:cs="Times New Roman" w:eastAsia="Times New Roman" w:hAnsi="Times New Roman"/>
          <w:sz w:val="18"/>
          <w:szCs w:val="18"/>
          <w:i w:val="1"/>
          <w:iCs w:val="1"/>
          <w:color w:val="auto"/>
        </w:rPr>
        <w:t>We may be restricted in our development, manufacturing, and/or commercialization activities by patents or other proprietary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of others, and could be subject to awards of damages if we are found to have infringed such patents or rights</w:t>
      </w:r>
      <w:r>
        <w:rPr>
          <w:rFonts w:ascii="Times New Roman" w:cs="Times New Roman" w:eastAsia="Times New Roman" w:hAnsi="Times New Roman"/>
          <w:sz w:val="18"/>
          <w:szCs w:val="18"/>
          <w:color w:val="auto"/>
        </w:rPr>
        <w:t>"; and Note 16 to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Regulation by government authorities in the United States and foreign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Requirements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activities required before a product candidate may be marketed in the United States or elsewhere begin with preclinical tests. Preclinical tests include laboratory evaluations of, among other things, product chemistry and formulation and toxicological and pharmacological studies in animal species to assess the toxicity and dosing of the product candidate. In the United States, certain preclinical trials must comply with the FDA's Good Laboratory Practice requirements ("GLPs") and the U.S. Department of Agriculture's Animal Welfare Act. The results of these studies must be submitted to the FDA or the relevant regulatory authority outside the United States as part of an IND or clinical trial application (as applicable), which must be reviewed by the FDA or the relevant government authority before proposed clinical testing can begin in the applicable country or jurisdiction. In the United States, unless the FDA raises concerns, the IND becomes effective 30 days following its receipt by the FDA, and the clinical trial proposed in the IND may begin. The FDA or other regulatory authorities may ask for additional data in order to begin a clinical trial. Rules that are equivalent in scope but which vary in application apply in foreign countries.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product candidates require regulatory approval by relevant government authorities before they can be commercialized. In particular, human therapeutic products are subject to rigorous preclinical and clinical trials and other pre-market approval requirements by the FDA, EMA, and other foreign regulatory authorities. The structure and substance of the FDA and foreign pharmaceutical regulatory practices may evolve over time. The ultimate outcome and impact of such developments cannot be predicted.</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a drug to healthy human volunteers or to patients under the supervision of a qualified investigator. The conduct of clinical trials is subject to extensive regulation, including compliance with the FDA's bioresearch monitoring regulations and Good Clinical Practice requirements ("GCPs"), which establish standards for conducting, recording data from, and reporting the results of, clinical trials, and are intended to assure that the data and reported results are credible and accurate, and that the rights, safety, and well-being of study participants are protected. Clinical trials must be conducted under protocols that detail the study objectives, parameters for monitoring safety, and the efficacy criteria, if any, to be evaluated. In addition, each clinical trial must be reviewed and approved by, and conducted under the auspices of, an Institutional Review Board ("IRB") for each clinical site within the United States or, where applicable, an Ethics Committee and/or the competent authority for clinical sites outside the United States. Companies sponsoring the clinical trials, investigators, and IRBs/Ethics Committees also must comply with, as applicable, regulations and guidelines for obtaining informed consent from the study patients, following the protocol and investigational plan, adequately monitoring the clinical trial, and timely reporting of adverse events. Foreign studies conducted under an IND must meet the same requirements that apply to studies being conducted in the United States. Data from a foreign study not conducted under an IND may be submitted in support of a BLA if the study was conducted in accordance with GCPs and the FDA is able to validate the data. 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Typically, clinical testing involves a three-phase process, which may overlap or be subdivided in some cases. Phase 1 trials are usually conducted with a small number of healthy volunteers to determine the early safety profile, metabolism, and pharmacological actions of the product candidate, the side effects associated with increasing doses, and, if possible, to gain early evidence of effectiveness. Although Phase 1 trials are typically conducted in healthy human subjects, in some instances, the trial subjects are patients with the targeted disease or condition. Phase 2 clinical trials are conducted with a relatively small sample of the intended patient population to provide enough data to evaluate the preliminary safety, tolerability, and efficacy of different potential doses of the product candidate. Phase 3 clinical trials are larger trials conducted with patients with the target disease or disorder intended to gather additional information about dosage, safety, and effectiveness necessary to evaluate the drug's overall risk-benefit profile. Phase 3 data often form the core basis on which the FDA and comparable foreign regulatory authorities evaluate a product candidate's safety and effectiveness when considering the product application for regulatory approval. If concerns arise about the safety of the product candidate, the FDA or other regulatory authorities can stop clinical trials by placing them on a "clinical hold" pending receipt of additional data, which can result in a delay or termination of a clinical development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program. The sponsoring company, the FDA or other regulatory authorities, or the IRB or Ethics Committee and competent authority may suspend or terminate a clinical trial at any time on various grounds, including a finding that the patients are being exposed to an unacceptable health risk.</w:t>
      </w:r>
    </w:p>
    <w:p>
      <w:pPr>
        <w:spacing w:after="0" w:line="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results of the preclinical and clinical testing of a biologic product candidate are then submitted to the FDA in the form of a BLA for evaluation to determine whether the product candidate may be approved for commercial sale under the Public Health Service Act. Under the Prescription Drug User Fee Act, we typically must pay fees to the FDA for review of any BLA. When a BLA is submitted, the FDA makes an initial determination as to whether the application is sufficiently complete to be accepted for review. If the application is not, the FDA may refuse to accept the BLA for filing and request additional information. A refusal to file, which requires resubmission of the BLA with the requested additional information, delays review of the application. If the application is accepted for review, the FDA reviews the application to determine, among other things, whether a product is safe and effective for its intended use and whether the manufacturing controls are adequate to assure and preserve the product's identity, strength, quality, and purity.</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FDA performance goals generally provide for action on a BLA within 10 months of the 60-day filing date (or within 12 months of the BLA submission). That deadline can be extended by FDA under certain circumstances, including by the FDA's requests for additional information. The targeted action date can be 6 months after the 60-day filing date (or 8 months after BLA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some BLAs,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or biologic product, the FDA 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also can audit the sponsor of the BLA to determine if the clinical studies were conducted in compliance with current GCPs. After review of a BLA, the FDA may grant marketing approval, request additional information, or issue a CRL outlining the deficiencies in the submission. The CRL may require additional testing or information, including additional preclinical or clinical data, for the FDA to reconsider the application. Even if such additional information and data are submitted, the FDA may decide that the BLA still does not meet the standards for approval. Data from clinical trials are not always conclusive and the FDA may interpret data differently than the sponsor. If FDA grants approval, an approval letter authorizes commercial marketing of the product candidate with specific prescribing information for specific indications.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early-stage clinical trials may not predict long-term safety or efficacy of our compounds when they are tested or used more broadly in humans. Additionally, as a condition of approval, the FDA may impose restrictions that could affect the commercial prospects of a product and increase our costs, such as a Risk Evaluation and Mitigation Strategy ("REMS") to mitigate certain specific safety risks, and/or post-approval commitments or requirements to conduct additional clinical trials or non-clinical studies or to conduct surveillance programs to monitor the product's effects.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 In the European Economic Area ("EEA") (which is comprised of 27 Member States of the EU plus Norway, Iceland, and Liechtenstein), medicinal products can only be commercialized after a related Marketing Authorization has been granted. Marketing authorization for biologics must be obtained through a centralized procedure, which allows a company to submit a single application to the EMA. If a related positive opinion is provided by the EMA, the EC will grant a centralized marketing authorization that is valid in the EEA.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many jurisdictions, pediatric data or an approved Pediatric Investigation Plan ("PIP"), or a waiver of such studies, is required to have been approved by regulatory authorities prior to submission of a marketing application. In some EU countries, we may also be required to have an approved PIP before we can begin enrolling pediatric patients in a clinical trial. In the United States, under the Pediatric Research Equity Act ("PREA"), certain applications for approval must include an assessment, generally based on clinical study data, of the safety and effectiveness of the subject product in relevant pediatric populations, unless a waiver 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deferral is granted. However, a pediatric study plan is not required for orphan products and the timing of the submission is subject to negotiation with FDA, but such plan cannot be submitted later than submission of a BLA.</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Emergency Use Authorization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Secretary of HHS may authorize unapproved medical products to be marketed in the context of an actual or potential emergency that has been designated by the U.S. government. The COVID-19 pandemic has been designated as such a national emergency, with such designation currently expected to expire on May 11, 2023. After an emergency has been announced, the Secretary of HHS may authorize the issuance of, and the FDA Commissioner may issue, EUAs for the use of specific products based on criteria established by the Food, Drug, and Cosmetic Act, including that the product at issue may be effective in diagnosing, treating, or preventing serious or life-threatening diseases when there are no adequate, approved, and available alternatives. Although the criteria of an EUA differ from the criteria for approval of a BLA, EUAs nevertheless require the development and submission of data to satisfy the relevant FDA standards, as well as a number of ongoing compliance obligations. The FDA expects EUA holders to work toward submission of full applications, such as a BLA, as soon as possible. An EUA is also subject to additional conditions and restrictions and is product-specific. An EUA terminates when the emergency determination underlying the EUA terminates. An EUA is not a long-term alternative to obtaining FDA approval, licensure, or clearance for a product. The FDA may revoke, revise, or restrict an EUA for a variety of reasons, including where it is determined that the underlying health emergency no longer exists or warrants such authorization or the medical product is no longer effective in diagnosing, treating, or preventing the underlying health emergency.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or Phase 4 studies) and labeling changes based on new safety information, and may impose and enforce a REMS at the time of approval or after the product is on the market. Post-approval modifications to the drug, such as changes in indications, labeling, or manufacturing processes or facilities, may require a sponsor to develop additional data or conduct additional preclinical studies or clinical trials, to be submitted in a new or supplemental BLA, which would require FDA approval.</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Following approval, the FDA and comparable regulatory authorities outside the United States regulate the marketing and promotion of our products, which must comply with the Food, Drug, and Cosmetic Act and applicable FDA regulations and standards thereunder and equivalent foreign laws. The review of promotional activities by the FDA and comparable regulatory authorities outside the United States includes, but is not limited to, healthcare provider-directed and direct-to-consumer advertising, communications regarding unapproved uses, industry-sponsored scientific and educational activities, promotional activities involving the Internet, and sales representatives' communications. After approval, product promotion can include only those claims relating to safety and effectiveness that are consistent with the labeling approved by the FDA and comparable foreign regulatory authorities. FDA and comparable foreign regulatory authorities' regulations impose restrictions on manufacturers' communications regarding unapproved uses, but under certain conditions may engage in non-promotional, balanced, scientific communication regarding such use. Failure to comply with applicable FDA and comparable foreign regulatory authorities' requirements and restrictions in this area may subject a company to adverse publicity and enforcement action by the FDA, the Department of Justice, or the Office of the Inspector General of the Department of Health and Human Services, as well as state authorities and comparable regulatory authorities outside the United States. This could subject a company to a range of penalties that could have a significant commercial impact, including civil and criminal fines and agreements that materially restrict the manner in which a company promotes or distributes a drug. See Part I, Item 1A. "Risk Factors - Other Regulatory and Litigation Risks - </w:t>
      </w:r>
      <w:r>
        <w:rPr>
          <w:rFonts w:ascii="Times New Roman" w:cs="Times New Roman" w:eastAsia="Times New Roman" w:hAnsi="Times New Roman"/>
          <w:sz w:val="18"/>
          <w:szCs w:val="18"/>
          <w:i w:val="1"/>
          <w:iCs w:val="1"/>
          <w:color w:val="auto"/>
        </w:rPr>
        <w:t>Our business activities have been, and may in the future be, challenged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 U.S. federal or state and foreign healthcare laws, which may subject us to civil or criminal proceedings, investigations, or penalties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Adverse-event reporting and submission of periodic reports are required following marketing approval. The FDA requires BLA holders to employ a system for obtaining and reviewing safety information, adverse events, and product complaints associated with each drug and to submit safety reports to the FDA, with expedited reporting timelines in certain situations. Based on new safety information after approval, the FDA can, among other things, mandate product labeling changes, require new post-marketing studies, impose or modify a risk evaluation and mitigation strategy for the product, or suspend or withdraw approval of the product. We may be subject to audits by the FDA and other regulatory authorities to ensure that we are complying with the applicable requirements. Rules that are equivalent in scope but which vary in application apply in foreign countries in which we conduct clinical trials.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 of an EU marketing authorization for a medicinal product must also comply with the EU's pharmacovigilance legislation. This includes requirements to conduct pharmacovigilance, or the assessment and monitoring of the safety of medicinal products. Marketing authorization holders are required to maintain a Pharmacovigilance System Master File ("PSMF"), which supports and documents the compliance of the marketing authorization holder with the requirements of EU pharmacovigilance legislation. Marketing authorization holders are also required to have a Qualified Person for Pharmacovigilance ("QPPV"), who, among other things, maintains the PSMF. A QPPV must reside in the EEA and must also prepare pharmacovigilance reports, respond to potential requests from competent authorities concerning pharmacovigilance on a 24 hour basis, and provide competent authorities with any other information that may be relevant to the safety of the medicinal product in accordance with Good Pharmacovigilance Practices.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EC can also require marketing authorization holders to conduct post-authorization safety and/or efficacy studies. A post-authorization safety study ("PASS") is a study that is carried out after a medicinal product has been authorized to obtain further information on a medicinal product's safety, or to measure the effectiveness of risk-management measures. Such studies may be clinical trials or non-interventional studies. A post-authorization efficacy study ("PAES") is a study that is carried out for complementing available efficacy data in the light of well-reasoned scientific uncertainties on aspects of the evidence of benefits that is to be or only can be addressed post-authorization. The EC may, in particular, impose a PASS and/or PAES on marketing authorization holders when a marketing authorization is granted upon conditions. The EC may grant conditional marketing authorizations in the interest of public health, when there is less comprehensive clinical data available than would be required, if the EC considers that the benefit of immediate availability may outweigh the risk that the absence of the required clinical data poses.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and our third-party suppliers are required to maintain compliance with cGMP, and are subject to inspections by the FDA or comparable regulatory authorities in other jurisdictions to confirm such compliance. Changes of suppliers or modifications of methods of manufacturing may require amending our application(s) to the FDA or such comparable foreign 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 We may also be subject to state regulations related to the manufacturing and distribution of our products.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these laws, regulations, and conditions of product approval may lead the FDA and comparable regulatory authorities in other jurisdictions to take regulatory action or seek sanctions, including fines, issuance of warning letters, civil penalties, injunctions, suspension of manufacturing operations, operating restrictions, withdrawal of FDA approval of a product, seizure or recall of products, and criminal prosecution.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and Reimbursement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Sales of our marketed products are dependent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availability and extent of reimbursement from third-party payors, and changes to such reimbursement may materially harm our business, prospects, operating results, and financial condition.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Medicaid program as a condition of having federal funds being made available for our drugs under Medicaid and Part B of the Medicare program.</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average manufacturer price increases more than inflation (measured by reference to the Consumer Price Index - Urban). Currently, the rebate is capped at 100 percent of the average manufacturer price, but effective January 1, 2024, this cap on the rebate will be removed, and our rebate liability could increase accordingly.</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(the "PPACA") made significant changes to the Medicaid Drug Rebate program, and CMS issued a final regulation, which became effective on April 1, 2016, to implement the changes to the Medicaid Drug Rebate program under the PPACA. CMS recently modified Medicaid Drug Rebate program regulations to, among other things, permit reporting multiple best price figures with regard to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purchasing arrangements and provide definitions for "line extension," "new formulation," and related terms with the practical effect of expanding the scope of drugs considered to be line extensions (beginning in 2022).</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may be used by CMS to calculate Medicare payment rates. 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Further, starting in 2023, the Inflation Reduction Act ("IRA") establishes a Medicare Part B inflation rebate scheme under which, generally speaking, manufacturers will owe rebates if the average sales price of a Part B drug increases faster than the pace of inflation. Failure to timely pay a Part B inflation rebate is subject to a civil monetary penalty.</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IRA also creates a drug price negotiation program under which, after being on the market for a certain period of time, the prices for certain high Medicare spending drugs and biological products provided to Medicare patients without generic or biosimilar competition will be capped by reference to, among other things, a specified non-federal average manufacturer price, starting in 2026. Failure to comply with requirements under the drug price negotiation program is subject to an excise tax and a civil monetary penalty. This or any other legislative change could impact the market conditions for our products. See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Sales of our marketed products are dependent on the availability and extent of reimbursement from third-party payors,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such reimbursement may materially harm our business, prospects, operating results, and financial condition.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we have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On November 30, 2022, HRSA issued a notice of proposed rulemaking that proposes several changes to the ADR process. HRSA also implemented a price reporting system under which we are required to report our 340B ceiling prices to HRSA on a quarterly basis, which then publishes those prices to 340B covered entities. In addition, legislation could be passed that would further expand the 340B program to additional covered entities or would require participating manufacturers to agree to provide 340B discounted pricing on drugs used in an inpatient setting.</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required to provide to CMS a 70% discount on brand name prescription drugs utilized by Medicare Part D beneficiaries when those beneficiaries are in the coverage gap phase of the Part D benefit design. The IRA includes a sunset provision with respect to the coverage gap discount program starting in 2025 and replaces it with a new manufacturer discount program. In addition, as of October 2022, the IRA established a Medicare Part D inflation rebate scheme under which, generally speaking, manufacturers will owe additional rebates if the average manufacturer price of a Part D drug increases faster than the pace of inflation. Failure to timely pay a Part D inflation rebate is subject to a civil monetary penalty.</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health care "fraud and abuse" laws, such as the federal civil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of government funds, or knowingly making, or causing to be made, a false statement to get a false claim paid. See Part I, Item 1A. "Risk Factors - Other Regulatory and Litigation Risks -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activities have been, and may in the future be, challenged under U.S. federal or state and foreign healthcare laws, which may subject us to civil or criminal proceedings, investigations, or penalties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Foreign Corrupt Practices Act, or FCPA, and similar anti-bribery or anti-corruption laws, regulations or rules of other countries in which we operate, including the U.K. Bribery Act. See Part I, Item 1A. "Risk Factors - Other Regulatory and Litigation Risks - </w:t>
      </w:r>
      <w:r>
        <w:rPr>
          <w:rFonts w:ascii="Times New Roman" w:cs="Times New Roman" w:eastAsia="Times New Roman" w:hAnsi="Times New Roman"/>
          <w:sz w:val="18"/>
          <w:szCs w:val="18"/>
          <w:i w:val="1"/>
          <w:iCs w:val="1"/>
          <w:color w:val="auto"/>
        </w:rPr>
        <w:t>Risks from the improper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conduct of employees, agents, contractors, or collaborators could adversely affect our reputation and our business, prospects, operating results, and financial condition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Such laws and regulations include the Health Insurance Portability and Accountability Act of 1996 and its implementing regulations (collectively, "HIPAA"), as well as state data breach notification laws, state health information and/or genetic privacy laws, and federal and state consumer protection laws (such as Section 5 of the Federal Trade Commission Act (the "FTC Act") and the California Consumer Privacy Act (the "CCPA")). Many of these laws differ from each other in significant ways and have different effects. Many of the state laws enable a state attorney general to bring actions and provide private rights of action to consumers as enforcement mechanisms. There is also heightened sensitivity around certain types of health data, which may be subject to additional protections. The landscape of federal and state laws regulating personal data is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HIPAA imposes privacy and security obligations on covered entity health care providers, health plans, and health care clearinghouses, as well as their "business associates" – certain persons or covered entities that create, receive, maintain, or transmit protected health information ("PHI") in connection with providing a specified service or performing a function on behalf of a covered entity. Most health care providers, including research institutions from which we or our collaborators obtain clinical trial data, are subject to HIPAA. Although we are not directly subject to HIPAA other than with respect to providing certain employee benefits, we could potentially be subject to criminal penalties if we, our affiliates, or our agents knowingly receive PHI maintained by a HIPAA-covered entity in a manner that is not permitted under HIPAA.</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Trade Commission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 stronger safeguards. With respect to privacy, the FTC also sets expectations that companies honor the privacy promises made to individuals about how the company handles consumers' personal information; and any failure to honor promises, such as the statements made in a privacy policy or on a website, may also constitute unfair or deceptive acts or practices in violation of the FTC Act. The FTC has the power to enforce promises as it interprets them, and events that we cannot fully control, such as data breaches, may result in FTC enforcement. Enforcement by the FTC under the FTC Act can result in civil penalties or enforcement actions.</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we collect California resident personal data, we are also subject to the CCPA. The CCPA, which became effective on January 1, 2020, created new transparency requirements and granted California residents several new rights with regard to their personal data.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go into effect on January 1, 2023, and new implementing regulations are expected to be introduced by the CPPA. Failure to comply with the CCPA may result in, among other things, significant civil penalties and injunctive relief, or statutory or actual damages. In addition, California residents have the right to bring a private right of action in connection with data privacy incidents involving certain elements of personal data. These claims may result in significant liability and damages. Similarly, there are a number of legislative proposals in the United States, at both the federal and state level, that could impose new obligations or limitations in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area of consumer protection. For example, states such as Virginia, Colorado, and Utah have enacted similar privacy laws that impose new obligations or limitations in areas affecting our business, and efforts at the federal level to enact similar laws have been ongoing. We may be subject to fines, penalties, or private actions in the event of non-compliance with such laws.</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Outside the United States, our clinical trial programs, research collaborations, and other processing activities implicate international data protection laws, including the EU General Data Protection Regulation 2016/679 ("GDPR"). The GDPR has increased our responsibility and liability in relation to the processing of personal data of individuals located in the EU. The GDPR, together with the national legislation of the EU member states governing the processing of personal data, impose strict obligations and restrictions on the ability to collect, analyze, and transfer personal data, including health data and samples from clinical trials and adverse event reporting. In particular, these obligations and restrictions may concern the consent of the individuals to whom the personal data relate, the information provided to the individuals, the sharing of personal data with third parties, the transfer of personal data out of the EU, security breach notifications, security and confidentiality of the personal data and imposition of substantial potential fines for violations of the data protection obligations. With respect to the transfer of personal data outside of the EU, while there are legal mechanisms available to lawfully transfer personal data outside of the EU, including to the United States, there are certain unsettled legal issues regarding such data transfers, the resolution of which may adversely affect our ability to transfer personal data or otherwise may cause us to incur significant costs to come into compliance with applicable data transfer impact assessments and implementation of legal data transfer mechanisms. In 2021, the European Commission published new standard contractual clauses required to be incorporated into new and existing agreements within prescribed timeframes in order to continue to lawfully transfer personal data outside of the EU. Different EU member states, as well as the United Kingdom and Switzerland, have promulgated national privacy laws that impose additional requirements, which add to the complexity of processing and transferring EU personal data. In October 2022, the United States issued an executive order to implement EU-U.S. data privacy safeguards. The European Commission is now expected to review the executive order and could propose an adequacy decision concerning the level of personal data protection in the United States under which personal data could flow freely from the EU to the United States.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Some countries outside of the EU have reacted to the GDPR by promulgating and enacting new privacy legislation that reflects similar principles and obligations on companies that operate and process their citizens' personal data. Any failure or perceived failure to comply with privacy-related legal obligations, or any compromise of security of personal data, may result in governmental enforcement actions, litigation, contractual indemnity claims, or restraining orders that would impact our ability to process and share data globally. As we expand our presence into new countries, we must continue to assess our privacy controls to enable the processing of personal data. Guidance on implementation and compliance practices are often updated or otherwise revised. See Part I, Item 1A. "Risk Factors - Other Regulatory and Litigation Risks - </w:t>
      </w:r>
      <w:r>
        <w:rPr>
          <w:rFonts w:ascii="Times New Roman" w:cs="Times New Roman" w:eastAsia="Times New Roman" w:hAnsi="Times New Roman"/>
          <w:sz w:val="18"/>
          <w:szCs w:val="18"/>
          <w:i w:val="1"/>
          <w:iCs w:val="1"/>
          <w:color w:val="auto"/>
        </w:rPr>
        <w:t>We face risks related to the personal data we collect, process,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our present business is, and our future business may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our business as one segment which includes all activities related to the discovery, development, and commercialization of medicines for serious diseases. For financial information related to our one segment, see our Consolidated Financial Statements and related notes.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compete in the highly competitive biotechnology and pharmaceuticals industries.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(which we call The Regeneron Way) and our philosophy of "Doing Well by Doing Good"; talent development and career opportunities; and compensation and benefits.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Integrity is a core value at Regeneron. Both the Company and each of our employees have a responsibility to act ethically and with integrity at all times. Our Code of Business Conduct and Ethics brings together Regeneron's key policy principles and establishes the Company's expectations for all of our employees to act in accordance with applicable laws, rules,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Profile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had 11,851 full-time employees, consisting of 9,843 employed in the United States, 1,721 employed in Ireland, and 287 employed in other countries (primarily in the United Kingdom and Germany). Of these employees, 2,174 were within our research and preclinical development organization, 1,669 were within our global clinical development and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affairs organization, and 5,534 were within our industrial operations and product supply organization. Company-wide, nearly 1,400 of our full-time employees hold a Ph.D. and/or M.D. We also supplement our workforce with independent contractors, contingent workers, and temporary workers, as needed. None of our employees are represented by a labor union, and our management considers its relations with our employees to be good.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employees represent a broad range of backgrounds, just like the people who take our medicines, and bring a wide array of perspectives and experiences that have helped us achieve our leadership position in the biotechnology and pharmaceuticals industries and the global marketplace. A key component of our culture is our commitment to diversity, equity, and inclusion ("DEI"). We believe this commitment allows us to better drive innovation and achieve our mission to repeatedly bring important new medicines to patients with serious diseases. Our DEI principles are reflected in our efforts in building a better workplace where employees can be themselves and succeed, advance medicine for all with better science, and use their voice and influence to create a better world. We empower employee-led cross-functional resource groups, functional/site-level DEI councils, and other interest groups, who connect around a common passion to build a culture of inclusion and collaborate to support under-served science and global communities. In 2022, we introduced inclusive leadership education for some of our most senior leaders and launched a pilot mentorship program focused on our diverse talent base to increase visibility, connection, and the leadership skills of underrepresented talent.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are proud of our workforce diversity representation shown in the table below, we seek to continuously improve in this area. In April 2020, we announced our 2025 global responsibility goals, including a commitment to increase diversity in leadership and foster inclusion. Making progress toward this goal, since then we hired our Chief DEI Officer; launched a DEI strategy focused on creating a better workplace, better science, and better world; and implemented a new governance model that includes both an executive DEI council and a DEI leadership council. These councils are comprised of senior leaders who provide oversight and guidance on our DEI efforts and support the execution of our DEI strategy. In order to better understand our employees' perspectives, we also measure inclusion and belonging as part of our annual employee engagement survey. Our board of directors receives a detailed update on our DEI efforts at least once a year and continues to monitor our progress.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Workforce Diversity Representation</w:t>
      </w:r>
      <w:r>
        <w:rPr>
          <w:rFonts w:ascii="Times New Roman" w:cs="Times New Roman" w:eastAsia="Times New Roman" w:hAnsi="Times New Roman"/>
          <w:sz w:val="23"/>
          <w:szCs w:val="23"/>
          <w:b w:val="1"/>
          <w:bCs w:val="1"/>
          <w:color w:val="auto"/>
          <w:vertAlign w:val="superscript"/>
        </w:rPr>
        <w:t>*</w:t>
      </w:r>
    </w:p>
    <w:tbl>
      <w:tblPr>
        <w:tblLayout w:type="fixed"/>
        <w:tblInd w:w="2920" w:type="dxa"/>
        <w:tblCellMar>
          <w:top w:w="0" w:type="dxa"/>
          <w:left w:w="0" w:type="dxa"/>
          <w:bottom w:w="0" w:type="dxa"/>
          <w:right w:w="0" w:type="dxa"/>
        </w:tblCellMar>
      </w:tblPr>
      <w:tr>
        <w:trPr>
          <w:trHeight w:val="250"/>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Female Representation (Global)</w:t>
            </w:r>
          </w:p>
        </w:tc>
        <w:tc>
          <w:tcPr>
            <w:tcW w:w="16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49.8%</w:t>
            </w:r>
          </w:p>
        </w:tc>
      </w:tr>
      <w:tr>
        <w:trPr>
          <w:trHeight w:val="325"/>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People of Color Representation (U.S. Only)</w:t>
            </w:r>
            <w:r>
              <w:rPr>
                <w:rFonts w:ascii="Times New Roman" w:cs="Times New Roman" w:eastAsia="Times New Roman" w:hAnsi="Times New Roman"/>
                <w:sz w:val="23"/>
                <w:szCs w:val="23"/>
                <w:color w:val="auto"/>
                <w:vertAlign w:val="superscript"/>
              </w:rPr>
              <w:t>**</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28.7%</w:t>
            </w:r>
          </w:p>
        </w:tc>
      </w:tr>
    </w:tbl>
    <w:p>
      <w:pPr>
        <w:ind w:left="3180" w:hanging="96"/>
        <w:spacing w:after="0" w:line="213" w:lineRule="auto"/>
        <w:tabs>
          <w:tab w:leader="none" w:pos="31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Based on full-time employees as of December 31, 2022</w:t>
      </w:r>
    </w:p>
    <w:p>
      <w:pPr>
        <w:spacing w:after="0" w:line="51" w:lineRule="exact"/>
        <w:rPr>
          <w:sz w:val="20"/>
          <w:szCs w:val="20"/>
          <w:color w:val="auto"/>
        </w:rPr>
      </w:pPr>
    </w:p>
    <w:p>
      <w:pPr>
        <w:ind w:left="3080" w:right="2940" w:firstLine="4"/>
        <w:spacing w:after="0" w:line="227" w:lineRule="auto"/>
        <w:tabs>
          <w:tab w:leader="none" w:pos="323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Represents the percentage of our full-time employees in the United States that self-identified as belonging to a racial or ethnic minority group. The denominator used in this calculation includes employees who did not disclose information related to their race or ethnicity. Excluding those that did not disclose such information, the percentage shown in this table would be 33.6%.</w:t>
      </w:r>
    </w:p>
    <w:p>
      <w:pPr>
        <w:spacing w:after="0" w:line="2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Externally, we support DEI efforts in our community, including by supporting young scientific talent in underrepresented communities. For example, as part of our $100 million, 10-year commitment to support the Regeneron Science Talent Search, we allocate $3.1 million annually to fund the Society for Science’s science, technology, engineering, and math ("STEM") outreach and equity programs. In 2022, we also continued our $24 million, 5-year title sponsorship of Regeneron International Science and Engineering Fair, with representation from over 1,700 student scientists representing 63 countries and 49 U.S. states. In addition, we have developed a STEM pilot program with post-primary-school and high-school students in the New York State Capital Region and Limerick, Ireland that aspires to build long-term relationships with students from disadvantaged socio-economic groups, to encourage and support them in their studies, to inspire them to attend college, and, ultimately, to build a deeper more diverse talent pipeline. We also continue to take steps to further integrate diversity considerations into the design and selection of sites for our clinical studies to make sure they reflect the diversity of patients with the diseases under investigation.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Wellness, Health, and Safety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wellbeing of our employees is a primary focus as we believe that the most productive people are those who are at their best, both physically and mentally. We provide several programs related to employee health and wellness, including onsite amenities and programs such as meditation and prayer rooms and fitness centers. We also prioritize mental health initiatives and have taken further action to reduce or remove barriers to quality mental healthcare for our employees and their family members. In addition, we provide support for work-life balance through flex-time, remote working arrangements, child and elder care, and paid parental leave, among others.</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Occupational health and safety is critical to our success. We are committed to meeting or exceeding all environmental, health, safety ("EHS") and security regulations and have a range of programs, plans, and procedures to ensure the safety of all people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who come to work at Regeneron. In addition, our 2025 global responsibility goals include a commitment to focus on workplace injury prevention in our drive toward zero incidents.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Growth and Development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invest significant resources to develop talent with the right capabilities to deliver the growth and innovation needed to support our continued success. Our Talent department is dedicated to promoting individual, leader, team, and organizational development through a number of tools and services. We offer a variety of professional development courses for our employees and support employee continuing education, including through educational reimbursement and tuition forgiveness programs. In addition, we continue to invest in our current and future leaders through a number of leadership development courses and programs and feedback and coaching opportunities. In 2022, nearly 30% of job openings were filled by existing employees who were seeking career development opportunities.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engaging our employees, from their first day and throughout their career, is key to fostering new ideas and driving commitment and productivity. We communicate frequently and transparently with our employees through a variety of communication methods, including video and written communications, company forums and summits, annual engagement surveys, and pulse surveys.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also committed to fostering employee volunteerism to reach our 2025 global responsibility goal of driving employee volunteer levels above national standards. Employees are encouraged and empowered to support organizations and causes that are important to them including through, among other things, our matching gift program, volunteer-time-off policy, and our annual company-wide service event, </w:t>
      </w:r>
      <w:r>
        <w:rPr>
          <w:rFonts w:ascii="Times New Roman" w:cs="Times New Roman" w:eastAsia="Times New Roman" w:hAnsi="Times New Roman"/>
          <w:sz w:val="18"/>
          <w:szCs w:val="18"/>
          <w:i w:val="1"/>
          <w:iCs w:val="1"/>
          <w:color w:val="auto"/>
        </w:rPr>
        <w:t>Day for Doing Good</w:t>
      </w:r>
      <w:r>
        <w:rPr>
          <w:rFonts w:ascii="Times New Roman" w:cs="Times New Roman" w:eastAsia="Times New Roman" w:hAnsi="Times New Roman"/>
          <w:sz w:val="18"/>
          <w:szCs w:val="18"/>
          <w:color w:val="auto"/>
        </w:rPr>
        <w:t xml:space="preserve">. In 2022, nearly 7,000 employees volunteered approximately 31,200 hours, including approximately 55% of our employees who volunteered nearly 20,000 hours to approximately 190 nonprofits during our </w:t>
      </w:r>
      <w:r>
        <w:rPr>
          <w:rFonts w:ascii="Times New Roman" w:cs="Times New Roman" w:eastAsia="Times New Roman" w:hAnsi="Times New Roman"/>
          <w:sz w:val="18"/>
          <w:szCs w:val="18"/>
          <w:i w:val="1"/>
          <w:iCs w:val="1"/>
          <w:color w:val="auto"/>
        </w:rPr>
        <w:t>Day for Doing Good</w:t>
      </w:r>
      <w:r>
        <w:rPr>
          <w:rFonts w:ascii="Times New Roman" w:cs="Times New Roman" w:eastAsia="Times New Roman" w:hAnsi="Times New Roman"/>
          <w:sz w:val="18"/>
          <w:szCs w:val="18"/>
          <w:color w:val="auto"/>
        </w:rPr>
        <w:t>. Additionally, through our Matching Gift Program, we matched over $2 million in employee contributions in 2022, supporting over 2,000 charities. In 2022, we were named to the Civic 50 of most community-minded companies in the United States for the sixth consecutive 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success of our employee engagement efforts is demonstrated by our employee retention rate of 91% in 2022, as well as the fact that 87% of our employees who responded to our annual engagement survey said Regeneron is a great place to work. Additionally, we have placed in the top five for the past 12 years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xml:space="preserve"> magazine’s annual "Top Employers Survey" of the global biotechnology and pharmaceutical industry.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committed to rewarding and supporting our employees in order to continue to attract and retain top talent. We believe this commitment supports our core strategy of creating and advancing a high-quality product pipeline and delivering medicines to people in need. Employee engagement, commitment, and achievements are key drivers of pipeline success and therefore our long-term performance. The primary underpinning of our pay philosophy is to award equity-based pay to all eligible employees to ensure that when we deliver for patients and for shareholders, everyone shares in the upside growth. Our practice, therefore, has been to award initial equity grants to all new hires, in addition to our comprehensive annual equity program. Total employee compensation packages (which varies by country and region) include market-competitive pay (with the opportunity to receive above-market rewards), broad-based grants of equity-based awards, comprehensive healthcare benefits, parental leave, child and elder care support, retirement savings options, and matching contributions. We annually review our workforce demographic and pay equity data to track our performance and inform new initiatives. Our analysis indicates favorable performance in these areas, and we are committed to continued monitoring.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we may publish through our media and investor relations website and the social media channels listed on our media and investor relations website, in addition to our SEC filings, press releases, conference calls, and webcasts.</w:t>
      </w:r>
    </w:p>
    <w:p>
      <w:pPr>
        <w:spacing w:after="0" w:line="81" w:lineRule="exact"/>
        <w:rPr>
          <w:sz w:val="20"/>
          <w:szCs w:val="20"/>
          <w:color w:val="auto"/>
        </w:rPr>
      </w:pPr>
    </w:p>
    <w:p>
      <w:pPr>
        <w:ind w:right="940"/>
        <w:spacing w:after="0" w:line="422" w:lineRule="auto"/>
        <w:rPr>
          <w:sz w:val="20"/>
          <w:szCs w:val="20"/>
          <w:color w:val="auto"/>
        </w:rPr>
      </w:pPr>
      <w:r>
        <w:rPr>
          <w:rFonts w:ascii="Times New Roman" w:cs="Times New Roman" w:eastAsia="Times New Roman" w:hAnsi="Times New Roman"/>
          <w:sz w:val="18"/>
          <w:szCs w:val="18"/>
          <w:color w:val="auto"/>
        </w:rPr>
        <w:t xml:space="preserve">The information contained on our websites and social media channels is not included as a part of, or incorporated by reference into, this report. </w:t>
      </w:r>
      <w:r>
        <w:rPr>
          <w:rFonts w:ascii="Times New Roman" w:cs="Times New Roman" w:eastAsia="Times New Roman" w:hAnsi="Times New Roman"/>
          <w:sz w:val="18"/>
          <w:szCs w:val="18"/>
          <w:b w:val="1"/>
          <w:bCs w:val="1"/>
          <w:color w:val="auto"/>
        </w:rPr>
        <w:t>Item 1A. Risk Factors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SEC before making an investment decision regarding Regeneron.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62" w:lineRule="exact"/>
        <w:rPr>
          <w:sz w:val="20"/>
          <w:szCs w:val="20"/>
          <w:color w:val="auto"/>
        </w:rPr>
      </w:pPr>
    </w:p>
    <w:p>
      <w:pPr>
        <w:jc w:val="both"/>
        <w:ind w:left="6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risks related to the development, manufacturing, and potential future commercialization of monoclonal antibodies targeting SARS-CoV-2.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4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and Dupixent.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cost effective than, our products or product candidates.</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48"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could reduce the duration of market exclusivity for our products, including EYLEA.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62"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healthcare industry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of the United States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8"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would be materially harmed.</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could adversely affect our business, operating results, and financial condition.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Factors – Risks Related to Employees, Information Technology, Financial Results and Liquidity, and Our Common Stock</w:t>
      </w:r>
    </w:p>
    <w:p>
      <w:pPr>
        <w:spacing w:after="0" w:line="148" w:lineRule="exact"/>
        <w:rPr>
          <w:sz w:val="20"/>
          <w:szCs w:val="20"/>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leaders in our research, development, manufacturing, and commercial organizations.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in the future, which may not be available to us, and which may force us to delay, reduce, or eliminate our product development programs or commercialization efforts.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further adversely affected by the effects of the COVID-19 pandemic.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2019, a novel strain of coronavirus, SARS-CoV-2, causing a disease referred to as COVID-19, was reported to have surfaced in Wuhan, China. It has since spread around the world, evolved into multiple new variants, and caused a global pandemic. This pandemic has adversely affected and/or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has previously resulted and may again result in the imposition of various restrictions and mandates around the world to reduce the spread of the disease, including governmental orders that direct individuals to shelter at their places of residence, direct businesses and governmental agencies to cease non-essential operations at physical locations, prohibit certain non-essential gatherings, maintain social distancing, order cessation of non-essential travel, and require proof of vaccination and/or negative COVID-19 test results. The COVID-19 pandemic has continued to ebb and flow, with different jurisdictions having higher levels of infections than others and new variants of the SARS-CoV-2 virus (such as the Omicron-lineage variants) emerging and spreading more easily and quickly than other variants. The trajectory and the ultimate impact of the pandemic are highly uncertain and subject to change and we do not yet know the full extent of potential delays or impacts on our business, our clinical trials, healthcare systems, or the global economy as a whole. These effects could have a material impact on our operations.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By way of example, continuation or re-imposition of various government-imposed or private-sector measures relating to the COVID-19 pandemic (including those we previously implemented, such as work-from-home policies for some employees) may further negatively impact productivity, disrupt our business, and delay our clinical programs and development timelines beyond the delays we have already experienced and disclosed.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We and our employees may also be subject to government vaccine mandates, which may have a negative impact on our ability to retain employees or hire new employees and could adversely impact our business. In addition, our sales and marketing efforts were previously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Demand for some or all of our marketed products may be further reduced if shelter-in-place, social distancing, or similar orders remain in effect or are re-implemented and, as a result, some of our inventory may become obsolete and may need to be written off, impacting our operating results. These and similar, and perhaps more severe, disruptions in our operations may materially adversely impact our business, prospects, operating results, and financial condition.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government-imposed or private-sector measures relating to the COVID-19 pandemic (or the perception that such restrictions or limitations on the conduct of business operations could occur) previously impacted, and may impact in the future, personnel at our research and manufacturing facilities, our suppliers, and other third parties on which we rely, as well as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whether resulting from the COVID-19 pandemic or otherwise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infections, hospitalizations, and deaths related to COVID-19 previously disrupted and may in the future disrupt the healthcare and healthcare regulatory systems in the United States and abroad. These and other possible disruptions relating to the COVID-19 pandemic could divert healthcare resources away from, or materially delay, regulatory review and potential approval of our product candidates and new indications for our marketed products. In addition, some of our clinical trials were previously and may in the future be affected by the COVID-19 pandemic. This impact could result in further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was previously and may in the future be delayed or disrupted. Any such disruptions may further negatively impact the progress of our clinical trials, including the readouts of trial results, the timing of regulatory review, and any anticipated program milestones.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may be difficult to assess or predict, it previously caused significant disruption of global financial markets and could cause more economic disruption in the future, making it more difficult for us to access capital if needed. In addition, a recession or market correction resulting from the spread of COVID-19 could materially affect our business and the value of our Common Stock.</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development, manufacturing, and potential future commercialization of monoclonal antibodies targeting SARS-CoV-2.</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we developed REGEN-COV (known as Ronapreve in countries outside the United States), a novel investigational antibody cocktail treatment designed to prevent and treat infection from the SARS-CoV-2 virus. REGEN-COV received an EUA from the FDA in November 2020 for the treatment of mild to moderate COVID-19 in certain patients, which was revised in January 2022 to exclude its use in geographic regions (currently including all U.S. states, territories, and jurisdictions) where infection or exposure is likely due to a variant such as an Omicron-lineage variant that is not susceptible to the treatment. In December 2022, the FDA issued a complete response letter concerning our BLA for REGEN-COV to treat COVID-19 in non-hospitalized patients and as prophylaxis in certain individuals. In light of these developments, we cannot predict whether (if at all) or to what extent REGEN-COV may be reauthorized or approved for use by the FDA in the future.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this report, we are progressing "next generation" monoclonal antibodies targeting SARS-CoV-2 (together with REGEN-COV referred to below as "our COVID-19 monoclonal antibodies"). There can be no assurance as to the timing or success of any of these efforts or studies evaluating "next generation" antibodies and whether any of such antibodies will retain activity against present or future variants of concern.</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face risks related to our significant investment in the development, supply, allocation, distribution, pricing, and potential future commercialization of our COVID-19 monoclonal antibodies. We have committed and may continue to commit significant capital and resources to fund and supply clinical trials and to accelerate and scale up the production of our COVID-19 monoclonal antibodies, which involves a complex manufacturing process that is both resource- and time-sensitive. For example, the impact of prioritizing certain manufacturing-related resources for our COVID-19 monoclonal antibodies has included and may in the future include, among other things, drawing down inventory safety stock levels for certain of our other products (including Dupixent and EYLEA). Depending on the demand for our products (including any future demand for our COVID-19 monoclonal antibodies), our ability to re-establish successfully our customary manufacturing cadence, and other relevant factors, we may not be able to replenish our inventory safety stock to the levels we deem prudent or supply our products and product candidates in sufficient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quantities to satisfy our commercial and development needs. We expect our investment in the development and manufacture of our COVID-19 monoclonal antibodies to continue in 2023 and potentially beyond, although the magnitude of our investment will be subject to clinical data results, the duration of the COVID-19 pandemic, and other factors, including regulatory outcomes. If we are unable to obtain a new EUA for any of our "next generation" monoclonal antibodies, or obtain regulatory approvals for any of the foregoing, or if we make a strategic decision to discontinue development of, or not commercialize, our "next generation" COVID-19 monoclonal antibodies or are otherwise not successful in their commercialization, we may be unable to recoup our significant expenses incurred to date and/or in the future related to the development and production of such antibodies. While we previously recognized significant revenues in connection with sales of REGEN-COV, the degree to which any future sales of our COVID-19 monoclonal antibodies will continue to impact our results of operations is highly uncertain.</w:t>
      </w:r>
    </w:p>
    <w:p>
      <w:pPr>
        <w:spacing w:after="0" w:line="107" w:lineRule="exact"/>
        <w:rPr>
          <w:sz w:val="20"/>
          <w:szCs w:val="20"/>
          <w:color w:val="auto"/>
        </w:rPr>
      </w:pPr>
    </w:p>
    <w:p>
      <w:pPr>
        <w:ind w:right="90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and Dupixent.</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EYLEA net product sales represent a substantial portion of our revenues and this concentration of our net sales in a single product makes us substantially dependent on that product. For the years ended December 31, 2022 and 2021, EYLEA net product sales in the United States represented 51% and 36% of our total revenues, respectively, with EYLEA net product sales as a percentage of our total revenues for the year ended December 31, 2021 being significantly lower due to the net product sales of REGEN-COV we recorded in that period under our agreements with the U.S. government.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 In the United States, the regulatory exclusivity period for EYLEA (i.e., the period during which no biosimilar product can be approved by the FDA) will expire after May 17, 2024. See "Risks Related to Intellectual Property and Market Exclusivity - </w:t>
      </w:r>
      <w:r>
        <w:rPr>
          <w:rFonts w:ascii="Times New Roman" w:cs="Times New Roman" w:eastAsia="Times New Roman" w:hAnsi="Times New Roman"/>
          <w:sz w:val="18"/>
          <w:szCs w:val="18"/>
          <w:i w:val="1"/>
          <w:iCs w:val="1"/>
          <w:color w:val="auto"/>
        </w:rPr>
        <w:t>Loss or limitation of patent rights, and regulatory pathways for biosimilar competition, could reduce the duration of market exclusivity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products</w:t>
      </w:r>
      <w:r>
        <w:rPr>
          <w:rFonts w:ascii="Times New Roman" w:cs="Times New Roman" w:eastAsia="Times New Roman" w:hAnsi="Times New Roman"/>
          <w:sz w:val="18"/>
          <w:szCs w:val="18"/>
          <w:color w:val="auto"/>
        </w:rPr>
        <w:t>" below. As a result, we face the risk of lower EYLEA net product sales due to biosimilar competition following such expiration,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material adverse impact on our results of operations. While we have submitted a BLA for aflibercept 8 mg with the FDA, the degree to which any future net product sales of aflibercept 8 mg (if approved) may offset any potential decrease in EYLEA net product sales is highly uncertain.</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81" w:lineRule="exact"/>
        <w:rPr>
          <w:sz w:val="20"/>
          <w:szCs w:val="20"/>
          <w:color w:val="auto"/>
        </w:rPr>
      </w:pPr>
    </w:p>
    <w:p>
      <w:pPr>
        <w:jc w:val="both"/>
        <w:ind w:left="660" w:right="20" w:hanging="328"/>
        <w:spacing w:after="0" w:line="25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continued or future impact of SARS-CoV-2 (the virus that has caused the COVID-19 pandemic) on our business and the demand for our marketed products, as well as any continued or future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Times New Roman" w:cs="Times New Roman" w:eastAsia="Times New Roman" w:hAnsi="Times New Roman"/>
          <w:sz w:val="18"/>
          <w:szCs w:val="18"/>
          <w:i w:val="1"/>
          <w:iCs w:val="1"/>
          <w:color w:val="auto"/>
        </w:rPr>
        <w:t>Our business may be further adversely affected by the effects of the COVID-19 pandemic</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(such as aflibercept 8 mg); and, in the case of EYLEA, the existing and potential new branded and biosimilar competition for EYLEA (discussed further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commercial success of our products and product candidates is subject to significant competition - </w:t>
      </w:r>
      <w:r>
        <w:rPr>
          <w:rFonts w:ascii="Times New Roman" w:cs="Times New Roman" w:eastAsia="Times New Roman" w:hAnsi="Times New Roman"/>
          <w:sz w:val="18"/>
          <w:szCs w:val="18"/>
          <w:color w:val="auto"/>
        </w:rPr>
        <w:t>Marketed Products" below) and the willingness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retinal specialists and patients to start or continue treatment with EYLEA or to switch from another product to EYLEA;</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ind w:left="660" w:hanging="328"/>
        <w:spacing w:after="0" w:line="25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Praluent, and REGEN-COV (described further in Note 16 to our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16 to our Consolidated Financial Statements included in this report (including the civil complaint filed against us on June 24, 2020 in the U.S. District Court for the District of Massachusetts by the U.S. Attorney's Office for the District of Massachusetts);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is costly, time-consuming, and highly uncertain</w:t>
      </w:r>
      <w:r>
        <w:rPr>
          <w:rFonts w:ascii="Times New Roman" w:cs="Times New Roman" w:eastAsia="Times New Roman" w:hAnsi="Times New Roman"/>
          <w:sz w:val="18"/>
          <w:szCs w:val="18"/>
          <w:color w:val="auto"/>
        </w:rPr>
        <w:t>"), the applicable marketing approval may be withdrawn, which would materially harm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payors do not adequately defray or reimburse the cost of our marketed products. If these entities do not provide coverage and reimbursement with respect 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may continue to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recently approved or proposed federal and state legislation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the U.S. Congress recently passed the IRA, which includes measures requiring the government to negotiate, with respect to drugs provided to Medicare patients and subject to a specified cap, the prices of a set number of certain high Medicare spending drugs and biological products per year starting in 2026 (including those covered under Medicare Part B, such as EYLEA and, potentially in the future, aflibercept 8 mg), measures penalizing manufacturers of certain Medicare Parts B and D drugs for price increases above inflation, and measures redesigning the Medicare Part D benefit to limit patient out-of-pocket drug costs and shift liabilities among stakeholders, including manufacturers. While enacted into law, it is unclear how the provisions of the IRA will be implemented and the extent to which the policy changes will ultimately impact reimbursement levels of our marketed products, including those covered under Medicare Part B (such as EYLEA) or our product candidates that may in the future be covered under Medicare Part B (such as aflibercept 8 mg).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EYLEA or our other marketed products. Economic pressure on state budgets may also have a similar impact.</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EYLEA and (if approved) aflibercept 8 mg. </w:t>
      </w:r>
      <w:r>
        <w:rPr>
          <w:rFonts w:ascii="Times New Roman" w:cs="Times New Roman" w:eastAsia="Times New Roman" w:hAnsi="Times New Roman"/>
          <w:sz w:val="18"/>
          <w:szCs w:val="18"/>
          <w:color w:val="auto"/>
        </w:rPr>
        <w:t>EYLEA faces and, if approved, aflibercept 8 mg will face, significant competition in the marketplace.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EYLEA competes in one or more of its approved indications with other VEGF inhibitors, including Novartis and Genentech/Roche's Lucentis, Novartis' Beovu, and Genentech/Roche's Susvimo and Vabysmo, as well as biosimilar versions of Lucentis commercialized in the United States by Biogen Inc. and Coherus BioSciences, Inc.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 If approved, we expect that aflibercept 8 mg will be entering a highly competitive environment; and our success in potentially commercializing aflibercept 8 mg will depend on a number of factors, including the extent to which we and our collaborators are able to differentiate aflibercept 8 mg from competitive products and the applicability of any restrictions imposed by payors at the time, such as step therapy.</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In atopic dermatitis, there are topical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systemic JAK inhibitors and an antibody against IL-13 approved for atopic dermatitis and others are in development. In addition, a number of companies are developing antibodies against IL-4Ra, IL-13Ra1, OX40(L), and/or IL-31R that may compete with Dupixent in atopic dermatitis and other indications (including asthma and/or prurigo nodularis), as applicable.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and EoE. There are several other potentially competitive products in development that may compete with Dupixent in asthma, as well as potential future indications, including antibodies against the IL-33 ligand or receptor. Dupixent also faces competition from inhaled products in asthma and potential future indications.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 Bristol-Myers Squibb's Opdivo, Roche's Tecentriq, and AstraZeneca's Imfinzi.</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(and, if approved, will rely on Bayer for such activities relating to aflibercept 8 mg) in countries outside the United States.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countries outside the United States. While we exercised our option under the Antibody Collaboration to co-commercialize Dupixent in certain jurisdictions outside the United States, we will continue to rely in part on Sanofi's sales and marketing organization in such jurisdictions.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or our Antibody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 collaboration with Bayer for EYLEA is terminated, or Bayer materially breaches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thereunder, our business, prospects, operating results, and financial condition, and our ability to continue to commercialize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would be materially harmed</w:t>
      </w:r>
      <w:r>
        <w:rPr>
          <w:rFonts w:ascii="Times New Roman" w:cs="Times New Roman" w:eastAsia="Times New Roman" w:hAnsi="Times New Roman"/>
          <w:sz w:val="18"/>
          <w:szCs w:val="18"/>
          <w:color w:val="auto"/>
        </w:rPr>
        <w:t>" below.</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which generally sell the product directly to healthcare providers or other pharmacies (as applicable). For the years ended December 31, 2022 and 2021, our gross product sales of such products to two customers accounted on a combined basis for 83% and 48% of our total gross product revenue, respectively, and gross product sales of REGEN-COV to the U.S. government accounted for an additional 43% of our total gross product revenue for the year ended December 31, 2021. We expect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1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do not currently have a fully established organization for the sales, marketing, and distribution of marketed products outside the United States. We will need to establish some or all of these capabilities outside the United States for any product we decide to independently commercialize or co-commercialize outside the United States. For example, following the exercise of our option under the Antibody Collaboration to co-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commercialize Dupixent in certain jurisdictions outside the United States, we have established certain commercial capabilities for Dupixent in some of these jurisdictions and are in the process of establishing these capabilities in others. In addition, in 2022, we and Sanofi amended the IO Collaboration to transfer all rights to develop, commercialize, and manufacture Libtayo exclusively to our Company, on a worldwide basis, over the course of a defined transition period, and we will need to establish certain sales, marketing, distribution, and manufacturing capabilities for Libtayo to support certain markets outside the United States. See Part I, Item 1. "Business - Collaboration, License, and Other Agreements - Sanofi." We will also need to obtain and/or maintain regulatory approvals for Libtayo in many jurisdictions outside of the United States. There may be other circumstances in which we need to establish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we must build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commercial capabilities outside the United States (including as it relates to Dupixent and Libtayo)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Obtaining FDA approval for a new drug or indication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or Phase 4 studies), labeling changes based on new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and may be delayed for reasons beyond our control. For example, an FDA travel complication related to scheduling a routine clinical trial site inspection in eastern Europe recently delayed the FDA's approval of our sBLA for the combination treatment of Libtayo with chemotherapy in NSCLC.</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or priority review, where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cannot guarantee we would be successful in obtaining beneficial regulatory designations by the FDA or other regulatory agencies. Even if obtained, such designations may not result in faster development processes, reviews, or approvals compared to drugs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 harmed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noncompliance with the requirements and regulations described in this paragraph.</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standard drug approval process, the Secretary of HHS may authorize the issuance of, and the FDA Commissioner may issue, an EUA to allow an unapproved medical product to be used in an emergency based on criteria established by the Food, Drug, and Cosmetic Act, including that the product at issue may be effective in diagnosing, treating, or preventing serious or life-threatening diseases when there are no adequate, approved, and available alternatives. An EUA terminates when the emergency determination underlying the EUA terminates. The FDA may also revoke, revise, or restrict an EUA for a variety of reasons, including where it is determined that the underlying health emergency no longer exists or warrants such authorization or the medical product is no longer effective in diagnosing, treating, or preventing the underlying health emergency. For example, in January 2022, the FDA revised the EUA previously granted for REGEN-COV to exclude its use in geographic regions (currently including all U.S. states, territories, and jurisdictions) where, based on available information including variant susceptibility and regional variant frequency, infection or exposure is likely due to a variant such as an Omicron-lineage variant that is not susceptible to the treatment. Any such termination, revocation, or revision of an EUA could adversely impact our business in a variety of ways, including by having to absorb related manufacturing and overhead costs as well as potential inventory write-offs if regulatory approval is not obtained timely or at all. For example, we have recorded a charge to write down inventory related to REGEN-COV as described in Part II, Item 7. "Management's Discussion and Analysis of Financial Condition and Results of Operations - Results of Operations."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Marketing Authorization Application ("MAA") in the EU. In addition, such authorities often have the authority to require post-approval studies, such as a PASS and/or PAES, which involve various risks similar to those described above.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are subject to pharmacovigilance reporting and other pharmacovigilance requirements, which may differ in the numerous countries in which we conduct clinical trials. Failure to comply with any such requirements may result in the premature closure of the clinical trials and other enforcement actions by the relevant regulatory authorities. For example, if we do not manage to retain a QPPV, to maintain a PSMF, or to comply with other pharmacovigilance obligations in the EEA, we may be at risk of our clinical trials being closed prematurely, our marketing authorization being suspended, and we may be subject to other enforcement actions by the national competent authorities of the EEA or the EC.</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GLPs or GCPs. A clinical trial may also fail because the dose(s) of the investigational drug included in the trial were either too low or too high to determine the optimal effect of the investigational drug in the disease setting.</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foreign countries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and/or Ukraine. While we currently do not expect the conflict between Russia and Ukraine and related developments to have a significant impact on our ability to obtain results from clinical trials conducted by us or our collaborators, actions taken by Russia or potentially other countries in Ukraine and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Ukraine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recommendations made by responsible IDMCs based on their review of such interim trial results. For example, we previously discontinued actively treating patients with fasinumab following a recommendation from the responsible IDMC that the program be terminated based on available evidence to date; and we later discontinued further clinical development of fasinumab.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EYLEA and aflibercept 8 mg, there are many potential safety concerns associated with significant blockade of VEGF that may limit our ability to further successfully commercialize EYLEA and to obtain regulatory approval for aflibercept 8 mg.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aflibercept include conjunctival hemorrhage, macular degeneration, eye pain, retinal hemorrhage, and vitreous floaters. There is no guarantee that we will be able to successfully obtain regulatory approval for aflibercept 8 mg. In addition, commercialization of EYLEA or our other products and potential future commercialization of aflibercept 8 mg or our other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as well as further development and potential future commercialization of aflibercept 8 mg.</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1. "Business - Programs in Clinical Development." There is no guarantee that regulatory approval of Dupixent or Libtayo (as applicable) in any of these indications will be successfully obtained. The side effects previously reported for Dupixent include hypersensitivity reactions, eye problems (including conjunctivitis and keratitis), injection-site reactions, eye and eyelid inflammation, cold sores, oropharyngeal pain, eosinophilia, insomnia, toothache, gastritis, joint pain (arthralgia), parasitic (helminth) infections, and facial rash or redness;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complications or side effects could harm further development and/or commercialization of our antibody-based products and product candidates utilizing this method of administration.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 candidates in development are recombinant proteins that could cause an immune response, resulting in the creation of harmful or neutralizing antibodies against the therapeutic protein.</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sometimes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16 to our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described in Note 16 to our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in 2021, anonymous parties initiated opposition proceedings in the European Patent Office ("EPO") against our European Patent No. 2,944,306 (which concerns pre-filled syringes comprising ophthalmic formulations containing VEGF antagonists such as aflibercept for intravitreal administration), as described in Note 16 to our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For example, the World Trade Organization ("WTO") is currently considering an extension of a recently adopted waiver of certain intellectual property rights under the WTO Agreement on Trade-Related Aspects of Intellectual Property Rights for COVID-19 vaccines to include therapeutics. The timing of a decision on whether or not to extend the waiver is unknown. We cannot be certain that our intellectual property rights related to our COVID-19 monoclonal antibodies or any other current or future product or product candidate or technology would not be eliminated, narrowed, or weakened by any such extension or other rulemaking.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would not be able to prevent third parties from practicing our inventions in Russia or from selling or importing products made using our inventions in and into Russia.</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as described in Note 16 to our Consolidated Financial Statements. In addition, we are currently party to patent infringement and other proceedings relating to EYLEA and REGEN-COV, as described in Note 16 to our Consolidated Financial Statements.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in the EU, a designated orphan drug is provided up to 10 years of market exclusivity in the orphan indication, during which time the EMA is generally precluded from accepting a MAA for a similar medicinal product unless it can be demonstrated that it is safer, more effective, or otherwise clinically superior to the original orphan medicinal product.</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could reduce the duration of market exclusivity for our products.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 In the United States, the regulatory exclusivity period for EYLEA (i.e., the period during which no biosimilar product can be approved by the FDA) extends through May 17, 2024 following the pediatric exclusivity granted by the FDA. The loss of market exclusivity for a product (such as EYLEA) would likely materially and negatively affect revenues from product sales of that product and thus our financial results and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In addition to expanding our internal capacity, we intend to continue to rely on our collaborators, and may also rely on contract manufacturers, to produce commercial quantities of drug material needed for commercialization of our products. For example, as described in Part I, Item 1. "Business," in 2020, we entered into a collaboration agreement with Roche to develop, manufacture, and distribute REGEN-COV (known as Ronapreve in other countries outside the United States).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may in the future further exacerbate certain of these risks. For example, the impact of prioritizing certain manufacturing-related resources for our COVID-19 monoclonal antibodies has included and may in the future include, among other things, drawing down inventory safety stock levels for certain of our other products (including Dupixent and EYLEA). Depending on the demand for our products (including any future demand for our COVID-19 monoclonal antibodies), our ability to re-establish successfully our customary manufacturing cadence, and other relevant factors, we may not be able to replenish our inventory safety stock to the levels we deem prudent or supply our products and product candidates in sufficient quantities to satisfy our commercial and development needs. We also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are in the process of constructing fill/finish facilities (refer to Part II, Item 7. "Management's Discussion and Analysis of Financial Condition and Results of Operations – Liquidity and Capital Resources" for information about expected capital expenditures relating to this and other projects). In addition, we may need to develop or acquire additional manufacturing capabilities to the extent we or our collaborators pursue the development of drugs generated by means other than our existing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1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16 to our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charge to write down inventory related to REGEN-COV as described in Part II, Item 7. "Management's Discussion and Analysis of Financial Condition and Results of Operations - Results of Operations."</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and Russia's invasion of Ukraine, which have exacerbated many of these issues).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w:t>
      </w:r>
    </w:p>
    <w:p>
      <w:pPr>
        <w:spacing w:after="0" w:line="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revenue from 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 care laws, including the federal anti-kickback statute.</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w:t>
      </w:r>
    </w:p>
    <w:p>
      <w:pPr>
        <w:jc w:val="both"/>
        <w:spacing w:after="0" w:line="254" w:lineRule="auto"/>
        <w:rPr>
          <w:sz w:val="20"/>
          <w:szCs w:val="20"/>
          <w:color w:val="auto"/>
        </w:rPr>
      </w:pPr>
      <w:r>
        <w:rPr>
          <w:rFonts w:ascii="Times New Roman" w:cs="Times New Roman" w:eastAsia="Times New Roman" w:hAnsi="Times New Roman"/>
          <w:sz w:val="18"/>
          <w:szCs w:val="18"/>
          <w:color w:val="auto"/>
        </w:rPr>
        <w:t>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16 to our Consolidated Financial Statements included in this report, we are party to civil litigation initiated in 2020 by the U.S. Attorney's Office for the District of Massachusetts concerning our support of a 501(c)(3) organization that provides financial assistance to patients; and we are cooperating with pending government investigations concerning certain other business activities. Any adverse decision, finding, allegation, or exercise of enforcement or regulatory discretion in any such proceedings or investigations could harm our business, prospects, operating results, and financial condition.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and need to be prepared to comply with additional reporting obligations outside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drug pricing program (the "340B program") (which is administered by the Health Resources and Services Administration ("HRSA")), the U.S. Department of Veterans Affairs ("VA") Federal Supply Schedule ("FSS") pricing program, and the Tricare Retail Pharmacy Program. See Part I, Item 1, "Business - Government Regulation - Pricing and Reimbursement" for a description of these programs.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The final regulation governing the Medicaid Drug Rebate program issued by CMS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 coverage expansion by various governmental agencies relating to the Medicaid Drug Rebate program may have a similar impact.</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On November 30, 2022, HRSA issued a notice of proposed rulemaking that proposes several changes to the ADR process.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7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increased, and are expected to continue to increase, due to, in part, our efforts to establish our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For example, in March 2022, the SEC proposed new rules for extensive and prescriptive climate-related disclosure in annual reports and registration statements, which would also require inclusion of certain climate-related financial metrics in companies' audited financial statements. Also in March 2022, the SEC proposed rules that are intended to enhance and standardize disclosures regarding cybersecurity risk management, strategy, and governance, as well as cybersecurity incident reporting, by public companies. Our efforts to comply with these requirements and regulations (as well as corporate governance and disclosure expectations of investors and other stakeholders) have resulted in, and are likely to continue to result in, an increase in expenses and a diversion of management's time from other business activities.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08" w:lineRule="exact"/>
        <w:rPr>
          <w:sz w:val="20"/>
          <w:szCs w:val="20"/>
          <w:color w:val="auto"/>
        </w:rPr>
      </w:pPr>
    </w:p>
    <w:p>
      <w:pPr>
        <w:ind w:left="660" w:right="2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(such as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Sales of our marketed products are dependent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availability and extent of reimbursement from third-party payors, and changes to such reimbursement may materially harm our business, prospects, operating results, and financial condition</w:t>
      </w:r>
      <w:r>
        <w:rPr>
          <w:rFonts w:ascii="Times New Roman" w:cs="Times New Roman" w:eastAsia="Times New Roman" w:hAnsi="Times New Roman"/>
          <w:sz w:val="18"/>
          <w:szCs w:val="18"/>
          <w:color w:val="auto"/>
        </w:rPr>
        <w:t>") or the PPACA or other healthcare reform laws. While it is not possible to predict whether and when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operations and conduct business in several countries outside the United States and we plan to expand these activities. For example, as discussed above, we perform co-commercialization activities under the Antibody Collaboration related to Dupixent in certain jurisdictions outside the United States and we will need to establish commercial capabilities related to Libtayo in certain markets outside the United States following the amendment to the IO Collaboration. Consequently, we are, and will continue to be, subject to risks related to operating in foreign countries, and many of these risks will increase as we expand our activities in such jurisdictions. These risks include:</w:t>
      </w:r>
    </w:p>
    <w:p>
      <w:pPr>
        <w:spacing w:after="0" w:line="102" w:lineRule="exact"/>
        <w:rPr>
          <w:sz w:val="20"/>
          <w:szCs w:val="20"/>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w:t>
      </w: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Russia's invasion of Ukraine;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and other countries outside the United States. Changes impacting our ability to conduct business in the those countries,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15 to our Consolidated Financial Statements included in this report).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For example, the IRA has created a new corporate alternative minimum tax of 15% on adjusted financial statement income that applies to certain corporations for tax years beginning after December 31, 2022. Further specifics of this legislation will be outlined in Treasury regulations and any impact to the Company will depend on a number of factors, including any offsets for foreign tax credits or general business credits. The IRA also created an excise tax of 1% of the value of certain stock repurchases after December 31, 2022 that generally applies to publicly traded domestic corporations. We are in the process of evaluating the potential impact of these alternative minimum and excise tax provisions of the IRA. Other changes to U.S. tax laws and/or recommendations from the Organization for Economic Co-operation and Development (the "OECD") regarding a global minimum tax and other changes being considered and/or implemented in countries where we operate could materially impact our tax provision, cash tax liability, and effective tax rate. In addition, recommendations by the OECD and the EU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data privacy laws in applicable jurisdictions.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activities outside the U.S., including clinical trial programs and research collaborations (such as our consortium with a group of companies to fund the generation of genetic exome sequence data from the UK Biobank health resource), implicate non-U.S. data protection laws, including the EU's General Data Protection Regulations ("GDPR"). The GDPR has a wide range of compliance obligations, including increased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In June 2021, the European Commission introduced new standard contractual clauses required to be incorporated into certain new and existing agreements within prescribed timeframes in order to continue to lawfully transfer personal data outside the EU. Compliance with these requirements has been and is expected to continue to be costly and time consuming.</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 clinical trials in many countries around the world, which have new or evolving data privacy laws that have resulted in increased liability in the management of clinical trial data, and additional contractual and due-diligence obligations that could lead to a delay in clinical trial site start-up. There is an increase of enforcement activities in various EU countries that require evidence of compliance with local data privacy requirements.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the EU into the U.S. may result in the imposition of criminal and administrative sanctions on such collaborators or impact the flow of personal data outside the EU, which could adversely affect our business and could create liability for us.</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U.S. health care providers, including research institutions from which we or our collaborators obtain clinical trial data, are subject to privacy and security regulations promulgated under HIPAA. For example, as part of our human genetics initiative, our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wholly-owned subsidiary, Regeneron Genetics Center LLC, has entered into collaborations with many research institutions, which are subject to HIPAA. Regeneron is not a covered entity or business associate under HIPAA and thus is not subject to its requirements. However, we could be subject to criminal penalties if we, our affiliates, or our agents knowingly receive PHI in a manner that is not permitted under HIPAA. Consequently, depending on the facts and circumstances, we could face substantial criminal penalties if we knowingly receive PHI from a health care provider or research 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CCPA and influenced by the GDPR. The CCPA is a consumer protection law that establishes</w:t>
      </w:r>
    </w:p>
    <w:p>
      <w:pPr>
        <w:jc w:val="both"/>
        <w:spacing w:after="0" w:line="255" w:lineRule="auto"/>
        <w:rPr>
          <w:sz w:val="20"/>
          <w:szCs w:val="20"/>
          <w:color w:val="auto"/>
        </w:rPr>
      </w:pPr>
      <w:r>
        <w:rPr>
          <w:rFonts w:ascii="Times New Roman" w:cs="Times New Roman" w:eastAsia="Times New Roman" w:hAnsi="Times New Roman"/>
          <w:sz w:val="18"/>
          <w:szCs w:val="18"/>
          <w:color w:val="auto"/>
        </w:rPr>
        <w:t>requirements for data use and sharing transparency and provides California residents with personal data privacy rights regarding the use, disclosure, and retention of their personal data. Amendments to the CCPA have, among other things, imposed new obligations to provide notice where personal data will be de-identified. Failure to comply with the CCPA may result in, among other things, significant civil penalties and injunctive relief, or statutory or actual damages. In addition, California residents have the right to bring a private right of action in connection with data privacy incidents involving certain elements of personal data. These claims may result in significant liability and damages. These laws and regulations are constantly evolving and may impose limitations on our business activities. Several other U.S. states have introduced similar consumer protection laws, some of which are set to go into effect in the near future. At the federal level, Section 5 of the FTC Act is a consumer protection law that bars unfair and deceptive acts and practices and requires, among other things, companies to notify individuals that they will safeguard their personal data and that they will fulfil the commitments made in their privacy notices. The FTC has brought legal actions against organizations that have violated consumers' privacy rights or have misled them by failing to maintain appropriate security.</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health privacy laws, data breach notification laws, consumer protection laws, data localization laws, and genetic privacy laws may apply directly to our operations and/or those of our collaborators and may impose restrictions on our collection, use, and dissemination of individuals' health and other personal data. New state level genetic privacy and consumer protection laws in the United States may require additional transparency and permissions in our informed consent forms. Moreover, individuals about whom we or our collaborators obtain health or other personal data,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would be materially harmed.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it is co-developing with us,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Antibody Collaboration would create substantial new and additional risks to the successful development and commercialization of the products subject to such collaborations, particularly outside the United States.</w:t>
      </w:r>
    </w:p>
    <w:p>
      <w:pPr>
        <w:spacing w:after="0" w:line="1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rely heavily on Bayer with respect to the commercialization of EYLEA outside the United States (and, if approved, will rely on Bayer with respect to any potential future commercialization of aflibercept 8 mg outside the United States, including the activities discussed below).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capabilities outside the United States for products we intend to commercialize or co-commercialize outside the United States, our business, prospects, operating results, and financial condition may be adversely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affected</w:t>
      </w:r>
      <w:r>
        <w:rPr>
          <w:rFonts w:ascii="Times New Roman" w:cs="Times New Roman" w:eastAsia="Times New Roman" w:hAnsi="Times New Roman"/>
          <w:sz w:val="18"/>
          <w:szCs w:val="18"/>
          <w:color w:val="auto"/>
        </w:rPr>
        <w:t>" above). Termination of the Bayer collaboration agreement would create substantial new and additional risks to the successful commercialization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EYLEA and, if approved, any potential future commercialization of aflibercept 8 mg outside the United States.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such as due to Russia's invasion of Ukraine)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we completed our acquisition of Checkmate Pharmaceuticals, Inc.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and controls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regulatory setbacks,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if any, to consummate acquisitions. For transactions that are ultimately not consummated, these charges may include fees and expenses for investment bankers, attorneys, accountants, and other advisors in connection with our efforts. Even if our efforts are successful, we may incur, as part of a transaction, substantial charges for closure costs associated with elimination of duplicate operations and facilities and acquired in-process research and development charges. In either case, the incurrence of these charges could adversely affect our operating results for particular periods.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the Chair of our board of directors. If we are not able to retain (or for any other reason lose the services of) any of these persons, our business may suffer. In particular, we depend on the services of P. Roy Vagelos, M.D., the Chair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related developments.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There is the potential that our systems may be directly or indirectly affected as nation-states conduct global cyberwarfare, including in connection with the current Russia-Ukraine hostilities.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plan for, or manage significant disruptions to these systems, we or our suppliers and/or service providers could have difficulty preventing, detecting, or controlling such disruptions or security breaches, which could result in legal proceedings, liability under U.S. and foreign laws that protect the privacy of personal information, disruptions to our operations, government investigations, breach of contract claims, and damage to our reputation (in each case in the U.S. or globally), which could have a material adverse effect on our business, prospects, operating results, and financial condition.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and other similar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our senior unsecured notes at maturity or redeem, repurchase, or refinance the notes prior to maturity on acceptable terms or at all. In addition, in March 2022, we completed an extension of the $720.0 million lease financing for our existing corporate headquarters and other rentable area consisting of approximately 150 acres of predominately office buildings and laboratory space located in Tarrytown, New York, which is set to expire in March 2027. Refer to Part II, Item 7. "Management's Discussion and Analysis of Financial Condition and Results of Operations - Liquidity and Capital Resources - </w:t>
      </w:r>
      <w:r>
        <w:rPr>
          <w:rFonts w:ascii="Times New Roman" w:cs="Times New Roman" w:eastAsia="Times New Roman" w:hAnsi="Times New Roman"/>
          <w:sz w:val="17"/>
          <w:szCs w:val="17"/>
          <w:i w:val="1"/>
          <w:iCs w:val="1"/>
          <w:color w:val="auto"/>
        </w:rPr>
        <w:t>Tarrytown, New York Leases</w:t>
      </w:r>
      <w:r>
        <w:rPr>
          <w:rFonts w:ascii="Times New Roman" w:cs="Times New Roman" w:eastAsia="Times New Roman" w:hAnsi="Times New Roman"/>
          <w:sz w:val="17"/>
          <w:szCs w:val="17"/>
          <w:color w:val="auto"/>
        </w:rPr>
        <w:t>" for further details.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December 31, 2022, we had an aggregate of $2.701 billion of outstanding indebtedness under our senior unsecured notes and the lease financing facility. We may also incur additional debt in the future. Any such indebtedness could:</w:t>
      </w:r>
    </w:p>
    <w:p>
      <w:pPr>
        <w:spacing w:after="0" w:line="10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 See Part II, Item 7. "Management's Discussion and Analysis of Financial Condition and Results of Operations -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2022, we had $3.106 billion in cash and cash equivalents and $11.228 billion in marketable securities (including $1.210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4" w:lineRule="exact"/>
        <w:rPr>
          <w:sz w:val="20"/>
          <w:szCs w:val="20"/>
          <w:color w:val="auto"/>
        </w:rPr>
      </w:pPr>
    </w:p>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Dupixent, and Libtayo, as well as our overall operating results;</w:t>
      </w: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(such as aflibercept 8 mg)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 on our business, including the degree of success (if any) of our efforts to develop "next generation" COVID-19 monoclonal antibodies and any potential future sales of our COVID-19 monoclonal antibodies;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December 31, 2022, our five largest shareholders plus Dr. Schleifer, our Chief Executive Officer, beneficially owned approximately 39.4% of our outstanding shares of Common Stock, assuming, in the case of our Chief Executive Officer, the conversion of his Class A Stock into Common Stock and the exercise of all options held by him which are exercisable within 60 days of December 31, 2022.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(of which $745.2 million remained available as of December 31, 2022); and, in January 2023, our board of directors authorized an additional $3.0 billion for share repurchases.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December 31, 2022, holders of Class A Stock held 14.4%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2022:</w:t>
      </w:r>
    </w:p>
    <w:p>
      <w:pPr>
        <w:spacing w:after="0" w:line="106" w:lineRule="exact"/>
        <w:rPr>
          <w:sz w:val="20"/>
          <w:szCs w:val="20"/>
          <w:color w:val="auto"/>
        </w:rPr>
      </w:pPr>
    </w:p>
    <w:p>
      <w:pPr>
        <w:jc w:val="both"/>
        <w:ind w:left="660" w:hanging="328"/>
        <w:spacing w:after="0" w:line="25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7.1% of our outstanding shares of Common Stock, assuming conversion of their Class A Stock into Common Stock and the exercise of all options held by such persons which are exercisable within 60 days of December 31, 2022, and 18.5% of the combined voting power of our outstanding shares of Common Stock and Class A Stock, assuming the exercise of all options held by such persons which are exercisable within 60 days of December 31, 2022;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39.4% of our outstanding shares of Common Stock, assuming, in the case of our Chief Executive Officer, the conversion of his Class A Stock into Common Stock and the exercise of all options held by him which are exercisable within 60 days of December 31, 2022. In addition, these five shareholders plus our Chief Executive Officer held approximately 46.6% of the combined voting power of our outstanding shares of Common Stock and Class A Stock, assuming the exercise of all options held by our Chief Executive Officer which are exercisable within 60 days of December 31, 2022.</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certain of our collaborators are currently bound by "standstill" provisions under their respective agreements with us. These include the January 2014 amended and restated investor agreement between us and Sanofi, as amended, and our 2016 ANG2 license and collaboration agreement with Bayer, which contractually prohibit Sanofi and Bayer, respectively, from seeking to directly or indirectly exert control of our Company or acquiring more than a specified percentage of our Class A Stock and Common Stock, taken together (30% in the case of Sanofi and 20% in the case of Bayer).</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our research, development, manufacturing, and administrative activities at our owned and leased facilities. A summary of our significant owned and leased properties is provided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our Tarrytown, New York location, we lease approximately 1,467,000 square feet of laboratory and office space. Refer to Part II, Item 7. "Management's Discussion and Analysis of Financial Condition and Results of Operations - Liquidity and Capital Resources - </w:t>
      </w:r>
      <w:r>
        <w:rPr>
          <w:rFonts w:ascii="Times New Roman" w:cs="Times New Roman" w:eastAsia="Times New Roman" w:hAnsi="Times New Roman"/>
          <w:sz w:val="18"/>
          <w:szCs w:val="18"/>
          <w:i w:val="1"/>
          <w:iCs w:val="1"/>
          <w:color w:val="auto"/>
        </w:rPr>
        <w:t>Tarrytown, New York Leases</w:t>
      </w:r>
      <w:r>
        <w:rPr>
          <w:rFonts w:ascii="Times New Roman" w:cs="Times New Roman" w:eastAsia="Times New Roman" w:hAnsi="Times New Roman"/>
          <w:sz w:val="18"/>
          <w:szCs w:val="18"/>
          <w:color w:val="auto"/>
        </w:rPr>
        <w:t>" for further details. We also own an approximate 100-acre parcel of land adjacent to our Tarrytown, New York location, which we are in the process of developing, primarily in connection with expanding our research and support facilities to accommodate our growth.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Rensselaer, New York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facilities in Rensselaer, New York totaling approximately 1,189,000 square feet of manufacturing, research, office, and warehouse space. This includes approximately 452,000 square feet of warehouse, laboratory, and office space which we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constructed on a 130-acre parcel of land near our Rensselaer facility. We are in the process of further developing this property, primarily in connection with constructing a fill/finish facility.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Limerick, Ireland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a facility in Limerick, Ireland totaling approximately 555,000 square feet of manufacturing, warehouse, laboratory, and office space.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16 to our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right="19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for Registrant's Common Equity</w:t>
      </w: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par value $.001 per share, is quoted on The NASDAQ Global Select Market under the symbol "REGN." Our Class A Stock, par value $.001 per share, is not publicly quoted or traded.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26, 2023, there were 161 shareholders of record of our Common Stock and 14 shareholders of record of our Class A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cash dividends on our Common Stock or Class A Stock and do not anticipate paying any in the foreseeable future.</w:t>
      </w:r>
    </w:p>
    <w:p>
      <w:pPr>
        <w:spacing w:after="0" w:line="14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2017 through December 31, 2022. The comparison assumes that $100 was invested on December 31, 2017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346075</wp:posOffset>
            </wp:positionV>
            <wp:extent cx="5846445" cy="3429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12/31/2017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12/31/2022</w:t>
            </w: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191.91</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NQ US Pharma TR Index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December 31, 2022. Refer to Part II, Item 7. "Management's Discussion and Analysis of Financial Condition and Results of Operations - Liquidity and Capital Resources" for further details of our share repurchase programs.</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30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ind w:right="91"/>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89"/>
        </w:trPr>
        <w:tc>
          <w:tcPr>
            <w:tcW w:w="23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center"/>
              <w:ind w:right="131"/>
              <w:spacing w:after="0" w:line="189" w:lineRule="exact"/>
              <w:rPr>
                <w:sz w:val="20"/>
                <w:szCs w:val="20"/>
                <w:color w:val="auto"/>
              </w:rPr>
            </w:pPr>
            <w:r>
              <w:rPr>
                <w:rFonts w:ascii="Times New Roman" w:cs="Times New Roman" w:eastAsia="Times New Roman" w:hAnsi="Times New Roman"/>
                <w:sz w:val="17"/>
                <w:szCs w:val="17"/>
                <w:b w:val="1"/>
                <w:bCs w:val="1"/>
                <w:color w:val="auto"/>
              </w:rPr>
              <w:t>Programs</w:t>
            </w:r>
            <w:r>
              <w:rPr>
                <w:rFonts w:ascii="Times New Roman" w:cs="Times New Roman" w:eastAsia="Times New Roman" w:hAnsi="Times New Roman"/>
                <w:sz w:val="21"/>
                <w:szCs w:val="21"/>
                <w:b w:val="1"/>
                <w:bCs w:val="1"/>
                <w:color w:val="auto"/>
                <w:vertAlign w:val="superscript"/>
              </w:rPr>
              <w:t>(b)</w:t>
            </w:r>
          </w:p>
        </w:tc>
        <w:tc>
          <w:tcPr>
            <w:tcW w:w="0" w:type="dxa"/>
            <w:vAlign w:val="bottom"/>
          </w:tcPr>
          <w:p>
            <w:pPr>
              <w:spacing w:after="0"/>
              <w:rPr>
                <w:sz w:val="1"/>
                <w:szCs w:val="1"/>
                <w:color w:val="auto"/>
              </w:rPr>
            </w:pPr>
          </w:p>
        </w:tc>
      </w:tr>
      <w:tr>
        <w:trPr>
          <w:trHeight w:val="229"/>
        </w:trPr>
        <w:tc>
          <w:tcPr>
            <w:tcW w:w="2380" w:type="dxa"/>
            <w:vAlign w:val="bottom"/>
            <w:gridSpan w:val="2"/>
            <w:vMerge w:val="continue"/>
          </w:tcPr>
          <w:p>
            <w:pPr>
              <w:spacing w:after="0"/>
              <w:rPr>
                <w:sz w:val="19"/>
                <w:szCs w:val="19"/>
                <w:color w:val="auto"/>
              </w:rPr>
            </w:pPr>
          </w:p>
        </w:tc>
        <w:tc>
          <w:tcPr>
            <w:tcW w:w="19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center"/>
              <w:ind w:right="131"/>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10/1/2022–10/31/2022</w:t>
            </w:r>
          </w:p>
        </w:tc>
        <w:tc>
          <w:tcPr>
            <w:tcW w:w="3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719.10</w:t>
            </w:r>
          </w:p>
        </w:tc>
        <w:tc>
          <w:tcPr>
            <w:tcW w:w="3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11/1/2022–11/30/2022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236,526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737.86</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234,834</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12/1/2022–12/31/2022</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418,427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737.15</w:t>
            </w:r>
          </w:p>
        </w:tc>
        <w:tc>
          <w:tcPr>
            <w:tcW w:w="3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317,470</w:t>
            </w: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r>
        <w:trPr>
          <w:trHeight w:val="228"/>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703,031</w:t>
            </w:r>
          </w:p>
        </w:tc>
        <w:tc>
          <w:tcPr>
            <w:tcW w:w="400" w:type="dxa"/>
            <w:vAlign w:val="bottom"/>
            <w:gridSpan w:val="2"/>
          </w:tcPr>
          <w:p>
            <w:pPr>
              <w:jc w:val="right"/>
              <w:ind w:right="170"/>
              <w:spacing w:after="0" w:line="136" w:lineRule="exact"/>
              <w:rPr>
                <w:sz w:val="20"/>
                <w:szCs w:val="20"/>
                <w:color w:val="auto"/>
              </w:rPr>
            </w:pPr>
            <w:r>
              <w:rPr>
                <w:rFonts w:ascii="Times New Roman" w:cs="Times New Roman" w:eastAsia="Times New Roman" w:hAnsi="Times New Roman"/>
                <w:sz w:val="12"/>
                <w:szCs w:val="12"/>
                <w:color w:val="auto"/>
                <w:w w:val="89"/>
              </w:rPr>
              <w:t>(a)</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600,382</w:t>
            </w:r>
          </w:p>
        </w:tc>
        <w:tc>
          <w:tcPr>
            <w:tcW w:w="500" w:type="dxa"/>
            <w:vAlign w:val="bottom"/>
            <w:gridSpan w:val="2"/>
          </w:tcPr>
          <w:p>
            <w:pPr>
              <w:jc w:val="right"/>
              <w:ind w:right="270"/>
              <w:spacing w:after="0" w:line="136" w:lineRule="exact"/>
              <w:rPr>
                <w:sz w:val="20"/>
                <w:szCs w:val="20"/>
                <w:color w:val="auto"/>
              </w:rPr>
            </w:pPr>
            <w:r>
              <w:rPr>
                <w:rFonts w:ascii="Times New Roman" w:cs="Times New Roman" w:eastAsia="Times New Roman" w:hAnsi="Times New Roman"/>
                <w:sz w:val="12"/>
                <w:szCs w:val="12"/>
                <w:color w:val="auto"/>
                <w:w w:val="89"/>
              </w:rPr>
              <w:t>(a)</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80" w:right="280" w:firstLine="4"/>
        <w:spacing w:after="0" w:line="206" w:lineRule="auto"/>
        <w:tabs>
          <w:tab w:leader="none" w:pos="55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1" w:lineRule="exact"/>
        <w:rPr>
          <w:rFonts w:ascii="Times New Roman" w:cs="Times New Roman" w:eastAsia="Times New Roman" w:hAnsi="Times New Roman"/>
          <w:sz w:val="22"/>
          <w:szCs w:val="22"/>
          <w:color w:val="auto"/>
          <w:vertAlign w:val="superscript"/>
        </w:rPr>
      </w:pPr>
    </w:p>
    <w:p>
      <w:pPr>
        <w:ind w:left="560" w:hanging="176"/>
        <w:spacing w:after="0" w:line="227" w:lineRule="auto"/>
        <w:tabs>
          <w:tab w:leader="none" w:pos="56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January 2023, our board of directors authorized a new share repurchase program to repurchase up to an additional $3.0 billion of our Common Stock. See Item</w:t>
      </w:r>
    </w:p>
    <w:p>
      <w:pPr>
        <w:ind w:left="3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7. "Liquidity and Capital Resources - Share Repurchase Programs" for further details.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and Results of Operations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related notes included elsewhere in this report. Refer to Part II, Item 7 in our Annual Report on Form 10-K for the fiscal year ended December 31, 2021 (filed with the SEC on February 7, 2022) for additional discussion of our financial condition and results of operations for the year ended December 31, 2020, as well as our financial condition and results of operations for the year ended December 31, 2021 compared to the year ended December 31, 2020.</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pain, hematologic conditions, infectious diseases, and rare diseases.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have nine FDA-approved products that have received marketing approval and approximately 35 product candidates in clinical development, almost all of which were homegrown in our laboratories. In addition, REGEN-COV was authorized under an EUA for COVID-19 from November 2020 until January 2022 when the EUA was revised to exclude its use in geographic regions where infection or exposure is likely due to a variant that is not susceptible to the treatment (see Part I, Item 1. "Business - Additional Information - Clinical Development Programs"). Refer to Part I, Item 1. "Business - Products" and "Business - Programs in Clinical Development" for additional information related to marketed products and product candidates.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continued success in commercializing EYLEA and Dupixent, as well as on whether we are able to obtain regulatory approval for aflibercept 8 mg and are successful in commercializing it. We expect to continue to incur substantial expenses related to our research and development activities, a portion of which we expect to be reimbursed by our collaborators. In addition, our research and development activities and related costs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management to make estimates and assumptions that affect reported amounts and related disclosures in the financial statements. Critical accounting estimates are those estimates made in accordance with GAAP that involve a significant level of estimation uncertainty and have had or are reasonably likely to have a material impact on our results of operations or financial condition.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Product Revenue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from product sales at a point in time when our customer is deemed to have obtained control of the product, which generally occurs upon receipt or acceptance by our customer. 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to which we will be entitled. This estimate is based upon contracts with customers, healthcare providers, payors and government agencies, statutorily-defined discounts applicable to government-funded programs, historical experience, estimated payor mix, and other relevant factors. Calculating these provisions involves estimates and judgments. We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review our estimates of rebates, chargebacks, and other applicable provisions each period and record any necessary adjustments in the current period's net product sales. Refer to the "Results of Operations - Revenues - Net Product Sales" section below for further details regarding our provisions, and credits/payments, for sales-related deductions.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various collaborative arrangements to research, develop, manufacture, and commercialize products and/or product candidates. Our collaboration agreements may require us to deliver various rights, services, and/or goods across the entire life cycle of a product or product candidate. In agreements involving multiple goods or services promised to be transferred to our collaborator, we must assess, at the inception of the contract, whether each promise represents a separate obligation (i.e.,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(i.e., over time) typically using an input method on the basis of our research and development costs incurred relative to the total expected cost which determines the extent of our progress toward completion (see "Results of Operations - Expenses - Other Operating (Income) Expense" below for further information related to amounts recognized in connection with such estimates). We review our estimates each period and make revisions to such estimates as necessary. Due to the variability in the scope of activities and length of time necessary to develop a drug product, potential delays in development programs, changes to development plans and budgets as programs progress, including if we and our collaborators decide to expand or contract our clinical plans for a drug candidate in various disease indications, and uncertainty in the ultimate requirements to obtain governmental approval for commercialization, revisions to our estimates are likely to occur periodically, potentially resulting in material changes to amounts recognized.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collaborator performs research and development work or commercialization-related activities and the parties share the related costs, we also recognize, as expense (e.g.,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The estimates are revised, if necessary, in subsequent periods if actual expenses differ from those estimates.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94" w:lineRule="exact"/>
        <w:rPr>
          <w:sz w:val="20"/>
          <w:szCs w:val="20"/>
          <w:color w:val="auto"/>
        </w:rPr>
      </w:pPr>
    </w:p>
    <w:p>
      <w:pPr>
        <w:jc w:val="both"/>
        <w:ind w:left="660" w:hanging="328"/>
        <w:spacing w:after="0" w:line="25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commercial product to our collaborator, we may be reimbursed for our manufacturing costs as commercial product is shipped to the collaborator (however, recognition of such cost reimbursements may be deferred until the product is sold by our collaborator to third-party customers);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royalties and/or sales-based milestone payments from our collaborator, we recognize such amounts in the period earned.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collaborators provide us with estimates of product sales and our share of profits or losses, as applicable, for each quarter. The estimates are revised, if necessary, in subsequent periods if our actual share of profits or losses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stock-based compensation expense for equity grants under our long-term incentive plans to employees and non-employee members of our board of directors (as applicable)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This estimate is revised, if necessary, in subsequent periods if actual forfeitures differ from those estimates. In addition, we reassess our forfeiture rate assumptions at least annually, considering both historical forfeiture experience and an estimate of future forfeitures for currently outstanding unvested awards. The assumptions used in computing the fair value of equity awards reflect our best estimates but involve uncertainties related to market and other conditions, many of which are outside our control. Changes in any of these assumptions may materially affect the fair value of awards granted and the amount of stock-based compensation recognized in future periods.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with maturities approximating the options' expected lives. Expected volatility is estimated based on actual movements in our stock price over the most recent historical periods equivalent to the options' expected lives. Expected lives are principally based on our historical exercise experience with previously issued employee and board of director option grants. The expected dividend yield is zero as we have never paid dividends and do not currently anticipate paying any in the foreseeable future.</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a Monte Carlo simulation to compute the estimated fair value of performance-based restricted stock units that are subject to vesting based on the Company's attainment of pre-established performance criteria that include a market condition.</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contain a performance condition, we recognize stock-based compensation expense if and when we determine that it is probable the performance condition will be achieved (based on the number of shares expected to be vested and issued). We reassess the probability of achievement at each reporting period and adjust compensation cost, as necessary. If there are any changes in our probability assessment, we recognize a cumulative catch-up adjustment in the period of the change in estimate, with the remaining unrecognized expense recognized prospectively over the remaining requisite service period. If we subsequently determine that the performance criteria are not met or are not expected to be met, any amounts previously recognized as compensation expense are reversed in the period when such determination is made.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13 to our Consolidated Financial Statements for stock-based compensation expense and related assumptions used in determining the fair value of our awards.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future tax consequences of events that have been included in the financial statements or tax returns, including deferred tax assets and liabilities for expected amounts of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amount of the liability to reflect any subsequent changes in the relevant facts and circumstances surrounding the uncertain tax positions.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analyze our inventory levels to identify inventory that may expire prior to expected sale or has a cost basis in excess of its estimated realizable value, and write 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write down such inventory to its estimated realizable value.</w:t>
      </w:r>
    </w:p>
    <w:p>
      <w:pPr>
        <w:spacing w:after="0" w:line="99" w:lineRule="exact"/>
        <w:rPr>
          <w:sz w:val="20"/>
          <w:szCs w:val="20"/>
          <w:color w:val="auto"/>
        </w:rPr>
      </w:pPr>
    </w:p>
    <w:p>
      <w:pPr>
        <w:ind w:right="1180"/>
        <w:spacing w:after="0" w:line="422" w:lineRule="auto"/>
        <w:rPr>
          <w:sz w:val="20"/>
          <w:szCs w:val="20"/>
          <w:color w:val="auto"/>
        </w:rPr>
      </w:pPr>
      <w:r>
        <w:rPr>
          <w:rFonts w:ascii="Times New Roman" w:cs="Times New Roman" w:eastAsia="Times New Roman" w:hAnsi="Times New Roman"/>
          <w:sz w:val="18"/>
          <w:szCs w:val="18"/>
          <w:color w:val="auto"/>
        </w:rPr>
        <w:t xml:space="preserve">See "Results of Operations - Expenses - Cost of Goods Sold" below for further information related to our inventory write-offs and reserves. </w:t>
      </w:r>
      <w:r>
        <w:rPr>
          <w:rFonts w:ascii="Times New Roman" w:cs="Times New Roman" w:eastAsia="Times New Roman" w:hAnsi="Times New Roman"/>
          <w:sz w:val="18"/>
          <w:szCs w:val="18"/>
          <w:b w:val="1"/>
          <w:bCs w:val="1"/>
          <w:i w:val="1"/>
          <w:iCs w:val="1"/>
          <w:color w:val="auto"/>
        </w:rPr>
        <w:t>Intangible Assets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acquired in connection with an asset acquisition are recorded at cost. Intangible assets are amortized over the estimated useful lives of the assets based on the pattern in which the economic benefits of the intangible assets are consumed; if that pattern cannot be reliably determined, a straight-line basis is used. If contingent consideration is recognized subsequent to the acquisition date in an asset acquisition, the amount of such consideration is recorded as an addition to the cost basis of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 with a cumulative catch-up adjustment for amortization expense as if the additional amount of consideration had been accrued from the outset of the acquisition.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intangible assets are reviewed for recoverability whenever events or changes in circumstances (e.g., changes in economic, regulatory, or legal conditions) indicate that the carrying amount of the asset may not be recoverable. If an indicator of impairment exists, we compare the projected undiscounted cash flows to be generated by the asset to the intangible asset's carrying amount. If the projected undiscounted cash flows of the intangible asset are less than the carrying amount, the intangible asset is written down to its fair value in the period in which the impairment occurs.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Part I, Item 1. "Business - Collaboration, License, and Other Agreements - Sanofi - Immuno-Oncology," effective July 1, 2022, the Company obtained the exclusive right to develop, commercialize, and manufacture Libtayo worldwide under the A&amp;R IO LCA with Sanofi. The transaction was accounted for as an asset acquisition and amounts paid to Sanofi in connection with obtaining the worldwide rights to Libtayo, including the up-front payment and any contingent consideration, are recorded as an intangible asset. Due to the complexity of the terms of the amendments to the collaboration agreements in contemplation of the acquisition of the worldwide rights to Libtayo, significant judgment was applied in identifying the elements of the transaction and evaluating the timing and recognition of contingent consideration.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to our Consolidated Financial Statements for further information related to our intangible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62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2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8,497.1</w:t>
            </w:r>
          </w:p>
        </w:tc>
        <w:tc>
          <w:tcPr>
            <w:tcW w:w="162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162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1620" w:type="dxa"/>
            <w:vAlign w:val="bottom"/>
          </w:tcPr>
          <w:p>
            <w:pPr>
              <w:spacing w:after="0"/>
              <w:rPr>
                <w:sz w:val="19"/>
                <w:szCs w:val="19"/>
                <w:color w:val="auto"/>
              </w:rPr>
            </w:pPr>
          </w:p>
        </w:tc>
      </w:tr>
      <w:tr>
        <w:trPr>
          <w:trHeight w:val="229"/>
        </w:trPr>
        <w:tc>
          <w:tcPr>
            <w:tcW w:w="162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2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3,810.4</w:t>
            </w:r>
          </w:p>
        </w:tc>
        <w:tc>
          <w:tcPr>
            <w:tcW w:w="1620" w:type="dxa"/>
            <w:vAlign w:val="bottom"/>
          </w:tcPr>
          <w:p>
            <w:pPr>
              <w:spacing w:after="0"/>
              <w:rPr>
                <w:sz w:val="19"/>
                <w:szCs w:val="19"/>
                <w:color w:val="auto"/>
              </w:rPr>
            </w:pPr>
          </w:p>
        </w:tc>
      </w:tr>
      <w:tr>
        <w:trPr>
          <w:trHeight w:val="229"/>
        </w:trPr>
        <w:tc>
          <w:tcPr>
            <w:tcW w:w="162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620" w:type="dxa"/>
            <w:vAlign w:val="bottom"/>
          </w:tcPr>
          <w:p>
            <w:pPr>
              <w:spacing w:after="0"/>
              <w:rPr>
                <w:sz w:val="19"/>
                <w:szCs w:val="19"/>
                <w:color w:val="auto"/>
              </w:rPr>
            </w:pPr>
          </w:p>
        </w:tc>
      </w:tr>
      <w:tr>
        <w:trPr>
          <w:trHeight w:val="248"/>
        </w:trPr>
        <w:tc>
          <w:tcPr>
            <w:tcW w:w="16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62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7"/>
        </w:trPr>
        <w:tc>
          <w:tcPr>
            <w:tcW w:w="16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162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620" w:type="dxa"/>
            <w:vAlign w:val="bottom"/>
          </w:tcPr>
          <w:p>
            <w:pPr>
              <w:spacing w:after="0"/>
              <w:rPr>
                <w:sz w:val="19"/>
                <w:szCs w:val="19"/>
                <w:color w:val="auto"/>
              </w:rPr>
            </w:pPr>
          </w:p>
        </w:tc>
      </w:tr>
      <w:tr>
        <w:trPr>
          <w:trHeight w:val="797"/>
        </w:trPr>
        <w:tc>
          <w:tcPr>
            <w:tcW w:w="1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8"/>
        </w:trPr>
        <w:tc>
          <w:tcPr>
            <w:tcW w:w="16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 vs. 2020</w:t>
            </w:r>
          </w:p>
        </w:tc>
      </w:tr>
      <w:tr>
        <w:trPr>
          <w:trHeight w:val="210"/>
        </w:trPr>
        <w:tc>
          <w:tcPr>
            <w:tcW w:w="14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14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 - 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w:t>
            </w: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 U.S.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 ROW</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 w:type="dxa"/>
            <w:vAlign w:val="bottom"/>
          </w:tcPr>
          <w:p>
            <w:pPr>
              <w:spacing w:after="0"/>
              <w:rPr>
                <w:sz w:val="19"/>
                <w:szCs w:val="19"/>
                <w:color w:val="auto"/>
              </w:rPr>
            </w:pPr>
          </w:p>
        </w:tc>
        <w:tc>
          <w:tcPr>
            <w:tcW w:w="37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Praluent - U.S.</w:t>
            </w:r>
            <w:r>
              <w:rPr>
                <w:rFonts w:ascii="Times New Roman" w:cs="Times New Roman" w:eastAsia="Times New Roman" w:hAnsi="Times New Roman"/>
                <w:sz w:val="23"/>
                <w:szCs w:val="23"/>
                <w:color w:val="auto"/>
                <w:vertAlign w:val="superscript"/>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REGEN-COV - U.S.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5,642.3</w:t>
            </w:r>
          </w:p>
        </w:tc>
      </w:tr>
      <w:tr>
        <w:trPr>
          <w:trHeight w:val="230"/>
        </w:trPr>
        <w:tc>
          <w:tcPr>
            <w:tcW w:w="14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Evkeeza - U.S.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Inmazeb - U.S.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 w:type="dxa"/>
            <w:vAlign w:val="bottom"/>
          </w:tcPr>
          <w:p>
            <w:pPr>
              <w:spacing w:after="0"/>
              <w:rPr>
                <w:sz w:val="19"/>
                <w:szCs w:val="19"/>
                <w:color w:val="auto"/>
              </w:rPr>
            </w:pPr>
          </w:p>
        </w:tc>
        <w:tc>
          <w:tcPr>
            <w:tcW w:w="37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ARCALYST - U.S.</w:t>
            </w:r>
            <w:r>
              <w:rPr>
                <w:rFonts w:ascii="Times New Roman" w:cs="Times New Roman" w:eastAsia="Times New Roman" w:hAnsi="Times New Roman"/>
                <w:sz w:val="23"/>
                <w:szCs w:val="23"/>
                <w:color w:val="auto"/>
                <w:vertAlign w:val="superscript"/>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0" w:type="dxa"/>
            <w:vAlign w:val="bottom"/>
          </w:tcPr>
          <w:p>
            <w:pPr>
              <w:spacing w:after="0"/>
              <w:rPr>
                <w:sz w:val="19"/>
                <w:szCs w:val="19"/>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6,541.4</w:t>
            </w:r>
          </w:p>
        </w:tc>
      </w:tr>
      <w:tr>
        <w:trPr>
          <w:trHeight w:val="95"/>
        </w:trPr>
        <w:tc>
          <w:tcPr>
            <w:tcW w:w="1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Sanofi</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w:t>
            </w: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29"/>
        </w:trPr>
        <w:tc>
          <w:tcPr>
            <w:tcW w:w="14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Roche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 w:type="dxa"/>
            <w:vAlign w:val="bottom"/>
          </w:tcPr>
          <w:p>
            <w:pPr>
              <w:spacing w:after="0"/>
              <w:rPr>
                <w:sz w:val="19"/>
                <w:szCs w:val="19"/>
                <w:color w:val="auto"/>
              </w:rPr>
            </w:pPr>
          </w:p>
        </w:tc>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48"/>
        </w:trPr>
        <w:tc>
          <w:tcPr>
            <w:tcW w:w="14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7,566.4</w:t>
            </w:r>
          </w:p>
        </w:tc>
      </w:tr>
      <w:tr>
        <w:trPr>
          <w:trHeight w:val="20"/>
        </w:trPr>
        <w:tc>
          <w:tcPr>
            <w:tcW w:w="14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460" w:hanging="97"/>
        <w:spacing w:after="0"/>
        <w:tabs>
          <w:tab w:leader="none" w:pos="46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Not meaningful</w:t>
      </w:r>
    </w:p>
    <w:p>
      <w:pPr>
        <w:ind w:left="520" w:hanging="157"/>
        <w:spacing w:after="0" w:line="196" w:lineRule="auto"/>
        <w:tabs>
          <w:tab w:leader="none" w:pos="5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product sales of Praluent in the United States were recorded by Sanofi prior to April 1, 2020.</w:t>
      </w:r>
    </w:p>
    <w:p>
      <w:pPr>
        <w:spacing w:after="0" w:line="23" w:lineRule="exact"/>
        <w:rPr>
          <w:rFonts w:ascii="Times New Roman" w:cs="Times New Roman" w:eastAsia="Times New Roman" w:hAnsi="Times New Roman"/>
          <w:sz w:val="23"/>
          <w:szCs w:val="23"/>
          <w:color w:val="auto"/>
          <w:vertAlign w:val="superscript"/>
        </w:rPr>
      </w:pPr>
    </w:p>
    <w:p>
      <w:pPr>
        <w:ind w:left="360" w:right="940" w:firstLine="3"/>
        <w:spacing w:after="0" w:line="205" w:lineRule="auto"/>
        <w:tabs>
          <w:tab w:leader="none" w:pos="576"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Effective April 1, 2021, Kiniksa records net product sales of ARCALYST in the United States. Previously, the Company recorded net product sales of ARCALYST in the 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 sales of EYLEA in the United States increased in 2022, compared to 2021, due to higher sales volume partly offset by an increase in sales-related deductions.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Part I, Item. 1. "Business - Collaboration, License, and Other Agreements - Sanofi - Immuno-oncology", effective July 1, 2022, the Company became solely responsible for the research, development, and commercialization of Libtayo worldwide and began recording net product sales of Libtayo outside the United States.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years ended December 31, 2021 and 2020, we recorded net product sales of REGEN-COV in connection with our agreements with the U.S. government. As of December 31, 2021, the Company had completed its final deliveries of drug product under its agreements with the U.S. government; as a result, there were no net product sales of REGEN-COV in the United States recorded during the year ended December 31, 2022. Refer to Part I, Item 1. "Business - Agreements Related to COVID-19 - </w:t>
      </w:r>
      <w:r>
        <w:rPr>
          <w:rFonts w:ascii="Times New Roman" w:cs="Times New Roman" w:eastAsia="Times New Roman" w:hAnsi="Times New Roman"/>
          <w:sz w:val="18"/>
          <w:szCs w:val="18"/>
          <w:i w:val="1"/>
          <w:iCs w:val="1"/>
          <w:color w:val="auto"/>
        </w:rPr>
        <w:t>U.S. Government</w:t>
      </w:r>
      <w:r>
        <w:rPr>
          <w:rFonts w:ascii="Times New Roman" w:cs="Times New Roman" w:eastAsia="Times New Roman" w:hAnsi="Times New Roman"/>
          <w:sz w:val="18"/>
          <w:szCs w:val="18"/>
          <w:color w:val="auto"/>
        </w:rPr>
        <w:t>" for further details.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80" w:type="dxa"/>
            <w:vAlign w:val="bottom"/>
          </w:tcPr>
          <w:p>
            <w:pPr>
              <w:spacing w:after="0"/>
              <w:rPr>
                <w:sz w:val="17"/>
                <w:szCs w:val="17"/>
                <w:color w:val="auto"/>
              </w:rPr>
            </w:pPr>
          </w:p>
        </w:tc>
        <w:tc>
          <w:tcPr>
            <w:tcW w:w="13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20" w:type="dxa"/>
            <w:vAlign w:val="bottom"/>
          </w:tcPr>
          <w:p>
            <w:pPr>
              <w:spacing w:after="0"/>
              <w:rPr>
                <w:sz w:val="17"/>
                <w:szCs w:val="17"/>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Chargebacks,</w:t>
            </w: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Related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and Discounts</w:t>
            </w:r>
          </w:p>
        </w:tc>
        <w:tc>
          <w:tcPr>
            <w:tcW w:w="180" w:type="dxa"/>
            <w:vAlign w:val="bottom"/>
          </w:tcPr>
          <w:p>
            <w:pPr>
              <w:spacing w:after="0"/>
              <w:rPr>
                <w:sz w:val="19"/>
                <w:szCs w:val="19"/>
                <w:color w:val="auto"/>
              </w:rPr>
            </w:pPr>
          </w:p>
        </w:tc>
        <w:tc>
          <w:tcPr>
            <w:tcW w:w="13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120" w:type="dxa"/>
            <w:vAlign w:val="bottom"/>
          </w:tcPr>
          <w:p>
            <w:pPr>
              <w:spacing w:after="0"/>
              <w:rPr>
                <w:sz w:val="19"/>
                <w:szCs w:val="19"/>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1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6420" w:type="dxa"/>
            <w:vAlign w:val="bottom"/>
            <w:gridSpan w:val="9"/>
          </w:tcPr>
          <w:p>
            <w:pPr>
              <w:ind w:left="220"/>
              <w:spacing w:after="0" w:line="184"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antibodies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785.2</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940" w:type="dxa"/>
            <w:vAlign w:val="bottom"/>
            <w:gridSpan w:val="6"/>
          </w:tcPr>
          <w:p>
            <w:pPr>
              <w:ind w:left="2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Antibody</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2,844.4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1,203.2</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360" w:type="dxa"/>
            <w:vAlign w:val="bottom"/>
            <w:gridSpan w:val="3"/>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gridSpan w:val="2"/>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20" w:type="dxa"/>
            <w:vAlign w:val="bottom"/>
            <w:gridSpan w:val="2"/>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0" w:type="dxa"/>
            <w:vAlign w:val="bottom"/>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Immuno-oncology</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100" w:right="1160" w:firstLine="6"/>
        <w:spacing w:after="0" w:line="204" w:lineRule="auto"/>
        <w:tabs>
          <w:tab w:leader="none" w:pos="127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Corresponding costs incurred by the Company in connection with such production is recorded within Cost of collaboration and contract manufacturing</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A&amp;R IO LCA became effective July 1, 2022, the three months ended June 30, 2022 was the last period in which Sanofi collaboration revenue was recognized in connection with the immuno-oncology collaborative arrangement.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Antibody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Global net product sales of Dupixent and Kevzara are recorded by Sanofi. The increase in our share of profits in connection with commercialization of antibodies during the year ended December 31, 2022, compared to 2021, was driven by profits associated with higher Dupixent sales, partly offset by the impact of the amendment to the Antibody License and Collaboration Agreement. As described in Part I, Item 1. "Business - Collaboration, License, and Other Agreements - Sanofi - Antibody", on July 1, 2022, an amendment to the Antibody License and Collaboration Agreement became effective, pursuant to which the percentage of Regeneron's share of profits in any calendar quarter used to reimburse Sanofi for development costs which were funded by Sanofi increased from 10% to 20%. In addition,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Praluent (through March 31, 2020), and Kevzara is summarized below:</w:t>
      </w:r>
    </w:p>
    <w:p>
      <w:pPr>
        <w:spacing w:after="0" w:line="275"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Dupixent, Praluent, and Kevzara net product sales</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9,039.2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2,405.5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1,511.5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871.5</w:t>
            </w: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accordance with Regeneron's payment obligation</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175"/>
        </w:trPr>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payment in connection with amendment to the Antibody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and Collaboration Agreement</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3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w:t>
            </w: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785.2</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antibodies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collaboration profits as a percentage of Dupixent,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Praluent, and Kevzara net product sales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20" w:right="1480" w:hanging="2"/>
        <w:spacing w:after="0" w:line="204" w:lineRule="auto"/>
        <w:tabs>
          <w:tab w:leader="none" w:pos="169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Global net product sales of Dupixent and Kevzara are recorded by Sanofi. The quarter ended March 31, 2020 was the last quarter for which Sanofi and the Company shared profits and losses in connection with Sanofi's global net sales and the related commercialization of Praluent (see further details below); therefore, the quarter ended March 31, 2020 was the last quarter for which net product sales of Praluent were included in the table above.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Part I, Item 1. "Business - Collaboration, License, and Other Agreements - Sanofi - Antibody", effective April 1, 2020, the Company became solely responsible for the development and commercialization of Praluent in the United States. Under the new agreement, Sanofi is solely responsible for the development and commercialization of Praluent outside of the United States, and pays the Company a 5% royalty on Sanofi’s net product sales of Praluent outside the United States.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year ended December 31, 2022, we earned two $50.0 million sales-based milestones from Sanofi, upon aggregate annual sales of antibodies outside the United States (including Praluent) exceeding $2.0 billion and $2.5 billion, respectively, on a rolling twelve-month basis. During the year ended December 31, 2021, we earned a $50.0 million sales-based milestone from Sanofi, upon aggregate annual sales of antibodies outside the United States (including Praluent) exceeding $1.5 billion on a rolling twelve-month basis. We are entitled to receive the final sales milestone payment of $50.0 million that would be earned when such sales outside the United States exceed $3.0 billion on a rolling twelve-month basis.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reimbursements for manufacturing of commercial supplies in 2022, compared to 2021, was primarily due to higher Dupixent sales, as revenue for such cost reimbursements is recognized when the product is sold by Sanofi to third-party customers.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12"/>
        </w:trPr>
        <w:tc>
          <w:tcPr>
            <w:tcW w:w="10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1040" w:type="dxa"/>
            <w:vAlign w:val="bottom"/>
          </w:tcPr>
          <w:p>
            <w:pPr>
              <w:spacing w:after="0"/>
              <w:rPr>
                <w:sz w:val="19"/>
                <w:szCs w:val="19"/>
                <w:color w:val="auto"/>
              </w:rPr>
            </w:pPr>
          </w:p>
        </w:tc>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64"/>
        </w:trPr>
        <w:tc>
          <w:tcPr>
            <w:tcW w:w="1040" w:type="dxa"/>
            <w:vAlign w:val="bottom"/>
          </w:tcPr>
          <w:p>
            <w:pPr>
              <w:spacing w:after="0"/>
              <w:rPr>
                <w:sz w:val="14"/>
                <w:szCs w:val="14"/>
                <w:color w:val="auto"/>
              </w:rPr>
            </w:pPr>
          </w:p>
        </w:tc>
        <w:tc>
          <w:tcPr>
            <w:tcW w:w="53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4"/>
        </w:trPr>
        <w:tc>
          <w:tcPr>
            <w:tcW w:w="1040" w:type="dxa"/>
            <w:vAlign w:val="bottom"/>
          </w:tcPr>
          <w:p>
            <w:pPr>
              <w:spacing w:after="0"/>
              <w:rPr>
                <w:sz w:val="20"/>
                <w:szCs w:val="20"/>
                <w:color w:val="auto"/>
              </w:rPr>
            </w:pPr>
          </w:p>
        </w:tc>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EYLEA outside the 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r>
      <w:tr>
        <w:trPr>
          <w:trHeight w:val="229"/>
        </w:trPr>
        <w:tc>
          <w:tcPr>
            <w:tcW w:w="1040" w:type="dxa"/>
            <w:vAlign w:val="bottom"/>
          </w:tcPr>
          <w:p>
            <w:pPr>
              <w:spacing w:after="0"/>
              <w:rPr>
                <w:sz w:val="19"/>
                <w:szCs w:val="19"/>
                <w:color w:val="auto"/>
              </w:rPr>
            </w:pPr>
          </w:p>
        </w:tc>
        <w:tc>
          <w:tcPr>
            <w:tcW w:w="5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ex-U.S. commercial supplies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1040" w:type="dxa"/>
            <w:vAlign w:val="bottom"/>
          </w:tcPr>
          <w:p>
            <w:pPr>
              <w:spacing w:after="0"/>
              <w:rPr>
                <w:sz w:val="19"/>
                <w:szCs w:val="19"/>
                <w:color w:val="auto"/>
              </w:rPr>
            </w:pPr>
          </w:p>
        </w:tc>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payment in connection with change in Japan arrangement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40" w:type="dxa"/>
            <w:vAlign w:val="bottom"/>
          </w:tcPr>
          <w:p>
            <w:pPr>
              <w:spacing w:after="0"/>
              <w:rPr>
                <w:sz w:val="19"/>
                <w:szCs w:val="19"/>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r>
      <w:tr>
        <w:trPr>
          <w:trHeight w:val="20"/>
        </w:trPr>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380" w:right="1460" w:hanging="4"/>
        <w:spacing w:after="0" w:line="199" w:lineRule="auto"/>
        <w:tabs>
          <w:tab w:leader="none" w:pos="155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production is recorded within Cost of collaboration and contract manufacturing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Bayer records net product sales of EYLEA outside the United States. The amount of the share of profits we earned in connection with commercialization of EYLEA outside the United States was adversely impacted in 2022 by the U.S. dollar strengthening against foreign currencies, including the Japanese yen and the euro.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outside the United States is summarized below:</w:t>
      </w:r>
    </w:p>
    <w:p>
      <w:pPr>
        <w:spacing w:after="0" w:line="194"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net product sales outside the United States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2,820.7*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 from sales outside the United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1,408.3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1,165.8</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accordance with Regeneron's payment obligation</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156"/>
        </w:trPr>
        <w:tc>
          <w:tcPr>
            <w:tcW w:w="5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1,349.2</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1,107.9</w:t>
            </w:r>
          </w:p>
        </w:tc>
        <w:tc>
          <w:tcPr>
            <w:tcW w:w="0" w:type="dxa"/>
            <w:vAlign w:val="bottom"/>
          </w:tcPr>
          <w:p>
            <w:pPr>
              <w:spacing w:after="0"/>
              <w:rPr>
                <w:sz w:val="1"/>
                <w:szCs w:val="1"/>
                <w:color w:val="auto"/>
              </w:rPr>
            </w:pPr>
          </w:p>
        </w:tc>
      </w:tr>
      <w:tr>
        <w:trPr>
          <w:trHeight w:val="221"/>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EYLEA outside the United States</w:t>
            </w: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EYLEA net product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outside the United States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380" w:right="1160" w:hanging="4"/>
        <w:spacing w:after="0" w:line="202" w:lineRule="auto"/>
        <w:tabs>
          <w:tab w:leader="none" w:pos="1479"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Roche Collaboration Revenue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Part I, Item 1. "Business - Agreements Related to COVID-19 - Roche", Roche distributes and records net product sales of Ronapreve outside the United States, and the parties share gross profits from worldwide sales of REGEN-COV and Ronapreve,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collaboration revenue. If Regeneron is to make a true-up payment to Roche, such amount will be recorded to Cost of goods sold.</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$627.3 million and $361.8 million, respectively, of global gross profit payments from Roche within collaboration revenue.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 increased in 2022, compared to 2021, primarily due to higher reimbursements for the manufacture of commercial supplies for Sanofi related to Praluent outside the United States.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1"/>
        </w:trPr>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4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 vs. 2020</w:t>
            </w:r>
          </w:p>
        </w:tc>
      </w:tr>
      <w:tr>
        <w:trPr>
          <w:trHeight w:val="223"/>
        </w:trPr>
        <w:tc>
          <w:tcPr>
            <w:tcW w:w="54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30"/>
        </w:trPr>
        <w:tc>
          <w:tcPr>
            <w:tcW w:w="54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540" w:type="dxa"/>
            <w:vAlign w:val="bottom"/>
          </w:tcPr>
          <w:p>
            <w:pPr>
              <w:spacing w:after="0"/>
              <w:rPr>
                <w:sz w:val="19"/>
                <w:szCs w:val="19"/>
                <w:color w:val="auto"/>
              </w:rPr>
            </w:pPr>
          </w:p>
        </w:tc>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r>
      <w:tr>
        <w:trPr>
          <w:trHeight w:val="229"/>
        </w:trPr>
        <w:tc>
          <w:tcPr>
            <w:tcW w:w="54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r>
      <w:tr>
        <w:trPr>
          <w:trHeight w:val="181"/>
        </w:trPr>
        <w:tc>
          <w:tcPr>
            <w:tcW w:w="540" w:type="dxa"/>
            <w:vAlign w:val="bottom"/>
          </w:tcPr>
          <w:p>
            <w:pPr>
              <w:spacing w:after="0"/>
              <w:rPr>
                <w:sz w:val="15"/>
                <w:szCs w:val="15"/>
                <w:color w:val="auto"/>
              </w:rPr>
            </w:pPr>
          </w:p>
        </w:tc>
        <w:tc>
          <w:tcPr>
            <w:tcW w:w="3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Cost of collaboration and contract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8"/>
        </w:trPr>
        <w:tc>
          <w:tcPr>
            <w:tcW w:w="540" w:type="dxa"/>
            <w:vAlign w:val="bottom"/>
          </w:tcPr>
          <w:p>
            <w:pPr>
              <w:spacing w:after="0"/>
              <w:rPr>
                <w:sz w:val="20"/>
                <w:szCs w:val="20"/>
                <w:color w:val="auto"/>
              </w:rPr>
            </w:pPr>
          </w:p>
        </w:tc>
        <w:tc>
          <w:tcPr>
            <w:tcW w:w="364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manufacturing</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54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48"/>
        </w:trPr>
        <w:tc>
          <w:tcPr>
            <w:tcW w:w="54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2,204.4</w:t>
            </w:r>
          </w:p>
        </w:tc>
      </w:tr>
      <w:tr>
        <w:trPr>
          <w:trHeight w:val="20"/>
        </w:trPr>
        <w:tc>
          <w:tcPr>
            <w:tcW w:w="54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30"/>
        </w:trPr>
        <w:tc>
          <w:tcPr>
            <w:tcW w:w="54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bl>
    <w:p>
      <w:pPr>
        <w:spacing w:after="0" w:line="40" w:lineRule="exact"/>
        <w:rPr>
          <w:sz w:val="20"/>
          <w:szCs w:val="20"/>
          <w:color w:val="auto"/>
        </w:rPr>
      </w:pPr>
    </w:p>
    <w:p>
      <w:pPr>
        <w:ind w:left="900" w:hanging="179"/>
        <w:spacing w:after="0"/>
        <w:tabs>
          <w:tab w:leader="none" w:pos="90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costs incurred net of any cost reimbursements from collaborators who are not deemed to be our customers</w:t>
      </w:r>
    </w:p>
    <w:p>
      <w:pPr>
        <w:spacing w:after="0" w:line="23" w:lineRule="exact"/>
        <w:rPr>
          <w:rFonts w:ascii="Times New Roman" w:cs="Times New Roman" w:eastAsia="Times New Roman" w:hAnsi="Times New Roman"/>
          <w:sz w:val="23"/>
          <w:szCs w:val="23"/>
          <w:color w:val="auto"/>
          <w:vertAlign w:val="superscript"/>
        </w:rPr>
      </w:pPr>
    </w:p>
    <w:p>
      <w:pPr>
        <w:ind w:left="720" w:right="560" w:firstLine="1"/>
        <w:spacing w:after="0" w:line="194" w:lineRule="auto"/>
        <w:tabs>
          <w:tab w:leader="none" w:pos="897"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Cost of collaboration and contract manufacturing includes costs we incur in connection with producing commercial drug supplies for collaborators and others.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 2022, 2021, and 2020 included a total of $725.0 million, $601.7 million, and $432.0 million, respectively, of stock-based compensation expense related to equity awards granted under our long-term incentive plans. As of December 31, 2022, unrecognized stock-based compensation expense related to unvested stock options and unvested restricted stock (including performance-based restricted stock units) was $572.0 million and $1.064 billion, respectively. We expect to recognize this stock-based compensation expense related to stock options and restricted stock over weighted-average periods of 1.8 years and 2.6 years,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(see "Critical Accounting Policies and Use of Estimates - Inventories" above).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63"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0"/>
                <w:szCs w:val="20"/>
                <w:color w:val="auto"/>
              </w:rPr>
            </w:pPr>
          </w:p>
        </w:tc>
        <w:tc>
          <w:tcPr>
            <w:tcW w:w="26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line="223"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line="223" w:lineRule="exact"/>
              <w:rPr>
                <w:sz w:val="20"/>
                <w:szCs w:val="20"/>
                <w:color w:val="auto"/>
              </w:rPr>
            </w:pPr>
            <w:r>
              <w:rPr>
                <w:rFonts w:ascii="Times New Roman" w:cs="Times New Roman" w:eastAsia="Times New Roman" w:hAnsi="Times New Roman"/>
                <w:sz w:val="18"/>
                <w:szCs w:val="18"/>
                <w:b w:val="1"/>
                <w:bCs w:val="1"/>
                <w:color w:val="auto"/>
              </w:rPr>
              <w:t>2020</w:t>
            </w:r>
            <w:r>
              <w:rPr>
                <w:rFonts w:ascii="Times New Roman" w:cs="Times New Roman" w:eastAsia="Times New Roman" w:hAnsi="Times New Roman"/>
                <w:sz w:val="23"/>
                <w:szCs w:val="23"/>
                <w:b w:val="1"/>
                <w:bCs w:val="1"/>
                <w:color w:val="auto"/>
                <w:vertAlign w:val="superscript"/>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 vs. 2020</w:t>
            </w: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 and aflibercept 8 mg</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Pozelimab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Odronextamab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Linvoseltamab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REGEN-COV</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175"/>
        </w:trPr>
        <w:tc>
          <w:tcPr>
            <w:tcW w:w="43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3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research programs</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75"/>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176"/>
        </w:trPr>
        <w:tc>
          <w:tcPr>
            <w:tcW w:w="43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Lab supplies and other research and development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142"/>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95"/>
        </w:trPr>
        <w:tc>
          <w:tcPr>
            <w:tcW w:w="4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collaborators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95"/>
        </w:trPr>
        <w:tc>
          <w:tcPr>
            <w:tcW w:w="43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600" w:hanging="102"/>
        <w:spacing w:after="0"/>
        <w:tabs>
          <w:tab w:leader="none" w:pos="60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200" w:lineRule="exact"/>
        <w:rPr>
          <w:rFonts w:ascii="Times New Roman" w:cs="Times New Roman" w:eastAsia="Times New Roman" w:hAnsi="Times New Roman"/>
          <w:sz w:val="23"/>
          <w:szCs w:val="23"/>
          <w:color w:val="auto"/>
          <w:vertAlign w:val="superscript"/>
        </w:rPr>
      </w:pPr>
    </w:p>
    <w:p>
      <w:pPr>
        <w:spacing w:after="0" w:line="219"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research and development expenses increased in 2022, compared to 2021, partially due to the impact of the amendments to the Sanofi collaboration agreements described above in Part I, Item 1. "Business - Collaboration, License, and Other Agreements - Sanofi," as (i) Sanofi is no longer reimbursing us for 50% of Libtayo development costs, and (ii) effective July 1, 2022, we recognize our 50% share of research and development expenses in connection with the Sanofi Antibody Collaboration.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$406.8 million and $316.6 million in 2022 and 2021, respectively.</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Reimbursement of research and development expenses by collaborators included reimbursements from Roche related to REGEN-COV of $128.1 million for the year ended December 31, 2021. For the year ended December 31, 2022, such reimbursements from Roche related to REGEN-COV were not material.</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IPR&amp;D in 2022 included a $195.0 million charge related to our acquisition of Checkmate, a $30.0 million up-front payment in connection with our collaboration agreement with CytomX Therapeutics, Inc., and a $20.0 million opt-in payment in connection with a product candidate under our collaboration agreement with Adicet Bio, Inc. Acquired IPR&amp;D in 2021 included $34.0 million in aggregate up-front payments in connection with our collaboration agreement with Nykode Therapeutics and in 2020 included $85.0 million in aggregate up-front payments in connection with our collaboration agreement with Intellia.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in 2022, compared to 2021, primarily due to higher headcount and headcount-related costs, an increase in commercialization-related expenses for Libtayo (as effective July 1, 2022, the Company became solely responsible for the commercialization of Libtayo worldwide), and higher contributions to an independent not-for-profit patient assistance organization, partly offset by costs in 2021 for educational campaigns related to COVID-19 that did not recur during 2022. Selling, general, and administrative expenses also included $256.4 million and $213.3 million of stock-based compensation expense in 2022 and 2021,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goods sold decreased in 2022, compared to 2021, primarily due to the Company recognizing REGEN-COV net product sales (and corresponding cost of goods sold) in the United States during 2021 and a 2021 payment of $259.6 million owed in connection with global gross profits under our Roche collaboration agreement; such transactions did not recur in 2022. Cost of goods sold also decreased during 2022 since effective July 1, 2022, as a result of the A&amp;R IO LCA described in Part I, Item 1. "Business - Collaboration, License, and Other Agreements - Sanofi - Immuno-Oncology", we are no longer obligated to pay Sanofi for their share of Libtayo U.S. gross profits (during the six months ended June 30, 2022, Cost of goods sold included $70.1 million related to our obligation for Sanofi's share of Libtayo U.S. gross profits compared to $133.0 million for full year 2021).</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in 2022 also decreased, compared to 2021, due to lower inventory write-offs and reserves. Inventory write-offs and reserves were $258.7 million in 2022 (including $157.4 million in the fourth quarter of 2022) compared to $457.1 million in 2021 (including $269.2 million in the fourth quarter of 2021). These inventory write-offs and reserves were primarily related to REGEN-COV. Refer to Part I, Item 1. "Business - Additional Information - Clinical Development Programs - REGEN-COV (casirivimab and imdevimab)" for further information related to regulatory developments for REGEN-COV which negatively impacted the estimated realizable value of inventory on hand.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collaboration and contract manufacturing increased in 2022, compared to 2021, primarily due to the recognition of costs in connection with manufacturing additional commercial supplies for Sanofi related to Praluent outside the United States and Dupixent, and manufacturing costs associated with EYLEA outside the United States.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(income) expense, net, includes recognition of a portion of amounts previously deferred in connection with up-front and development milestone payments, as applicable, received in connection with Sanofi IO, Teva, and MTPC collaborative arrangements.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discontinued further clinical development of fasinumab, and, as a result, recorded $44.4 million (as an increase to other operating income) related to our Teva and MTPC collaborative arrangements as we deemed our obligation to provide development services in connection with these collaborative arrangements to be complete.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A&amp;R IO LCA became effective July 1, 2022, the three months ended June 30, 2022 was the last period in which such amounts were recognized in connection with our Sanofi immuno-oncology collaborative arrangement. During 2021, we updated our estimate of the total research and development costs expected to be incurred (which resulted in a change to the estimate of the stage of completion) in connection with the Sanofi IO Collaboration, and, as a result, recorded a cumulative catch-up adjustment of $66.9 million as a reduction to other operating income.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consists of the following:</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2"/>
          </w:tcPr>
          <w:p>
            <w:pPr>
              <w:ind w:left="6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on equity securities, net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3"/>
              </w:rPr>
              <w:t>179.3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436.3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(59.4)</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48"/>
        </w:trPr>
        <w:tc>
          <w:tcPr>
            <w:tcW w:w="166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119.9</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379.0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42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660" w:type="dxa"/>
            <w:vAlign w:val="bottom"/>
            <w:vMerge w:val="continue"/>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0"/>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 for 2022, compared to 2021, included a favorable benefit from the proportion of income earned in foreign jurisdictions with tax rates lower than the U.S. federal statutory rate (including the impact from REGEN-COV income earned in the United States during 2021).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9"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29"/>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1,827.3</w:t>
            </w:r>
          </w:p>
        </w:tc>
      </w:tr>
      <w:tr>
        <w:trPr>
          <w:trHeight w:val="230"/>
        </w:trPr>
        <w:tc>
          <w:tcPr>
            <w:tcW w:w="3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48"/>
        </w:trPr>
        <w:tc>
          <w:tcPr>
            <w:tcW w:w="3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12,532.7</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w:t>
            </w:r>
          </w:p>
        </w:tc>
      </w:tr>
      <w:tr>
        <w:trPr>
          <w:trHeight w:val="230"/>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23"/>
        </w:trPr>
        <w:tc>
          <w:tcPr>
            <w:tcW w:w="36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12,742.8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10,082.4</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2,660.4</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3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5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103" w:lineRule="exact"/>
        <w:rPr>
          <w:sz w:val="20"/>
          <w:szCs w:val="20"/>
          <w:color w:val="auto"/>
        </w:rPr>
      </w:pPr>
    </w:p>
    <w:p>
      <w:pPr>
        <w:ind w:left="1540" w:right="1660" w:firstLine="5"/>
        <w:spacing w:after="0" w:line="199" w:lineRule="auto"/>
        <w:tabs>
          <w:tab w:leader="none" w:pos="1643"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$719.7 million related to finance lease liabilities was classified within current liabilities as of December 31, 2021. See "Tarrytown, New York Leases" section below for details.</w:t>
      </w:r>
    </w:p>
    <w:p>
      <w:pPr>
        <w:spacing w:after="0" w:line="2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of December 31, 2022, we also had borrowing availability of $750.0 million under a revolving credit facility (see further description under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below).</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Years Ended December 31, 2022, 2021, and 2020</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 vs. 2020</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5,014.9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7,081.3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(3,784.6)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(5,384.7)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(5,314.1)</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(1,009.0)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(1,005.8)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Accounts receivable had decreased by $707.8 million, compared to December 31, 2021, driven by the Company's collection of amounts due from the U.S. government in connection with REGEN-COV sales in the fourth quarter of 2021. Other non-cash items, net, in 2022 included inventory write-offs and reserves. As of December 31, 2022, deferred tax assets increased by $746.4 million, compared to December 31, 2021, primarily related to the impact of the Tax Cuts and Jobs Act of 2017, which requires, for tax purposes, the capitalization and amortization of research and development expenses effective for years beginning after December 31, 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2021, Accounts receivable had increased by $1.927 billion, compared to December 31, 2020, primarily due to REGEN-COV sales in connection with our September 2021 agreement to supply drug product to the U.S. government. Other non-cash items, net, in 2021 included inventory write-offs and reserves. Accounts payable, accrued expenses, and other liabilities as of December 31, 2021 included a $259.6 million fourth quarter 2021 payment owed in connection with global gross profits under our Roche collaboration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2020</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Accounts receivable had increased by $1.356 billion, compared to December 31, 2019, partly as a result of extending payment terms to EYLEA customers due to the COVID-19 pandemic. Inventories increased as of December 31, 2020, compared to December 31, 2019, partially as a result of purchasing additional raw materials in anticipation of potential disruptions to our supply chain due to the COVID-19 pandemic.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expenditures in 2022 included costs associated with the expansion of our manufacturing facilities in Rensselaer, New York (including the ongoing construction of a fill/finish facility and related equipment) and Limerick, Ireland, as well as costs incurred in connection with the expansion of the Tarrytown, New York campus. We expect to incur capital expenditures of $825 million to $950 million in 2023 primarily in connection with the continued expansion of our research, preclinical manufacturing, and support facilities at our Tarrytown, New York campus and our manufacturing facilities (including the fill/finish facility). We expect continued significant capital expenditures over the next several years in connection with the planned expansion of our Tarrytown, New York campus.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for Libtayo intangible asset of $1.027 billion in 2022 were related to our acquisition of the exclusive right to develop, commercialize, and manufacture Libtayo worldwide.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acquisition, net of cash acquired, of $230.3 million in 2022 was related to our acquisition of Checkmate.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$1.520 billion during 2022, compared to $1.672 billion during 2021 and $2.575 billion during 2020. For additional information related to cash flows from financing activities, see "Share Repurchase Programs", "Sanofi Funding of Certain Development Costs", "Secondary Offering and Purchase of Regeneron Common Stock Held by Sanofi", and "Issuance of Senior Notes" sections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2018, we entered into an agreement with a syndicate of lenders (the "2018 Credit Agreement") which provided for a $750.0 million senior unsecured five-year revolving credit facility. The 2018 Credit Agreement, which was set to mature in December 2023, included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2022, we entered into an agreement with a syndicate of lenders (the "2022 Credit Agreement") which provides for a $750.0 million senior unsecured five-year revolving credit facility (the "2022 Credit Facility") and replaces the 2018 Credit Agreement, which was contemporaneously terminated. The 2022 Credit Agreement includes an option for the Company to elect to increase the commitments under the 2022 Credit Facility and/or to enter into one or more tranches of term loans in the aggregate principal amount of up to $500.0 million, subject to the consent of the lenders providing the additional commitments or term loans, as applicable, and certain other conditions. The 2022 Credit Agreement also provides a $50.0 million sublimit for letters of credit. As set forth in the 2022 Credit Agreement, we have the option to amend the 2022 Credit Agreement to establish environmental, social, and governance targets which will be used to adjust pricing under the 2022 Credit Facility, subject to parameters to be provided in the 2022 Credit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of the loans under the 2022 Credit Facility may be used to finance working capital needs, and for general corporate or other lawful purposes, of Regeneron and its subsidiaries. Regeneron Pharmaceuticals, Inc. has guaranteed all obligations under the 2022 Credit Facility. The 2022 Credit Agreement includes an option for us to elect to extend the maturity date of the 2022 Credit Facility beyond December 2027, subject to the consent of the extending lenders and certain other conditions. Amounts borrowed under the 2022 Credit Facility may be prepaid, and the commitments under the 2022 Credit Facility may be terminated, at any time without premium or penalty.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borrowings outstanding under the 2022 Credit Facility as of December 31, 2022.</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operating covenants and a maximum total leverage ratio financial covenant. We were in compliance with all covenants of the 2022 Credit Agreement as of December 31,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2019, our board of directors authorized a share repurchase program to repurchase up to $1.0 billion of our Common Stock. The share repurchase program permitted the Company to make repurchases through a variety of methods, including open-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2020, the Company had repurchased the entire $1.0 billion of its Common Stock that it was authorized to repurchase under the program.</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2021, our board of directors authorized a share repurchase program to repurchase up to $1.5 billion of our Common Stock. The share repurchase program was approved under terms substantially similar to the November 2019 share repurchase program. As of December 31, 2021, the Company had repurchased the entire $1.5 billion of its Common Stock that it was authorized to repurchase under the program.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The share repurchase program was approved under terms substantially similar to the share repurchase programs described above. The program has no time limit and can be discontinued at any time. As of December 31, 2022, $745.2 million remained available for share repurchases under the November 2021 program.</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our Common Stock we repurchased under the programs described above and the cost of the shares, which were recorded as Treasury Stock.</w:t>
      </w:r>
    </w:p>
    <w:p>
      <w:pPr>
        <w:spacing w:after="0" w:line="117" w:lineRule="exact"/>
        <w:rPr>
          <w:sz w:val="20"/>
          <w:szCs w:val="20"/>
          <w:color w:val="auto"/>
        </w:rPr>
      </w:pPr>
    </w:p>
    <w:tbl>
      <w:tblPr>
        <w:tblLayout w:type="fixed"/>
        <w:tblInd w:w="234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our board of directors authorized a new share repurchase program to repurchase up to an additional $3.0 billion of our Common Stock. The share repurchase program was approved under terms substantially similar to the share repurchase programs described above. The program has no time limit and can be discontinued at any time.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 repurchases may be made from time to time at management's discretion, and the timing and amount of any such repurchases will be determined based on share price, market conditions, legal requirements, and other relevant factors. There can be no assurance as to the timing or number of shares of any repurchases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Funding of Certain Development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 2018 agreement, we agreed to allow Sanofi to satisfy in whole or in part its funding obligations with respect to Libtayo development and/or certain activities relating to dupilumab and itepekimab incurred in periods through September 30, 2020 by selling shares of our Common Stock owned by Sanofi. During 2020, Sanofi elected to sell, and we elected to purchase, shares of our Common Stock to satisfy Sanofi's funding obligation related to such activities. Consequently, we recorded the cost of the shares received, or $135.0 million, as Treasury Stock during 2020.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and Purchase of Regeneron Common Stock Held by Sanofi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2020, a secondary offering of 13,014,646 shares of our Common Stock (the "Secondary Offering") held by Sanofi was completed. In connection with the Secondary Offering, we also purchased 9,806,805 shares of our Common Stock directly from Sanofi for an aggregate purchase amount of $5.0 billion (the "Stock Purchase").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funded the Stock Purchase with a combination of cash on hand, proceeds from the sale of marketable securities, and proceeds from loans under a $1.5 billion senior unsecured bridge loan facility (the "Bridge Facility") which was entered into in May 2020. The Bridge Facility was repaid in August 2020 following the issuance and sale of the Company's senior unsecured notes (as described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Senior Notes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we issued and sold $1.250 billion aggregate principal amount of senior unsecured notes due 2030 (the "2030 Notes") and $750 million aggregate principal amount of senior unsecured notes due 2050 (the "2050 Notes" and, together with the 2030 Notes, the "Notes"). Net proceeds from the issuance and sale of the Notes (after deducting underwriting discounts and offering expenses) were used in part to repay in full the Bridge Facility described above, including accrued interest and related fees and expenses in connection therewith.</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2030 Notes accrue interest at the rate of 1.750% per year and will mature on September 15, 2030. The 2050 Notes accrue interest at the rate of 2.800% per year and will mature on September 15, 2050. Interest on each series of Notes is payable semi-annually in arrears on March 15 and September 15 of each year until their respective maturity dates.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also contain certain limitations on the Company’s ability to incur liens and enter into sale and leaseback transactions, as well as customary events of default.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laboratory and office facilities in Tarrytown, New York (the "Facility"). In 2016, we entered into a Purchase Agreement with the then lessor, pursuant to which we agreed to purchase the Facility for a purchase price of $720.0 million. In March 2017, we entered into a Participation Agreement with BA Leasing BSC, LCC, an affiliate of Banc of America Leasing &amp; Capital, LLC ("BAL"), as lessor, and a syndicate of lenders (collectively with BAL, the "Lease Participants"), which provided for lease financing in connection with the acquisition by BAL of the Facility and our lease of the Facility from BAL. In March 2017, we assigned our right to take title to the Facility under the Purchase Agreement to BAL, and the Lease Participants advanced $720.0 million, which was used by BAL to finance the purchase price for the Facility. Concurrent with entering into the Participation Agreement, we also entered into a lease agreement for the Facility with BAL for a five-year term that was set to expire in March 2022.</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we entered into a Second Amended and Restated Lease and Remedies Agreement (the "Restated Lease") with BAL, as lessor (the "Lessor"), which amends, restates, and extends our lease of the Facility. In March 2022, we also entered into a Second Amended and Restated Participation Agreement (the "Restated Participation Agreement") with Bank of America, N.A., as administrative agent, the Lessor, and a syndicate of financial institutions as rent assignees (collectively with the Lessor, the "Participants"), which amends and restates the original Participation Agreement entered into in March 2017.</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original Participation Agreement and certain related agreements were amended and restated in order to, among other things, (i) effect a five-year extension of the original March 2022 maturity date of the $720.0 million lease financing and the end of the term of our lease of the Facility from the Lessor to March 2027, at which time all amounts outstanding thereunder will become due and payable in full, and (ii) modify the rate of the interest or yield that is payable to the Participants. In accordance with the terms of the Restated Lease, we continue to pay all maintenance, insurance, taxes, and other costs arising out of the use of the Facility. We are also required to make monthly payments of basic rent during the term of the Restated Lease in an amount equal to a variable rate per annum, which was modified in connection with the Restated Lease, to be an adjusted one-month forward-looking term rate based on the Secured Overnight Financing Rate ("SOFR"), plus an applicable margin that varies with our debt rating and total leverage ratio.</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Restated Participation Agreement and Restated Lease include an option for us to elect to further extend the maturity date of the Restated Participation Agreement and the term of the Restated Lease for an additional five-year period, subject to the consent of all the Participants and certain other conditions. We also have the option prior to the end of the term of the Restated Lease to (a) purchase the Facility by paying an amount equal to the outstanding principal amount of the Participants' advances under the Restated Participation Agreement, all accrued and unpaid yield thereon, and all other outstanding amounts under the Restated Participation Agreement, Restated Lease, and certain related documents or (b) sell the Facility to a third party on behalf of the Lessor.</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Restated Lease is classified as a finance lease as we have the option to purchase the Facility under terms that make it reasonably certain to be exercised. The agreements governing the Restated Lease financing contain financial and operating covenants. Such financial covenants and certain of the operating covenants are substantially similar to the covenants set forth in our 2018 Credit Agreement. The Company was in compliance with all such covenants as of December 31,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Funding Requirements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required to fund operations will depend on various factors, including the potential regulatory approval and commercialization of our product candidates and the timing thereof and the extent and cost of our research and development programs. We believe that our existing capital resources, borrowing availability under the 2022 Credit Facility, funds generated by anticipated product sales, and funding for reimbursement of research and development costs that we are entitled to receive under our collaboration agreements, will enable us to meet our anticipated operating needs for the foreseeable future.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trial, including the size of trials, fees charged for services provided by clinical trial investigators and other third parties, the costs for manufacturing the product candidate for use in the trials, and other expenses.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anticipate continuing to incur substantial commercialization costs for our marketed products.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patents and other intellectual property will be substantial.</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for unrecognized tax benefits totaled $542.8 million as of December 31, 2022. Due to their nature, there is a high degree of uncertainty regarding the period and amounts of potential future cash settlement with tax authorities. See Note 15 to our Consolidated Financial Statements.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collaboration and licensing agreements that may require us to pay (i) amounts contingent upon the occurrence of various future events (e.g.,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See Note 3 and Note 11 to our Consolidated Financial Statements.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collaboration with Bayer for EYLEA outside the United States and our Antibody Collaboration with Sanofi, we and our collaborator share profits and losses in connection with commercialization of drug products. If the applicable collaboration is profitable, we have contingent contractual obligations to reimburse Bayer and Sanofi for a defined percentage (generally 50%) of agreed-upon development expenses funded by Bayer and Sanofi (i.e., "development balance"). These reimbursements are deducted each quarter, in accordance with a formula, from our share of the collaboration profits otherwise payable to us, unless, in the case of EYLEA, we elect to reimburse these expenses at a faster rate. As of December 31, 2022, our contingent reimbursement obligation to Bayer for EYLEA was approximately $273 million and our contingent reimbursement obligation to Sanofi in connection with the companies' Antibody Collaboration was approximately $2.864 billion. Therefore, we expect that, for the foreseeable future, a portion of our share of profits from sales under our collaborations with Bayer and Sanofi will be used to reimburse our collaborators for these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are currently material or reasonably likely to be material to our consolidated financial position or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future adoption of recently issued accounting standards is not expected to have a material impact on the Company's financial position or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earnings and cash flows are subject to fluctuations due to changes in interest rates, principally in connection with our investments in marketable securities, which consist primarily of corporate bonds and U.S. treasury securities.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approximately a $102.7 million and $120.0 million decrease in the fair value of our investment portfolio as of December 31, 2022 and 2021, respectively.</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exposure to market risk for changes in interest rates, including the interest rate risk relating to our variable rate Tarrytown, New York lease (as described in Part II, Item 7. "Management's Discussion and Analysis of Financial Condition and Results of Operations - Liquidity and Capital Resources - </w:t>
      </w:r>
      <w:r>
        <w:rPr>
          <w:rFonts w:ascii="Times New Roman" w:cs="Times New Roman" w:eastAsia="Times New Roman" w:hAnsi="Times New Roman"/>
          <w:sz w:val="18"/>
          <w:szCs w:val="18"/>
          <w:i w:val="1"/>
          <w:iCs w:val="1"/>
          <w:color w:val="auto"/>
        </w:rPr>
        <w:t>Tarrytown, New York Leases</w:t>
      </w:r>
      <w:r>
        <w:rPr>
          <w:rFonts w:ascii="Times New Roman" w:cs="Times New Roman" w:eastAsia="Times New Roman" w:hAnsi="Times New Roman"/>
          <w:sz w:val="18"/>
          <w:szCs w:val="18"/>
          <w:color w:val="auto"/>
        </w:rPr>
        <w:t>"). Our interest rate exposure is primarily offset by our investments in marketable securities. We continue to monitor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risk and may utilize derivative instruments and/or other strategies in the future to further mitigate our interest rate exposure.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Risk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2022, 2021, and 2020, we did not record any charges for credit-related impairments of our available-for-sale debt securities.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credit risk associated with the receivables due from our collaborators, including Bayer and Sanofi. We are also subject to credit risk in connection with trade accounts receivable due from our customers from our product sales. We have contractual payment terms with each of our collaborators and customers. We also monitor financial performance and credit worthiness so that we can properly assess and respond to any changes in collaborator and/or customer credit profiles. In 2022, 2021 and 2020, we did not recognize any charges for write-offs and allowances of accounts receivable related to credit risk for our collaborators or customers. As of December 31, 2022, two customers accounted on a combined basis for 86% of our net trade accounts receivables.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further above, our collaborators market certain products outside the United States, and we share in profits and losses with these collaborators from commercialization of products. In addition, pursuant to the applicable terms of the agreements with our collaborators, we also share in certain worldwide development expenses incurred by our collaborators.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incur worldwide development expenses for clinical products we are developing independently, incur expenses outside of the United States in connection with our international operations, and, effective July 1, 2022, market Libtayo outside of the United States as a result of obtaining worldwide rights to Libtayo under an A&amp;R IO LCA with Sanofi.</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significant changes in foreign exchange rates of the countries outside the United States where our products are sold, where development expenses are incurred by us or our collaborators, or where we incur operating expenses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price risk on equity securities included in our investment portfolio. Our marketable securities include equity investments in publicly traded stock of companies, including common stock of companies with which we have entered into collaboration arrangements. Changes in the fair value of our equity investments are included in Other income (expense), net on the Consolidated Statements of Income. We recorded $39.8 million of net unrealized losses and $386.1 million of net unrealized gains on equity securities in Other income (expense), net in 2022 and 2021,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set forth beginning on page F-1 of this report and is incorporated herein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Rules 13a-15(f) or 15d-15(f) under the Exchange Act. Our management conducted an evaluation of the effectiveness of our internal control over financial reporting as of December 31, 2022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our management has concluded that our internal control over financial reporting was effective as of December 31, 2022. The effectiveness of the Company's internal control over financial reporting as of December 31, 2022 has been audited by PricewaterhouseCoopers LLP, an independent registered public accounting firm, as stated in their report which appears under Part IV, Item 15.</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December 31, 2022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in this Item 10) will be included in our definitive proxy statement with respect to our 2023 Annual Meeting of Shareholders to be filed with the SEC, and is incorporated herein by reference.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The full text of our code of business conduct and ethics can be found on our website (http://www.regeneron.com) under the "Governance" heading on the "Investors &amp; Media"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2023 Annual Meeting of Shareholders to be filed with the SEC, and is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2023 Annual Meeting of Shareholders to be filed with the SEC, and is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2023 Annual Meeting of Shareholders to be filed with the SEC, and is incorporated herein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2023 Annual Meeting of Shareholders to be filed with the SEC, and is incorporated herein by reference.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1. Financial Statements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Financial Statements on page F-1.</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6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00" w:type="dxa"/>
            <w:vAlign w:val="bottom"/>
            <w:gridSpan w:val="6"/>
          </w:tcPr>
          <w:p>
            <w:pPr>
              <w:ind w:left="660"/>
              <w:spacing w:after="0"/>
              <w:rPr>
                <w:sz w:val="20"/>
                <w:szCs w:val="20"/>
                <w:color w:val="auto"/>
              </w:rPr>
            </w:pPr>
            <w:r>
              <w:rPr>
                <w:rFonts w:ascii="Times New Roman" w:cs="Times New Roman" w:eastAsia="Times New Roman" w:hAnsi="Times New Roman"/>
                <w:sz w:val="18"/>
                <w:szCs w:val="18"/>
                <w:i w:val="1"/>
                <w:iCs w:val="1"/>
                <w:color w:val="auto"/>
              </w:rPr>
              <w:t>3. Exhibits</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14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87"/>
              </w:rPr>
              <w:t>Number</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140" w:type="dxa"/>
            <w:vAlign w:val="bottom"/>
            <w:gridSpan w:val="3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2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88"/>
              </w:rPr>
              <w:t>3.1</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20" w:type="dxa"/>
            <w:vAlign w:val="bottom"/>
            <w:tcBorders>
              <w:right w:val="single" w:sz="8" w:color="CCEEFF"/>
            </w:tcBorders>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Restated Certificate of Incorporation, as amended. (Incorporated by reference from the Form 10-Q for</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00" w:type="dxa"/>
            <w:vAlign w:val="bottom"/>
            <w:tcBorders>
              <w:top w:val="single" w:sz="8" w:color="0000FF"/>
              <w:bottom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Regeneron Pharmaceuticals, Inc. (the "Registrant"), for the quarter ended June 30, 2015, filed August 4, 2015.)</w:t>
              </w:r>
            </w:hyperlink>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88"/>
              </w:rPr>
              <w:t>3.2</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20" w:type="dxa"/>
            <w:vAlign w:val="bottom"/>
            <w:gridSpan w:val="33"/>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By-Laws. (Incorporated by reference from the Form 8-K for the Registrant filed</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December 21,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2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88"/>
              </w:rPr>
              <w:t>4.1</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20" w:type="dxa"/>
            <w:vAlign w:val="bottom"/>
            <w:tcBorders>
              <w:right w:val="single" w:sz="8" w:color="CCEEFF"/>
            </w:tcBorders>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Description of Securities Registered Pursuant to Section 12 of the Securities Exchange Act of 1934.</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260" w:type="dxa"/>
            <w:vAlign w:val="bottom"/>
            <w:tcBorders>
              <w:top w:val="single" w:sz="8" w:color="0000FF"/>
              <w:bottom w:val="single" w:sz="8" w:color="0000FF"/>
            </w:tcBorders>
            <w:gridSpan w:val="21"/>
            <w:shd w:val="clear" w:color="auto" w:fill="CCEEFF"/>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(Incorporated by reference from the Form 10-K for the Registrant, for the year ended December 31, 2019, filed</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February 7, 2020.)</w:t>
              </w:r>
            </w:hyperlink>
          </w:p>
        </w:tc>
        <w:tc>
          <w:tcPr>
            <w:tcW w:w="6960" w:type="dxa"/>
            <w:vAlign w:val="bottom"/>
            <w:tcBorders>
              <w:bottom w:val="single" w:sz="8" w:color="CCEEFF"/>
            </w:tcBorders>
            <w:gridSpan w:val="20"/>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88"/>
              </w:rPr>
              <w:t>4.2</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20" w:type="dxa"/>
            <w:vAlign w:val="bottom"/>
            <w:gridSpan w:val="33"/>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Indenture, dated August 12, 2020, between the Registrant and U.S. Bank National Association. (Incorporated by</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reference from the Form 8-K for the Registrant, filed August 12,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2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88"/>
              </w:rPr>
              <w:t>4.3</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20" w:type="dxa"/>
            <w:vAlign w:val="bottom"/>
            <w:tcBorders>
              <w:right w:val="single" w:sz="8" w:color="CCEEFF"/>
            </w:tcBorders>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First Supplemental Indenture, dated August 12, 2020, between the Registrant and U.S. Bank National</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340" w:type="dxa"/>
            <w:vAlign w:val="bottom"/>
            <w:tcBorders>
              <w:top w:val="single" w:sz="8" w:color="0000FF"/>
              <w:bottom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Association. (Incorporated by reference from the Form 8-K for the Registrant, filed August 12, 2020.)</w:t>
              </w:r>
            </w:hyperlink>
          </w:p>
        </w:tc>
        <w:tc>
          <w:tcPr>
            <w:tcW w:w="104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88"/>
              </w:rPr>
              <w:t>4.4</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20" w:type="dxa"/>
            <w:vAlign w:val="bottom"/>
            <w:gridSpan w:val="33"/>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1.750% Senior Note due 2030 (included in Exhibit 4.3).</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2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88"/>
              </w:rPr>
              <w:t>4.5</w:t>
            </w: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6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Form of 2.800% Senior Note due 2050 (included in Exhibit 4.3).</w:t>
              </w:r>
            </w:hyperlink>
          </w:p>
        </w:tc>
        <w:tc>
          <w:tcPr>
            <w:tcW w:w="3860" w:type="dxa"/>
            <w:vAlign w:val="bottom"/>
            <w:tcBorders>
              <w:bottom w:val="single" w:sz="8" w:color="CCEEFF"/>
              <w:right w:val="single" w:sz="8" w:color="CCEEFF"/>
            </w:tcBorders>
            <w:gridSpan w:val="27"/>
            <w:shd w:val="clear" w:color="auto" w:fill="CCEEFF"/>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10.1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20" w:type="dxa"/>
            <w:vAlign w:val="bottom"/>
            <w:gridSpan w:val="33"/>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Regeneron Pharmaceuticals, Inc. Second Amended and Restated 2000 Long-Term Incentive Plan. (Incorporated</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3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by reference from the Registration Statement on Form S-8 for the Registrant, filed June 13, 2011.)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20" w:type="dxa"/>
            <w:vAlign w:val="bottom"/>
            <w:tcBorders>
              <w:right w:val="single" w:sz="8" w:color="CCEEFF"/>
            </w:tcBorders>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option agreement and related notice of grant for use in connection with the grant of time based vesting</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18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stock  options  to  the  Registrant's  non-employee  directors  and  executive  officers  under  the  Regeneron</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140" w:type="dxa"/>
            <w:vAlign w:val="bottom"/>
            <w:tcBorders>
              <w:top w:val="single" w:sz="8" w:color="0000FF"/>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Pharmaceuticals, Inc. Second Amended and Restated 2000 Long-Term Incentive Plan. (Incorporated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160" w:type="dxa"/>
            <w:vAlign w:val="bottom"/>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reference from the Form 10-Q for the Registrant, for the quarter ended March 31, 2009, filed April 30, 2009.)</w:t>
              </w:r>
            </w:hyperlink>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10.1.2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20" w:type="dxa"/>
            <w:vAlign w:val="bottom"/>
            <w:gridSpan w:val="33"/>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option agreement and related notice of grant for use in connection with the grant of time based vesting</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stock options to the Registrant's non-employee directors under the Regeneron Pharmaceuticals, Inc. Second</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320" w:type="dxa"/>
            <w:vAlign w:val="bottom"/>
            <w:tcBorders>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Amended and Restated 2000 Long-Term Incentive Plan (revised). (Incorporated by reference from the Form 10-</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20" w:type="dxa"/>
            <w:vAlign w:val="bottom"/>
            <w:gridSpan w:val="2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K for the Registrant, for the year ended December 31, 2011, filed February 21, 2012.)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20" w:type="dxa"/>
            <w:vAlign w:val="bottom"/>
            <w:tcBorders>
              <w:right w:val="single" w:sz="8" w:color="CCEEFF"/>
            </w:tcBorders>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Amendment No. 1 to the Regeneron Pharmaceuticals, Inc. Second Amended and Restated 2000 Long-Term</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480" w:type="dxa"/>
            <w:vAlign w:val="bottom"/>
            <w:tcBorders>
              <w:top w:val="single" w:sz="8" w:color="0000FF"/>
            </w:tcBorders>
            <w:gridSpan w:val="32"/>
            <w:shd w:val="clear" w:color="auto" w:fill="CCEEFF"/>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Incentive Plan. (Incorporated by reference from the Form 10-K for the Registrant, for the year ended December</w:t>
              </w:r>
            </w:hyperlink>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520" w:type="dxa"/>
            <w:vAlign w:val="bottom"/>
            <w:tcBorders>
              <w:top w:val="single" w:sz="8" w:color="0000FF"/>
              <w:bottom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31, 2013, filed February 13, 2014.)</w:t>
              </w:r>
            </w:hyperlink>
          </w:p>
        </w:tc>
        <w:tc>
          <w:tcPr>
            <w:tcW w:w="5940" w:type="dxa"/>
            <w:vAlign w:val="bottom"/>
            <w:tcBorders>
              <w:top w:val="single" w:sz="8" w:color="0000FF"/>
              <w:bottom w:val="single" w:sz="8" w:color="CCEEFF"/>
            </w:tcBorders>
            <w:gridSpan w:val="26"/>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10.2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20" w:type="dxa"/>
            <w:vAlign w:val="bottom"/>
            <w:gridSpan w:val="33"/>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Regeneron Pharmaceuticals, Inc. 2014 Long-Term Incentive Plan. (Incorporated by</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reference from the Registration Statement on Form S-8 for the Registrant, filed June 12, 2017.)</w:t>
              </w:r>
            </w:hyperlink>
          </w:p>
        </w:tc>
        <w:tc>
          <w:tcPr>
            <w:tcW w:w="120" w:type="dxa"/>
            <w:vAlign w:val="bottom"/>
            <w:gridSpan w:val="5"/>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520" w:type="dxa"/>
            <w:vAlign w:val="bottom"/>
            <w:tcBorders>
              <w:right w:val="single" w:sz="8" w:color="CCEEFF"/>
            </w:tcBorders>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stock option agreement and related notice of grant for use in connection with the grant of non-qualified</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240" w:type="dxa"/>
            <w:vAlign w:val="bottom"/>
            <w:tcBorders>
              <w:top w:val="single" w:sz="8" w:color="0000FF"/>
              <w:bottom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stock options to the Registrant's executive officers under the Regeneron Pharmaceuticals, Inc. 2014 Long-Term</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60" w:type="dxa"/>
            <w:vAlign w:val="bottom"/>
            <w:tcBorders>
              <w:top w:val="single" w:sz="8" w:color="CCEEFF"/>
              <w:bottom w:val="single" w:sz="8" w:color="CCEEFF"/>
              <w:right w:val="single" w:sz="8" w:color="CCEEFF"/>
            </w:tcBorders>
            <w:gridSpan w:val="7"/>
            <w:shd w:val="clear" w:color="auto" w:fill="CCEEFF"/>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340" w:type="dxa"/>
            <w:vAlign w:val="bottom"/>
            <w:tcBorders>
              <w:bottom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Incentive Plan. (Incorporated by reference from the Form 8-K for the Registrant, filed June 18, 2014.)</w:t>
              </w:r>
            </w:hyperlink>
          </w:p>
        </w:tc>
        <w:tc>
          <w:tcPr>
            <w:tcW w:w="940" w:type="dxa"/>
            <w:vAlign w:val="bottom"/>
            <w:tcBorders>
              <w:bottom w:val="single" w:sz="8" w:color="CCEEFF"/>
            </w:tcBorders>
            <w:gridSpan w:val="11"/>
            <w:shd w:val="clear" w:color="auto" w:fill="CCEEFF"/>
          </w:tcPr>
          <w:p>
            <w:pPr>
              <w:spacing w:after="0"/>
              <w:rPr>
                <w:sz w:val="15"/>
                <w:szCs w:val="15"/>
                <w:color w:val="auto"/>
              </w:rPr>
            </w:pPr>
          </w:p>
        </w:tc>
        <w:tc>
          <w:tcPr>
            <w:tcW w:w="80" w:type="dxa"/>
            <w:vAlign w:val="bottom"/>
            <w:tcBorders>
              <w:bottom w:val="single" w:sz="8" w:color="CCEEFF"/>
            </w:tcBorders>
            <w:gridSpan w:val="4"/>
            <w:shd w:val="clear" w:color="auto" w:fill="CCEEFF"/>
          </w:tcPr>
          <w:p>
            <w:pPr>
              <w:spacing w:after="0"/>
              <w:rPr>
                <w:sz w:val="15"/>
                <w:szCs w:val="15"/>
                <w:color w:val="auto"/>
              </w:rPr>
            </w:pPr>
          </w:p>
        </w:tc>
        <w:tc>
          <w:tcPr>
            <w:tcW w:w="160" w:type="dxa"/>
            <w:vAlign w:val="bottom"/>
            <w:tcBorders>
              <w:bottom w:val="single" w:sz="8" w:color="CCEEFF"/>
              <w:right w:val="single" w:sz="8" w:color="CCEEFF"/>
            </w:tcBorders>
            <w:gridSpan w:val="7"/>
            <w:shd w:val="clear" w:color="auto" w:fill="CCEEFF"/>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10.2.2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20" w:type="dxa"/>
            <w:vAlign w:val="bottom"/>
            <w:gridSpan w:val="33"/>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restricted stock award agreement and related notice of grant for use in connection with the grant of</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restricted stock awards to the Registrant's executive officers under the Regeneron Pharmaceuticals, Inc. 2014</w:t>
              </w:r>
            </w:hyperlink>
          </w:p>
        </w:tc>
        <w:tc>
          <w:tcPr>
            <w:tcW w:w="160" w:type="dxa"/>
            <w:vAlign w:val="bottom"/>
            <w:tcBorders>
              <w:bottom w:val="single" w:sz="8" w:color="0000FF"/>
            </w:tcBorders>
            <w:gridSpan w:val="7"/>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520" w:type="dxa"/>
            <w:vAlign w:val="bottom"/>
            <w:gridSpan w:val="33"/>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Long-Term Incentive Plan. (Incorporated by reference from the Form 8-K for the Registrant, filed June 18,</w:t>
              </w:r>
            </w:hyperlink>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0">
              <w:r>
                <w:rPr>
                  <w:rFonts w:ascii="Times New Roman" w:cs="Times New Roman" w:eastAsia="Times New Roman" w:hAnsi="Times New Roman"/>
                  <w:sz w:val="18"/>
                  <w:szCs w:val="18"/>
                  <w:color w:val="0000FF"/>
                  <w:w w:val="94"/>
                </w:rPr>
                <w:t>2014.</w:t>
              </w:r>
              <w:r>
                <w:rPr>
                  <w:rFonts w:ascii="Times New Roman" w:cs="Times New Roman" w:eastAsia="Times New Roman" w:hAnsi="Times New Roman"/>
                  <w:sz w:val="18"/>
                  <w:szCs w:val="18"/>
                  <w:u w:val="single" w:color="auto"/>
                  <w:color w:val="0000FF"/>
                  <w:w w:val="94"/>
                </w:rPr>
                <w:t>)</w:t>
              </w:r>
            </w:hyperlink>
          </w:p>
        </w:tc>
        <w:tc>
          <w:tcPr>
            <w:tcW w:w="4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2"/>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6"/>
          </w:tcPr>
          <w:p>
            <w:pPr>
              <w:ind w:left="3440"/>
              <w:spacing w:after="0"/>
              <w:rPr>
                <w:sz w:val="20"/>
                <w:szCs w:val="20"/>
                <w:color w:val="auto"/>
              </w:rPr>
            </w:pPr>
            <w:r>
              <w:rPr>
                <w:rFonts w:ascii="Times New Roman" w:cs="Times New Roman" w:eastAsia="Times New Roman" w:hAnsi="Times New Roman"/>
                <w:sz w:val="18"/>
                <w:szCs w:val="18"/>
                <w:color w:val="auto"/>
              </w:rPr>
              <w:t>96</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right"/>
        <w:ind w:left="10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     </w:t>
      </w:r>
      <w:hyperlink r:id="rId133">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u w:val="single" w:color="auto"/>
            <w:color w:val="0000FF"/>
          </w:rPr>
          <w:t>stock options to the Registrant's non-employee directors under the Regeneron Pharmaceuticals, Inc. 2014 Long-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-239395</wp:posOffset>
            </wp:positionV>
            <wp:extent cx="5880735" cy="3771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5880735" cy="377190"/>
                    </a:xfrm>
                    <a:prstGeom prst="rect">
                      <a:avLst/>
                    </a:prstGeom>
                    <a:noFill/>
                  </pic:spPr>
                </pic:pic>
              </a:graphicData>
            </a:graphic>
          </wp:anchor>
        </w:drawing>
      </w:r>
    </w:p>
    <w:p>
      <w:pPr>
        <w:ind w:left="210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Term Incentive Plan. (Incorporated by reference from the Form 8-K for the Registrant, filed June 18, 2014.)</w:t>
        </w:r>
      </w:hyperlink>
    </w:p>
    <w:p>
      <w:pPr>
        <w:spacing w:after="0" w:line="7" w:lineRule="exact"/>
        <w:rPr>
          <w:sz w:val="20"/>
          <w:szCs w:val="20"/>
          <w:color w:val="auto"/>
        </w:rPr>
      </w:pPr>
    </w:p>
    <w:p>
      <w:pPr>
        <w:jc w:val="right"/>
        <w:ind w:left="102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     </w:t>
      </w:r>
      <w:hyperlink r:id="rId135">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u w:val="single" w:color="auto"/>
            <w:color w:val="0000FF"/>
          </w:rPr>
          <w:t>stock options to P. Roy Vagelos, M.D. under the Regeneron Pharmaceuticals, Inc. 2014 Long-Term Incentive</w:t>
        </w:r>
      </w:hyperlink>
    </w:p>
    <w:p>
      <w:pPr>
        <w:ind w:left="2100" w:right="20"/>
        <w:spacing w:after="0" w:line="22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Plan. (Incorporated by reference from the Form 10-K for the Registrant, for the year ended December 31, 2015,</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filed February 11,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0</wp:posOffset>
            </wp:positionV>
            <wp:extent cx="5880735" cy="4883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5880735" cy="488315"/>
                    </a:xfrm>
                    <a:prstGeom prst="rect">
                      <a:avLst/>
                    </a:prstGeom>
                    <a:noFill/>
                  </pic:spPr>
                </pic:pic>
              </a:graphicData>
            </a:graphic>
          </wp:anchor>
        </w:drawing>
      </w:r>
    </w:p>
    <w:p>
      <w:pPr>
        <w:jc w:val="right"/>
        <w:ind w:left="102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     </w:t>
      </w:r>
      <w:hyperlink r:id="rId137">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u w:val="single" w:color="auto"/>
            <w:color w:val="0000FF"/>
          </w:rPr>
          <w:t>stock options to the Registrant's executive officers under the Regeneron Pharmaceuticals, Inc. 2014 Long-Term</w:t>
        </w:r>
      </w:hyperlink>
    </w:p>
    <w:p>
      <w:pPr>
        <w:ind w:left="2100" w:right="20"/>
        <w:spacing w:after="0" w:line="226"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Incentive Plan (revised). (Incorporated by reference from the Form 8-K for the Registrant, filed November 19,</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2015.)</w:t>
        </w:r>
      </w:hyperlink>
    </w:p>
    <w:p>
      <w:pPr>
        <w:jc w:val="right"/>
        <w:ind w:left="10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10.2.6 +     </w:t>
      </w:r>
      <w:hyperlink r:id="rId138">
        <w:r>
          <w:rPr>
            <w:rFonts w:ascii="Times New Roman" w:cs="Times New Roman" w:eastAsia="Times New Roman" w:hAnsi="Times New Roman"/>
            <w:sz w:val="18"/>
            <w:szCs w:val="18"/>
            <w:u w:val="single" w:color="auto"/>
            <w:color w:val="0000FF"/>
          </w:rPr>
          <w:t>Form of restricted stock award agreement and related notice of grant for use in connection with the grant of</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0000FF"/>
          </w:rPr>
          <w:t>restricted stock awards to the Registrant's executive officers under the Regeneron Pharmaceuticals, Inc. 2014</w:t>
        </w:r>
      </w:hyperlink>
    </w:p>
    <w:p>
      <w:pPr>
        <w:ind w:left="2100" w:right="20"/>
        <w:spacing w:after="0" w:line="226"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Long-Term Incentive Plan (revised). (Incorporated by reference from the Form 8-K for the Registrant, filed</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November 19,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0</wp:posOffset>
            </wp:positionV>
            <wp:extent cx="5880735" cy="4889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5880735" cy="488950"/>
                    </a:xfrm>
                    <a:prstGeom prst="rect">
                      <a:avLst/>
                    </a:prstGeom>
                    <a:noFill/>
                  </pic:spPr>
                </pic:pic>
              </a:graphicData>
            </a:graphic>
          </wp:anchor>
        </w:drawing>
      </w:r>
    </w:p>
    <w:p>
      <w:pPr>
        <w:jc w:val="right"/>
        <w:ind w:left="10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10.2.7 +     </w:t>
      </w:r>
      <w:hyperlink r:id="rId140">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stock options to the Registrant's non-employee directors under the Regeneron Pharmaceuticals, Inc. 2014 Long-</w:t>
        </w:r>
      </w:hyperlink>
    </w:p>
    <w:p>
      <w:pPr>
        <w:ind w:left="2100" w:right="20"/>
        <w:spacing w:after="0" w:line="22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Term Incentive Plan (revised). (Incorporated by reference from the Form 10-K for the Registrant, for the year</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ended December 31, 2015, filed February 11, 2016.)</w:t>
        </w:r>
      </w:hyperlink>
    </w:p>
    <w:p>
      <w:pPr>
        <w:jc w:val="right"/>
        <w:ind w:left="10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10.2.8 +     </w:t>
      </w:r>
      <w:hyperlink r:id="rId141">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stock options to the Registrant's executive officers under the Amended and Restated Regeneron Pharmaceuticals,</w:t>
        </w:r>
      </w:hyperlink>
    </w:p>
    <w:p>
      <w:pPr>
        <w:ind w:left="2100"/>
        <w:spacing w:after="0" w:line="22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Inc. 2014 Long-Term Incentive Plan. (Incorporated by reference from the Form 10-K for the Registrant, for the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year ended December 31, 2017, filed February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0</wp:posOffset>
            </wp:positionV>
            <wp:extent cx="5880735" cy="4883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5880735" cy="488315"/>
                    </a:xfrm>
                    <a:prstGeom prst="rect">
                      <a:avLst/>
                    </a:prstGeom>
                    <a:noFill/>
                  </pic:spPr>
                </pic:pic>
              </a:graphicData>
            </a:graphic>
          </wp:anchor>
        </w:drawing>
      </w:r>
    </w:p>
    <w:p>
      <w:pPr>
        <w:jc w:val="right"/>
        <w:ind w:left="10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10.2.9 +     </w:t>
      </w:r>
      <w:hyperlink r:id="rId143">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FF"/>
          </w:rPr>
          <w:t>stock options to P. Roy Vagelos, M.D. under the Amended and Restated Regeneron Pharmaceuticals, Inc. 2014</w:t>
        </w:r>
      </w:hyperlink>
    </w:p>
    <w:p>
      <w:pPr>
        <w:ind w:left="2100" w:right="20"/>
        <w:spacing w:after="0" w:line="22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Long-Term Incentive Plan. (Incorporated by reference from the Form 10-K for the Registrant, for the year ended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December 31, 2017, filed February 8, 2018.)</w:t>
        </w:r>
      </w:hyperlink>
    </w:p>
    <w:p>
      <w:pPr>
        <w:jc w:val="right"/>
        <w:ind w:left="10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10.2.10 +    </w:t>
      </w:r>
      <w:hyperlink r:id="rId144">
        <w:r>
          <w:rPr>
            <w:rFonts w:ascii="Times New Roman" w:cs="Times New Roman" w:eastAsia="Times New Roman" w:hAnsi="Times New Roman"/>
            <w:sz w:val="18"/>
            <w:szCs w:val="18"/>
            <w:u w:val="single" w:color="auto"/>
            <w:color w:val="0000FF"/>
          </w:rPr>
          <w:t>Form of restricted stock award agreement and related notice of grant for use in connection with the grant of</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restricted stock awards to the Registrant's executive officers under the Amended and Restated Regeneron</w:t>
        </w:r>
      </w:hyperlink>
    </w:p>
    <w:p>
      <w:pPr>
        <w:ind w:left="2100"/>
        <w:spacing w:after="0" w:line="226"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Pharmaceuticals, Inc. 2014 Long-Term Incentive Plan. (Incorporated by reference from the Form 10-K for the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Registrant, for the year ended December 31, 2017, filed February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0</wp:posOffset>
            </wp:positionV>
            <wp:extent cx="5880735" cy="488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5880735" cy="488950"/>
                    </a:xfrm>
                    <a:prstGeom prst="rect">
                      <a:avLst/>
                    </a:prstGeom>
                    <a:noFill/>
                  </pic:spPr>
                </pic:pic>
              </a:graphicData>
            </a:graphic>
          </wp:anchor>
        </w:drawing>
      </w:r>
    </w:p>
    <w:p>
      <w:pPr>
        <w:jc w:val="right"/>
        <w:ind w:left="102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10.2.11 +     </w:t>
      </w:r>
      <w:hyperlink r:id="rId146">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0000FF"/>
          </w:rPr>
          <w:t>stock options to the Registrant's non-employee directors under the Amended and Restated Regeneron</w:t>
        </w:r>
      </w:hyperlink>
    </w:p>
    <w:p>
      <w:pPr>
        <w:ind w:left="2100"/>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Pharmaceuticals, Inc. 2014 Long-Term Incentive Plan. (Incorporated by reference from the Form 10-K for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Registrant, for the year ended December 31, 2017, filed February 8, 2018.)</w:t>
        </w:r>
      </w:hyperlink>
    </w:p>
    <w:p>
      <w:pPr>
        <w:jc w:val="right"/>
        <w:ind w:left="10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10.2.12 +    </w:t>
      </w:r>
      <w:hyperlink r:id="rId147">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stock options to the Registrant's executive officers under the Amended and Restated Regeneron Pharmaceuticals,</w:t>
        </w:r>
      </w:hyperlink>
    </w:p>
    <w:p>
      <w:pPr>
        <w:ind w:left="2100" w:right="2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Inc. 2014 Long-Term Incentive Plan (revised 2018). (Incorporated by reference from the Form 10-K for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Registrant, for the year ended December 31, 2018, filed February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0</wp:posOffset>
            </wp:positionV>
            <wp:extent cx="5880735" cy="4889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5880735" cy="488950"/>
                    </a:xfrm>
                    <a:prstGeom prst="rect">
                      <a:avLst/>
                    </a:prstGeom>
                    <a:noFill/>
                  </pic:spPr>
                </pic:pic>
              </a:graphicData>
            </a:graphic>
          </wp:anchor>
        </w:drawing>
      </w:r>
    </w:p>
    <w:p>
      <w:pPr>
        <w:jc w:val="right"/>
        <w:ind w:left="10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10.2.13 +    </w:t>
      </w:r>
      <w:hyperlink r:id="rId149">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stock options to P. Roy Vagelos, M.D. under the Amended and Restated Regeneron Pharmaceuticals, Inc. 2014</w:t>
        </w:r>
      </w:hyperlink>
    </w:p>
    <w:p>
      <w:pPr>
        <w:ind w:left="2100" w:right="20"/>
        <w:spacing w:after="0" w:line="226"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Long-Term Incentive Plan (revised 2018). (Incorporated by reference from the Form 10-K for the Registrant, for</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the year ended December 31, 2018, filed February 7, 2019.)</w:t>
        </w:r>
      </w:hyperlink>
    </w:p>
    <w:p>
      <w:pPr>
        <w:jc w:val="right"/>
        <w:ind w:left="10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10.2.14 +    </w:t>
      </w:r>
      <w:hyperlink r:id="rId150">
        <w:r>
          <w:rPr>
            <w:rFonts w:ascii="Times New Roman" w:cs="Times New Roman" w:eastAsia="Times New Roman" w:hAnsi="Times New Roman"/>
            <w:sz w:val="18"/>
            <w:szCs w:val="18"/>
            <w:u w:val="single" w:color="auto"/>
            <w:color w:val="0000FF"/>
          </w:rPr>
          <w:t>Form of restricted stock award agreement and related notice of grant for use in connection with the grant of</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restricted stock awards to the Registrant's executive officers under the Amended and Restated Regeneron</w:t>
        </w:r>
      </w:hyperlink>
    </w:p>
    <w:p>
      <w:pPr>
        <w:ind w:left="2100" w:right="20"/>
        <w:spacing w:after="0" w:line="226"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Pharmaceuticals, Inc. 2014 Long-Term Incentive Plan (revised 2018). (Incorporated by reference from the Form</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10-K for the Registrant, for the year ended December 31, 2018, filed February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0</wp:posOffset>
            </wp:positionV>
            <wp:extent cx="5880735" cy="4883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5880735" cy="488315"/>
                    </a:xfrm>
                    <a:prstGeom prst="rect">
                      <a:avLst/>
                    </a:prstGeom>
                    <a:noFill/>
                  </pic:spPr>
                </pic:pic>
              </a:graphicData>
            </a:graphic>
          </wp:anchor>
        </w:drawing>
      </w:r>
    </w:p>
    <w:p>
      <w:pPr>
        <w:jc w:val="right"/>
        <w:ind w:left="1020" w:right="2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10.2.15 +    </w:t>
      </w:r>
      <w:hyperlink r:id="rId152">
        <w:r>
          <w:rPr>
            <w:rFonts w:ascii="Times New Roman" w:cs="Times New Roman" w:eastAsia="Times New Roman" w:hAnsi="Times New Roman"/>
            <w:sz w:val="18"/>
            <w:szCs w:val="18"/>
            <w:u w:val="single" w:color="auto"/>
            <w:color w:val="0000FF"/>
          </w:rPr>
          <w:t>Form of stock option agreement and related notice of grant for use in connection with the grant of non-qualified</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FF"/>
          </w:rPr>
          <w:t>stock options to the Registrant's non-employee directors under the Amended and Restated Regeneron</w:t>
        </w:r>
      </w:hyperlink>
    </w:p>
    <w:p>
      <w:pPr>
        <w:ind w:left="2100" w:right="20"/>
        <w:spacing w:after="0" w:line="22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Pharmaceuticals, Inc. 2014 Long-Term Incentive Plan (revised 2018). (Incorporated by reference from the Form</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10-K for the Registrant, for the year ended December 31, 2018, filed February 7, 2019.)</w:t>
        </w:r>
      </w:hyperlink>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369" w:right="1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9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2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10.2.16 +</w:t>
            </w:r>
          </w:p>
        </w:tc>
        <w:tc>
          <w:tcPr>
            <w:tcW w:w="8560" w:type="dxa"/>
            <w:vAlign w:val="bottom"/>
            <w:gridSpan w:val="2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restricted stock unit award agreement and related notice of grant for use in connection with the grant of</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restricted stock units to the Registrant's non-employee directors under the Amended and Restated Regeneron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80" w:type="dxa"/>
            <w:vAlign w:val="bottom"/>
            <w:gridSpan w:val="25"/>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Pharmaceuticals, Inc. 2014 Long-Term Incentive Plan. (Incorporated by reference from the Form 10-K for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Registrant, for the year ended December 31, 2018, filed February 7,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10.2.17 +</w:t>
            </w:r>
          </w:p>
        </w:tc>
        <w:tc>
          <w:tcPr>
            <w:tcW w:w="856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stock option agreement and related notice of grant for use in connection with the grant of non-qualified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240" w:type="dxa"/>
            <w:vAlign w:val="bottom"/>
            <w:tcBorders>
              <w:top w:val="single" w:sz="8" w:color="0000FF"/>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stock options to the Registrant's executive officers under the Amended and Restated Regeneron Pharmaceuticals,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520" w:type="dxa"/>
            <w:vAlign w:val="bottom"/>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 2014 Long-Term Incentive Plan (revised 2019). (Incorporated by reference from the Form 10-K for the</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32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Registrant, for the year ended December 31, 2019, filed February 7,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10.2.18 +</w:t>
            </w:r>
          </w:p>
        </w:tc>
        <w:tc>
          <w:tcPr>
            <w:tcW w:w="8560" w:type="dxa"/>
            <w:vAlign w:val="bottom"/>
            <w:gridSpan w:val="29"/>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stock option agreement and related notice of grant for use in connection with the grant of non-qualified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stock options to P. Roy Vagelos, M.D. under the Amended and Restated Regeneron Pharmaceuticals, Inc. 2014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340" w:type="dxa"/>
            <w:vAlign w:val="bottom"/>
            <w:gridSpan w:val="18"/>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Long-Term Incentive Plan (revised 2019). (Incorporated by reference from the Form 10-K for the Registrant, for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1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the year ended December 31, 2019, filed February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10.2.19 +</w:t>
            </w:r>
          </w:p>
        </w:tc>
        <w:tc>
          <w:tcPr>
            <w:tcW w:w="856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restricted stock award agreement and related notice of grant for use in connection with the grant of</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restricted stock awards to the Registrant's executive officers under the Amended and Restated Regeneron</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26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Pharmaceuticals, Inc. 2014 Long-Term Incentive Plan (revised 2019). (Incorporated by reference from the Form</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0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10-K for the Registrant, for the year ended December 31, 2019, filed February 7,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10.2.20 +</w:t>
            </w:r>
          </w:p>
        </w:tc>
        <w:tc>
          <w:tcPr>
            <w:tcW w:w="8560" w:type="dxa"/>
            <w:vAlign w:val="bottom"/>
            <w:gridSpan w:val="29"/>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stock option agreement and related notice of grant for use in connection with the grant of non-qualified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stock options to the Registrant's non-employee directors under the Amended and Restated Regeneron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16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Pharmaceuticals, Inc. 2014 Long-Term Incentive Plan (revised 2019). (Incorporated by reference from the Form</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10-K for the Registrant, for the year ended December 31, 2019, filed February 7, 2020.)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10.2.21 +</w:t>
            </w:r>
          </w:p>
        </w:tc>
        <w:tc>
          <w:tcPr>
            <w:tcW w:w="856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restricted stock unit award agreement and related notice of grant for use in connection with the grant of</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42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restricted stock units to the Registrant's non-employee directors under the Amended and Restated Regeneron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48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Pharmaceuticals, Inc. 2014 Long-Term Incentive Plan (revised 2019). (Incorporated by reference from the Form</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20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10-K for the Registrant, for the year ended December 31, 2019, filed February 7, 2020.)</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10.2.22 +</w:t>
            </w:r>
          </w:p>
        </w:tc>
        <w:tc>
          <w:tcPr>
            <w:tcW w:w="8560" w:type="dxa"/>
            <w:vAlign w:val="bottom"/>
            <w:gridSpan w:val="29"/>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performance restricted stock unit award agreement and related notice of grant for use in connection with</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the grant of performance restricted stock units to Leonard S. Schleifer, M.D., Ph.D., George D. Yancopoulos,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1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M.D., Ph.D., and P. Roy Vagelos, M.D. under the Amended and Restated Regeneron Pharmaceuticals, Inc. 2014</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1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Long-Term Incentive Plan. (Incorporated by reference from the Form 10-K for the Registrant, for the year ended</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December 31, 2019, filed February 7,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 +</w:t>
            </w:r>
          </w:p>
        </w:tc>
        <w:tc>
          <w:tcPr>
            <w:tcW w:w="856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Second Amended and Restated Regeneron Pharmaceuticals, Inc. 2014 Long-Term Incentive Plan. (Incorporated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36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by reference from the Registration Statement on Form S-8 for the Registrant, filed June 16, 2020.)</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0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10.3.1 +</w:t>
            </w:r>
          </w:p>
        </w:tc>
        <w:tc>
          <w:tcPr>
            <w:tcW w:w="8560" w:type="dxa"/>
            <w:vAlign w:val="bottom"/>
            <w:gridSpan w:val="29"/>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stock option agreement and related notice of grant for use in connection with the grant of non-qualified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stock options to the Registrant's executive officers under the Second Amended and Restated Regeneron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30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Pharmaceuticals, Inc. 2014 Long-Term Incentive Plan. (Incorporated by reference from the Form 10-K for the</w:t>
              </w:r>
            </w:hyperlink>
          </w:p>
        </w:tc>
        <w:tc>
          <w:tcPr>
            <w:tcW w:w="100" w:type="dxa"/>
            <w:vAlign w:val="bottom"/>
            <w:tcBorders>
              <w:bottom w:val="single" w:sz="8" w:color="0000FF"/>
            </w:tcBorders>
            <w:gridSpan w:val="5"/>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60" w:type="dxa"/>
            <w:vAlign w:val="bottom"/>
            <w:gridSpan w:val="24"/>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Registrant, for the year ended December 31, 2020, filed February 8, 2021.)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10.3.2 +</w:t>
            </w:r>
          </w:p>
        </w:tc>
        <w:tc>
          <w:tcPr>
            <w:tcW w:w="856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stock option agreement and related notice of grant for use in connection with the grant of non-qualified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240" w:type="dxa"/>
            <w:vAlign w:val="bottom"/>
            <w:tcBorders>
              <w:top w:val="single" w:sz="8" w:color="0000FF"/>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stock options to P. Roy Vagelos, M.D. under the Second Amended and Restated Regeneron Pharmaceuticals,</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280" w:type="dxa"/>
            <w:vAlign w:val="bottom"/>
            <w:tcBorders>
              <w:bottom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 2014 Long-Term Incentive Plan. (Incorporated by reference from the Form 10-K for the Registrant, for the</w:t>
              </w:r>
            </w:hyperlink>
          </w:p>
        </w:tc>
        <w:tc>
          <w:tcPr>
            <w:tcW w:w="120" w:type="dxa"/>
            <w:vAlign w:val="bottom"/>
            <w:tcBorders>
              <w:bottom w:val="single" w:sz="8" w:color="0000FF"/>
            </w:tcBorders>
            <w:gridSpan w:val="6"/>
            <w:shd w:val="clear" w:color="auto" w:fill="CCEEFF"/>
          </w:tcPr>
          <w:p>
            <w:pPr>
              <w:spacing w:after="0"/>
              <w:rPr>
                <w:sz w:val="14"/>
                <w:szCs w:val="14"/>
                <w:color w:val="auto"/>
              </w:rPr>
            </w:pPr>
          </w:p>
        </w:tc>
        <w:tc>
          <w:tcPr>
            <w:tcW w:w="40" w:type="dxa"/>
            <w:vAlign w:val="bottom"/>
            <w:tcBorders>
              <w:bottom w:val="single" w:sz="8" w:color="0000FF"/>
            </w:tcBorders>
            <w:gridSpan w:val="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gridSpan w:val="2"/>
            <w:shd w:val="clear" w:color="auto" w:fill="CCEEFF"/>
          </w:tcPr>
          <w:p>
            <w:pPr>
              <w:spacing w:after="0"/>
              <w:rPr>
                <w:sz w:val="14"/>
                <w:szCs w:val="14"/>
                <w:color w:val="auto"/>
              </w:rPr>
            </w:pPr>
          </w:p>
        </w:tc>
        <w:tc>
          <w:tcPr>
            <w:tcW w:w="4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040" w:type="dxa"/>
            <w:vAlign w:val="bottom"/>
            <w:tcBorders>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year ended December 31, 2020, filed February 8, 2021.)</w:t>
              </w:r>
            </w:hyperlink>
          </w:p>
        </w:tc>
        <w:tc>
          <w:tcPr>
            <w:tcW w:w="4400" w:type="dxa"/>
            <w:vAlign w:val="bottom"/>
            <w:tcBorders>
              <w:bottom w:val="single" w:sz="8" w:color="CCEEFF"/>
            </w:tcBorders>
            <w:gridSpan w:val="21"/>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10.3.3 +</w:t>
            </w:r>
          </w:p>
        </w:tc>
        <w:tc>
          <w:tcPr>
            <w:tcW w:w="8560" w:type="dxa"/>
            <w:vAlign w:val="bottom"/>
            <w:gridSpan w:val="29"/>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restricted stock award agreement and related notice of grant for use in connection with the grant of</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restricted stock awards to the Registrant's executive officers under the Second Amended and Restated Regeneron</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500" w:type="dxa"/>
            <w:vAlign w:val="bottom"/>
            <w:gridSpan w:val="26"/>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Pharmaceuticals, Inc. 2014 Long-Term Incentive Plan. (Incorporated by reference from the Form 10-K for the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Registrant, for the year ended December 31, 2020, filed February 8, 2021.)</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10.3.4 +</w:t>
            </w:r>
          </w:p>
        </w:tc>
        <w:tc>
          <w:tcPr>
            <w:tcW w:w="856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restricted stock unit award agreement and related notice of grant for use in connection with the grant of</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8420" w:type="dxa"/>
            <w:vAlign w:val="bottom"/>
            <w:tcBorders>
              <w:top w:val="single" w:sz="8" w:color="0000FF"/>
              <w:bottom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restricted  stock  units  to  P.  Roy  Vagelos,  M.D.  under  the  Second  Amended  and  Restated  Regeneron</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540" w:type="dxa"/>
            <w:vAlign w:val="bottom"/>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Pharmaceuticals, Inc. 2014 Long-Term Incentive Plan. (Incorporated by reference from the Form 10-K for the</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Registrant, for the year ended December 31, 2020, filed February 8, 2021.)</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10.3.5 +</w:t>
            </w:r>
          </w:p>
        </w:tc>
        <w:tc>
          <w:tcPr>
            <w:tcW w:w="8560" w:type="dxa"/>
            <w:vAlign w:val="bottom"/>
            <w:gridSpan w:val="29"/>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stock option agreement and related notice of grant for use in connection with the grant of non-qualified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stock options to the Registrant's non-employee directors under the Second Amended and Restated Regeneron</w:t>
              </w:r>
            </w:hyperlink>
          </w:p>
        </w:tc>
        <w:tc>
          <w:tcPr>
            <w:tcW w:w="220" w:type="dxa"/>
            <w:vAlign w:val="bottom"/>
            <w:tcBorders>
              <w:bottom w:val="single" w:sz="8" w:color="0000FF"/>
            </w:tcBorders>
            <w:gridSpan w:val="11"/>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ind w:left="2100" w:right="20"/>
        <w:spacing w:after="0" w:line="226"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Pharmaceuticals, Inc. 2014 Long-Term Incentive Plan. (Incorporated by reference from the Form 10-K for the</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Registrant, for the year ended December 31, 2020, filed February 8, 2021.)</w:t>
        </w:r>
      </w:hyperlink>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361" w:right="1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10.3.6 +</w:t>
            </w:r>
          </w:p>
        </w:tc>
        <w:tc>
          <w:tcPr>
            <w:tcW w:w="8680" w:type="dxa"/>
            <w:vAlign w:val="bottom"/>
            <w:gridSpan w:val="44"/>
            <w:shd w:val="clear" w:color="auto" w:fill="CCEEFF"/>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restricted stock unit award agreement and related notice of grant for use in connection with the grant of</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restricted stock units to the Registrant's non-employee directors under the Second Amended and Restated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8300" w:type="dxa"/>
            <w:vAlign w:val="bottom"/>
            <w:tcBorders>
              <w:top w:val="single" w:sz="8" w:color="0000FF"/>
              <w:bottom w:val="single" w:sz="8" w:color="0000FF"/>
            </w:tcBorders>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Regeneron Pharmaceuticals, Inc. 2014 Long-Term Incentive Plan. (Incorporated by reference from the Form 10-</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6"/>
        </w:trPr>
        <w:tc>
          <w:tcPr>
            <w:tcW w:w="1100" w:type="dxa"/>
            <w:vAlign w:val="bottom"/>
            <w:shd w:val="clear" w:color="auto" w:fill="CCEEFF"/>
          </w:tcPr>
          <w:p>
            <w:pPr>
              <w:spacing w:after="0"/>
              <w:rPr>
                <w:sz w:val="13"/>
                <w:szCs w:val="13"/>
                <w:color w:val="auto"/>
              </w:rPr>
            </w:pPr>
          </w:p>
        </w:tc>
        <w:tc>
          <w:tcPr>
            <w:tcW w:w="8540" w:type="dxa"/>
            <w:vAlign w:val="bottom"/>
            <w:gridSpan w:val="37"/>
            <w:shd w:val="clear" w:color="auto" w:fill="CCEEFF"/>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K for the Registrant, for the year ended December 31, 2020, filed February 8, 2021.)</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10.3.7 +</w:t>
            </w:r>
          </w:p>
        </w:tc>
        <w:tc>
          <w:tcPr>
            <w:tcW w:w="8680" w:type="dxa"/>
            <w:vAlign w:val="bottom"/>
            <w:gridSpan w:val="44"/>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performance restricted stock unit award agreement and related notice of grant for use in connection with</w:t>
              </w:r>
            </w:hyperlink>
          </w:p>
        </w:tc>
      </w:tr>
      <w:tr>
        <w:trPr>
          <w:trHeight w:val="156"/>
        </w:trPr>
        <w:tc>
          <w:tcPr>
            <w:tcW w:w="1100" w:type="dxa"/>
            <w:vAlign w:val="bottom"/>
          </w:tcPr>
          <w:p>
            <w:pPr>
              <w:spacing w:after="0"/>
              <w:rPr>
                <w:sz w:val="13"/>
                <w:szCs w:val="13"/>
                <w:color w:val="auto"/>
              </w:rPr>
            </w:pPr>
          </w:p>
        </w:tc>
        <w:tc>
          <w:tcPr>
            <w:tcW w:w="84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 grant of performance restricted stock units to Leonard S. Schleifer, M.D., Ph.D. and George D. Yancopoulos,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4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M.D., Ph.D. under the Second Amended and Restated Regeneron Pharmaceuticals, Inc. 2014 Long-Term</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Incentive Plan. (Incorporated by reference from the Form 10-K for the Registrant, for the year ended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8520" w:type="dxa"/>
            <w:vAlign w:val="bottom"/>
            <w:gridSpan w:val="36"/>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31, 2020, filed February 8,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 +</w:t>
            </w:r>
          </w:p>
        </w:tc>
        <w:tc>
          <w:tcPr>
            <w:tcW w:w="8680" w:type="dxa"/>
            <w:vAlign w:val="bottom"/>
            <w:gridSpan w:val="44"/>
            <w:shd w:val="clear" w:color="auto" w:fill="CCEEFF"/>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Employment Agreement, dated as of November 14, 2008, between the Registrant and</w:t>
              </w:r>
            </w:hyperlink>
          </w:p>
        </w:tc>
      </w:tr>
      <w:tr>
        <w:trPr>
          <w:trHeight w:val="155"/>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320" w:type="dxa"/>
            <w:vAlign w:val="bottom"/>
            <w:tcBorders>
              <w:top w:val="single" w:sz="8" w:color="0000FF"/>
              <w:bottom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Leonard S. Schleifer, M.D., Ph.D. (Incorporated by reference from the Form 10-K for the Registrant, for the year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100" w:type="dxa"/>
            <w:vAlign w:val="bottom"/>
            <w:tcBorders>
              <w:bottom w:val="single" w:sz="8" w:color="CCEEFF"/>
            </w:tcBorders>
            <w:shd w:val="clear" w:color="auto" w:fill="CCEEFF"/>
          </w:tcPr>
          <w:p>
            <w:pPr>
              <w:spacing w:after="0"/>
              <w:rPr>
                <w:sz w:val="16"/>
                <w:szCs w:val="16"/>
                <w:color w:val="auto"/>
              </w:rPr>
            </w:pPr>
          </w:p>
        </w:tc>
        <w:tc>
          <w:tcPr>
            <w:tcW w:w="3780" w:type="dxa"/>
            <w:vAlign w:val="bottom"/>
            <w:tcBorders>
              <w:bottom w:val="single" w:sz="8" w:color="0000FF"/>
            </w:tcBorders>
            <w:gridSpan w:val="9"/>
            <w:shd w:val="clear" w:color="auto" w:fill="CCEEFF"/>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ended December 31, 2008, filed February 26, 2009.)</w:t>
              </w:r>
            </w:hyperlink>
          </w:p>
        </w:tc>
        <w:tc>
          <w:tcPr>
            <w:tcW w:w="4780" w:type="dxa"/>
            <w:vAlign w:val="bottom"/>
            <w:tcBorders>
              <w:bottom w:val="single" w:sz="8" w:color="CCEEFF"/>
            </w:tcBorders>
            <w:gridSpan w:val="29"/>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10.5* +</w:t>
            </w:r>
          </w:p>
        </w:tc>
        <w:tc>
          <w:tcPr>
            <w:tcW w:w="8680" w:type="dxa"/>
            <w:vAlign w:val="bottom"/>
            <w:gridSpan w:val="44"/>
          </w:tcPr>
          <w:p>
            <w:pPr>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Employment Agreement, dated as of December 31, 1998, between the Registrant and P. Roy Vagelos, M.D.</w:t>
              </w:r>
            </w:hyperlink>
          </w:p>
        </w:tc>
      </w:tr>
      <w:tr>
        <w:trPr>
          <w:trHeight w:val="156"/>
        </w:trPr>
        <w:tc>
          <w:tcPr>
            <w:tcW w:w="1100" w:type="dxa"/>
            <w:vAlign w:val="bottom"/>
          </w:tcPr>
          <w:p>
            <w:pPr>
              <w:spacing w:after="0"/>
              <w:rPr>
                <w:sz w:val="13"/>
                <w:szCs w:val="13"/>
                <w:color w:val="auto"/>
              </w:rPr>
            </w:pPr>
          </w:p>
        </w:tc>
        <w:tc>
          <w:tcPr>
            <w:tcW w:w="83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(Incorporated by reference from the Form 10-K for the Registrant, for the year ended December 31, 2004,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4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March 11, 2005.)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 +</w:t>
            </w:r>
          </w:p>
        </w:tc>
        <w:tc>
          <w:tcPr>
            <w:tcW w:w="8680" w:type="dxa"/>
            <w:vAlign w:val="bottom"/>
            <w:gridSpan w:val="44"/>
            <w:shd w:val="clear" w:color="auto" w:fill="CCEEFF"/>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Offer Letter for Robert E. Landry effective September 9, 2013. (Incorporated by reference from the Form 8-K</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8540" w:type="dxa"/>
            <w:vAlign w:val="bottom"/>
            <w:tcBorders>
              <w:top w:val="single" w:sz="8" w:color="0000FF"/>
            </w:tcBorders>
            <w:gridSpan w:val="37"/>
            <w:shd w:val="clear" w:color="auto" w:fill="CCEEFF"/>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 the Registrant, filed September 12, 2013.)</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10.7 +</w:t>
            </w:r>
          </w:p>
        </w:tc>
        <w:tc>
          <w:tcPr>
            <w:tcW w:w="8680" w:type="dxa"/>
            <w:vAlign w:val="bottom"/>
            <w:gridSpan w:val="44"/>
          </w:tcPr>
          <w:p>
            <w:pPr>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Regeneron Pharmaceuticals, Inc. Change in Control Severance Plan, amended and restated effective as of</w:t>
              </w:r>
            </w:hyperlink>
          </w:p>
        </w:tc>
      </w:tr>
      <w:tr>
        <w:trPr>
          <w:trHeight w:val="156"/>
        </w:trPr>
        <w:tc>
          <w:tcPr>
            <w:tcW w:w="1100" w:type="dxa"/>
            <w:vAlign w:val="bottom"/>
          </w:tcPr>
          <w:p>
            <w:pPr>
              <w:spacing w:after="0"/>
              <w:rPr>
                <w:sz w:val="13"/>
                <w:szCs w:val="13"/>
                <w:color w:val="auto"/>
              </w:rPr>
            </w:pPr>
          </w:p>
        </w:tc>
        <w:tc>
          <w:tcPr>
            <w:tcW w:w="84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November 14, 2008. (Incorporated by reference from the Form 10-K for the Registrant, for the year ended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22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December 31, 2008, filed February 26, 2009.)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10.8 +</w:t>
            </w:r>
          </w:p>
        </w:tc>
        <w:tc>
          <w:tcPr>
            <w:tcW w:w="8680" w:type="dxa"/>
            <w:vAlign w:val="bottom"/>
            <w:gridSpan w:val="44"/>
            <w:shd w:val="clear" w:color="auto" w:fill="CCEEFF"/>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Regeneron Pharmaceuticals, Inc. Cash Incentive Bonus Plan. (Incorporated by reference from the Form 8-K for</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816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the Registrant, filed June 17, 2015.)</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8680" w:type="dxa"/>
            <w:vAlign w:val="bottom"/>
            <w:gridSpan w:val="44"/>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IL-1 Antibody Termination Agreement by and between Novartis Pharma AG, Novartis Pharmaceuticals</w:t>
              </w:r>
            </w:hyperlink>
          </w:p>
        </w:tc>
      </w:tr>
      <w:tr>
        <w:trPr>
          <w:trHeight w:val="156"/>
        </w:trPr>
        <w:tc>
          <w:tcPr>
            <w:tcW w:w="1100" w:type="dxa"/>
            <w:vAlign w:val="bottom"/>
          </w:tcPr>
          <w:p>
            <w:pPr>
              <w:spacing w:after="0"/>
              <w:rPr>
                <w:sz w:val="13"/>
                <w:szCs w:val="13"/>
                <w:color w:val="auto"/>
              </w:rPr>
            </w:pPr>
          </w:p>
        </w:tc>
        <w:tc>
          <w:tcPr>
            <w:tcW w:w="862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Corporation and the Registrant, dated as of June 8, 2009. (Incorporated by reference from the Form 10-Q for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60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Registrant, for the quarter ended June 30, 2009, filed August 4, 2009.)</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8680" w:type="dxa"/>
            <w:vAlign w:val="bottom"/>
            <w:gridSpan w:val="44"/>
            <w:shd w:val="clear" w:color="auto" w:fill="CCEEFF"/>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License and Collaboration Agreement, dated as of October 18, 2006, by and between Bayer HealthCare LLC</w:t>
              </w:r>
            </w:hyperlink>
          </w:p>
        </w:tc>
      </w:tr>
      <w:tr>
        <w:trPr>
          <w:trHeight w:val="156"/>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380" w:type="dxa"/>
            <w:vAlign w:val="bottom"/>
            <w:tcBorders>
              <w:top w:val="single" w:sz="8" w:color="0000FF"/>
              <w:bottom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and the Registrant. (Incorporated by reference from the Form 10-Q for the Registrant, for the quarter ended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1100" w:type="dxa"/>
            <w:vAlign w:val="bottom"/>
            <w:shd w:val="clear" w:color="auto" w:fill="CCEEFF"/>
          </w:tcPr>
          <w:p>
            <w:pPr>
              <w:spacing w:after="0"/>
              <w:rPr>
                <w:sz w:val="14"/>
                <w:szCs w:val="14"/>
                <w:color w:val="auto"/>
              </w:rPr>
            </w:pPr>
          </w:p>
        </w:tc>
        <w:tc>
          <w:tcPr>
            <w:tcW w:w="8580" w:type="dxa"/>
            <w:vAlign w:val="bottom"/>
            <w:gridSpan w:val="39"/>
            <w:shd w:val="clear" w:color="auto" w:fill="CCEEFF"/>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September 30, 2006, filed November 6, 2006.)</w:t>
              </w:r>
            </w:hyperlink>
          </w:p>
        </w:tc>
        <w:tc>
          <w:tcPr>
            <w:tcW w:w="60" w:type="dxa"/>
            <w:vAlign w:val="bottom"/>
            <w:gridSpan w:val="3"/>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10.10.1*</w:t>
            </w:r>
          </w:p>
        </w:tc>
        <w:tc>
          <w:tcPr>
            <w:tcW w:w="8680" w:type="dxa"/>
            <w:vAlign w:val="bottom"/>
            <w:gridSpan w:val="44"/>
          </w:tcPr>
          <w:p>
            <w:pPr>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Restated Amendment Agreement, dated December 30, 2014 and entered into effective as of May 7, 2012, by and</w:t>
              </w:r>
            </w:hyperlink>
          </w:p>
        </w:tc>
      </w:tr>
      <w:tr>
        <w:trPr>
          <w:trHeight w:val="155"/>
        </w:trPr>
        <w:tc>
          <w:tcPr>
            <w:tcW w:w="1100" w:type="dxa"/>
            <w:vAlign w:val="bottom"/>
          </w:tcPr>
          <w:p>
            <w:pPr>
              <w:spacing w:after="0"/>
              <w:rPr>
                <w:sz w:val="13"/>
                <w:szCs w:val="13"/>
                <w:color w:val="auto"/>
              </w:rPr>
            </w:pPr>
          </w:p>
        </w:tc>
        <w:tc>
          <w:tcPr>
            <w:tcW w:w="82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between Bayer HealthCare LLC and the Registrant. (Incorporated by reference from the Form 10-K for the</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1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Registrant, for the year ended December 31, 2014, filed February 12, 2015.)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10.10.2**</w:t>
            </w:r>
          </w:p>
        </w:tc>
        <w:tc>
          <w:tcPr>
            <w:tcW w:w="8680" w:type="dxa"/>
            <w:vAlign w:val="bottom"/>
            <w:gridSpan w:val="44"/>
            <w:shd w:val="clear" w:color="auto" w:fill="CCEEFF"/>
          </w:tcPr>
          <w:p>
            <w:pPr>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Second Amendment Agreement, dated December 19, 2019, by and between Bayer HealthCare LLC and the</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836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Registrant. (Incorporated by reference from the Form 10-K for the Registrant, for the year ended December 31,</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160" w:type="dxa"/>
            <w:vAlign w:val="bottom"/>
            <w:tcBorders>
              <w:top w:val="single" w:sz="8" w:color="0000FF"/>
              <w:bottom w:val="single" w:sz="8" w:color="0000FF"/>
            </w:tcBorders>
            <w:gridSpan w:val="3"/>
            <w:shd w:val="clear" w:color="auto" w:fill="CCEEFF"/>
          </w:tcPr>
          <w:p>
            <w:pPr>
              <w:spacing w:after="0" w:line="169"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2019, filed February 7, 2020.)</w:t>
              </w:r>
            </w:hyperlink>
          </w:p>
        </w:tc>
        <w:tc>
          <w:tcPr>
            <w:tcW w:w="6460" w:type="dxa"/>
            <w:vAlign w:val="bottom"/>
            <w:tcBorders>
              <w:top w:val="single" w:sz="8" w:color="0000FF"/>
              <w:bottom w:val="single" w:sz="8" w:color="CCEEFF"/>
            </w:tcBorders>
            <w:gridSpan w:val="3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8680" w:type="dxa"/>
            <w:vAlign w:val="bottom"/>
            <w:gridSpan w:val="44"/>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Amended and Restated License and Collaboration Agreement, dated as of November 10, 2009, by and among</w:t>
              </w:r>
            </w:hyperlink>
          </w:p>
        </w:tc>
      </w:tr>
      <w:tr>
        <w:trPr>
          <w:trHeight w:val="155"/>
        </w:trPr>
        <w:tc>
          <w:tcPr>
            <w:tcW w:w="1100" w:type="dxa"/>
            <w:vAlign w:val="bottom"/>
          </w:tcPr>
          <w:p>
            <w:pPr>
              <w:spacing w:after="0"/>
              <w:rPr>
                <w:sz w:val="13"/>
                <w:szCs w:val="13"/>
                <w:color w:val="auto"/>
              </w:rPr>
            </w:pPr>
          </w:p>
        </w:tc>
        <w:tc>
          <w:tcPr>
            <w:tcW w:w="864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Aventis Pharmaceuticals Inc., sanofi-aventis Amerique du Nord, and the Registrant. (Incorporated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2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from the Form 10-K/A for the Registrant, for the year ended December 31, 2009, filed June 2, 2010.)</w:t>
              </w:r>
            </w:hyperlink>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10.11.1*</w:t>
            </w:r>
          </w:p>
        </w:tc>
        <w:tc>
          <w:tcPr>
            <w:tcW w:w="8680" w:type="dxa"/>
            <w:vAlign w:val="bottom"/>
            <w:gridSpan w:val="44"/>
            <w:shd w:val="clear" w:color="auto" w:fill="CCEEFF"/>
          </w:tcPr>
          <w:p>
            <w:pPr>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First Amendment to Amended and Restated License and Collaboration Agreement by and between the</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814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Registrant and Aventis Pharmaceuticals Inc., dated May 1, 2013. (Incorporated by reference from the Form 10-Q</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160" w:type="dxa"/>
            <w:vAlign w:val="bottom"/>
            <w:tcBorders>
              <w:top w:val="single" w:sz="8" w:color="CCEEFF"/>
            </w:tcBorders>
            <w:gridSpan w:val="8"/>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160" w:type="dxa"/>
            <w:vAlign w:val="bottom"/>
            <w:tcBorders>
              <w:top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828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 the Registrant, for the quarter ended June 30, 2013, filed August 6, 2013.)</w:t>
              </w:r>
            </w:hyperlink>
          </w:p>
        </w:tc>
        <w:tc>
          <w:tcPr>
            <w:tcW w:w="140" w:type="dxa"/>
            <w:vAlign w:val="bottom"/>
            <w:tcBorders>
              <w:top w:val="single" w:sz="8" w:color="CCEEFF"/>
            </w:tcBorders>
            <w:gridSpan w:val="7"/>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160" w:type="dxa"/>
            <w:vAlign w:val="bottom"/>
            <w:tcBorders>
              <w:top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10.11.2*</w:t>
            </w:r>
          </w:p>
        </w:tc>
        <w:tc>
          <w:tcPr>
            <w:tcW w:w="8680" w:type="dxa"/>
            <w:vAlign w:val="bottom"/>
            <w:gridSpan w:val="44"/>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Amendment No. 2 to Amended and Restated License and Collaboration Agreement, dated July 27, 2015 and</w:t>
              </w:r>
            </w:hyperlink>
          </w:p>
        </w:tc>
      </w:tr>
      <w:tr>
        <w:trPr>
          <w:trHeight w:val="155"/>
        </w:trPr>
        <w:tc>
          <w:tcPr>
            <w:tcW w:w="110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entered into effective as of July 1, 2015, by and between the Registrant and Sanofi Biotechnology SAS, as</w:t>
              </w:r>
            </w:hyperlink>
          </w:p>
        </w:tc>
        <w:tc>
          <w:tcPr>
            <w:tcW w:w="160" w:type="dxa"/>
            <w:vAlign w:val="bottom"/>
            <w:tcBorders>
              <w:bottom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420" w:type="dxa"/>
            <w:vAlign w:val="bottom"/>
            <w:gridSpan w:val="31"/>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successor-in-interest to Aventis Pharmaceuticals, Inc. (Incorporated by reference from the Form 10-Q for the</w:t>
              </w:r>
            </w:hyperlink>
          </w:p>
        </w:tc>
        <w:tc>
          <w:tcPr>
            <w:tcW w:w="80" w:type="dxa"/>
            <w:vAlign w:val="bottom"/>
            <w:gridSpan w:val="4"/>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100" w:type="dxa"/>
            <w:vAlign w:val="bottom"/>
          </w:tcPr>
          <w:p>
            <w:pPr>
              <w:spacing w:after="0"/>
              <w:rPr>
                <w:sz w:val="13"/>
                <w:szCs w:val="13"/>
                <w:color w:val="auto"/>
              </w:rPr>
            </w:pPr>
          </w:p>
        </w:tc>
        <w:tc>
          <w:tcPr>
            <w:tcW w:w="85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Registrant, for the quarter ended September 30, 2015, filed November 4, 2015.)</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10.11.3**</w:t>
            </w:r>
          </w:p>
        </w:tc>
        <w:tc>
          <w:tcPr>
            <w:tcW w:w="8680" w:type="dxa"/>
            <w:vAlign w:val="bottom"/>
            <w:gridSpan w:val="44"/>
            <w:shd w:val="clear" w:color="auto" w:fill="CCEEFF"/>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Third Amendment to Amended and Restated License and Collaboration Agreement, dated as of April 5, 2020,</w:t>
              </w:r>
            </w:hyperlink>
          </w:p>
        </w:tc>
      </w:tr>
      <w:tr>
        <w:trPr>
          <w:trHeight w:val="155"/>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180" w:type="dxa"/>
            <w:vAlign w:val="bottom"/>
            <w:tcBorders>
              <w:top w:val="single" w:sz="8" w:color="0000FF"/>
              <w:bottom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and effective as of April 1, 2020, by and between the Registrant, Sanofi Biotechnology SAS, and Sanofi.</w:t>
              </w:r>
            </w:hyperlink>
          </w:p>
        </w:tc>
        <w:tc>
          <w:tcPr>
            <w:tcW w:w="320" w:type="dxa"/>
            <w:vAlign w:val="bottom"/>
            <w:tcBorders>
              <w:top w:val="single" w:sz="8" w:color="CCEEFF"/>
              <w:bottom w:val="single" w:sz="8" w:color="0000FF"/>
            </w:tcBorders>
            <w:gridSpan w:val="16"/>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1100" w:type="dxa"/>
            <w:vAlign w:val="bottom"/>
            <w:tcBorders>
              <w:bottom w:val="single" w:sz="8" w:color="CCEEFF"/>
            </w:tcBorders>
            <w:shd w:val="clear" w:color="auto" w:fill="CCEEFF"/>
          </w:tcPr>
          <w:p>
            <w:pPr>
              <w:spacing w:after="0"/>
              <w:rPr>
                <w:sz w:val="14"/>
                <w:szCs w:val="14"/>
                <w:color w:val="auto"/>
              </w:rPr>
            </w:pPr>
          </w:p>
        </w:tc>
        <w:tc>
          <w:tcPr>
            <w:tcW w:w="8500" w:type="dxa"/>
            <w:vAlign w:val="bottom"/>
            <w:tcBorders>
              <w:bottom w:val="single" w:sz="8" w:color="0000FF"/>
            </w:tcBorders>
            <w:gridSpan w:val="35"/>
            <w:shd w:val="clear" w:color="auto" w:fill="CCEEFF"/>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(Incorporated by reference from the Form 10-Q for the Registrant, for the quarter ended June 30, 2020, filed</w:t>
              </w:r>
            </w:hyperlink>
          </w:p>
        </w:tc>
        <w:tc>
          <w:tcPr>
            <w:tcW w:w="160" w:type="dxa"/>
            <w:vAlign w:val="bottom"/>
            <w:tcBorders>
              <w:bottom w:val="single" w:sz="8" w:color="0000FF"/>
            </w:tcBorders>
            <w:gridSpan w:val="8"/>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55"/>
        </w:trPr>
        <w:tc>
          <w:tcPr>
            <w:tcW w:w="1100" w:type="dxa"/>
            <w:vAlign w:val="bottom"/>
            <w:shd w:val="clear" w:color="auto" w:fill="CCEEFF"/>
          </w:tcPr>
          <w:p>
            <w:pPr>
              <w:spacing w:after="0"/>
              <w:rPr>
                <w:sz w:val="13"/>
                <w:szCs w:val="13"/>
                <w:color w:val="auto"/>
              </w:rPr>
            </w:pPr>
          </w:p>
        </w:tc>
        <w:tc>
          <w:tcPr>
            <w:tcW w:w="8660" w:type="dxa"/>
            <w:vAlign w:val="bottom"/>
            <w:gridSpan w:val="43"/>
            <w:shd w:val="clear" w:color="auto" w:fill="CCEEFF"/>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August 5, 2020.)</w:t>
              </w:r>
            </w:hyperlink>
          </w:p>
        </w:tc>
        <w:tc>
          <w:tcPr>
            <w:tcW w:w="20" w:type="dxa"/>
            <w:vAlign w:val="bottom"/>
            <w:shd w:val="clear" w:color="auto" w:fill="CCEEFF"/>
          </w:tcPr>
          <w:p>
            <w:pPr>
              <w:spacing w:after="0"/>
              <w:rPr>
                <w:sz w:val="13"/>
                <w:szCs w:val="13"/>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91"/>
        </w:trPr>
        <w:tc>
          <w:tcPr>
            <w:tcW w:w="11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10.11.4**</w:t>
            </w:r>
          </w:p>
        </w:tc>
        <w:tc>
          <w:tcPr>
            <w:tcW w:w="8680" w:type="dxa"/>
            <w:vAlign w:val="bottom"/>
            <w:gridSpan w:val="44"/>
          </w:tcPr>
          <w:p>
            <w:pPr>
              <w:spacing w:after="0" w:line="191" w:lineRule="exact"/>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Fourth Amendment to Amended and Restated License and Collaboration Agreement, dated as of October 6,</w:t>
              </w:r>
            </w:hyperlink>
          </w:p>
        </w:tc>
      </w:tr>
    </w:tbl>
    <w:p>
      <w:pPr>
        <w:ind w:left="2100" w:right="40"/>
        <w:spacing w:after="0" w:line="233"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2021, by and between the Registrant, Sanofi Biotechnology SAS, and Sanofi. (Incorporated by reference from</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the Form 10-K for the Registrant, for the year ended December 31, 2021, filed February 7, 2022.)</w:t>
        </w:r>
      </w:hyperlink>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369" w:right="1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10.11.5**</w:t>
            </w:r>
          </w:p>
        </w:tc>
        <w:tc>
          <w:tcPr>
            <w:tcW w:w="8640" w:type="dxa"/>
            <w:vAlign w:val="bottom"/>
            <w:gridSpan w:val="45"/>
            <w:shd w:val="clear" w:color="auto" w:fill="CCEEFF"/>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Fifth Amendment to Amended and Restated License and Collaboration Agreement, dated as of June 1, 2022, by</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830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and between the Registrant, Sanofi Biotechnology SAS, and Sanofi. (Incorporated by reference from the Form</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822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10-Q for the Registrant, for the quarter ended June 30, 2022, filed August 3, 2022.)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8640" w:type="dxa"/>
            <w:vAlign w:val="bottom"/>
            <w:gridSpan w:val="45"/>
          </w:tcPr>
          <w:p>
            <w:pPr>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Praluent Cross License &amp; Commercialization Agreement, dated as of April 5, 2020, and effective as of April 1,</w:t>
              </w:r>
            </w:hyperlink>
          </w:p>
        </w:tc>
      </w:tr>
      <w:tr>
        <w:trPr>
          <w:trHeight w:val="156"/>
        </w:trPr>
        <w:tc>
          <w:tcPr>
            <w:tcW w:w="1100" w:type="dxa"/>
            <w:vAlign w:val="bottom"/>
          </w:tcPr>
          <w:p>
            <w:pPr>
              <w:spacing w:after="0"/>
              <w:rPr>
                <w:sz w:val="13"/>
                <w:szCs w:val="13"/>
                <w:color w:val="auto"/>
              </w:rPr>
            </w:pPr>
          </w:p>
        </w:tc>
        <w:tc>
          <w:tcPr>
            <w:tcW w:w="84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2020, by and between the Registrant and Sanofi Biotechnology SAS. (Incorporated by reference from the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3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10-Q for the Registrant, for the quarter ended June 30, 2020, filed August 5,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8640" w:type="dxa"/>
            <w:vAlign w:val="bottom"/>
            <w:gridSpan w:val="45"/>
            <w:shd w:val="clear" w:color="auto" w:fill="CCEEFF"/>
          </w:tcPr>
          <w:p>
            <w:pPr>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Amended and Restated Investor Agreement, dated as of January 11, 2014, by and among Sanofi, sanofi-aventis</w:t>
              </w:r>
            </w:hyperlink>
          </w:p>
        </w:tc>
      </w:tr>
      <w:tr>
        <w:trPr>
          <w:trHeight w:val="156"/>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200" w:type="dxa"/>
            <w:vAlign w:val="bottom"/>
            <w:tcBorders>
              <w:top w:val="single" w:sz="8" w:color="0000FF"/>
              <w:bottom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US LLC, Aventis Pharmaceuticals Inc., sanofi-aventis Amerique du Nord, and the Registrant. (Incorporated by</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1100" w:type="dxa"/>
            <w:vAlign w:val="bottom"/>
            <w:shd w:val="clear" w:color="auto" w:fill="CCEEFF"/>
          </w:tcPr>
          <w:p>
            <w:pPr>
              <w:spacing w:after="0"/>
              <w:rPr>
                <w:sz w:val="14"/>
                <w:szCs w:val="14"/>
                <w:color w:val="auto"/>
              </w:rPr>
            </w:pPr>
          </w:p>
        </w:tc>
        <w:tc>
          <w:tcPr>
            <w:tcW w:w="8400" w:type="dxa"/>
            <w:vAlign w:val="bottom"/>
            <w:gridSpan w:val="33"/>
            <w:shd w:val="clear" w:color="auto" w:fill="CCEEFF"/>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reference from the Form 8-K for the Registrant, filed January 13, 2014.)</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10.13.1</w:t>
            </w:r>
          </w:p>
        </w:tc>
        <w:tc>
          <w:tcPr>
            <w:tcW w:w="8640" w:type="dxa"/>
            <w:vAlign w:val="bottom"/>
            <w:gridSpan w:val="45"/>
          </w:tcPr>
          <w:p>
            <w:pPr>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to the Amended and Restated Investor Agreement, dated as of May 25, 2020, by and among the</w:t>
              </w:r>
            </w:hyperlink>
          </w:p>
        </w:tc>
      </w:tr>
      <w:tr>
        <w:trPr>
          <w:trHeight w:val="155"/>
        </w:trPr>
        <w:tc>
          <w:tcPr>
            <w:tcW w:w="110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Registrant, Sanofi, Sanofi-Aventis US LLC, and Aventisub LLC. (Incorporated by reference from the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380" w:type="dxa"/>
            <w:vAlign w:val="bottom"/>
            <w:gridSpan w:val="32"/>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 the Registrant, filed May 29, 2020.)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8640" w:type="dxa"/>
            <w:vAlign w:val="bottom"/>
            <w:gridSpan w:val="45"/>
            <w:shd w:val="clear" w:color="auto" w:fill="CCEEFF"/>
          </w:tcPr>
          <w:p>
            <w:pPr>
              <w:spacing w:after="0" w:line="18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Credit Agreement, dated as of December 19, 2022, by and among the Registrant, as a borrower and guarantor,</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8560" w:type="dxa"/>
            <w:vAlign w:val="bottom"/>
            <w:tcBorders>
              <w:top w:val="single" w:sz="8" w:color="0000FF"/>
            </w:tcBorders>
            <w:gridSpan w:val="41"/>
            <w:shd w:val="clear" w:color="auto" w:fill="CCEEFF"/>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certain direct subsidiaries of the Registrant, as the initial subsidiary borrowers, the lenders and issuing banks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8180" w:type="dxa"/>
            <w:vAlign w:val="bottom"/>
            <w:tcBorders>
              <w:top w:val="single" w:sz="8" w:color="0000FF"/>
              <w:bottom w:val="single" w:sz="8" w:color="0000FF"/>
            </w:tcBorders>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party thereto, and JPMorgan Chase Bank, N.A., as administrative agent, swingline lender, and an issuing bank.</w:t>
              </w:r>
            </w:hyperlink>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10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(Incorporated by reference from the Form 8-K for the Registrant, filed December 20, 2022.)</w:t>
              </w:r>
            </w:hyperlink>
          </w:p>
        </w:tc>
        <w:tc>
          <w:tcPr>
            <w:tcW w:w="1880" w:type="dxa"/>
            <w:vAlign w:val="bottom"/>
            <w:tcBorders>
              <w:bottom w:val="single" w:sz="8" w:color="CCEEFF"/>
            </w:tcBorders>
            <w:gridSpan w:val="21"/>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8640" w:type="dxa"/>
            <w:vAlign w:val="bottom"/>
            <w:gridSpan w:val="45"/>
          </w:tcPr>
          <w:p>
            <w:pPr>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Amended and Restated Immuno-oncology License and Collaboration Agreement, dated as of June 1, 2022, by</w:t>
              </w:r>
            </w:hyperlink>
          </w:p>
        </w:tc>
      </w:tr>
      <w:tr>
        <w:trPr>
          <w:trHeight w:val="156"/>
        </w:trPr>
        <w:tc>
          <w:tcPr>
            <w:tcW w:w="1100" w:type="dxa"/>
            <w:vAlign w:val="bottom"/>
          </w:tcPr>
          <w:p>
            <w:pPr>
              <w:spacing w:after="0"/>
              <w:rPr>
                <w:sz w:val="13"/>
                <w:szCs w:val="13"/>
                <w:color w:val="auto"/>
              </w:rPr>
            </w:pPr>
          </w:p>
        </w:tc>
        <w:tc>
          <w:tcPr>
            <w:tcW w:w="854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and between the Registrant and Sanofi Biotechnology SAS. (Incorporated by reference from the Form 10-Q for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1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the Registrant, for the quarter ended June 30, 2022, filed August 3, 2022.)</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8640" w:type="dxa"/>
            <w:vAlign w:val="bottom"/>
            <w:gridSpan w:val="45"/>
            <w:shd w:val="clear" w:color="auto" w:fill="CCEEFF"/>
          </w:tcPr>
          <w:p>
            <w:pPr>
              <w:spacing w:after="0" w:line="18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ANG2 License and Collaboration Agreement, dated as of March 23, 2016, by and between Bayer HealthCare</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36"/>
            <w:shd w:val="clear" w:color="auto" w:fill="CCEEFF"/>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LLC and the Registrant. (Incorporated by reference from the Form 10-Q for the Registrant, for the quarter ended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620" w:type="dxa"/>
            <w:vAlign w:val="bottom"/>
            <w:tcBorders>
              <w:top w:val="single" w:sz="8" w:color="0000FF"/>
              <w:bottom w:val="single" w:sz="8" w:color="0000FF"/>
            </w:tcBorders>
            <w:gridSpan w:val="5"/>
            <w:shd w:val="clear" w:color="auto" w:fill="CCEEFF"/>
          </w:tcPr>
          <w:p>
            <w:pPr>
              <w:spacing w:after="0" w:line="169"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March 31, 2016, filed May 5, 2016.)</w:t>
              </w:r>
            </w:hyperlink>
          </w:p>
        </w:tc>
        <w:tc>
          <w:tcPr>
            <w:tcW w:w="5640" w:type="dxa"/>
            <w:vAlign w:val="bottom"/>
            <w:tcBorders>
              <w:top w:val="single" w:sz="8" w:color="0000FF"/>
              <w:bottom w:val="single" w:sz="8" w:color="CCEEFF"/>
            </w:tcBorders>
            <w:gridSpan w:val="2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8640" w:type="dxa"/>
            <w:vAlign w:val="bottom"/>
            <w:gridSpan w:val="45"/>
          </w:tcPr>
          <w:p>
            <w:pPr>
              <w:spacing w:after="0" w:line="18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Purchase Agreement, dated as of December 30, 2016, by and among BMR-Landmark at Eastview LLC and</w:t>
              </w:r>
            </w:hyperlink>
          </w:p>
        </w:tc>
      </w:tr>
      <w:tr>
        <w:trPr>
          <w:trHeight w:val="156"/>
        </w:trPr>
        <w:tc>
          <w:tcPr>
            <w:tcW w:w="1100" w:type="dxa"/>
            <w:vAlign w:val="bottom"/>
          </w:tcPr>
          <w:p>
            <w:pPr>
              <w:spacing w:after="0"/>
              <w:rPr>
                <w:sz w:val="13"/>
                <w:szCs w:val="13"/>
                <w:color w:val="auto"/>
              </w:rPr>
            </w:pPr>
          </w:p>
        </w:tc>
        <w:tc>
          <w:tcPr>
            <w:tcW w:w="82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BMR-Landmark at Eastview IV LLC and the Registrant. (Incorporated by reference from the Form 10-K for the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560" w:type="dxa"/>
            <w:vAlign w:val="bottom"/>
            <w:tcBorders>
              <w:top w:val="single" w:sz="8" w:color="0000FF"/>
            </w:tcBorders>
            <w:gridSpan w:val="41"/>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Registrant, for the year ended December 31, 2016, filed February 9,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8640" w:type="dxa"/>
            <w:vAlign w:val="bottom"/>
            <w:gridSpan w:val="45"/>
            <w:shd w:val="clear" w:color="auto" w:fill="CCEEFF"/>
          </w:tcPr>
          <w:p>
            <w:pPr>
              <w:spacing w:after="0" w:line="18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Second Amended and Restated Participation Agreement, dated as of March 2, 2022, by and among Old Saw</w:t>
              </w:r>
            </w:hyperlink>
          </w:p>
        </w:tc>
      </w:tr>
      <w:tr>
        <w:trPr>
          <w:trHeight w:val="156"/>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320" w:type="dxa"/>
            <w:vAlign w:val="bottom"/>
            <w:tcBorders>
              <w:top w:val="single" w:sz="8" w:color="0000FF"/>
              <w:bottom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Mill Holdings LLC, as lessee, Bank of America, N.A., as administrative agent, BA Leasing BSC, LLC, as lessor,</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1100" w:type="dxa"/>
            <w:vAlign w:val="bottom"/>
            <w:shd w:val="clear" w:color="auto" w:fill="CCEEFF"/>
          </w:tcPr>
          <w:p>
            <w:pPr>
              <w:spacing w:after="0"/>
              <w:rPr>
                <w:sz w:val="14"/>
                <w:szCs w:val="14"/>
                <w:color w:val="auto"/>
              </w:rPr>
            </w:pPr>
          </w:p>
        </w:tc>
        <w:tc>
          <w:tcPr>
            <w:tcW w:w="8580" w:type="dxa"/>
            <w:vAlign w:val="bottom"/>
            <w:gridSpan w:val="42"/>
            <w:shd w:val="clear" w:color="auto" w:fill="CCEEFF"/>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and the rent assignees party thereto from time to time. (Incorporated by reference from the Form 8-K for the</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6"/>
        </w:trPr>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2360" w:type="dxa"/>
            <w:vAlign w:val="bottom"/>
            <w:tcBorders>
              <w:top w:val="single" w:sz="8" w:color="0000FF"/>
              <w:bottom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Registrant, filed March 8, 2022.)</w:t>
              </w:r>
            </w:hyperlink>
          </w:p>
        </w:tc>
        <w:tc>
          <w:tcPr>
            <w:tcW w:w="6060" w:type="dxa"/>
            <w:vAlign w:val="bottom"/>
            <w:tcBorders>
              <w:top w:val="single" w:sz="8" w:color="0000FF"/>
              <w:bottom w:val="single" w:sz="8" w:color="CCEEFF"/>
            </w:tcBorders>
            <w:gridSpan w:val="3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8640" w:type="dxa"/>
            <w:vAlign w:val="bottom"/>
            <w:gridSpan w:val="45"/>
          </w:tcPr>
          <w:p>
            <w:pPr>
              <w:spacing w:after="0" w:line="18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Second Amended and Restated Lease and Remedies Agreement, dated as of March 2, 2022, between Old Saw</w:t>
              </w:r>
            </w:hyperlink>
          </w:p>
        </w:tc>
      </w:tr>
      <w:tr>
        <w:trPr>
          <w:trHeight w:val="156"/>
        </w:trPr>
        <w:tc>
          <w:tcPr>
            <w:tcW w:w="1100" w:type="dxa"/>
            <w:vAlign w:val="bottom"/>
          </w:tcPr>
          <w:p>
            <w:pPr>
              <w:spacing w:after="0"/>
              <w:rPr>
                <w:sz w:val="13"/>
                <w:szCs w:val="13"/>
                <w:color w:val="auto"/>
              </w:rPr>
            </w:pPr>
          </w:p>
        </w:tc>
        <w:tc>
          <w:tcPr>
            <w:tcW w:w="852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Mill Holdings LLC, as lessee, and BA Leasing BSC, LLC, as lessor. (Incorporated by reference from the Form</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1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8-K for the Registrant, filed March 8, 2022.)</w:t>
              </w:r>
            </w:hyperlink>
          </w:p>
        </w:tc>
        <w:tc>
          <w:tcPr>
            <w:tcW w:w="200" w:type="dxa"/>
            <w:vAlign w:val="bottom"/>
            <w:gridSpan w:val="10"/>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8640" w:type="dxa"/>
            <w:vAlign w:val="bottom"/>
            <w:gridSpan w:val="45"/>
            <w:shd w:val="clear" w:color="auto" w:fill="CCEEFF"/>
          </w:tcPr>
          <w:p>
            <w:pPr>
              <w:spacing w:after="0" w:line="18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Second Amended and Restated Guaranty, dated as of March 2, 2022, made by the Registrant, Regeneron</w:t>
              </w:r>
            </w:hyperlink>
          </w:p>
        </w:tc>
      </w:tr>
      <w:tr>
        <w:trPr>
          <w:trHeight w:val="155"/>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120" w:type="dxa"/>
            <w:vAlign w:val="bottom"/>
            <w:tcBorders>
              <w:top w:val="single" w:sz="8" w:color="0000FF"/>
              <w:bottom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Healthcare Solutions, Inc., and Regeneron Genetics Center LLC, as guarantors. (Incorporated by reference from</w:t>
              </w:r>
            </w:hyperlink>
          </w:p>
        </w:tc>
        <w:tc>
          <w:tcPr>
            <w:tcW w:w="240" w:type="dxa"/>
            <w:vAlign w:val="bottom"/>
            <w:tcBorders>
              <w:top w:val="single" w:sz="8" w:color="CCEEFF"/>
              <w:bottom w:val="single" w:sz="8" w:color="0000FF"/>
            </w:tcBorders>
            <w:gridSpan w:val="12"/>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100" w:type="dxa"/>
            <w:vAlign w:val="bottom"/>
            <w:tcBorders>
              <w:bottom w:val="single" w:sz="8" w:color="CCEEFF"/>
            </w:tcBorders>
            <w:shd w:val="clear" w:color="auto" w:fill="CCEEFF"/>
          </w:tcPr>
          <w:p>
            <w:pPr>
              <w:spacing w:after="0"/>
              <w:rPr>
                <w:sz w:val="16"/>
                <w:szCs w:val="16"/>
                <w:color w:val="auto"/>
              </w:rPr>
            </w:pPr>
          </w:p>
        </w:tc>
        <w:tc>
          <w:tcPr>
            <w:tcW w:w="3900" w:type="dxa"/>
            <w:vAlign w:val="bottom"/>
            <w:tcBorders>
              <w:bottom w:val="single" w:sz="8" w:color="0000FF"/>
            </w:tcBorders>
            <w:gridSpan w:val="9"/>
            <w:shd w:val="clear" w:color="auto" w:fill="CCEEFF"/>
          </w:tcPr>
          <w:p>
            <w:pPr>
              <w:spacing w:after="0" w:line="169"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the Form 8-K for the Registrant, filed March 8, 2022.)</w:t>
              </w:r>
            </w:hyperlink>
          </w:p>
        </w:tc>
        <w:tc>
          <w:tcPr>
            <w:tcW w:w="4580" w:type="dxa"/>
            <w:vAlign w:val="bottom"/>
            <w:tcBorders>
              <w:bottom w:val="single" w:sz="8" w:color="CCEEFF"/>
            </w:tcBorders>
            <w:gridSpan w:val="28"/>
            <w:shd w:val="clear" w:color="auto" w:fill="CCEEFF"/>
          </w:tcPr>
          <w:p>
            <w:pPr>
              <w:spacing w:after="0"/>
              <w:rPr>
                <w:sz w:val="16"/>
                <w:szCs w:val="16"/>
                <w:color w:val="auto"/>
              </w:rPr>
            </w:pPr>
          </w:p>
        </w:tc>
        <w:tc>
          <w:tcPr>
            <w:tcW w:w="120" w:type="dxa"/>
            <w:vAlign w:val="bottom"/>
            <w:tcBorders>
              <w:bottom w:val="single" w:sz="8" w:color="CCEEFF"/>
            </w:tcBorders>
            <w:gridSpan w:val="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8640" w:type="dxa"/>
            <w:vAlign w:val="bottom"/>
            <w:gridSpan w:val="45"/>
          </w:tcPr>
          <w:p>
            <w:pPr>
              <w:spacing w:after="0" w:line="18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Master Agreement, dated as of April 8, 2019, by and between the Registrant and Alnylam Pharmaceuticals, Inc.</w:t>
              </w:r>
            </w:hyperlink>
          </w:p>
        </w:tc>
      </w:tr>
      <w:tr>
        <w:trPr>
          <w:trHeight w:val="156"/>
        </w:trPr>
        <w:tc>
          <w:tcPr>
            <w:tcW w:w="110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(Incorporated by reference from the Form 10-Q for the Registrant, for the quarter ended June 30, 2019, filed</w:t>
              </w:r>
            </w:hyperlink>
          </w:p>
        </w:tc>
        <w:tc>
          <w:tcPr>
            <w:tcW w:w="40" w:type="dxa"/>
            <w:vAlign w:val="bottom"/>
            <w:tcBorders>
              <w:bottom w:val="single" w:sz="8" w:color="0000FF"/>
            </w:tcBorders>
            <w:gridSpan w:val="2"/>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8620" w:type="dxa"/>
            <w:vAlign w:val="bottom"/>
            <w:gridSpan w:val="44"/>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August 6, 2019.)</w:t>
              </w:r>
            </w:hyperlink>
          </w:p>
        </w:tc>
        <w:tc>
          <w:tcPr>
            <w:tcW w:w="2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10.21.1**</w:t>
            </w:r>
          </w:p>
        </w:tc>
        <w:tc>
          <w:tcPr>
            <w:tcW w:w="7420" w:type="dxa"/>
            <w:vAlign w:val="bottom"/>
            <w:tcBorders>
              <w:bottom w:val="single" w:sz="8" w:color="0000FF"/>
            </w:tcBorders>
            <w:gridSpan w:val="18"/>
            <w:shd w:val="clear" w:color="auto" w:fill="CCEEFF"/>
          </w:tcPr>
          <w:p>
            <w:pPr>
              <w:spacing w:after="0" w:line="189"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 xml:space="preserve">Form of Co-Co Collaboration Agreement (Exhibit B to Master Agreement contained in Exhibit </w:t>
              </w:r>
            </w:hyperlink>
            <w:r>
              <w:rPr>
                <w:rFonts w:ascii="Times New Roman" w:cs="Times New Roman" w:eastAsia="Times New Roman" w:hAnsi="Times New Roman"/>
                <w:sz w:val="18"/>
                <w:szCs w:val="18"/>
                <w:color w:val="0000FF"/>
                <w:w w:val="99"/>
              </w:rPr>
              <w:t>10.21)</w:t>
            </w:r>
            <w:hyperlink r:id="rId197">
              <w:r>
                <w:rPr>
                  <w:rFonts w:ascii="Times New Roman" w:cs="Times New Roman" w:eastAsia="Times New Roman" w:hAnsi="Times New Roman"/>
                  <w:sz w:val="18"/>
                  <w:szCs w:val="18"/>
                  <w:color w:val="0000FF"/>
                  <w:w w:val="99"/>
                </w:rPr>
                <w:t>.</w:t>
              </w:r>
            </w:hyperlink>
          </w:p>
        </w:tc>
        <w:tc>
          <w:tcPr>
            <w:tcW w:w="1220" w:type="dxa"/>
            <w:vAlign w:val="bottom"/>
            <w:tcBorders>
              <w:bottom w:val="single" w:sz="8" w:color="CCEEFF"/>
            </w:tcBorders>
            <w:gridSpan w:val="27"/>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10.21.2**</w:t>
            </w:r>
          </w:p>
        </w:tc>
        <w:tc>
          <w:tcPr>
            <w:tcW w:w="8640" w:type="dxa"/>
            <w:vAlign w:val="bottom"/>
            <w:gridSpan w:val="45"/>
          </w:tcPr>
          <w:p>
            <w:pPr>
              <w:spacing w:after="0" w:line="18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 xml:space="preserve">Form of License Agreement (Exhibit C to Master Agreement contained in Exhibit </w:t>
              </w:r>
            </w:hyperlink>
            <w:r>
              <w:rPr>
                <w:rFonts w:ascii="Times New Roman" w:cs="Times New Roman" w:eastAsia="Times New Roman" w:hAnsi="Times New Roman"/>
                <w:sz w:val="18"/>
                <w:szCs w:val="18"/>
                <w:color w:val="0000FF"/>
              </w:rPr>
              <w:t>10.21)</w:t>
            </w:r>
            <w:hyperlink r:id="rId198">
              <w:r>
                <w:rPr>
                  <w:rFonts w:ascii="Times New Roman" w:cs="Times New Roman" w:eastAsia="Times New Roman" w:hAnsi="Times New Roman"/>
                  <w:sz w:val="18"/>
                  <w:szCs w:val="18"/>
                  <w:color w:val="0000FF"/>
                </w:rPr>
                <w:t>.</w:t>
              </w:r>
            </w:hyperlink>
          </w:p>
        </w:tc>
      </w:tr>
      <w:tr>
        <w:trPr>
          <w:trHeight w:val="20"/>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8640" w:type="dxa"/>
            <w:vAlign w:val="bottom"/>
            <w:gridSpan w:val="45"/>
            <w:shd w:val="clear" w:color="auto" w:fill="CCEEFF"/>
          </w:tcPr>
          <w:p>
            <w:pPr>
              <w:spacing w:after="0" w:line="18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License Agreement, dated as of August 18, 2020, by and among the Registrant, F. Hoffman-La Roche Ltd, and</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8600" w:type="dxa"/>
            <w:vAlign w:val="bottom"/>
            <w:tcBorders>
              <w:top w:val="single" w:sz="8" w:color="0000FF"/>
            </w:tcBorders>
            <w:gridSpan w:val="43"/>
            <w:shd w:val="clear" w:color="auto" w:fill="CCEEFF"/>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Genentech, Inc. (Incorporated by reference from the Form 10-Q for the Registrant, for the quarter ended</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89"/>
        </w:trPr>
        <w:tc>
          <w:tcPr>
            <w:tcW w:w="1100" w:type="dxa"/>
            <w:vAlign w:val="bottom"/>
            <w:tcBorders>
              <w:top w:val="single" w:sz="8" w:color="CCEEFF"/>
            </w:tcBorders>
            <w:shd w:val="clear" w:color="auto" w:fill="CCEEFF"/>
          </w:tcPr>
          <w:p>
            <w:pPr>
              <w:spacing w:after="0"/>
              <w:rPr>
                <w:sz w:val="16"/>
                <w:szCs w:val="16"/>
                <w:color w:val="auto"/>
              </w:rPr>
            </w:pPr>
          </w:p>
        </w:tc>
        <w:tc>
          <w:tcPr>
            <w:tcW w:w="8360" w:type="dxa"/>
            <w:vAlign w:val="bottom"/>
            <w:tcBorders>
              <w:top w:val="single" w:sz="8" w:color="0000FF"/>
            </w:tcBorders>
            <w:gridSpan w:val="31"/>
            <w:shd w:val="clear" w:color="auto" w:fill="CCEEFF"/>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September 30, 2020, filed November 5, 2020.)</w:t>
              </w:r>
            </w:hyperlink>
          </w:p>
        </w:tc>
        <w:tc>
          <w:tcPr>
            <w:tcW w:w="120" w:type="dxa"/>
            <w:vAlign w:val="bottom"/>
            <w:tcBorders>
              <w:top w:val="single" w:sz="8" w:color="CCEEFF"/>
            </w:tcBorders>
            <w:gridSpan w:val="6"/>
            <w:shd w:val="clear" w:color="auto" w:fill="CCEEFF"/>
          </w:tcPr>
          <w:p>
            <w:pPr>
              <w:spacing w:after="0"/>
              <w:rPr>
                <w:sz w:val="16"/>
                <w:szCs w:val="16"/>
                <w:color w:val="auto"/>
              </w:rPr>
            </w:pPr>
          </w:p>
        </w:tc>
        <w:tc>
          <w:tcPr>
            <w:tcW w:w="160" w:type="dxa"/>
            <w:vAlign w:val="bottom"/>
            <w:tcBorders>
              <w:top w:val="single" w:sz="8" w:color="CCEEFF"/>
            </w:tcBorders>
            <w:gridSpan w:val="8"/>
            <w:shd w:val="clear" w:color="auto" w:fill="CCEEFF"/>
          </w:tcPr>
          <w:p>
            <w:pPr>
              <w:spacing w:after="0"/>
              <w:rPr>
                <w:sz w:val="16"/>
                <w:szCs w:val="16"/>
                <w:color w:val="auto"/>
              </w:rPr>
            </w:pPr>
          </w:p>
        </w:tc>
      </w:tr>
      <w:tr>
        <w:trPr>
          <w:trHeight w:val="189"/>
        </w:trPr>
        <w:tc>
          <w:tcPr>
            <w:tcW w:w="11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334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5300" w:type="dxa"/>
            <w:vAlign w:val="bottom"/>
            <w:tcBorders>
              <w:top w:val="single" w:sz="8" w:color="CCEEFF"/>
            </w:tcBorders>
            <w:gridSpan w:val="37"/>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658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 Firm.</w:t>
            </w:r>
          </w:p>
        </w:tc>
        <w:tc>
          <w:tcPr>
            <w:tcW w:w="2060" w:type="dxa"/>
            <w:vAlign w:val="bottom"/>
            <w:tcBorders>
              <w:bottom w:val="single" w:sz="8" w:color="CCEEFF"/>
            </w:tcBorders>
            <w:gridSpan w:val="29"/>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86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FF"/>
              </w:rPr>
              <w:t>Power of Attorney (included on the signature page of this Annual Report on Form 10-K).</w:t>
            </w:r>
          </w:p>
        </w:tc>
      </w:tr>
      <w:tr>
        <w:trPr>
          <w:trHeight w:val="21"/>
        </w:trPr>
        <w:tc>
          <w:tcPr>
            <w:tcW w:w="1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86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under the Securities Exchange Act of</w:t>
            </w:r>
          </w:p>
        </w:tc>
      </w:tr>
      <w:tr>
        <w:trPr>
          <w:trHeight w:val="195"/>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3"/>
              </w:rPr>
              <w:t>1934.</w:t>
            </w:r>
          </w:p>
        </w:tc>
        <w:tc>
          <w:tcPr>
            <w:tcW w:w="800" w:type="dxa"/>
            <w:vAlign w:val="bottom"/>
            <w:tcBorders>
              <w:top w:val="single" w:sz="8" w:color="0000FF"/>
              <w:bottom w:val="single" w:sz="8" w:color="CCEEFF"/>
            </w:tcBorders>
            <w:shd w:val="clear" w:color="auto" w:fill="CCEEFF"/>
          </w:tcPr>
          <w:p>
            <w:pPr>
              <w:spacing w:after="0"/>
              <w:rPr>
                <w:sz w:val="16"/>
                <w:szCs w:val="16"/>
                <w:color w:val="auto"/>
              </w:rPr>
            </w:pPr>
          </w:p>
        </w:tc>
        <w:tc>
          <w:tcPr>
            <w:tcW w:w="96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560" w:type="dxa"/>
            <w:vAlign w:val="bottom"/>
            <w:tcBorders>
              <w:top w:val="single" w:sz="8" w:color="0000FF"/>
              <w:bottom w:val="single" w:sz="8" w:color="CCEEFF"/>
            </w:tcBorders>
            <w:shd w:val="clear" w:color="auto" w:fill="CCEEFF"/>
          </w:tcPr>
          <w:p>
            <w:pPr>
              <w:spacing w:after="0"/>
              <w:rPr>
                <w:sz w:val="16"/>
                <w:szCs w:val="16"/>
                <w:color w:val="auto"/>
              </w:rPr>
            </w:pPr>
          </w:p>
        </w:tc>
        <w:tc>
          <w:tcPr>
            <w:tcW w:w="128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CCEEFF"/>
            </w:tcBorders>
            <w:shd w:val="clear" w:color="auto" w:fill="CCEEFF"/>
          </w:tcPr>
          <w:p>
            <w:pPr>
              <w:spacing w:after="0"/>
              <w:rPr>
                <w:sz w:val="16"/>
                <w:szCs w:val="16"/>
                <w:color w:val="auto"/>
              </w:rPr>
            </w:pPr>
          </w:p>
        </w:tc>
        <w:tc>
          <w:tcPr>
            <w:tcW w:w="44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800" w:type="dxa"/>
            <w:vAlign w:val="bottom"/>
            <w:tcBorders>
              <w:top w:val="single" w:sz="8" w:color="0000FF"/>
              <w:bottom w:val="single" w:sz="8" w:color="CCEEFF"/>
            </w:tcBorders>
            <w:shd w:val="clear" w:color="auto" w:fill="CCEEFF"/>
          </w:tcPr>
          <w:p>
            <w:pPr>
              <w:spacing w:after="0"/>
              <w:rPr>
                <w:sz w:val="16"/>
                <w:szCs w:val="16"/>
                <w:color w:val="auto"/>
              </w:rPr>
            </w:pPr>
          </w:p>
        </w:tc>
        <w:tc>
          <w:tcPr>
            <w:tcW w:w="7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8640" w:type="dxa"/>
            <w:vAlign w:val="bottom"/>
            <w:tcBorders>
              <w:top w:val="single" w:sz="8" w:color="CCEEFF"/>
            </w:tcBorders>
            <w:gridSpan w:val="45"/>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w:t>
            </w:r>
          </w:p>
        </w:tc>
      </w:tr>
      <w:tr>
        <w:trPr>
          <w:trHeight w:val="156"/>
        </w:trPr>
        <w:tc>
          <w:tcPr>
            <w:tcW w:w="11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1934.</w:t>
            </w:r>
          </w:p>
        </w:tc>
        <w:tc>
          <w:tcPr>
            <w:tcW w:w="8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36" w:lineRule="exact"/>
        <w:rPr>
          <w:sz w:val="20"/>
          <w:szCs w:val="20"/>
          <w:color w:val="auto"/>
        </w:rPr>
      </w:pPr>
    </w:p>
    <w:p>
      <w:pPr>
        <w:ind w:left="5480" w:right="140" w:hanging="4469"/>
        <w:spacing w:after="0" w:line="798" w:lineRule="auto"/>
        <w:tabs>
          <w:tab w:leader="none" w:pos="20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 xml:space="preserve">Certification of Principal Executive Officer and Principal Financial Officer pursuant to 18 U.S.C. Section 1350. </w:t>
      </w:r>
      <w:r>
        <w:rPr>
          <w:rFonts w:ascii="Times New Roman" w:cs="Times New Roman" w:eastAsia="Times New Roman" w:hAnsi="Times New Roman"/>
          <w:sz w:val="18"/>
          <w:szCs w:val="18"/>
          <w:color w:val="000000"/>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-870585</wp:posOffset>
            </wp:positionV>
            <wp:extent cx="588073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1">
                      <a:extLst>
                        <a:ext uri="{28A0092B-C50C-407E-A947-70E740481C1C}"/>
                      </a:extLst>
                    </a:blip>
                    <a:srcRect/>
                    <a:stretch>
                      <a:fillRect/>
                    </a:stretch>
                  </pic:blipFill>
                  <pic:spPr bwMode="auto">
                    <a:xfrm>
                      <a:off x="0" y="0"/>
                      <a:ext cx="5880735" cy="146050"/>
                    </a:xfrm>
                    <a:prstGeom prst="rect">
                      <a:avLst/>
                    </a:prstGeom>
                    <a:noFill/>
                  </pic:spPr>
                </pic:pic>
              </a:graphicData>
            </a:graphic>
          </wp:anchor>
        </w:drawing>
      </w:r>
    </w:p>
    <w:p>
      <w:pPr>
        <w:sectPr>
          <w:pgSz w:w="11900" w:h="16838" w:orient="portrait"/>
          <w:cols w:equalWidth="0" w:num="1">
            <w:col w:w="10260"/>
          </w:cols>
          <w:pgMar w:left="320" w:top="369" w:right="1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both"/>
        <w:ind w:left="2100" w:hanging="1089"/>
        <w:spacing w:after="0" w:line="222" w:lineRule="auto"/>
        <w:tabs>
          <w:tab w:leader="none" w:pos="2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Consolidated Balance Sheets as of December 31, 2022 and 2021;</w:t>
      </w:r>
    </w:p>
    <w:p>
      <w:pPr>
        <w:spacing w:after="0" w:line="1" w:lineRule="exact"/>
        <w:rPr>
          <w:rFonts w:ascii="Times New Roman" w:cs="Times New Roman" w:eastAsia="Times New Roman" w:hAnsi="Times New Roman"/>
          <w:sz w:val="18"/>
          <w:szCs w:val="18"/>
          <w:color w:val="auto"/>
        </w:rPr>
      </w:pPr>
    </w:p>
    <w:p>
      <w:pPr>
        <w:jc w:val="both"/>
        <w:ind w:left="2100" w:hanging="9"/>
        <w:spacing w:after="0" w:line="215" w:lineRule="auto"/>
        <w:tabs>
          <w:tab w:leader="none" w:pos="239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Consolidated Statements of Operations and Comprehensive Income for the years ended December 31, 2022, 2021, and 2020; (iii) the Registrant's Consolidated Statements of Stockholders’ Equity for the years ended December 31, 2022, 2021, and 2020; (iv) the Registrant's Consolidated Statements of Cash Flows for the years ended December 31, 2022, 2021, and 2020; and (v) the notes to the Registrant's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1905</wp:posOffset>
            </wp:positionV>
            <wp:extent cx="588073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2">
                      <a:extLst>
                        <a:ext uri="{28A0092B-C50C-407E-A947-70E740481C1C}"/>
                      </a:extLst>
                    </a:blip>
                    <a:srcRect/>
                    <a:stretch>
                      <a:fillRect/>
                    </a:stretch>
                  </pic:blipFill>
                  <pic:spPr bwMode="auto">
                    <a:xfrm>
                      <a:off x="0" y="0"/>
                      <a:ext cx="5880735" cy="145415"/>
                    </a:xfrm>
                    <a:prstGeom prst="rect">
                      <a:avLst/>
                    </a:prstGeom>
                    <a:noFill/>
                  </pic:spPr>
                </pic:pic>
              </a:graphicData>
            </a:graphic>
          </wp:anchor>
        </w:drawing>
      </w:r>
    </w:p>
    <w:p>
      <w:pPr>
        <w:ind w:left="2100" w:hanging="1089"/>
        <w:spacing w:after="0"/>
        <w:tabs>
          <w:tab w:leader="none" w:pos="2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w:t>
      </w:r>
    </w:p>
    <w:p>
      <w:pPr>
        <w:spacing w:after="0" w:line="193" w:lineRule="exact"/>
        <w:rPr>
          <w:rFonts w:ascii="Times New Roman" w:cs="Times New Roman" w:eastAsia="Times New Roman" w:hAnsi="Times New Roman"/>
          <w:sz w:val="18"/>
          <w:szCs w:val="18"/>
          <w:color w:val="auto"/>
        </w:rPr>
      </w:pPr>
    </w:p>
    <w:p>
      <w:pPr>
        <w:ind w:left="1920" w:right="180" w:hanging="126"/>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Portions of this document have been omitted and filed separately with the Securities and Exchange Commission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requests for confidential treatment pursuant to Rule 24b-2.</w:t>
      </w:r>
    </w:p>
    <w:p>
      <w:pPr>
        <w:spacing w:after="0" w:line="6" w:lineRule="exact"/>
        <w:rPr>
          <w:rFonts w:ascii="Times New Roman" w:cs="Times New Roman" w:eastAsia="Times New Roman" w:hAnsi="Times New Roman"/>
          <w:sz w:val="18"/>
          <w:szCs w:val="18"/>
          <w:color w:val="auto"/>
        </w:rPr>
      </w:pPr>
    </w:p>
    <w:p>
      <w:pPr>
        <w:jc w:val="both"/>
        <w:ind w:left="1920" w:right="180" w:hanging="206"/>
        <w:spacing w:after="0" w:line="223" w:lineRule="auto"/>
        <w:tabs>
          <w:tab w:leader="none" w:pos="1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confidential portions of this Exhibit were omitted in accordance with Item 601(b)(10) of Regulation S-K. The Registrant agrees to furnish supplementally a copy of all confidential portions of this Exhibit that were omitted to the Securities and Exchange Commission upon its request.</w:t>
      </w:r>
    </w:p>
    <w:p>
      <w:pPr>
        <w:spacing w:after="0" w:line="5" w:lineRule="exact"/>
        <w:rPr>
          <w:rFonts w:ascii="Times New Roman" w:cs="Times New Roman" w:eastAsia="Times New Roman" w:hAnsi="Times New Roman"/>
          <w:sz w:val="18"/>
          <w:szCs w:val="18"/>
          <w:color w:val="auto"/>
        </w:rPr>
      </w:pPr>
    </w:p>
    <w:p>
      <w:pPr>
        <w:jc w:val="both"/>
        <w:ind w:left="1920" w:right="180" w:hanging="296"/>
        <w:spacing w:after="0" w:line="223" w:lineRule="auto"/>
        <w:tabs>
          <w:tab w:leader="none" w:pos="19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of the exhibits and/or schedules to this Exhibit have been omitted in accordance with Item 601(a)(5) of Regulation S-K. The Registrant agrees to furnish supplementally a copy of all omitted exhibits and schedules of this Exhibit to the Securities and Exchange Commission upon its request.</w:t>
      </w:r>
    </w:p>
    <w:p>
      <w:pPr>
        <w:spacing w:after="0" w:line="6" w:lineRule="exact"/>
        <w:rPr>
          <w:sz w:val="20"/>
          <w:szCs w:val="20"/>
          <w:color w:val="auto"/>
        </w:rPr>
      </w:pPr>
    </w:p>
    <w:p>
      <w:pPr>
        <w:ind w:left="1920" w:hanging="128"/>
        <w:spacing w:after="0"/>
        <w:tabs>
          <w:tab w:leader="none" w:pos="1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369" w:right="1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7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6, 2023</w:t>
            </w:r>
          </w:p>
        </w:tc>
        <w:tc>
          <w:tcPr>
            <w:tcW w:w="3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By:   /s/ LEONARD S. SCHLEIFER</w:t>
            </w:r>
          </w:p>
        </w:tc>
        <w:tc>
          <w:tcPr>
            <w:tcW w:w="37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Leonard S. Schleifer, M.D., Ph.D.</w:t>
            </w:r>
          </w:p>
        </w:tc>
      </w:tr>
      <w:tr>
        <w:trPr>
          <w:trHeight w:val="234"/>
        </w:trPr>
        <w:tc>
          <w:tcPr>
            <w:tcW w:w="6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18"/>
        </w:trPr>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8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58"/>
        </w:trPr>
        <w:tc>
          <w:tcPr>
            <w:tcW w:w="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Leonard S. Schleifer, President and Chief Executive Officer, and Robert E. Landry, Executive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70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0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840" w:type="dxa"/>
            <w:vAlign w:val="bottom"/>
          </w:tcPr>
          <w:p>
            <w:pPr>
              <w:spacing w:after="0"/>
              <w:rPr>
                <w:sz w:val="17"/>
                <w:szCs w:val="17"/>
                <w:color w:val="auto"/>
              </w:rPr>
            </w:pPr>
          </w:p>
        </w:tc>
        <w:tc>
          <w:tcPr>
            <w:tcW w:w="16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80" w:type="dxa"/>
            <w:vAlign w:val="bottom"/>
            <w:gridSpan w:val="3"/>
          </w:tcPr>
          <w:p>
            <w:pPr>
              <w:ind w:left="300"/>
              <w:spacing w:after="0" w:line="196" w:lineRule="exact"/>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LEONARD S. SCHLEIFER</w:t>
            </w:r>
          </w:p>
        </w:tc>
        <w:tc>
          <w:tcPr>
            <w:tcW w:w="418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Executive Vice President, Finance and Chief</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8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ROBERT E. LANDRY</w:t>
            </w:r>
          </w:p>
        </w:tc>
        <w:tc>
          <w:tcPr>
            <w:tcW w:w="418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Financial Officer (Principal Financial Officer)</w:t>
            </w: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Robert E. Landry</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Senior Vice President, Controller (Principal</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8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CHRISTOPHER R. FENIMORE</w:t>
            </w:r>
          </w:p>
        </w:tc>
        <w:tc>
          <w:tcPr>
            <w:tcW w:w="418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Christopher R. Fenimore</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President, Chief Scientific Officer, and 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GEORGE D. YANCOPOULOS</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Chair of the Board of Directors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P. ROY VAGELOS</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 Roy Vagelos, M.D.</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BONNIE L. BASSLER</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Bonnie L. Bassler, Ph.D.</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MICHAEL S. BROWN</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Michael S. Brown, M.D.</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N. ANTHONY COLES</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 Anthony Coles, M.D.</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JOSEPH L. GOLDSTEIN</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Joseph L. Goldstein, M.D.</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CHRISTINE A. POON</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Christine A. Poon</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ARTHUR F. RYAN</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Arthur F. Ryan</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GEORGE L. SING</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George L. Sing</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MARC TESSIER-LAVIGNE</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Marc Tessier-Lavigne, Ph.D.</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CRAIG B. THOMPSON</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Craig B. Thompson, M.D.</w:t>
            </w:r>
          </w:p>
        </w:tc>
        <w:tc>
          <w:tcPr>
            <w:tcW w:w="41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HUDA Y. ZOGHBI</w:t>
            </w:r>
          </w:p>
        </w:tc>
        <w:tc>
          <w:tcPr>
            <w:tcW w:w="4180" w:type="dxa"/>
            <w:vAlign w:val="bottom"/>
            <w:gridSpan w:val="3"/>
            <w:vMerge w:val="continue"/>
          </w:tcPr>
          <w:p>
            <w:pPr>
              <w:spacing w:after="0"/>
              <w:rPr>
                <w:sz w:val="20"/>
                <w:szCs w:val="20"/>
                <w:color w:val="auto"/>
              </w:rPr>
            </w:pPr>
          </w:p>
        </w:tc>
        <w:tc>
          <w:tcPr>
            <w:tcW w:w="2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February 6, 2023</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Huda Y. Zoghbi, M.D.</w:t>
            </w: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Numbers</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2940" w:type="dxa"/>
            <w:vAlign w:val="bottom"/>
            <w:gridSpan w:val="4"/>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2940" w:type="dxa"/>
            <w:vAlign w:val="bottom"/>
            <w:gridSpan w:val="4"/>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5"/>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Years Ended December 31, 2022, 2021,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F-5</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8300" w:type="dxa"/>
            <w:vAlign w:val="bottom"/>
            <w:tcBorders>
              <w:top w:val="single" w:sz="8" w:color="0000FF"/>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and 2020</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right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2021, and 2020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5"/>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F-6</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80" w:type="dxa"/>
            <w:vAlign w:val="bottom"/>
            <w:gridSpan w:val="3"/>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6"/>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0000FF"/>
                <w:w w:val="99"/>
              </w:rPr>
              <w:t>F-9 to F-44</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69" w:right="9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Regeneron Pharmaceuticals,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Regeneron Pharmaceuticals, Inc. and its subsidiaries (the "Company") as of December 31, 2022 and 2021, and the related consolidated statements of operations and comprehensive income,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Acquisition of the Worldwide Rights to Libtayo</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1, 3, and 8 to the consolidated financial statements, in July 2022, the Company obtained the exclusive right to develop, commercialize, and manufacture Libtayo worldwide under an Amended and Restated Immuno-oncology License and Collaboration Agreement with Sanofi. The transaction was accounted for as an asset acquisition. Amounts paid in connection with obtaining the worldwide rights to Libtayo, which included an up-front payment of $900 million, offset by the remaining up-front payments of $241 million previously received under the Immuno-oncology License and Collaboration Agreement, were recorded as an intangible asset. The Company recorded additions to the Libtayo intangible asset primarily related to contingent consideration due to Sanofi in connection with obtaining the worldwide rights to Libtayo. As disclosed by management, due to the complexity of the terms of the amendments to the collaboration agreements in contemplation of the acquisition of the worldwide rights to Libtayo, significant judgment was applied by management in identifying the elements of the transaction and evaluating the timing and recognition of contingent consideration including the following: royalties, which are recorded in the period in which the underlying sales occur; sales-based milestones up to an aggregate of $100 million, which are recorded when the milestone is deemed probable by the Company of being achieved; a regulatory milestone of $100 million, which is recorded upon achievement; and a portion of the value associated with the increase in the reimbursement percentage pursuant to the amendment to the Company's Antibody License and Collaboration Agreement.</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accounting for the acquisition of the worldwide rights to Libtayo is a critical audit matter are (i) the significant judgment by management in identifying the elements of the transaction and in evaluating the timing and recognition of contingent consideration, (ii) a high degree of auditor judgment, subjectivity, and effort in performing procedures and evaluating audit evidence related to the accounting for the transaction and related disclosures, and (iii) the audit effort involved the use of professionals with specialized skill and knowledge.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over management's accounting for the amendments to the collaboration agreements including controls over the identification of the elements of the transaction and evaluating the timing and recognition of contingent consideration. These procedures also included, among others (i) reviewing the Amended and Restated Immuno-oncology License and Collaboration Agreement and the amended Antibody License and Collaboration Agreement and other agreements related to the transaction; (ii) evaluating management's identification of the elements of the transaction; and (iii) evaluating the timing and recognition of contingent consideration. Professionals with specialized skill and knowledge were used to assist in evaluating the identification of the elements of the transaction.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2023</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1989.</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8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9"/>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1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r>
      <w:tr>
        <w:trPr>
          <w:trHeight w:val="229"/>
        </w:trPr>
        <w:tc>
          <w:tcPr>
            <w:tcW w:w="120" w:type="dxa"/>
            <w:vAlign w:val="bottom"/>
          </w:tcPr>
          <w:p>
            <w:pPr>
              <w:spacing w:after="0"/>
              <w:rPr>
                <w:sz w:val="19"/>
                <w:szCs w:val="19"/>
                <w:color w:val="auto"/>
              </w:rPr>
            </w:pPr>
          </w:p>
        </w:tc>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2,809.1</w:t>
            </w: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r>
      <w:tr>
        <w:trPr>
          <w:trHeight w:val="229"/>
        </w:trPr>
        <w:tc>
          <w:tcPr>
            <w:tcW w:w="120" w:type="dxa"/>
            <w:vAlign w:val="bottom"/>
          </w:tcPr>
          <w:p>
            <w:pPr>
              <w:spacing w:after="0"/>
              <w:rPr>
                <w:sz w:val="19"/>
                <w:szCs w:val="19"/>
                <w:color w:val="auto"/>
              </w:rPr>
            </w:pPr>
          </w:p>
        </w:tc>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r>
      <w:tr>
        <w:trPr>
          <w:trHeight w:val="229"/>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23"/>
        </w:trPr>
        <w:tc>
          <w:tcPr>
            <w:tcW w:w="120" w:type="dxa"/>
            <w:vAlign w:val="bottom"/>
          </w:tcPr>
          <w:p>
            <w:pPr>
              <w:spacing w:after="0"/>
              <w:rPr>
                <w:sz w:val="19"/>
                <w:szCs w:val="19"/>
                <w:color w:val="auto"/>
              </w:rPr>
            </w:pPr>
          </w:p>
        </w:tc>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14,014.9</w:t>
            </w:r>
          </w:p>
        </w:tc>
      </w:tr>
      <w:tr>
        <w:trPr>
          <w:trHeight w:val="216"/>
        </w:trPr>
        <w:tc>
          <w:tcPr>
            <w:tcW w:w="120" w:type="dxa"/>
            <w:vAlign w:val="bottom"/>
          </w:tcPr>
          <w:p>
            <w:pPr>
              <w:spacing w:after="0"/>
              <w:rPr>
                <w:sz w:val="18"/>
                <w:szCs w:val="18"/>
                <w:color w:val="auto"/>
              </w:rPr>
            </w:pPr>
          </w:p>
        </w:tc>
        <w:tc>
          <w:tcPr>
            <w:tcW w:w="3060" w:type="dxa"/>
            <w:vAlign w:val="bottom"/>
            <w:gridSpan w:val="2"/>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6,838.0</w:t>
            </w: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w:t>
            </w:r>
          </w:p>
        </w:tc>
      </w:tr>
      <w:tr>
        <w:trPr>
          <w:trHeight w:val="229"/>
        </w:trPr>
        <w:tc>
          <w:tcPr>
            <w:tcW w:w="120" w:type="dxa"/>
            <w:vAlign w:val="bottom"/>
          </w:tcPr>
          <w:p>
            <w:pPr>
              <w:spacing w:after="0"/>
              <w:rPr>
                <w:sz w:val="19"/>
                <w:szCs w:val="19"/>
                <w:color w:val="auto"/>
              </w:rPr>
            </w:pPr>
          </w:p>
        </w:tc>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9"/>
        </w:trPr>
        <w:tc>
          <w:tcPr>
            <w:tcW w:w="120" w:type="dxa"/>
            <w:vAlign w:val="bottom"/>
          </w:tcPr>
          <w:p>
            <w:pPr>
              <w:spacing w:after="0"/>
              <w:rPr>
                <w:sz w:val="19"/>
                <w:szCs w:val="19"/>
                <w:color w:val="auto"/>
              </w:rPr>
            </w:pPr>
          </w:p>
        </w:tc>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48"/>
        </w:trPr>
        <w:tc>
          <w:tcPr>
            <w:tcW w:w="120" w:type="dxa"/>
            <w:vAlign w:val="bottom"/>
          </w:tcPr>
          <w:p>
            <w:pPr>
              <w:spacing w:after="0"/>
              <w:rPr>
                <w:sz w:val="21"/>
                <w:szCs w:val="21"/>
                <w:color w:val="auto"/>
              </w:rPr>
            </w:pPr>
          </w:p>
        </w:tc>
        <w:tc>
          <w:tcPr>
            <w:tcW w:w="7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25,434.8</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0"/>
        </w:trPr>
        <w:tc>
          <w:tcPr>
            <w:tcW w:w="1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30"/>
        </w:trPr>
        <w:tc>
          <w:tcPr>
            <w:tcW w:w="120" w:type="dxa"/>
            <w:vAlign w:val="bottom"/>
          </w:tcPr>
          <w:p>
            <w:pPr>
              <w:spacing w:after="0"/>
              <w:rPr>
                <w:sz w:val="19"/>
                <w:szCs w:val="19"/>
                <w:color w:val="auto"/>
              </w:rPr>
            </w:pPr>
          </w:p>
        </w:tc>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2,206.8</w:t>
            </w: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30"/>
        </w:trPr>
        <w:tc>
          <w:tcPr>
            <w:tcW w:w="120" w:type="dxa"/>
            <w:vAlign w:val="bottom"/>
          </w:tcPr>
          <w:p>
            <w:pPr>
              <w:spacing w:after="0"/>
              <w:rPr>
                <w:sz w:val="19"/>
                <w:szCs w:val="19"/>
                <w:color w:val="auto"/>
              </w:rPr>
            </w:pPr>
          </w:p>
        </w:tc>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223"/>
        </w:trPr>
        <w:tc>
          <w:tcPr>
            <w:tcW w:w="120" w:type="dxa"/>
            <w:vAlign w:val="bottom"/>
          </w:tcPr>
          <w:p>
            <w:pPr>
              <w:spacing w:after="0"/>
              <w:rPr>
                <w:sz w:val="19"/>
                <w:szCs w:val="19"/>
                <w:color w:val="auto"/>
              </w:rPr>
            </w:pPr>
          </w:p>
        </w:tc>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3,932.5</w:t>
            </w:r>
          </w:p>
        </w:tc>
      </w:tr>
      <w:tr>
        <w:trPr>
          <w:trHeight w:val="216"/>
        </w:trPr>
        <w:tc>
          <w:tcPr>
            <w:tcW w:w="120" w:type="dxa"/>
            <w:vAlign w:val="bottom"/>
          </w:tcPr>
          <w:p>
            <w:pPr>
              <w:spacing w:after="0"/>
              <w:rPr>
                <w:sz w:val="18"/>
                <w:szCs w:val="18"/>
                <w:color w:val="auto"/>
              </w:rPr>
            </w:pPr>
          </w:p>
        </w:tc>
        <w:tc>
          <w:tcPr>
            <w:tcW w:w="3060" w:type="dxa"/>
            <w:vAlign w:val="bottom"/>
            <w:gridSpan w:val="2"/>
          </w:tcPr>
          <w:p>
            <w:pPr>
              <w:spacing w:after="0"/>
              <w:rPr>
                <w:sz w:val="18"/>
                <w:szCs w:val="18"/>
                <w:color w:val="auto"/>
              </w:rPr>
            </w:pPr>
          </w:p>
        </w:tc>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30"/>
        </w:trPr>
        <w:tc>
          <w:tcPr>
            <w:tcW w:w="120" w:type="dxa"/>
            <w:vAlign w:val="bottom"/>
          </w:tcPr>
          <w:p>
            <w:pPr>
              <w:spacing w:after="0"/>
              <w:rPr>
                <w:sz w:val="19"/>
                <w:szCs w:val="19"/>
                <w:color w:val="auto"/>
              </w:rPr>
            </w:pPr>
          </w:p>
        </w:tc>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120" w:type="dxa"/>
            <w:vAlign w:val="bottom"/>
          </w:tcPr>
          <w:p>
            <w:pPr>
              <w:spacing w:after="0"/>
              <w:rPr>
                <w:sz w:val="19"/>
                <w:szCs w:val="19"/>
                <w:color w:val="auto"/>
              </w:rPr>
            </w:pPr>
          </w:p>
        </w:tc>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23"/>
        </w:trPr>
        <w:tc>
          <w:tcPr>
            <w:tcW w:w="120" w:type="dxa"/>
            <w:vAlign w:val="bottom"/>
          </w:tcPr>
          <w:p>
            <w:pPr>
              <w:spacing w:after="0"/>
              <w:rPr>
                <w:sz w:val="19"/>
                <w:szCs w:val="19"/>
                <w:color w:val="auto"/>
              </w:rPr>
            </w:pPr>
          </w:p>
        </w:tc>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6,666.0</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3060" w:type="dxa"/>
            <w:vAlign w:val="bottom"/>
            <w:gridSpan w:val="2"/>
          </w:tcPr>
          <w:p>
            <w:pPr>
              <w:spacing w:after="0"/>
              <w:rPr>
                <w:sz w:val="18"/>
                <w:szCs w:val="18"/>
                <w:color w:val="auto"/>
              </w:rPr>
            </w:pPr>
          </w:p>
        </w:tc>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issued and outstanding - none</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120" w:type="dxa"/>
            <w:vAlign w:val="bottom"/>
          </w:tcPr>
          <w:p>
            <w:pPr>
              <w:spacing w:after="0"/>
              <w:rPr>
                <w:sz w:val="15"/>
                <w:szCs w:val="15"/>
                <w:color w:val="auto"/>
              </w:rPr>
            </w:pPr>
          </w:p>
        </w:tc>
        <w:tc>
          <w:tcPr>
            <w:tcW w:w="788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8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outstanding - 1.8 in 2022 and 2021</w:t>
            </w: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20" w:type="dxa"/>
            <w:vAlign w:val="bottom"/>
          </w:tcPr>
          <w:p>
            <w:pPr>
              <w:spacing w:after="0"/>
              <w:rPr>
                <w:sz w:val="15"/>
                <w:szCs w:val="15"/>
                <w:color w:val="auto"/>
              </w:rPr>
            </w:pPr>
          </w:p>
        </w:tc>
        <w:tc>
          <w:tcPr>
            <w:tcW w:w="788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- 130.4 in 2022 and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8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126.2 in 2021</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120" w:type="dxa"/>
            <w:vAlign w:val="bottom"/>
          </w:tcPr>
          <w:p>
            <w:pPr>
              <w:spacing w:after="0"/>
              <w:rPr>
                <w:sz w:val="19"/>
                <w:szCs w:val="19"/>
                <w:color w:val="auto"/>
              </w:rPr>
            </w:pPr>
          </w:p>
        </w:tc>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8,087.5</w:t>
            </w:r>
          </w:p>
        </w:tc>
      </w:tr>
      <w:tr>
        <w:trPr>
          <w:trHeight w:val="230"/>
        </w:trPr>
        <w:tc>
          <w:tcPr>
            <w:tcW w:w="120" w:type="dxa"/>
            <w:vAlign w:val="bottom"/>
          </w:tcPr>
          <w:p>
            <w:pPr>
              <w:spacing w:after="0"/>
              <w:rPr>
                <w:sz w:val="19"/>
                <w:szCs w:val="19"/>
                <w:color w:val="auto"/>
              </w:rPr>
            </w:pPr>
          </w:p>
        </w:tc>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18,968.3</w:t>
            </w:r>
          </w:p>
        </w:tc>
      </w:tr>
      <w:tr>
        <w:trPr>
          <w:trHeight w:val="229"/>
        </w:trPr>
        <w:tc>
          <w:tcPr>
            <w:tcW w:w="120" w:type="dxa"/>
            <w:vAlign w:val="bottom"/>
          </w:tcPr>
          <w:p>
            <w:pPr>
              <w:spacing w:after="0"/>
              <w:rPr>
                <w:sz w:val="19"/>
                <w:szCs w:val="19"/>
                <w:color w:val="auto"/>
              </w:rPr>
            </w:pPr>
          </w:p>
        </w:tc>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shd w:val="clear" w:color="auto" w:fill="CCEEFF"/>
              </w:rPr>
              <w:t>Accumulated other comprehensive loss</w:t>
            </w:r>
          </w:p>
        </w:tc>
        <w:tc>
          <w:tcPr>
            <w:tcW w:w="4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120" w:type="dxa"/>
            <w:vAlign w:val="bottom"/>
          </w:tcPr>
          <w:p>
            <w:pPr>
              <w:spacing w:after="0"/>
              <w:rPr>
                <w:sz w:val="19"/>
                <w:szCs w:val="19"/>
                <w:color w:val="auto"/>
              </w:rPr>
            </w:pPr>
          </w:p>
        </w:tc>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Treasury Stock, at cost; 22.6 shares in 2022 and 19.4 shares in 2021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(10,353.3)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(8,260.9)</w:t>
            </w:r>
          </w:p>
        </w:tc>
      </w:tr>
      <w:tr>
        <w:trPr>
          <w:trHeight w:val="223"/>
        </w:trPr>
        <w:tc>
          <w:tcPr>
            <w:tcW w:w="120" w:type="dxa"/>
            <w:vAlign w:val="bottom"/>
          </w:tcPr>
          <w:p>
            <w:pPr>
              <w:spacing w:after="0"/>
              <w:rPr>
                <w:sz w:val="19"/>
                <w:szCs w:val="19"/>
                <w:color w:val="auto"/>
              </w:rPr>
            </w:pPr>
          </w:p>
        </w:tc>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r>
      <w:tr>
        <w:trPr>
          <w:trHeight w:val="223"/>
        </w:trPr>
        <w:tc>
          <w:tcPr>
            <w:tcW w:w="120" w:type="dxa"/>
            <w:vAlign w:val="bottom"/>
          </w:tcPr>
          <w:p>
            <w:pPr>
              <w:spacing w:after="0"/>
              <w:rPr>
                <w:sz w:val="19"/>
                <w:szCs w:val="19"/>
                <w:color w:val="auto"/>
              </w:rPr>
            </w:pPr>
          </w:p>
        </w:tc>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29,214.5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25,434.8</w:t>
            </w: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19685</wp:posOffset>
            </wp:positionV>
            <wp:extent cx="69862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45720</wp:posOffset>
            </wp:positionV>
            <wp:extent cx="69862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4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79"/>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700" w:type="dxa"/>
            <w:vAlign w:val="bottom"/>
            <w:gridSpan w:val="5"/>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gridSpan w:val="8"/>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INCOME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76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product sales</w:t>
            </w:r>
          </w:p>
        </w:tc>
        <w:tc>
          <w:tcPr>
            <w:tcW w:w="2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5,567.6</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collaboration revenue</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r>
      <w:tr>
        <w:trPr>
          <w:trHeight w:val="229"/>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23"/>
        </w:trPr>
        <w:tc>
          <w:tcPr>
            <w:tcW w:w="1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8,497.1</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2,647.0</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4,920.5</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3,576.6</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30"/>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1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3,810.4</w:t>
            </w:r>
          </w:p>
        </w:tc>
      </w:tr>
      <w:tr>
        <w:trPr>
          <w:trHeight w:val="216"/>
        </w:trPr>
        <w:tc>
          <w:tcPr>
            <w:tcW w:w="120" w:type="dxa"/>
            <w:vAlign w:val="bottom"/>
          </w:tcPr>
          <w:p>
            <w:pPr>
              <w:spacing w:after="0"/>
              <w:rPr>
                <w:sz w:val="18"/>
                <w:szCs w:val="18"/>
                <w:color w:val="auto"/>
              </w:rPr>
            </w:pPr>
          </w:p>
        </w:tc>
        <w:tc>
          <w:tcPr>
            <w:tcW w:w="398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r>
      <w:tr>
        <w:trPr>
          <w:trHeight w:val="20"/>
        </w:trPr>
        <w:tc>
          <w:tcPr>
            <w:tcW w:w="120" w:type="dxa"/>
            <w:vAlign w:val="bottom"/>
          </w:tcPr>
          <w:p>
            <w:pPr>
              <w:spacing w:after="0" w:line="20" w:lineRule="exact"/>
              <w:rPr>
                <w:sz w:val="1"/>
                <w:szCs w:val="1"/>
                <w:color w:val="auto"/>
              </w:rPr>
            </w:pPr>
          </w:p>
        </w:tc>
        <w:tc>
          <w:tcPr>
            <w:tcW w:w="3980" w:type="dxa"/>
            <w:vAlign w:val="bottom"/>
            <w:tcBorders>
              <w:top w:val="single" w:sz="8" w:color="CCEEFF"/>
            </w:tcBorders>
            <w:gridSpan w:val="2"/>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16"/>
        </w:trPr>
        <w:tc>
          <w:tcPr>
            <w:tcW w:w="120" w:type="dxa"/>
            <w:vAlign w:val="bottom"/>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120" w:type="dxa"/>
            <w:vAlign w:val="bottom"/>
          </w:tcPr>
          <w:p>
            <w:pPr>
              <w:spacing w:after="0"/>
              <w:rPr>
                <w:sz w:val="18"/>
                <w:szCs w:val="18"/>
                <w:color w:val="auto"/>
              </w:rPr>
            </w:pPr>
          </w:p>
        </w:tc>
        <w:tc>
          <w:tcPr>
            <w:tcW w:w="398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3,513.2</w:t>
            </w: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Unrealized (loss) gain on debt securities</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2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3,521.4</w:t>
            </w: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19685</wp:posOffset>
            </wp:positionV>
            <wp:extent cx="69780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4">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45720</wp:posOffset>
            </wp:positionV>
            <wp:extent cx="69780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5">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2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60" w:type="dxa"/>
            <w:vAlign w:val="bottom"/>
            <w:gridSpan w:val="11"/>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0" w:type="dxa"/>
            <w:vAlign w:val="bottom"/>
            <w:gridSpan w:val="1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60" w:type="dxa"/>
            <w:vAlign w:val="bottom"/>
            <w:gridSpan w:val="1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2022, 2021, and 2020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4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60" w:type="dxa"/>
            <w:vAlign w:val="bottom"/>
            <w:gridSpan w:val="2"/>
            <w:vMerge w:val="restart"/>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880" w:type="dxa"/>
            <w:vAlign w:val="bottom"/>
            <w:gridSpan w:val="2"/>
            <w:vMerge w:val="restart"/>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vMerge w:val="restart"/>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6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4,428.6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$ 7,379.8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(739.9)</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11,089.7</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8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equity awards granted under</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incentive plans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tendered upon</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8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exercise of stock options and</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48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vesting of restricted stock for</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Issuance/distribution of</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8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for 401(k)</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(6,613.3)</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11,025.3</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4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8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equity awards granted under</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incentive plans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tendered upon</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8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exercise of stock options and</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48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vesting of restricted stock for</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Issuance/distribution of</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8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for 401(k)</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loss, net</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tax</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(8,260.9)</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4"/>
        </w:trPr>
        <w:tc>
          <w:tcPr>
            <w:tcW w:w="24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1"/>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6680" w:type="dxa"/>
            <w:vAlign w:val="bottom"/>
            <w:gridSpan w:val="17"/>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STOCKHOLDERS' EQUITY </w:t>
            </w:r>
            <w:r>
              <w:rPr>
                <w:rFonts w:ascii="Times New Roman" w:cs="Times New Roman" w:eastAsia="Times New Roman" w:hAnsi="Times New Roman"/>
                <w:sz w:val="18"/>
                <w:szCs w:val="18"/>
                <w:b w:val="1"/>
                <w:bCs w:val="1"/>
                <w:i w:val="1"/>
                <w:iCs w:val="1"/>
                <w:color w:val="auto"/>
              </w:rPr>
              <w:t>(continued)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80" w:type="dxa"/>
            <w:vAlign w:val="bottom"/>
            <w:vMerge w:val="restart"/>
          </w:tcPr>
          <w:p>
            <w:pPr>
              <w:spacing w:after="0"/>
              <w:rPr>
                <w:sz w:val="15"/>
                <w:szCs w:val="15"/>
                <w:color w:val="auto"/>
              </w:rPr>
            </w:pPr>
          </w:p>
        </w:tc>
        <w:tc>
          <w:tcPr>
            <w:tcW w:w="1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56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9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right"/>
              <w:ind w:right="100"/>
              <w:spacing w:after="0" w:line="16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56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34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Issuance of Common Stock</w:t>
            </w: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for equity awards granted</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under long-term incentive</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64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Common Stock tendered upon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vesting of restricted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stock for employee tax</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Issuance/distribution of</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for 401(k)</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Repurchases of Common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loss, net</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tax</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w:t>
            </w:r>
            <w:r>
              <w:rPr>
                <w:rFonts w:ascii="Times New Roman" w:cs="Times New Roman" w:eastAsia="Times New Roman" w:hAnsi="Times New Roman"/>
                <w:sz w:val="18"/>
                <w:szCs w:val="18"/>
                <w:u w:val="single" w:color="auto"/>
                <w:color w:val="auto"/>
              </w:rPr>
              <w:t>1</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9,949.3</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23,306.7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(10,353.3)</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22,664.0</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19685</wp:posOffset>
            </wp:positionV>
            <wp:extent cx="70548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45720</wp:posOffset>
            </wp:positionV>
            <wp:extent cx="70548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79"/>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7100" w:type="dxa"/>
            <w:vAlign w:val="bottom"/>
            <w:gridSpan w:val="4"/>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100" w:type="dxa"/>
            <w:vAlign w:val="bottom"/>
            <w:gridSpan w:val="4"/>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120" w:type="dxa"/>
            <w:vAlign w:val="bottom"/>
          </w:tcPr>
          <w:p>
            <w:pPr>
              <w:spacing w:after="0"/>
              <w:rPr>
                <w:sz w:val="18"/>
                <w:szCs w:val="18"/>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3,513.2</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6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29"/>
        </w:trPr>
        <w:tc>
          <w:tcPr>
            <w:tcW w:w="120" w:type="dxa"/>
            <w:vAlign w:val="bottom"/>
          </w:tcPr>
          <w:p>
            <w:pPr>
              <w:spacing w:after="0"/>
              <w:rPr>
                <w:sz w:val="19"/>
                <w:szCs w:val="19"/>
                <w:color w:val="auto"/>
              </w:rPr>
            </w:pPr>
          </w:p>
        </w:tc>
        <w:tc>
          <w:tcPr>
            <w:tcW w:w="6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Losses (gains) on marketable and other securities,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items,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Acquired in-process research and development in connection with asset acquisition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w:t>
            </w:r>
          </w:p>
        </w:tc>
      </w:tr>
      <w:tr>
        <w:trPr>
          <w:trHeight w:val="229"/>
        </w:trPr>
        <w:tc>
          <w:tcPr>
            <w:tcW w:w="120" w:type="dxa"/>
            <w:vAlign w:val="bottom"/>
          </w:tcPr>
          <w:p>
            <w:pPr>
              <w:spacing w:after="0"/>
              <w:rPr>
                <w:sz w:val="19"/>
                <w:szCs w:val="19"/>
                <w:color w:val="auto"/>
              </w:rPr>
            </w:pPr>
          </w:p>
        </w:tc>
        <w:tc>
          <w:tcPr>
            <w:tcW w:w="6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prepaid expenses and other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9"/>
        </w:trPr>
        <w:tc>
          <w:tcPr>
            <w:tcW w:w="120" w:type="dxa"/>
            <w:vAlign w:val="bottom"/>
          </w:tcPr>
          <w:p>
            <w:pPr>
              <w:spacing w:after="0"/>
              <w:rPr>
                <w:sz w:val="19"/>
                <w:szCs w:val="19"/>
                <w:color w:val="auto"/>
              </w:rPr>
            </w:pPr>
          </w:p>
        </w:tc>
        <w:tc>
          <w:tcPr>
            <w:tcW w:w="6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3"/>
        </w:trPr>
        <w:tc>
          <w:tcPr>
            <w:tcW w:w="120" w:type="dxa"/>
            <w:vAlign w:val="bottom"/>
          </w:tcPr>
          <w:p>
            <w:pPr>
              <w:spacing w:after="0"/>
              <w:rPr>
                <w:sz w:val="19"/>
                <w:szCs w:val="19"/>
                <w:color w:val="auto"/>
              </w:rPr>
            </w:pPr>
          </w:p>
        </w:tc>
        <w:tc>
          <w:tcPr>
            <w:tcW w:w="6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adjustments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23"/>
        </w:trPr>
        <w:tc>
          <w:tcPr>
            <w:tcW w:w="120" w:type="dxa"/>
            <w:vAlign w:val="bottom"/>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2,618.1</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(3,241.0)</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3,785.0</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Libtayo intangible asset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 acquisition, net of cash acquired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 w:type="dxa"/>
            <w:vAlign w:val="bottom"/>
          </w:tcPr>
          <w:p>
            <w:pPr>
              <w:spacing w:after="0"/>
              <w:rPr>
                <w:sz w:val="19"/>
                <w:szCs w:val="19"/>
                <w:color w:val="auto"/>
              </w:rPr>
            </w:pPr>
          </w:p>
        </w:tc>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2,575.2</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(5,846.8)</w:t>
            </w: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w:t>
            </w: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bridge loan facility</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120" w:type="dxa"/>
            <w:vAlign w:val="bottom"/>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bridge loan facility</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3"/>
        </w:trPr>
        <w:tc>
          <w:tcPr>
            <w:tcW w:w="120" w:type="dxa"/>
            <w:vAlign w:val="bottom"/>
          </w:tcPr>
          <w:p>
            <w:pPr>
              <w:spacing w:after="0"/>
              <w:rPr>
                <w:sz w:val="19"/>
                <w:szCs w:val="19"/>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(1,970.5)</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16"/>
        </w:trPr>
        <w:tc>
          <w:tcPr>
            <w:tcW w:w="120" w:type="dxa"/>
            <w:vAlign w:val="bottom"/>
          </w:tcPr>
          <w:p>
            <w:pPr>
              <w:spacing w:after="0"/>
              <w:rPr>
                <w:sz w:val="18"/>
                <w:szCs w:val="18"/>
                <w:color w:val="auto"/>
              </w:rPr>
            </w:pPr>
          </w:p>
        </w:tc>
        <w:tc>
          <w:tcPr>
            <w:tcW w:w="66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1,630.3</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r>
      <w:tr>
        <w:trPr>
          <w:trHeight w:val="20"/>
        </w:trPr>
        <w:tc>
          <w:tcPr>
            <w:tcW w:w="1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9"/>
        </w:trPr>
        <w:tc>
          <w:tcPr>
            <w:tcW w:w="12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4"/>
        </w:trPr>
        <w:tc>
          <w:tcPr>
            <w:tcW w:w="120" w:type="dxa"/>
            <w:vAlign w:val="bottom"/>
          </w:tcPr>
          <w:p>
            <w:pPr>
              <w:spacing w:after="0"/>
              <w:rPr>
                <w:sz w:val="20"/>
                <w:szCs w:val="20"/>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r>
    </w:tbl>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19685</wp:posOffset>
            </wp:positionV>
            <wp:extent cx="69780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1">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45720</wp:posOffset>
            </wp:positionV>
            <wp:extent cx="6978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2">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 and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Regeneron Pharmaceuticals, Inc. and its subsidiaries ("Regeneron," "Company," "we," "us," and "our") is a fully integrated biotechnology company that discovers, invents, develops, manufactures, and commercializes medicines for serious diseases. Our products and product candidates in development are designed to help patients with eye diseases, allergic and inflammatory diseases, cancer, cardiovascular and metabolic diseases, pain, hematologic conditions, infectious diseases, and rare diseases. The Company currently has nine products that have received marketing approval by the U.S. Food and Drug Administration ("FDA"). In addition,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was authorized under an Emergency Use Authorization ("EUA") from November 2020 until January 2022 when the EUA was revised to exclude its use in geographic regions where infection or exposure is likely due to a variant that is not susceptible to the treatment; with this EUA revision, REGEN-COV is not currently authorized for use in any U.S. states, territories, or jurisdictions. The Company is a party to collaboration agreements to develop and commercialize, as applicable, certain products and product candidates (see Note 3).</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medicines for serious diseases. The Company's business is subject to certain risks including, but not limited to, uncertainties relating to conducting research activities, product development, obtaining regulatory approvals, competition, and obtaining and enforcing patents.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Regeneron and its wholly-owned subsidiaries. Intercompany balances and transactions are eliminated in consolidation.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with the first quarter of 2022, the Company added a new line item, Acquired in-process research and development, to its Consolidated Statements of Operations and Comprehensive Income. This line item includes in-process research and development acquired in connection with asset acquisitions as well as up-front/opt-in payments related to license and collaboration agreements. Amounts recorded in this line item during the year ended December 31, 2022 would have historically been recorded to Research and development expenses.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 including in connection with the addition of Acquired in-process research and development described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of cash, cash equivalents, certain investments, and accounts receivable. In accordance with the Company's policies, the Company mandates asset diversification and monitors exposure with its counterparties.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Concentrations of credit risk with respect to customer and collaborator accounts receivable are significant. As of December 31, 2022, two individual customers accounted for 86% of the Company's net trade accounts receivable balances. Three individual customers accounted for 91% (including 29% related to the U.S. government) of the Company's net trade accounts receivable balances as of December 31, 2021. The Company has contractual payment terms with each of its collaborators and customers, and the Company monitors their financial performance and credit worthiness so that it can properly assess and respond to any changes in their credit profile. As of December 31, 2022 and 2021, there were no write-offs and allowances of accounts receivable related to credit risk for the Company's collaborators or customers.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Equity Securities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an investment policy that includes guidelines on acceptable investment securities, minimum credit quality, maturity parameters, and diversification. The Company invests its cash primarily in debt securities. The Company considers its investments in debt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available-for-sale debt securities are included in other income (expense), net.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has investments in equity securities that are carried at fair value with changes in fair value recognized within other income (expense), net. The Company has elected to measure certain equity investments it holds that do not have readily determinable fair values at cost less impairment, if any, and adjusts for observable price changes in orderly transactions for identical or similar investments of the same issuer within other income (expense), net.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4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Company's trade accounts receivable arise from product sales and represent amounts due from its customers. In addition, the Company records accounts receivable arising from its collaboration and licensing agreements. The Company monitors the financial performance and credit worthiness of its counterparties so that it can properly assess and respond to changes in their credit profile. The Company provides allowances against receivables for estimated losses, if any, that may result from a counterparty's inability to pay. Amounts determined to be uncollectible are written-off against the allowance.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Company determines the cost of inventory using the first-in, first-out, or FIFO, method.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prior to expected sale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inventory to its estimated realizable value.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Depreciation is calculated on a straight-line basis over the estimated useful lives of the assets. Leasehold improvements are amortized over the shorter of the estimated useful lives of the assets or the remaining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within income from operations. The estimated useful lives of property, plant, and equipment are as follows:</w:t>
      </w:r>
    </w:p>
    <w:p>
      <w:pPr>
        <w:spacing w:after="0" w:line="260" w:lineRule="exact"/>
        <w:rPr>
          <w:sz w:val="20"/>
          <w:szCs w:val="20"/>
          <w:color w:val="auto"/>
        </w:rPr>
      </w:pPr>
    </w:p>
    <w:tbl>
      <w:tblPr>
        <w:tblLayout w:type="fixed"/>
        <w:tblInd w:w="3520" w:type="dxa"/>
        <w:tblCellMar>
          <w:top w:w="0" w:type="dxa"/>
          <w:left w:w="0" w:type="dxa"/>
          <w:bottom w:w="0" w:type="dxa"/>
          <w:right w:w="0" w:type="dxa"/>
        </w:tblCellMar>
      </w:tblP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10–50 years</w:t>
            </w: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3–10 years</w:t>
            </w: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The Company's lease terms may include options to extend or terminate a lease when it is reasonably certain that it will exercise that option. The Company accounts for lease components (e.g., rental payments) separately from non-lease components (e.g., common area maintenance costs).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Right-of-use assets and lease liabilities are recognized at the lease commencement date based on the present value of lease payments over the lease term, unless there is a transfer of title or purchase option the Company is reasonably certain to exercise. For leases where an implicit rate is not readily determinable, the Company uses its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makes a determination of whether an asset or set of assets acquired constitute a business. If it is determined that substantially all of the fair value of gross assets acquired in a transaction are concentrated in a single identifiable asset, then the transaction is accounted for as an asset acquisition. Intangible assets acquired in connection with an asset acquisition are recorded at cost. Such amounts may include up-front payments and contingent consideration. With regard to contingent consideration, the Company recognizes regulatory milestones upon achievement, royalties in the period in which the underlying sales occur, and sales-based milestones when the milestone is deemed probable by the Company of being achieved.</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Intangible assets are amortized to Cost of goods sold over the estimated useful lives of the assets based on the pattern in which the economic benefits of the intangible assets are consumed; if that pattern cannot be reliably determined, a straight-line basis is used.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intangible assets are reviewed for recoverability whenever events or changes in circumstances indicate that the carrying amount of the asset may not be recoverable. If an indicator of impairment exists, the Company compares the projected undiscounted cash flows to be generated by the asset to the intangible asset's carrying amount. If the projected undiscounted cash flows of the intangible asset are less than the carrying amount, the intangible asset is written down to its fair value in the period in which the impairment occurs.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Product Revenue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Company's customer is deemed to have obtained control of the product, which generally occurs upon receipt or acceptance by its customer.</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revenue the Company recognizes from product sales may vary due to rebates, chargebacks, and discounts provided under governmental and other programs, distribution-related fees, and other sales-related deductions. In order to determine the transaction price, the Company estimates, utilizing the expected value method, the amount of variable consideration to which the Company will be entitled. This estimate is based upon contracts with customers, healthcare providers, payors, and government agencies, statutorily-defined discounts applicable to government-funded programs, historical experience, estimated payor mix, and other relevant factors. The Company reviews its estimates of rebates, chargebacks, and other applicable provisions each period and records any necessary adjustments in the current period's net product sales.</w:t>
      </w:r>
    </w:p>
    <w:p>
      <w:pPr>
        <w:spacing w:after="0" w:line="118" w:lineRule="exact"/>
        <w:rPr>
          <w:sz w:val="20"/>
          <w:szCs w:val="20"/>
          <w:color w:val="auto"/>
        </w:rPr>
      </w:pPr>
    </w:p>
    <w:p>
      <w:pPr>
        <w:jc w:val="both"/>
        <w:ind w:left="660" w:hanging="328"/>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The Company's rebates include amounts paid to managed care organizations, group purchasing organizations, state Medicaid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rebate programs. The Company estimates reductions to product sales for each type of rebate and records an allowance for rebates in the same period in which the related product sales are recognized. The Company's liability for rebates consists of estimates for claims related to the current and prior periods that have not been paid and estimates for claims that will be made related to inventory that exists in the distribution channel at the end of the period.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7" w:lineRule="exact"/>
        <w:rPr>
          <w:sz w:val="20"/>
          <w:szCs w:val="20"/>
          <w:color w:val="auto"/>
        </w:rPr>
      </w:pPr>
    </w:p>
    <w:p>
      <w:pPr>
        <w:jc w:val="both"/>
        <w:ind w:left="660" w:hanging="328"/>
        <w:spacing w:after="0" w:line="25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Chargebacks and Discounts: </w:t>
      </w:r>
      <w:r>
        <w:rPr>
          <w:rFonts w:ascii="Times New Roman" w:cs="Times New Roman" w:eastAsia="Times New Roman" w:hAnsi="Times New Roman"/>
          <w:sz w:val="18"/>
          <w:szCs w:val="18"/>
          <w:color w:val="auto"/>
        </w:rPr>
        <w:t>The Company's reserves related to discounted pricing to eligible physicians, Veterans' Administration ("VA"),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Services, and others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discounted selling price to the qualified healthcare providers. The Company estimates reductions to product sales for each type of chargeback and records an allowance for chargebacks in the same period that the related product sales are recognized. The Company's reserve for chargebacks consists of amounts for which it expects to issue credit based on expected sales by its customers to qualified healthcare providers and chargebacks that customers have claimed but for which the Company has not yet issued credit.</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Distribution-Related Fees: </w:t>
      </w:r>
      <w:r>
        <w:rPr>
          <w:rFonts w:ascii="Times New Roman" w:cs="Times New Roman" w:eastAsia="Times New Roman" w:hAnsi="Times New Roman"/>
          <w:sz w:val="18"/>
          <w:szCs w:val="18"/>
          <w:color w:val="auto"/>
        </w:rPr>
        <w:t>The Company has written contracts with its customers that include terms for distribution-related fees.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records distribution and related fees due to its customers generally based on gross sales.</w:t>
      </w:r>
    </w:p>
    <w:p>
      <w:pPr>
        <w:ind w:left="660" w:hanging="328"/>
        <w:spacing w:after="0" w:line="260" w:lineRule="auto"/>
        <w:tabs>
          <w:tab w:leader="none" w:pos="655"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Sales-Related Deductions</w:t>
      </w:r>
      <w:r>
        <w:rPr>
          <w:rFonts w:ascii="Times New Roman" w:cs="Times New Roman" w:eastAsia="Times New Roman" w:hAnsi="Times New Roman"/>
          <w:sz w:val="18"/>
          <w:szCs w:val="18"/>
          <w:color w:val="auto"/>
        </w:rPr>
        <w:t>: The Company's other sales-related deductions include co-pay assistance programs and product returns.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and records other sales-related deductions generally based on gross sales, written contracts, and other relevant factors.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Consistent with industry practice, the Company generally offers its customers a limited right to return product purchased directly from the Company, which is principally based upon the product's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using product-specific data provided by its customers. If necessary, the Company's estimates of product returns may be adjusted in the future based on actual returns experience, known or expected changes in the marketplace, or other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Arrangements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collaborative arrangements to research, develop, manufacture, and commercialize products and/or product candidates.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arrangements where the Company does not deem its collaborator to be its customer, payments to and from its collaborator are presented in the Company's statement of operations based on the nature of our business operations, the nature of the arrangement, including the contractual terms, and the nature of the payments, as summarized in the table and further described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Nature/Type of Payment</w:t>
            </w:r>
          </w:p>
        </w:tc>
        <w:tc>
          <w:tcPr>
            <w:tcW w:w="53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Statement of Operations Presentation</w:t>
            </w:r>
          </w:p>
        </w:tc>
      </w:tr>
      <w:tr>
        <w:trPr>
          <w:trHeight w:val="178"/>
        </w:trPr>
        <w:tc>
          <w:tcPr>
            <w:tcW w:w="55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Regeneron's share of profits or losses in connection with commercialization</w:t>
            </w:r>
          </w:p>
        </w:tc>
        <w:tc>
          <w:tcPr>
            <w:tcW w:w="120" w:type="dxa"/>
            <w:vAlign w:val="bottom"/>
            <w:tcBorders>
              <w:top w:val="single" w:sz="8" w:color="CCEEFF"/>
            </w:tcBorders>
            <w:shd w:val="clear" w:color="auto" w:fill="CCEEFF"/>
          </w:tcPr>
          <w:p>
            <w:pPr>
              <w:spacing w:after="0"/>
              <w:rPr>
                <w:sz w:val="15"/>
                <w:szCs w:val="15"/>
                <w:color w:val="auto"/>
              </w:rPr>
            </w:pPr>
          </w:p>
        </w:tc>
        <w:tc>
          <w:tcPr>
            <w:tcW w:w="530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Collaboration revenue</w:t>
            </w:r>
          </w:p>
        </w:tc>
      </w:tr>
      <w:tr>
        <w:trPr>
          <w:trHeight w:val="234"/>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products</w:t>
            </w:r>
          </w:p>
        </w:tc>
        <w:tc>
          <w:tcPr>
            <w:tcW w:w="5300" w:type="dxa"/>
            <w:vAlign w:val="bottom"/>
            <w:shd w:val="clear" w:color="auto" w:fill="CCEEFF"/>
          </w:tcPr>
          <w:p>
            <w:pPr>
              <w:spacing w:after="0"/>
              <w:rPr>
                <w:sz w:val="20"/>
                <w:szCs w:val="20"/>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and/or sales-based milestones earned</w:t>
            </w: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of Regeneron's research and development expenses</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to Research and development expenses</w:t>
            </w:r>
          </w:p>
        </w:tc>
      </w:tr>
      <w:tr>
        <w:trPr>
          <w:trHeight w:val="184"/>
        </w:trPr>
        <w:tc>
          <w:tcPr>
            <w:tcW w:w="5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Regeneron's obligation for its share of collaborator's research and</w:t>
            </w:r>
          </w:p>
        </w:tc>
        <w:tc>
          <w:tcPr>
            <w:tcW w:w="53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Research and development expense</w:t>
            </w:r>
          </w:p>
        </w:tc>
      </w:tr>
      <w:tr>
        <w:trPr>
          <w:trHeight w:val="234"/>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expenses</w:t>
            </w:r>
          </w:p>
        </w:tc>
        <w:tc>
          <w:tcPr>
            <w:tcW w:w="5300" w:type="dxa"/>
            <w:vAlign w:val="bottom"/>
            <w:shd w:val="clear" w:color="auto" w:fill="CCEEFF"/>
          </w:tcPr>
          <w:p>
            <w:pPr>
              <w:spacing w:after="0"/>
              <w:rPr>
                <w:sz w:val="20"/>
                <w:szCs w:val="20"/>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Up-front/opt-in and development milestone payments to collaborators</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 expense</w:t>
            </w: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Regeneron's commercialization-related expenses</w:t>
            </w: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to Selling, general, and administrative expense</w:t>
            </w:r>
          </w:p>
        </w:tc>
      </w:tr>
      <w:tr>
        <w:trPr>
          <w:trHeight w:val="184"/>
        </w:trPr>
        <w:tc>
          <w:tcPr>
            <w:tcW w:w="5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Regeneron's obligation for its share of collaborator's commercialization-</w:t>
            </w:r>
          </w:p>
        </w:tc>
        <w:tc>
          <w:tcPr>
            <w:tcW w:w="5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 administrative expense</w:t>
            </w:r>
          </w:p>
        </w:tc>
      </w:tr>
      <w:tr>
        <w:trPr>
          <w:trHeight w:val="234"/>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expenses</w:t>
            </w:r>
          </w:p>
        </w:tc>
        <w:tc>
          <w:tcPr>
            <w:tcW w:w="5300" w:type="dxa"/>
            <w:vAlign w:val="bottom"/>
          </w:tcPr>
          <w:p>
            <w:pPr>
              <w:spacing w:after="0"/>
              <w:rPr>
                <w:sz w:val="20"/>
                <w:szCs w:val="20"/>
                <w:color w:val="auto"/>
              </w:rPr>
            </w:pPr>
          </w:p>
        </w:tc>
      </w:tr>
      <w:tr>
        <w:trPr>
          <w:trHeight w:val="184"/>
        </w:trPr>
        <w:tc>
          <w:tcPr>
            <w:tcW w:w="5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Regeneron's obligation to pay collaborator for its share of gross profits</w:t>
            </w:r>
          </w:p>
        </w:tc>
        <w:tc>
          <w:tcPr>
            <w:tcW w:w="53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goods sold</w:t>
            </w:r>
          </w:p>
        </w:tc>
      </w:tr>
      <w:tr>
        <w:trPr>
          <w:trHeight w:val="234"/>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when Regeneron is deemed to be the principal</w:t>
            </w:r>
          </w:p>
        </w:tc>
        <w:tc>
          <w:tcPr>
            <w:tcW w:w="5300" w:type="dxa"/>
            <w:vAlign w:val="bottom"/>
            <w:shd w:val="clear" w:color="auto" w:fill="CCEEFF"/>
          </w:tcPr>
          <w:p>
            <w:pPr>
              <w:spacing w:after="0"/>
              <w:rPr>
                <w:sz w:val="20"/>
                <w:szCs w:val="20"/>
                <w:color w:val="auto"/>
              </w:rPr>
            </w:pPr>
          </w:p>
        </w:tc>
      </w:tr>
      <w:tr>
        <w:trPr>
          <w:trHeight w:val="184"/>
        </w:trPr>
        <w:tc>
          <w:tcPr>
            <w:tcW w:w="5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Up-front and development milestones earned (when there is a combined</w:t>
            </w:r>
          </w:p>
        </w:tc>
        <w:tc>
          <w:tcPr>
            <w:tcW w:w="5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operating income</w:t>
            </w:r>
          </w:p>
        </w:tc>
      </w:tr>
      <w:tr>
        <w:trPr>
          <w:trHeight w:val="180"/>
        </w:trPr>
        <w:tc>
          <w:tcPr>
            <w:tcW w:w="56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unit of account which includes a license and providing research and</w:t>
            </w:r>
          </w:p>
        </w:tc>
        <w:tc>
          <w:tcPr>
            <w:tcW w:w="5300" w:type="dxa"/>
            <w:vAlign w:val="bottom"/>
          </w:tcPr>
          <w:p>
            <w:pPr>
              <w:spacing w:after="0"/>
              <w:rPr>
                <w:sz w:val="15"/>
                <w:szCs w:val="15"/>
                <w:color w:val="auto"/>
              </w:rPr>
            </w:pPr>
          </w:p>
        </w:tc>
      </w:tr>
      <w:tr>
        <w:trPr>
          <w:trHeight w:val="234"/>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services)</w:t>
            </w:r>
          </w:p>
        </w:tc>
        <w:tc>
          <w:tcPr>
            <w:tcW w:w="5300" w:type="dxa"/>
            <w:vAlign w:val="bottom"/>
          </w:tcPr>
          <w:p>
            <w:pPr>
              <w:spacing w:after="0"/>
              <w:rPr>
                <w:sz w:val="20"/>
                <w:szCs w:val="20"/>
                <w:color w:val="auto"/>
              </w:rPr>
            </w:pPr>
          </w:p>
        </w:tc>
      </w:tr>
    </w:tbl>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agreements involving multiple goods or services promised to be transferred to the Company's collaborator, the Company must assess, at the inception of the contract, whether each promise represents a separate obligation (i.e., is "distinct"), or whether such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promises should be combined as a single unit of account. When the Company has a combined unit of account which includes a license and providing research and development services to its collaborator, recognition of up-front payments and development milestones earned from its collaborator is deferred (as a liability) and recognized over the development period (i.e., over time) typically using an input method on the basis of the Company's research and development costs incurred relative to the total expected cost which determines the extent of the Company's progress toward completion. The Company reviews its estimates each period and makes revisions to such estimates as necessary.</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Company is entitled to reimbursement of all or a portion of the expenses (e.g., research and development expenses) that it incurs under a collaboration, it records those reimbursable amounts in the period in which such costs are incurred.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Company's collaborator performs research and development work or commercialization-related activities and the parties share the related costs, the Company also recognizes, as expense (e.g., research and development expense or selling, general, and administrative expense, as applicable) in the period when its collaborator incurs such expenses, the portion of the collaborator's expenses that the Company is obligated to reimburse. The Company's collaborators provide the Company with estimated expenses for the most recent fiscal quarter. The estimates are revised, if necessary, in subsequent periods if actual expenses differ from those estimates.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certain of the Company's collaboration agreements, product sales and cost of sales may be recorded by the Company's collaborators as they are deemed to be the principal in the transaction. In arrangements where the Company:</w:t>
      </w:r>
    </w:p>
    <w:p>
      <w:pPr>
        <w:spacing w:after="0" w:line="81" w:lineRule="exact"/>
        <w:rPr>
          <w:sz w:val="20"/>
          <w:szCs w:val="20"/>
          <w:color w:val="auto"/>
        </w:rPr>
      </w:pPr>
    </w:p>
    <w:p>
      <w:pPr>
        <w:jc w:val="both"/>
        <w:ind w:left="660" w:hanging="328"/>
        <w:spacing w:after="0" w:line="257"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commercial product to its collaborator, the Company may be reimbursed for its manufacturing costs as commercial product is shipped to the collaborator (however, recognition of such cost reimbursements may be deferred until the product is sold by the Company's collaborator to third-party customers);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any profits or losses arising from the commercialization of such products, the Company records its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royalties and/or sales-based milestone payments from its collaborator, the Company recognizes such amounts in the period earned.</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collaborators provide it with estimates of product sales and the Company's share of profits or losses, as applicable, for each quarter. The estimates are revised, if necessary, in subsequent periods if the Company's actual share of profits or losses differ from those estimates.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costs attributable to the conduct of research and development programs, including the cost of salaries, payroll taxes, employee benefits, materials, supplies, depreciation on and maintenance of research equipment, costs related to research collaboration and licensing agreements, clinical trial expenses, the cost of services provided by outside contractors, including services related to the Company's clinical trials, the full cost of manufacturing drug for use in research and development, amounts that the Company is obligated to reimburse to collaborators for research and development expenses that they incur, and the allocable portions of facility costs. Costs associated with research and development are expensed.</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each clinical trial that the Company conducts, certain clinical trial costs are expensed immediately, while others are expensed over time based on the expected total number of patients in the trial, the rate at which patients enter and remain in the trial, and/or the period over which clinical investigators, contract research organizations ("CROs"), or other third-party service providers are expected to provide services. In the event of early termination of a clinical trial, the Company accrues and recognizes expenses in an amount based on its estimate of the remaining noncancelable obligations associated with the winding-down of the clinical trial, including any applicable penalties.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equity grants under the Company's long-term incentive plans (including stock options, restricted stock awards, and restricted stock units (both time-based and performance-based)) to employees and non-employee members of the Company's board of directors (as applicable)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This estimate is revised, if necessary, in subsequent periods if actual forfeitures differ from those estimates. In addition, the Company reassesses its forfeiture rate assumptions at least annually, considering both historical forfeiture experience and an estimate of future forfeitures for currently outstanding unvested awards.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model to compute the estimated fair value of stock option awards. Additionally, the Company uses a Monte Carlo simulation to compute the estimated fair value of performance-based restricted stock units that are subject to vesting based on the Company’s attainment of pre-established criteria that include a market condition.</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performance-based restricted stock units that contain a performance condition, the Company recognizes stock-based compensation expense if and when the Company determines that it is probable the performance condition will be achieved (based on the number of shares expected to be vested and issued). The Company reassesses the probability of achievement at each reporting period and adjusts compensation cost, as necessary. If there are any changes in the Company's probability assessment, the Company recognizes a cumulative catch-up adjustment in the period of the change in estimate, with the remaining unrecognized expense recognized prospectively over the remaining requisite service period. If the Company subsequently determines that the performance criteria are not met or are not expected to be met, any amounts previously recognized as compensation expense are reversed in the period when such determination is made.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income taxes includes U.S. federal, state, local, and foreign taxes. Income taxes are accounted for under the liability method. Deferred tax assets and liabilities for the expected future tax consequences of events that have been included in the financial statements or tax returns, including deferred tax assets and liabilities for expected amounts of global intangible low-taxed income ("GILTI") inclusions, are recognized on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The Company re-evaluates uncertain tax positions and considers various factors, including, but not limited to, changes in tax law, the measurement of tax positions taken or expected to be taken in tax returns, and changes in facts or circumstances related to a tax position. The Company adjusts the amount of the liability to reflect any subsequent changes in the relevant facts and circumstances surrounding the uncertain tax positions. The Company recognizes interest and penalties related to income tax matters in income tax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 Share Data</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until vested. Diluted net income per share includes the potential dilutive effect of common stock equivalents as if such securities were converted or exercised during the period, when the effect is dilutive. Common stock equivalents include outstanding stock options and unvested restricted stock under the Company's long-term incentive plans, which are included under the treasury stock method when dilutive.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89" w:lineRule="exact"/>
        <w:rPr>
          <w:sz w:val="20"/>
          <w:szCs w:val="20"/>
          <w:color w:val="auto"/>
        </w:rPr>
      </w:pPr>
    </w:p>
    <w:tbl>
      <w:tblPr>
        <w:tblLayout w:type="fixed"/>
        <w:tblInd w:w="236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1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14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r>
      <w:tr>
        <w:trPr>
          <w:trHeight w:val="221"/>
        </w:trPr>
        <w:tc>
          <w:tcPr>
            <w:tcW w:w="144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®(a)</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38"/>
        </w:trPr>
        <w:tc>
          <w:tcPr>
            <w:tcW w:w="1440" w:type="dxa"/>
            <w:vAlign w:val="bottom"/>
          </w:tcPr>
          <w:p>
            <w:pPr>
              <w:spacing w:after="0"/>
              <w:rPr>
                <w:sz w:val="20"/>
                <w:szCs w:val="20"/>
                <w:color w:val="auto"/>
              </w:rPr>
            </w:pPr>
          </w:p>
        </w:tc>
        <w:tc>
          <w:tcPr>
            <w:tcW w:w="1020" w:type="dxa"/>
            <w:vAlign w:val="bottom"/>
          </w:tcPr>
          <w:p>
            <w:pPr>
              <w:ind w:left="140"/>
              <w:spacing w:after="0" w:line="237" w:lineRule="exact"/>
              <w:rPr>
                <w:sz w:val="20"/>
                <w:szCs w:val="20"/>
                <w:color w:val="auto"/>
              </w:rPr>
            </w:pPr>
            <w:r>
              <w:rPr>
                <w:rFonts w:ascii="Times New Roman" w:cs="Times New Roman" w:eastAsia="Times New Roman" w:hAnsi="Times New Roman"/>
                <w:sz w:val="18"/>
                <w:szCs w:val="18"/>
                <w:color w:val="auto"/>
              </w:rPr>
              <w:t>ROW</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®(c)</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29"/>
        </w:trPr>
        <w:tc>
          <w:tcPr>
            <w:tcW w:w="1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®(d)</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1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®(e)</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5,567.6</w:t>
            </w:r>
          </w:p>
        </w:tc>
      </w:tr>
      <w:tr>
        <w:trPr>
          <w:trHeight w:val="21"/>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0" w:right="2560" w:hanging="9"/>
        <w:spacing w:after="0" w:line="202" w:lineRule="auto"/>
        <w:tabs>
          <w:tab w:leader="none" w:pos="277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Prior to July 1, 2022, Regeneron recorded net product sales of Libtayo in the United States and Sanofi recorded net product sales of Libtayo outside the United States. Effective July 1, 2022, the Company records global net product sales of Libtayo. See Note 3 for further details.</w:t>
      </w:r>
    </w:p>
    <w:p>
      <w:pPr>
        <w:spacing w:after="0" w:line="2" w:lineRule="exact"/>
        <w:rPr>
          <w:rFonts w:ascii="Times New Roman" w:cs="Times New Roman" w:eastAsia="Times New Roman" w:hAnsi="Times New Roman"/>
          <w:sz w:val="23"/>
          <w:szCs w:val="23"/>
          <w:color w:val="auto"/>
          <w:vertAlign w:val="superscript"/>
        </w:rPr>
      </w:pPr>
    </w:p>
    <w:p>
      <w:pPr>
        <w:ind w:left="2760" w:hanging="169"/>
        <w:spacing w:after="0" w:line="214" w:lineRule="auto"/>
        <w:tabs>
          <w:tab w:leader="none" w:pos="276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Rest of world ("ROW")</w:t>
      </w:r>
    </w:p>
    <w:p>
      <w:pPr>
        <w:spacing w:after="0" w:line="24" w:lineRule="exact"/>
        <w:rPr>
          <w:rFonts w:ascii="Times New Roman" w:cs="Times New Roman" w:eastAsia="Times New Roman" w:hAnsi="Times New Roman"/>
          <w:sz w:val="21"/>
          <w:szCs w:val="21"/>
          <w:color w:val="auto"/>
          <w:vertAlign w:val="superscript"/>
        </w:rPr>
      </w:pPr>
    </w:p>
    <w:p>
      <w:pPr>
        <w:ind w:left="2600" w:right="2420" w:hanging="9"/>
        <w:spacing w:after="0" w:line="199" w:lineRule="auto"/>
        <w:tabs>
          <w:tab w:leader="none" w:pos="277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April 1, 2020, the Company became solely responsible for the development and commercialization of Praluent in the United States and records net product sales of Praluent in the United States. Previously, Sanofi recorded net product sales of Praluent in the United States. See Note 3 for further details.</w:t>
      </w:r>
    </w:p>
    <w:p>
      <w:pPr>
        <w:spacing w:after="0" w:line="7" w:lineRule="exact"/>
        <w:rPr>
          <w:rFonts w:ascii="Times New Roman" w:cs="Times New Roman" w:eastAsia="Times New Roman" w:hAnsi="Times New Roman"/>
          <w:sz w:val="23"/>
          <w:szCs w:val="23"/>
          <w:color w:val="auto"/>
          <w:vertAlign w:val="superscript"/>
        </w:rPr>
      </w:pPr>
    </w:p>
    <w:p>
      <w:pPr>
        <w:ind w:left="2600" w:right="2560" w:hanging="9"/>
        <w:spacing w:after="0" w:line="199" w:lineRule="auto"/>
        <w:tabs>
          <w:tab w:leader="none" w:pos="2776"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product sales of REGEN-COV in the United States relate to product sold in connection with the Company's agreements with the U.S. government. See Note 3 for further details.</w:t>
      </w:r>
    </w:p>
    <w:p>
      <w:pPr>
        <w:spacing w:after="0" w:line="6" w:lineRule="exact"/>
        <w:rPr>
          <w:rFonts w:ascii="Times New Roman" w:cs="Times New Roman" w:eastAsia="Times New Roman" w:hAnsi="Times New Roman"/>
          <w:sz w:val="23"/>
          <w:szCs w:val="23"/>
          <w:color w:val="auto"/>
          <w:vertAlign w:val="superscript"/>
        </w:rPr>
      </w:pPr>
    </w:p>
    <w:p>
      <w:pPr>
        <w:ind w:left="2600" w:right="2400" w:hanging="9"/>
        <w:spacing w:after="0" w:line="204" w:lineRule="auto"/>
        <w:tabs>
          <w:tab w:leader="none" w:pos="2756"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Effective April 1, 2021, Kiniksa records net product sales of ARCALYST in the United States. Previously, the Company recorded net product sales of ARCALYST in the United States.</w:t>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$3.586 billion and $5.059 billion, respectively, of trade accounts receivable that were recorded within Accounts receivable,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gross product revenue for each of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2021, and 2020. Sales to each of these customers as a percentage of the Company's total gross product revenue are as follows:</w:t>
      </w:r>
    </w:p>
    <w:p>
      <w:pPr>
        <w:spacing w:after="0" w:line="25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554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Besse Medical, a subsidiary of AmerisourceBergen Corporation</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54" w:lineRule="exact"/>
        <w:rPr>
          <w:sz w:val="20"/>
          <w:szCs w:val="20"/>
          <w:color w:val="auto"/>
        </w:rPr>
      </w:pPr>
    </w:p>
    <w:p>
      <w:pPr>
        <w:ind w:left="1200" w:hanging="108"/>
        <w:spacing w:after="0"/>
        <w:tabs>
          <w:tab w:leader="none" w:pos="120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Sales to the U.S. government represented less than 10% of total gross product revenue during the period</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The following table summarizes the provisions, and credits/payments, for sales-related deductions.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80" w:type="dxa"/>
            <w:vAlign w:val="bottom"/>
          </w:tcPr>
          <w:p>
            <w:pPr>
              <w:spacing w:after="0"/>
              <w:rPr>
                <w:sz w:val="17"/>
                <w:szCs w:val="17"/>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Chargebacks,</w:t>
            </w: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Related</w:t>
            </w:r>
          </w:p>
        </w:tc>
        <w:tc>
          <w:tcPr>
            <w:tcW w:w="320" w:type="dxa"/>
            <w:vAlign w:val="bottom"/>
          </w:tcPr>
          <w:p>
            <w:pPr>
              <w:spacing w:after="0"/>
              <w:rPr>
                <w:sz w:val="16"/>
                <w:szCs w:val="16"/>
                <w:color w:val="auto"/>
              </w:rPr>
            </w:pP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and Discounts</w:t>
            </w: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20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2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F-16</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collaborations with Sanofi are detailed below:</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7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176"/>
        </w:trPr>
        <w:tc>
          <w:tcPr>
            <w:tcW w:w="39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Sanofi collaboration revenue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23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175"/>
        </w:trPr>
        <w:tc>
          <w:tcPr>
            <w:tcW w:w="39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Sanofi collaboration revenue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supplies</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2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39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Reimbursements of R&amp;D expenses, net of</w:t>
            </w:r>
          </w:p>
        </w:tc>
        <w:tc>
          <w:tcPr>
            <w:tcW w:w="2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R&amp;D expense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398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R&amp;D expenses</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176"/>
        </w:trPr>
        <w:tc>
          <w:tcPr>
            <w:tcW w:w="39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70"/>
        </w:trPr>
        <w:tc>
          <w:tcPr>
            <w:tcW w:w="39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Immuno-oncology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tc>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75"/>
        </w:trPr>
        <w:tc>
          <w:tcPr>
            <w:tcW w:w="39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share of profits (losses) in</w:t>
            </w:r>
          </w:p>
        </w:tc>
        <w:tc>
          <w:tcPr>
            <w:tcW w:w="2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Sanofi collaboration revenue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98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connection with commercialization of Libtayo</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176"/>
        </w:trPr>
        <w:tc>
          <w:tcPr>
            <w:tcW w:w="39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7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Sanofi collaboration revenue</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supplies</w:t>
            </w:r>
          </w:p>
        </w:tc>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Reimbursement of R&amp;D expenses</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 of R&amp;D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175"/>
        </w:trPr>
        <w:tc>
          <w:tcPr>
            <w:tcW w:w="39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175"/>
        </w:trPr>
        <w:tc>
          <w:tcPr>
            <w:tcW w:w="39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SG&amp;A expense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expenses</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176"/>
        </w:trPr>
        <w:tc>
          <w:tcPr>
            <w:tcW w:w="39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obligation for Sanofi's share of</w:t>
            </w:r>
          </w:p>
        </w:tc>
        <w:tc>
          <w:tcPr>
            <w:tcW w:w="27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Libtayo U.S. gross profits</w:t>
            </w:r>
          </w:p>
        </w:tc>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175"/>
        </w:trPr>
        <w:tc>
          <w:tcPr>
            <w:tcW w:w="39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recognized in connection with up-front</w:t>
            </w:r>
          </w:p>
        </w:tc>
        <w:tc>
          <w:tcPr>
            <w:tcW w:w="2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income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received</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r>
    </w:tbl>
    <w:p>
      <w:pPr>
        <w:spacing w:after="0" w:line="36" w:lineRule="exact"/>
        <w:rPr>
          <w:sz w:val="20"/>
          <w:szCs w:val="20"/>
          <w:color w:val="auto"/>
        </w:rPr>
      </w:pPr>
    </w:p>
    <w:p>
      <w:pPr>
        <w:ind w:left="620" w:hanging="95"/>
        <w:spacing w:after="0"/>
        <w:tabs>
          <w:tab w:leader="none" w:pos="6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of one-time payment of $56.9 million to Sanofi in connection with the amendment to the Antibody License and Collaboration Agreement</w:t>
      </w:r>
    </w:p>
    <w:p>
      <w:pPr>
        <w:spacing w:after="0" w:line="7" w:lineRule="exact"/>
        <w:rPr>
          <w:sz w:val="20"/>
          <w:szCs w:val="20"/>
          <w:color w:val="auto"/>
        </w:rPr>
      </w:pPr>
    </w:p>
    <w:p>
      <w:pPr>
        <w:ind w:left="520" w:right="380" w:firstLine="5"/>
        <w:spacing w:after="0" w:line="229" w:lineRule="auto"/>
        <w:tabs>
          <w:tab w:leader="none" w:pos="663" w:val="left"/>
        </w:tabs>
        <w:numPr>
          <w:ilvl w:val="0"/>
          <w:numId w:val="5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As described within the "</w:t>
      </w:r>
      <w:r>
        <w:rPr>
          <w:rFonts w:ascii="Times New Roman" w:cs="Times New Roman" w:eastAsia="Times New Roman" w:hAnsi="Times New Roman"/>
          <w:sz w:val="14"/>
          <w:szCs w:val="14"/>
          <w:i w:val="1"/>
          <w:iCs w:val="1"/>
          <w:color w:val="auto"/>
        </w:rPr>
        <w:t>Immuno-Oncology</w:t>
      </w:r>
      <w:r>
        <w:rPr>
          <w:rFonts w:ascii="Times New Roman" w:cs="Times New Roman" w:eastAsia="Times New Roman" w:hAnsi="Times New Roman"/>
          <w:sz w:val="14"/>
          <w:szCs w:val="14"/>
          <w:color w:val="auto"/>
        </w:rPr>
        <w:t>" section below, effective July 1, 2022, the Company obtained the exclusive right to develop, commercialize, and manufacture Libtayo worldwide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6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(the "Antibody Collaboration"),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spacing w:after="0" w:line="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Antibody License and Collaboration Agreement (the "LCA"), Sanofi is generally responsible for funding 80% to 100% of agreed-upon development costs. The Company is obligated to reimburse Sanofi for 30% to 50% of worldwide development expenses that were funded by Sanofi based on the Company's share of collaboration profits from commercialization of collaboration products. Under the terms of the LCA, the Company was required to apply 10% of its share of the profits from the Antibody Collaboration in any calendar quarter to reimburse Sanofi for these development costs. On July 1, 2022, an amendment to the LCA became effective, pursuant to which the percentage of the Company's share of profits used to reimburse Sanofi for such development costs increased from 10% to 20%. A portion of the value associated with the increase in reimbursement percentage was deemed to be contingent consideration attributable to the Company's acquisition of the Libtayo rights described within the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section below; this portion will be recorded as an increase to the Libtayo intangible asset over time as the Company repays such development costs to Sanofi. The Company's contingent reimbursement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(development balance) to Sanofi under the Antibody Collaboration was approximately $2.864 billion as of December 31, 2022.</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Antibody Collaboration, subject to the Company's right to co-commercialize such products. The Company co-commercializes Dupixent in the United States and in certain countries outside the United States. The parties equally share profits and losses from sales within the United States. The parties share profits outside the United States on a sliding scale based on sales starting at 65% (Sanofi)/35% (Regeneron) and ending at 55% (Sanofi)/45% (Regeneron), and losses outside the United States at 55% (Sanofi)/45% (Regeneron).</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profit and loss sharing, the Company is entitled to receive sales milestone payments from Sanofi. In each of 2020 and 2021, the Company earned a $50.0 million sales-based milestone from Sanofi, upon aggregate annual sales of antibodies outside the United States (including Praluent) exceeding $1.0 billion and $1.5 billion, respectively, on a rolling twelve-month basis. In 2022, the Company earned two additional $50.0 million sales-based milestones from Sanofi, upon aggregate annual sales of antibodies outside the United States (including Praluent) exceeding $2.0 billion and $2.5 billion, respectively, on a rolling twelve-month basis. The Company is entitled to receive the final sales milestone payment of $50.0 million when such sales outside the United States exceed $3.0 billion on a rolling twelve-month basis.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significant promised goods and services in connection with the Antibody Collaboration consist of providing research and development services, including the manufacturing of clinical supplies; and providing commercial-related services, including the manufacturing of commercial supplies. The Company recognizes amounts in connection with the Antibody Collaboration based on the amount it has the right to invoice and such amount corresponds directly with the Company's performance to date; therefore, the Company does not disclose the value of the transaction price (i.e., the amount of consideration the Company expects to be entitled to) allocated to its remaining unsatisfied obligations.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Antibody Collaboration with Sanofi:</w:t>
      </w:r>
    </w:p>
    <w:p>
      <w:pPr>
        <w:spacing w:after="0" w:line="194"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r>
    </w:tbl>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became solely responsible for the development and commercialization of Praluent outside of the United States. Under the Praluent Agreement, Sanofi pays the Company a 5% royalty on Sanofi’s net product sales of Praluent outside the United States until March 31, 2032. The Company does not owe Sanofi royalties on the Company’s net product sales of Praluent in the United States. Although each party is responsible for manufacturing Praluent for its respective territory, the parties have entered into definitive supply agreements under which, for a certain transitional period, the Company continues to supply drug substance to Sanofi and Sanofi continues to supply finished product to Regeneron. With respect to any intellectual property or product liability litigation relating to Praluent, the parties have agreed that, effective April 1, 2020, Regeneron and Sanofi each are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each bear 50% of any damages arising out of Praluent sales or other activities prior to April 1, 2020. See Note 16 for discussion of legal proceedings related to Praluent.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previously a party to a collaboration with Sanofi for antibody-based cancer treatments in the field of immuno-oncology (the "IO Collaboration"). The IO Collaboration was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was subsequently replaced by the Amended IO Discovery Agreement (as discussed below), Sanofi made a $265.0 million non-refundable up-front payment to the Company. Pursuant to the 2015 IO Discovery Agreement, the Company was to identify and validate potential immuno-oncology targets and develop therapeutic antibodies against such targets through clinical proof-of-concept.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December 31, 2018, the Company and Sanofi entered into the Amended IO Discovery Agreement, which narrowed the scope of the existing discovery and development activities conducted by the Company under the 2015 IO Discovery Agreement to developing therapeutic bispecific antibodies targeting (i) BCMA and CD3 and (ii) MUC16 and CD3 through clinical proof-of-concept. During the first quarter of 2021, Sanofi did not exercise its options to license rights to these product candidates; as a result, the Company retains the exclusive right to develop and commercialize such product candidates and Sanofi will receive a royalty on sales (if any). In addition, the Company has no further obligations to develop drug product candidates under the Amended IO Discovery Agreement.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IO License and Collaboration Agreement in 2015, Sanofi made a $375.0 million non-refundable up-front payment to the Company. Under the terms of the IO License and Collaboration Agreement, the parties were co-developing and co-commercializing Libtayo. The parties shared equally, on an ongoing basis, development and commercialization expenses for Libtayo. The Company had principal control over the development of Libtayo and led commercialization activities in the United States, while Sanofi led commercialization activities outside of the United States. The parties shared equally in profits and losses in connection with the commercialization of Libtayo.</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July 1, 2022, the Company obtained the exclusive right to develop, commercialize, and manufacture Libtayo worldwide under an Amended and Restated Immuno-oncology License and Collaboration Agreement with Sanofi (the "A&amp;R IO LCA"). In connection with the A&amp;R IO LCA, in 2022, the Company made a $900.0 million up-front payment to Sanofi, as well as a $100.0 million regulatory milestone payment. In addition, Sanofi earned a $65.0 million sales-based milestone upon the achievement of a specified amount of worldwide net product sales of Libtayo in 2022, and is eligible to receive an additional $35.0 million sales-based milestone upon the achievement of a specified amount of worldwide net product sales of Libtayo in 2023 (aggregate of $100.0 million in sales-based milestones eligible to be earned under the terms of the A&amp;R IO LCA). The Company also pays Sanofi an 11% royalty on net product sales of Libtayo through March 31, 2034. The transaction was accounted for as an asset acquisition and amounts paid to Sanofi in connection with obtaining the worldwide rights to Libtayo, including the up-front payment and any contingent consideration, are recorded as an intangible asset. See Note 8 for additional information related to the intangible asset recorded in connection with the transaction.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Amended IO Discovery Agreement, the Company was obligated to reimburse Sanofi for half of the development costs it funded that were attributable to clinical development of product candidates from the Company's share of profits from commercialized IO Collaboration products. Under the A&amp;R IO LCA, the amount of development costs incurred under the IO Collaboration for which the Company was obligated to reimburse Sanofi was $35.0 million as of the effective date of the A&amp;R IO LCA, and the Company pays Sanofi a 0.5% royalty on net product sales of Libtayo until all such development costs have been reimbursed by Regeneron.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IO Collaboration with Sanofi:</w:t>
      </w:r>
    </w:p>
    <w:p>
      <w:pPr>
        <w:spacing w:after="0" w:line="194"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0"/>
                <w:szCs w:val="20"/>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r>
      <w:tr>
        <w:trPr>
          <w:trHeight w:val="22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liabilities included up-front payments received from Sanofi for which recognition had been deferred. Such amounts were being recognized over the remaining period in which the Company was obligated to perform development activities. In connection with the A&amp;R IO LCA described above, the remaining IO Collaboration Other liabilities balance of $241.0 million as of July 1, 2022 was recognized as a reduction to the intangible asset during the third quarter of 2022.</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2021, the Company updated its estimate of the total research and development costs expected to be incurred (which resulted in a change to the estimate of the stage of completion) in connection with the IO Collaboration, and, as a result, recorded a cumulative catch-up adjustment of $66.9 million as a reduction to other operating income. During 2020, the Company updated its estimate of the total research and development costs expected to be incurred (which resulted in a change to the estimate of the stage of completion) in connection with the IO Collaboration, and, as a result, recorded a cumulative catch-up adjustment of $135.4 million as an increase to other operating income.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(aflibercept) and aflibercept 8 mg outside the United States. Agreed-upon development expenses incurred by the Company and Bayer are generally shared equally. The Company is also obligated to use commercially reasonable efforts to supply clinical and commercial bulk product.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Within the United States, the Company is responsible for commercialization and retains profits from such sales. Bayer markets EYLEA outside the United States and the companies share equally in profits and losses from sales. In Japan, the Company was entitled to receive a tiered percentage of between 33.5% and 40.0% of EYLEA net product sales through 2021, and effective January 1, 2022, the companies share equally in profits and losses from sales in Japan. The Company is obligated to reimburse Bayer out of its share of the collaboration profits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$273 million as of December 31,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1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400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18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Other collaboration revenue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0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1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1,349.2</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4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1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Other collaboration revenue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supplies</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4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One-time payment in connection with change in</w:t>
            </w:r>
          </w:p>
        </w:tc>
        <w:tc>
          <w:tcPr>
            <w:tcW w:w="21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Other collaboration revenue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 arrangement</w:t>
            </w:r>
          </w:p>
        </w:tc>
        <w:tc>
          <w:tcPr>
            <w:tcW w:w="1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of R&amp;D expenses</w:t>
            </w: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 of R&amp;D expense</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4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Regeneron's obligation for its share of Bayer R&amp;D</w:t>
            </w:r>
          </w:p>
        </w:tc>
        <w:tc>
          <w:tcPr>
            <w:tcW w:w="21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R&amp;D expense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459"/>
        </w:trPr>
        <w:tc>
          <w:tcPr>
            <w:tcW w:w="8320" w:type="dxa"/>
            <w:vAlign w:val="bottom"/>
            <w:gridSpan w:val="12"/>
          </w:tcPr>
          <w:p>
            <w:pPr>
              <w:jc w:val="right"/>
              <w:ind w:right="680"/>
              <w:spacing w:after="0"/>
              <w:rPr>
                <w:sz w:val="20"/>
                <w:szCs w:val="20"/>
                <w:color w:val="auto"/>
              </w:rPr>
            </w:pPr>
            <w:r>
              <w:rPr>
                <w:rFonts w:ascii="Times New Roman" w:cs="Times New Roman" w:eastAsia="Times New Roman" w:hAnsi="Times New Roman"/>
                <w:sz w:val="18"/>
                <w:szCs w:val="18"/>
                <w:color w:val="auto"/>
                <w:w w:val="99"/>
              </w:rPr>
              <w:t>The following table summarizes contract balances in connection with the Company's Bayer collaboration: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Borders>
              <w:bottom w:val="single" w:sz="8" w:color="auto"/>
            </w:tcBorders>
            <w:gridSpan w:val="8"/>
          </w:tcPr>
          <w:p>
            <w:pPr>
              <w:ind w:left="8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348.2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1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131.9</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Intellia</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2016, the Company entered into a license and collaboration agreement with Intellia Therapeutics, Inc.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The parties collaborate to conduct research for the discovery, development, and commercialization of new therapies, in addition to the research and technology development of the CRISPR/Cas9 platform.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2016 agreement, the parties agreed to a target selection process, whereby the Company may obtain exclusive rights in up to 10 targets to be chosen by the Company during the collaboration term, subject to various adjustments and limitations set forth in the agreement. Certain targets that either the Company or Intellia selects pursuant to the target selection process may be subject to a co-development and co-commercialization arrangement at the Company's option or Intellia’s option, as applicable.</w:t>
      </w:r>
    </w:p>
    <w:p>
      <w:pPr>
        <w:spacing w:after="0" w:line="1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2020, the Company expanded its existing collaboration with Intellia to provide the Company with rights to develop 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parties to jointly develop potential products for the treatment of hemophilia A and B. In addition, the Company also received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 In connection with the agreement, in 2020, the Company made a $70.0 million up-front payment and purchased shares of Intellia common stock for an aggregate purchase price of $30.0 million. The up-front payment and the amount paid in excess of the fair market value of the shares purchased, or $15.0 million, were recorded to Acquired in-process research and development expense.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U.S. Government</w:t>
      </w:r>
    </w:p>
    <w:p>
      <w:pPr>
        <w:spacing w:after="0" w:line="148"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2020, the Company expanded its Other Transaction Agreement with the Biomedical Advanced Research Development Authority ("BARDA"), pursuant to which the U.S. Department of Health and Human Services ("HHS") was obligated to fund certain of the Company's costs incurred for research and development activities related to COVID-19 treatments. In 2020, the Company also entered into an agreement with entities acting at the direction of BARDA and the U.S. Department of Defense to manufacture and deliver filled and finished drug product of REGEN-COV to the U.S. government. The agreement, as subsequently amended, provided for payments to the Company of up to $465.9 million in the aggregate for bulk manufacturing of the drug substance, as well as fill/finish, storage, and other activities.</w:t>
      </w:r>
    </w:p>
    <w:p>
      <w:pPr>
        <w:spacing w:after="0" w:line="12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January 2021, the Company entered into an agreement with the U.S. Department of Defense and HHS to manufacture and deliver additional filled and finished drug product of REGEN-COV to the U.S. government. Pursuant to the agreement, the U.S. government was obligated to purchase 1.25 million doses of drug product, which the Company delivered by June 30, 2021, resulting in payments to the Company of $2.625 billion.</w:t>
      </w:r>
    </w:p>
    <w:p>
      <w:pPr>
        <w:spacing w:after="0" w:line="10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September 2021, the Company entered into an amendment to its January 2021 agreement to supply the U.S. government with an additional 1.4 million doses of REGEN-COV. Pursuant to the agreement, the U.S. government was obligated to purchase all filled and finished doses of such additional drug product delivered by January 31, 2022, resulting in payments to the Company of $2.940 billion in the aggregate. Roche supplied a portion of the doses to Regeneron to fulfill the Company's agreement with the U.S. government (see "Roche" below for further details regarding the Company's collaboration agreement with Roche).</w:t>
      </w:r>
    </w:p>
    <w:p>
      <w:pPr>
        <w:spacing w:after="0" w:line="10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completed its final deliveries of drug product under the agreements described above. See Note 2 for REGEN-COV net product sales recognized during the years ended December 31, 2021 and 2020 in connection with these agreements.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Roche</w:t>
      </w:r>
    </w:p>
    <w:p>
      <w:pPr>
        <w:spacing w:after="0" w:line="162"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18"/>
          <w:szCs w:val="18"/>
          <w:color w:val="auto"/>
        </w:rPr>
        <w:t>In 2020, the Company entered into a collaboration agreement (the "Roche Collaboration Agreement") with Roche to develop, manufacture, and distribute the casirivimab and imdevimab antibody cocktail (known as REGEN-COV in the United States and Ronapreve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other countries). Under the terms of the collaboration agreement, the Company leads global development activities for REGEN-COV, and the parties jointly fund certain studies. The Company has the right to distribute the product in the United States and Roche has the right to distribute the product outside of the United States. The parties share gross profits from worldwide sales based on a pre-specified formula,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Other collaboration revenue. If Regeneron is to make a true-up payment to Roche, such amount will be recorded to Cost of goods sold.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the Roche Collaboration Agreement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36"/>
        </w:trPr>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69"/>
        </w:trPr>
        <w:tc>
          <w:tcPr>
            <w:tcW w:w="260" w:type="dxa"/>
            <w:vAlign w:val="bottom"/>
          </w:tcPr>
          <w:p>
            <w:pPr>
              <w:spacing w:after="0"/>
              <w:rPr>
                <w:sz w:val="14"/>
                <w:szCs w:val="14"/>
                <w:color w:val="auto"/>
              </w:rPr>
            </w:pPr>
          </w:p>
        </w:tc>
        <w:tc>
          <w:tcPr>
            <w:tcW w:w="38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Global gross profit payment from Roche in</w:t>
            </w:r>
          </w:p>
        </w:tc>
        <w:tc>
          <w:tcPr>
            <w:tcW w:w="24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Other collaboration revenue</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38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8"/>
                <w:szCs w:val="18"/>
                <w:color w:val="auto"/>
              </w:rPr>
              <w:t>connection with sales of REGEN-COV and</w:t>
            </w:r>
          </w:p>
        </w:tc>
        <w:tc>
          <w:tcPr>
            <w:tcW w:w="2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260" w:type="dxa"/>
            <w:vAlign w:val="bottom"/>
          </w:tcPr>
          <w:p>
            <w:pPr>
              <w:spacing w:after="0"/>
              <w:rPr>
                <w:sz w:val="21"/>
                <w:szCs w:val="21"/>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Ronapreve</w:t>
            </w:r>
          </w:p>
        </w:tc>
        <w:tc>
          <w:tcPr>
            <w:tcW w:w="2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 of R&amp;D expenses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 of R&amp;D expense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175"/>
        </w:trPr>
        <w:tc>
          <w:tcPr>
            <w:tcW w:w="260" w:type="dxa"/>
            <w:vAlign w:val="bottom"/>
          </w:tcPr>
          <w:p>
            <w:pPr>
              <w:spacing w:after="0"/>
              <w:rPr>
                <w:sz w:val="15"/>
                <w:szCs w:val="15"/>
                <w:color w:val="auto"/>
              </w:rPr>
            </w:pPr>
          </w:p>
        </w:tc>
        <w:tc>
          <w:tcPr>
            <w:tcW w:w="3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Global gross profit payment to Roche in connection</w:t>
            </w:r>
          </w:p>
        </w:tc>
        <w:tc>
          <w:tcPr>
            <w:tcW w:w="2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260" w:type="dxa"/>
            <w:vAlign w:val="bottom"/>
          </w:tcPr>
          <w:p>
            <w:pPr>
              <w:spacing w:after="0"/>
              <w:rPr>
                <w:sz w:val="21"/>
                <w:szCs w:val="21"/>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sales of REGEN-COV and Ronapreve</w:t>
            </w:r>
          </w:p>
        </w:tc>
        <w:tc>
          <w:tcPr>
            <w:tcW w:w="2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8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Roche Collaboration Agreement: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2460" w:type="dxa"/>
            <w:vAlign w:val="bottom"/>
          </w:tcPr>
          <w:p>
            <w:pPr>
              <w:spacing w:after="0"/>
              <w:rPr>
                <w:sz w:val="19"/>
                <w:szCs w:val="19"/>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0" w:type="dxa"/>
            <w:vAlign w:val="bottom"/>
          </w:tcPr>
          <w:p>
            <w:pPr>
              <w:spacing w:after="0"/>
              <w:rPr>
                <w:sz w:val="19"/>
                <w:szCs w:val="19"/>
                <w:color w:val="auto"/>
              </w:rPr>
            </w:pPr>
          </w:p>
        </w:tc>
      </w:tr>
      <w:tr>
        <w:trPr>
          <w:trHeight w:val="223"/>
        </w:trPr>
        <w:tc>
          <w:tcPr>
            <w:tcW w:w="246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spacing w:after="0"/>
              <w:rPr>
                <w:sz w:val="19"/>
                <w:szCs w:val="19"/>
                <w:color w:val="auto"/>
              </w:rPr>
            </w:pPr>
          </w:p>
        </w:tc>
      </w:tr>
      <w:tr>
        <w:trPr>
          <w:trHeight w:val="175"/>
        </w:trPr>
        <w:tc>
          <w:tcPr>
            <w:tcW w:w="2460" w:type="dxa"/>
            <w:vAlign w:val="bottom"/>
          </w:tcPr>
          <w:p>
            <w:pPr>
              <w:spacing w:after="0"/>
              <w:rPr>
                <w:sz w:val="15"/>
                <w:szCs w:val="15"/>
                <w:color w:val="auto"/>
              </w:rPr>
            </w:pPr>
          </w:p>
        </w:tc>
        <w:tc>
          <w:tcPr>
            <w:tcW w:w="2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43"/>
        </w:trPr>
        <w:tc>
          <w:tcPr>
            <w:tcW w:w="2460" w:type="dxa"/>
            <w:vAlign w:val="bottom"/>
          </w:tcPr>
          <w:p>
            <w:pPr>
              <w:spacing w:after="0"/>
              <w:rPr>
                <w:sz w:val="21"/>
                <w:szCs w:val="21"/>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200" w:type="dxa"/>
            <w:vAlign w:val="bottom"/>
          </w:tcPr>
          <w:p>
            <w:pPr>
              <w:spacing w:after="0"/>
              <w:rPr>
                <w:sz w:val="21"/>
                <w:szCs w:val="21"/>
                <w:color w:val="auto"/>
              </w:rPr>
            </w:pPr>
          </w:p>
        </w:tc>
      </w:tr>
      <w:tr>
        <w:trPr>
          <w:trHeight w:val="715"/>
        </w:trPr>
        <w:tc>
          <w:tcPr>
            <w:tcW w:w="2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F-21</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58"/>
        </w:trPr>
        <w:tc>
          <w:tcPr>
            <w:tcW w:w="24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69" w:right="2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Alnylam</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2018, the Company and Alnylam Pharmaceuticals, Inc. entered into a collaboration to discover RNA interference ("RNAi") therapeutics for nonalcoholic steatohepatitis ("NASH") and potentially other related diseases, as well as to research, co-develop and commercialize any therapeutic product candidates that emerge from these discovery efforts (including ALN-HSD, which is currently in clinical development). Under the terms of the collaboration agreement, the parties share development costs equally. During the fourth quarter of 2022, Alnylam elected to opt-out of further development activities related to ALN-HSD; as a result, the Company retains the exclusive right to develop and commercialize such product and Alnylam will receive a royalty on sales (if any).</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the Company and Alnylam entered into a global, strategic collaboration to discover, develop, and commercialize RNA interference therapeutics for a broad range of diseases by addressing therapeutic disease targets expressed in the eye and central nervous system ("CNS"), in addition to a select number of targets expressed in the liver. In connection with the collaboration, the Company made an up-front payment of $400.0 million to Alnylam, and also purchased shares of Alnylam common stock for $400.0 million. For each program, the Company provides Alnylam with a specified amount of funding at program initiation and at lead candidate designation, and Alnylam is eligible to receive up to an aggregate of $200.0 million in clinical proof-of-principle milestones for eye and CNS programs.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collaboration, the parties plan to perform discovery research until designation of lead candidates. Following designation of a lead candidate, the parties may further advance such lead candidate under either a co-development/co-commercialization collaboration agreement ("Co-Co Collaboration Agreement") (under which the parties are advancing ALN-APP and ALN-PNP, which are currently in clinical development) or License Agreement structure. The initial target nomination and discovery period is five years (which may under certain situations automatically be extended for up to seven years in the aggregate) (the "Research Term"). In addition, the Company has an option to extend the Research Term for an additional five-year period for a research extension fee ranging from $200.0 million to $400.0 million; the actual amount of the fee will be determined based on the acceptance of one or more Investigational New Drug Applications ("INDs") (or their equivalent in certain other countries) for programs in the eye and CNS.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during 2019, the parties entered into a Co-Co Collaboration Agreement for cemdisiran, a small interfering RNA ("siRNA") therapeutic targeting the C5 component of the human complement pathway being developed by Alnylam, with Alnylam as the lead party, and a License Agreement for a combination consisting of cemdisiran and a fully human monoclonal antibody targeting C5 being developed by the Company (pozelimab), with the Company as the licensee. Under the C5 siRNA Co-Co Collaboration Agreement, the parties shared costs equally and under the License Agreement, the Company as the licensee is responsible for its own costs and expenses. The C5 siRNA License Agreement contains a flat low double-digit royalty payable to Alnylam on potential future net sales of the combination only subject to customary reductions, as well as up to $325.0 million in sales milestones.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elected to opt-out of further development activities pursuant to the Co-Co Collaboration Agreement for cemdisiran as a monotherapy; as a result, Alnylam retains the right to develop and commercialize such product and the Company will receive a royalty on sales (if any).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the Alnylam agreements described above were not material for the years ended December 31, 2022, 2021, and 2020. In addition, contract balances in the Company's Balance Sheets were not material as of December 31, 2022 and 2021.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Checkmate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2022, the Company completed its acquisition of Checkmate Pharmaceuticals, Inc. (“Checkmate”) for a total equity value of approximately $250 million. The Company made an assessment as to whether the set of assets acquired constituted a business and should be accounted for as a business combination. Given that substantially all of the fair value of the gross assets acquired was concentrated in a single identifiable asset, vidutolimod, which is in clinical development for oncology, the transaction was accounted for as an asset acquisition. As a result of the acquisition, the Company recorded (i) a charge of $195.0 million to Acquired in-process research and development and (ii) net assets of $35.3 million, net of cash, related to the assets acquired (including deferred tax assets and investments) and liabilities assumed.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Teva</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Teva are parties to a collaboration agreement (the "Teva Collaboration Agreement") to develop and commercialize fasinumab globally, excluding certain Asian countries that are subject to the Company's collaboration agreement with Mitsubishi Tanabe Pharma Corporation. Under the terms of the Teva Collaboration Agreement, the Company led global development activities and the parties share development costs equally.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agreement, Teva made a $250.0 million non-refundable up-front payment in 2016, and as of December 31, 2022, the Company had received an aggregate $120.0 million of development milestones from Teva.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the Teva Collaboration Agreement are as follows: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9" w:lineRule="exact"/>
        <w:rPr>
          <w:sz w:val="20"/>
          <w:szCs w:val="20"/>
          <w:color w:val="auto"/>
        </w:rPr>
      </w:pPr>
    </w:p>
    <w:p>
      <w:pPr>
        <w:jc w:val="right"/>
        <w:ind w:left="800"/>
        <w:spacing w:after="0" w:line="234" w:lineRule="auto"/>
        <w:rPr>
          <w:sz w:val="20"/>
          <w:szCs w:val="20"/>
          <w:color w:val="auto"/>
        </w:rPr>
      </w:pPr>
      <w:r>
        <w:rPr>
          <w:rFonts w:ascii="Times New Roman" w:cs="Times New Roman" w:eastAsia="Times New Roman" w:hAnsi="Times New Roman"/>
          <w:sz w:val="18"/>
          <w:szCs w:val="18"/>
          <w:color w:val="auto"/>
        </w:rPr>
        <w:t>Amounts recognized in connection with up-front and development milestone payments received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27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69"/>
        </w:trPr>
        <w:tc>
          <w:tcPr>
            <w:tcW w:w="24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Other operating income</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4"/>
        </w:trPr>
        <w:tc>
          <w:tcPr>
            <w:tcW w:w="2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-267970</wp:posOffset>
            </wp:positionV>
            <wp:extent cx="6146165" cy="265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0">
                      <a:extLst>
                        <a:ext uri="{28A0092B-C50C-407E-A947-70E740481C1C}"/>
                      </a:extLst>
                    </a:blip>
                    <a:srcRect/>
                    <a:stretch>
                      <a:fillRect/>
                    </a:stretch>
                  </pic:blipFill>
                  <pic:spPr bwMode="auto">
                    <a:xfrm>
                      <a:off x="0" y="0"/>
                      <a:ext cx="614616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220"/>
            <w:col w:w="6680"/>
          </w:cols>
          <w:pgMar w:left="320" w:top="369" w:right="339" w:bottom="1440" w:gutter="0" w:footer="0" w:header="0"/>
          <w:type w:val="continuous"/>
        </w:sectPr>
      </w:pPr>
    </w:p>
    <w:p>
      <w:pPr>
        <w:spacing w:after="0" w:line="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recognized reimbursement of R&amp;D expenses (as a reduction of R&amp;D expense) of $42.4 million and $109.4 million for the years ended December 31, 2021 and 2020, respectively. Such amount was not material for the year ended December 31,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Teva Collaboration Agreement:</w:t>
      </w:r>
    </w:p>
    <w:p>
      <w:pPr>
        <w:spacing w:after="0" w:line="194"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r>
      <w:tr>
        <w:trPr>
          <w:trHeight w:val="22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liabilities included up-front and development milestone payments received from Teva for which recognition had been deferred. During 2022, the Company discontinued further clinical development of fasinumab and, as a result, recorded $31.9 million as an increase to Other operating income as the Company deemed its obligation to provide development services in connection with the Teva Collaboration Agreement to be complete.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Other</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collaboration agreements discussed above, the Company has various other collaboration agreements that are not individually significant to its operating results or financial condition at this time. Pursuant to the terms of those agreements, the Company may be required to pay, or it may receive, additional amounts contingent upon the occurrence of various future events (e.g., upon the achievement of various development and commercial milestones) which in the aggregate could be significant. The Company may also incur, or get reimbursed for, significant research and development costs. In addition, if any products related to these collaborations are approved for sale, the Company may be required to pay, or it may receive, royalties on future sales. The payment or receipt of these amounts, however, is contingent upon the occurrence of various future events.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Marketable securities as of December 31, 2022 and 2021 consist of both available-for-sale debt securities of investment grade issuers (see below and Note 5) as well as equity securities of publicly traded companies (see Note 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20"/>
                <w:szCs w:val="20"/>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4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6,684.4</w:t>
            </w:r>
          </w:p>
        </w:tc>
      </w:tr>
      <w:tr>
        <w:trPr>
          <w:trHeight w:val="23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2,939.4</w:t>
            </w:r>
          </w:p>
        </w:tc>
      </w:tr>
      <w:tr>
        <w:trPr>
          <w:trHeight w:val="229"/>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29"/>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39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2021</w:t>
            </w:r>
          </w:p>
        </w:tc>
        <w:tc>
          <w:tcPr>
            <w:tcW w:w="3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r>
      <w:tr>
        <w:trPr>
          <w:trHeight w:val="229"/>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3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9"/>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3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listed as of December 31, 2022 mature at various dates through April 2028. The fair values of available-for-sale debt securities by contractual maturity consist of the following:</w:t>
      </w:r>
    </w:p>
    <w:p>
      <w:pPr>
        <w:spacing w:after="0" w:line="145" w:lineRule="exact"/>
        <w:rPr>
          <w:sz w:val="20"/>
          <w:szCs w:val="20"/>
          <w:color w:val="auto"/>
        </w:rPr>
      </w:pPr>
    </w:p>
    <w:tbl>
      <w:tblPr>
        <w:tblLayout w:type="fixed"/>
        <w:tblInd w:w="192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5,588.1</w:t>
            </w:r>
          </w:p>
        </w:tc>
      </w:tr>
      <w:tr>
        <w:trPr>
          <w:trHeight w:val="23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unrealized losses on corporate bonds as of December 31, 2022 were primarily driven by increases in interest rates. The Company has reviewed its portfolio of available-for-sale debt securities and determined that the decline in fair value below cost did not result from credit-related factors. In addition, the Company does not intend to sell, and it is not more likely than not that the Company will be required to sell, such securities before recovery of their amortized cost bases.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marketable securities, for the years ended December 31, 2022, 2021, and 2020, amounts reclassified from Accumulated other comprehensive income (loss) into Other income (expense), net were related to realized gains and losses on sales of available-for-sale debt securities.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gains and losses on sales of marketable securities were not material for the years ended December 31, 2022, 2021, and 2020. Interest income of $160.1 million, $45.8 million, and $75.4 million for the years ended December 31, 2022, 2021, and 2020, respectively, was recognized in Other income (expense), net.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94"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22"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r>
      <w:tr>
        <w:trPr>
          <w:trHeight w:val="183"/>
        </w:trPr>
        <w:tc>
          <w:tcPr>
            <w:tcW w:w="20" w:type="dxa"/>
            <w:vAlign w:val="bottom"/>
          </w:tcPr>
          <w:p>
            <w:pPr>
              <w:spacing w:after="0"/>
              <w:rPr>
                <w:sz w:val="15"/>
                <w:szCs w:val="15"/>
                <w:color w:val="auto"/>
              </w:rPr>
            </w:pPr>
          </w:p>
        </w:tc>
        <w:tc>
          <w:tcPr>
            <w:tcW w:w="52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60" w:type="dxa"/>
            <w:vAlign w:val="bottom"/>
          </w:tcPr>
          <w:p>
            <w:pPr>
              <w:spacing w:after="0"/>
              <w:rPr>
                <w:sz w:val="15"/>
                <w:szCs w:val="15"/>
                <w:color w:val="auto"/>
              </w:rPr>
            </w:pPr>
          </w:p>
        </w:tc>
        <w:tc>
          <w:tcPr>
            <w:tcW w:w="15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5"/>
                <w:szCs w:val="15"/>
                <w:color w:val="auto"/>
              </w:rPr>
            </w:pPr>
          </w:p>
        </w:tc>
        <w:tc>
          <w:tcPr>
            <w:tcW w:w="148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15"/>
                <w:szCs w:val="15"/>
                <w:color w:val="auto"/>
              </w:rPr>
            </w:pPr>
          </w:p>
        </w:tc>
        <w:tc>
          <w:tcPr>
            <w:tcW w:w="136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6,684.4</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6,684.4</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2,939.4</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0"/>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11,228.2</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30"/>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30"/>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9,647.1</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8,397.2</w:t>
            </w:r>
          </w:p>
        </w:tc>
      </w:tr>
      <w:tr>
        <w:trPr>
          <w:trHeight w:val="21"/>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certain restricted equity securities as of December 31, 2022 which are subject to transfer restrictions that expire at various dates through 2024.</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$39.8 million of net unrealized losses on equity securities in Other income (expense), net. During the years ended December 31, 2021 and 2020, the Company recorded $386.1 million, and $196.0 million, respectively, of net unrealized gains on equity securities in Other income (expense), net.</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December 31, 2022 and 2021, the Company had $48.3 million and $40.0 million, respectively, in equity investments that do not have a readily determinable fair value. These investments are recorded within Other noncurrent assets.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(see Note 10), which was determined based on Level 2 inputs, was estimated to be $1.443 billion and $1.887 billion as of December 31, 2022 and 2021, respectively.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48" w:lineRule="exact"/>
        <w:rPr>
          <w:sz w:val="20"/>
          <w:szCs w:val="20"/>
          <w:color w:val="auto"/>
        </w:rPr>
      </w:pPr>
    </w:p>
    <w:tbl>
      <w:tblPr>
        <w:tblLayout w:type="fixed"/>
        <w:tblInd w:w="234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60" w:type="dxa"/>
            <w:vAlign w:val="bottom"/>
            <w:tcBorders>
              <w:bottom w:val="single" w:sz="8" w:color="auto"/>
            </w:tcBorders>
          </w:tcPr>
          <w:p>
            <w:pPr>
              <w:spacing w:after="0"/>
              <w:rPr>
                <w:sz w:val="20"/>
                <w:szCs w:val="20"/>
                <w:color w:val="auto"/>
              </w:rPr>
            </w:pPr>
          </w:p>
        </w:tc>
      </w:tr>
      <w:tr>
        <w:trPr>
          <w:trHeight w:val="223"/>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3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balances in the table above are net of reserves of $720.7 million and $510.0 million as of December 31, 2022 and 2021, respectively. Deferred costs represent the costs of product manufactured and shipped to the Company's collaborators for which recognition of revenue has been deferred. For the years ended December 31, 2022 and 2021, Cost of goods sold included inventory write-offs and reserves of $258.7 million and $457.1 million, respectively, primarily related to REGEN-COV. Inventory write-offs and reserves for the year ended December 31, 2020 were not material.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6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2"/>
        </w:trPr>
        <w:tc>
          <w:tcPr>
            <w:tcW w:w="2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2240" w:type="dxa"/>
            <w:vAlign w:val="bottom"/>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3"/>
        </w:trPr>
        <w:tc>
          <w:tcPr>
            <w:tcW w:w="2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29"/>
        </w:trPr>
        <w:tc>
          <w:tcPr>
            <w:tcW w:w="22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2,088.5</w:t>
            </w:r>
          </w:p>
        </w:tc>
      </w:tr>
      <w:tr>
        <w:trPr>
          <w:trHeight w:val="230"/>
        </w:trPr>
        <w:tc>
          <w:tcPr>
            <w:tcW w:w="2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30"/>
        </w:trPr>
        <w:tc>
          <w:tcPr>
            <w:tcW w:w="22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w:t>
            </w:r>
          </w:p>
        </w:tc>
      </w:tr>
      <w:tr>
        <w:trPr>
          <w:trHeight w:val="230"/>
        </w:trPr>
        <w:tc>
          <w:tcPr>
            <w:tcW w:w="2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w:t>
            </w:r>
          </w:p>
        </w:tc>
      </w:tr>
      <w:tr>
        <w:trPr>
          <w:trHeight w:val="230"/>
        </w:trPr>
        <w:tc>
          <w:tcPr>
            <w:tcW w:w="22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29"/>
        </w:trPr>
        <w:tc>
          <w:tcPr>
            <w:tcW w:w="2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23"/>
        </w:trPr>
        <w:tc>
          <w:tcPr>
            <w:tcW w:w="2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4,880.3</w:t>
            </w:r>
          </w:p>
        </w:tc>
      </w:tr>
      <w:tr>
        <w:trPr>
          <w:trHeight w:val="184"/>
        </w:trPr>
        <w:tc>
          <w:tcPr>
            <w:tcW w:w="2240" w:type="dxa"/>
            <w:vAlign w:val="bottom"/>
          </w:tcPr>
          <w:p>
            <w:pPr>
              <w:spacing w:after="0"/>
              <w:rPr>
                <w:sz w:val="16"/>
                <w:szCs w:val="16"/>
                <w:color w:val="auto"/>
              </w:rPr>
            </w:pPr>
          </w:p>
        </w:tc>
        <w:tc>
          <w:tcPr>
            <w:tcW w:w="3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accumulated depreciation and</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10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r>
      <w:tr>
        <w:trPr>
          <w:trHeight w:val="223"/>
        </w:trPr>
        <w:tc>
          <w:tcPr>
            <w:tcW w:w="2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3,482.2</w:t>
            </w: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in the table above includes leased property under the Company's finance lease at its Tarrytown, New York facility. See Note 11.</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was $303.9 million, $281.1 million, and $230.8 million for the years ended December 31, 2022, 2021, and 2020, respectively.</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and 2021, $2.960 billion and $2.684 billion, respectively, of the Company's net property, plant, and equipment was located in the United States and $803.0 million and $797.8 million, respectively, was located outside the United States (primarily in Ireland).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120" w:type="dxa"/>
            <w:vAlign w:val="bottom"/>
          </w:tcPr>
          <w:p>
            <w:pPr>
              <w:spacing w:after="0"/>
              <w:rPr>
                <w:sz w:val="15"/>
                <w:szCs w:val="15"/>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84"/>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20" w:type="dxa"/>
            <w:vAlign w:val="bottom"/>
            <w:vMerge w:val="continue"/>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64"/>
        </w:trPr>
        <w:tc>
          <w:tcPr>
            <w:tcW w:w="2120" w:type="dxa"/>
            <w:vAlign w:val="bottom"/>
            <w:tcBorders>
              <w:top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Acquired product rights -</w:t>
            </w: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Libtayo</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13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11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5–8 years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8"/>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3, the Company recorded an intangible asset in connection with obtaining the exclusive right to develop, commercialize, and manufacture Libtayo worldwide. The intangible asset recognized upon the effective date of the A&amp;R IO LCA primarily consisted of the $900.0 million up-front payment, offset by the remaining IO Collaboration Other liabilities balance of $241.0 million. During the year ended December 31, 2022, the Company recorded additions to the Libtayo intangible asset primarily related to contingent consideration (including regulatory and sales-based milestones, as described in Note 3) and other amounts due to Sanofi in connection with obtaining the worldwide rights to Libtayo.</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$37.6 million for the year ended December 31, 2022. Amortization expense for the years ended December 31, 2021 and 2020 was not material.</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assuming no changes in the gross carrying amount of intangible assets, amortization expense is estimated to be approximately $72 million for each of the years ending December 31, 2023 through December 31, 2027.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6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2420" w:type="dxa"/>
            <w:vAlign w:val="bottom"/>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20" w:type="dxa"/>
            <w:vAlign w:val="bottom"/>
          </w:tcPr>
          <w:p>
            <w:pPr>
              <w:spacing w:after="0"/>
              <w:rPr>
                <w:sz w:val="19"/>
                <w:szCs w:val="19"/>
                <w:color w:val="auto"/>
              </w:rPr>
            </w:pPr>
          </w:p>
        </w:tc>
      </w:tr>
      <w:tr>
        <w:trPr>
          <w:trHeight w:val="223"/>
        </w:trPr>
        <w:tc>
          <w:tcPr>
            <w:tcW w:w="242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420" w:type="dxa"/>
            <w:vAlign w:val="bottom"/>
          </w:tcPr>
          <w:p>
            <w:pPr>
              <w:spacing w:after="0"/>
              <w:rPr>
                <w:sz w:val="19"/>
                <w:szCs w:val="19"/>
                <w:color w:val="auto"/>
              </w:rPr>
            </w:pPr>
          </w:p>
        </w:tc>
      </w:tr>
      <w:tr>
        <w:trPr>
          <w:trHeight w:val="229"/>
        </w:trPr>
        <w:tc>
          <w:tcPr>
            <w:tcW w:w="24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expenses</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420" w:type="dxa"/>
            <w:vAlign w:val="bottom"/>
          </w:tcPr>
          <w:p>
            <w:pPr>
              <w:spacing w:after="0"/>
              <w:rPr>
                <w:sz w:val="19"/>
                <w:szCs w:val="19"/>
                <w:color w:val="auto"/>
              </w:rPr>
            </w:pPr>
          </w:p>
        </w:tc>
      </w:tr>
      <w:tr>
        <w:trPr>
          <w:trHeight w:val="230"/>
        </w:trPr>
        <w:tc>
          <w:tcPr>
            <w:tcW w:w="242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sales-related costs</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420" w:type="dxa"/>
            <w:vAlign w:val="bottom"/>
          </w:tcPr>
          <w:p>
            <w:pPr>
              <w:spacing w:after="0"/>
              <w:rPr>
                <w:sz w:val="19"/>
                <w:szCs w:val="19"/>
                <w:color w:val="auto"/>
              </w:rPr>
            </w:pPr>
          </w:p>
        </w:tc>
      </w:tr>
      <w:tr>
        <w:trPr>
          <w:trHeight w:val="230"/>
        </w:trPr>
        <w:tc>
          <w:tcPr>
            <w:tcW w:w="24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420" w:type="dxa"/>
            <w:vAlign w:val="bottom"/>
          </w:tcPr>
          <w:p>
            <w:pPr>
              <w:spacing w:after="0"/>
              <w:rPr>
                <w:sz w:val="19"/>
                <w:szCs w:val="19"/>
                <w:color w:val="auto"/>
              </w:rPr>
            </w:pPr>
          </w:p>
        </w:tc>
      </w:tr>
      <w:tr>
        <w:trPr>
          <w:trHeight w:val="230"/>
        </w:trPr>
        <w:tc>
          <w:tcPr>
            <w:tcW w:w="2420" w:type="dxa"/>
            <w:vAlign w:val="bottom"/>
          </w:tcPr>
          <w:p>
            <w:pPr>
              <w:spacing w:after="0"/>
              <w:rPr>
                <w:sz w:val="19"/>
                <w:szCs w:val="19"/>
                <w:color w:val="auto"/>
              </w:rPr>
            </w:pPr>
          </w:p>
        </w:tc>
        <w:tc>
          <w:tcPr>
            <w:tcW w:w="3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collaborators (see Note 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420" w:type="dxa"/>
            <w:vAlign w:val="bottom"/>
          </w:tcPr>
          <w:p>
            <w:pPr>
              <w:spacing w:after="0"/>
              <w:rPr>
                <w:sz w:val="19"/>
                <w:szCs w:val="19"/>
                <w:color w:val="auto"/>
              </w:rPr>
            </w:pPr>
          </w:p>
        </w:tc>
      </w:tr>
      <w:tr>
        <w:trPr>
          <w:trHeight w:val="229"/>
        </w:trPr>
        <w:tc>
          <w:tcPr>
            <w:tcW w:w="2420" w:type="dxa"/>
            <w:vAlign w:val="bottom"/>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420" w:type="dxa"/>
            <w:vAlign w:val="bottom"/>
          </w:tcPr>
          <w:p>
            <w:pPr>
              <w:spacing w:after="0"/>
              <w:rPr>
                <w:sz w:val="19"/>
                <w:szCs w:val="19"/>
                <w:color w:val="auto"/>
              </w:rPr>
            </w:pPr>
          </w:p>
        </w:tc>
      </w:tr>
      <w:tr>
        <w:trPr>
          <w:trHeight w:val="248"/>
        </w:trPr>
        <w:tc>
          <w:tcPr>
            <w:tcW w:w="24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2420" w:type="dxa"/>
            <w:vAlign w:val="bottom"/>
          </w:tcPr>
          <w:p>
            <w:pPr>
              <w:spacing w:after="0"/>
              <w:rPr>
                <w:sz w:val="21"/>
                <w:szCs w:val="21"/>
                <w:color w:val="auto"/>
              </w:rPr>
            </w:pPr>
          </w:p>
        </w:tc>
      </w:tr>
      <w:tr>
        <w:trPr>
          <w:trHeight w:val="20"/>
        </w:trPr>
        <w:tc>
          <w:tcPr>
            <w:tcW w:w="24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770"/>
        </w:trPr>
        <w:tc>
          <w:tcPr>
            <w:tcW w:w="24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F-28</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58"/>
        </w:trPr>
        <w:tc>
          <w:tcPr>
            <w:tcW w:w="24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2018, the Company entered into an agreement with a syndicate of lenders (the "2018 Credit Agreement") which provided for a $750.0 million senior unsecured five-year revolving credit facility. The 2018 Credit Agreement, which was to mature in December 2023, included an option for the Company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2022, the Company entered into an agreement with a syndicate of lenders (the "2022 Credit Agreement") which provides for a $750.0 million senior unsecured five-year revolving credit facility (the "2022 Credit Facility") and replaces the 2018 Credit Agreement, which was contemporaneously terminated. The 2022 Credit Agreement includes an option for the Company to elect to increase the commitments under the 2022 Credit Facility and/or to enter into one or more tranches of term loans in the aggregate principal amount of up to $500.0 million, subject to the consent of the lenders providing the additional commitments or term loans, as applicable, and certain other conditions. The 2022 Credit Agreement also provides a $50.0 million sublimit for letters of credit.</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set forth in the 2022 Credit Agreement, the Company has the option to amend the 2022 Credit Agreement to establish environmental, social, and governance targets which will be used to adjust pricing under the 2022 Credit Facility, subject to parameters to be provided in the 2022 Credit Agreement.</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of the loans under the 2022 Credit Facility may be used to finance working capital needs, and for general corporate or other lawful purposes, of Regeneron and its subsidiaries. Regeneron Pharmaceuticals, Inc. has guaranteed all obligations under the 2022 Credit Facility. The 2022 Credit Agreement includes an option for the Company to elect to extend the maturity date of the 2022 Credit Facility beyond December 2027, subject to the consent of the extending lenders and certain other conditions. Amounts borrowed under the 2022 Credit Facility may be prepaid, and the commitments under the 2022 Credit Facility may be terminated, at any time without premium or penalty.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borrowings outstanding under the 2022 Credit Facility as of December 31, 2022.</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operating covenants and a maximum total leverage ratio financial covenant. The Company was in compliance with all covenants of the 2022 Credit Agreement as of December 31,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2020, the Company issued and sold $1.250 billion aggregate principal amount of senior unsecured notes due 2030 and $750 million aggregate principal amount of senior unsecured notes due 2050 (collectively, the "Notes"). The underwriting discounts and offering expenses are being amortized as additional interest expense over the period from issuance through maturity.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in connection with the Notes, net of underwriting discounts and offering expenses, consists of the following:</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September 2030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2.800% Senior Notes due September 2050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48"/>
        </w:trPr>
        <w:tc>
          <w:tcPr>
            <w:tcW w:w="4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each series of Notes is payable semi-annually in arrears on March 15 and September 15 of each year until their respective maturity dates. Interest expense related to the Notes was $44.3 million, $44.4 million, and $17.6 million for the years ended December 31, 2022, 2021, and 2020, respectively.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 The Notes also contain certain limitations on the Company’s ability to incur liens and enter into sale and leaseback transactions, as well as customary events of default.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disclosures related to legal contingencies.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Leases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conducts certain of its research, development, and administrative activities at leased facilities. The Company also leases vehicles and other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recognized in the Company's Consolidated Balance Sheets and Statements of Operations included in this report associated with operating leases were not material. Operating lease right-of-use assets are included within Other noncurrent assets, and lease liabilities are included in Accrued expenses and other current liabilities and Other noncurrent liabilities.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2017, the Company entered into a Participation Agreement with BA Leasing BSC, LLC, an affiliate of Banc of America Leasing &amp; Capital LLC ("BAL"), as lessor, and a syndicate of lenders (collectively with BAL, the "Lease Participants"), which provided for $720.0 million of lease financing from the Lease Participants for the acquisition of laboratory and office facilities in Tarrytown, New York (the "Facility"). In March 2017, the Company also entered into a Lease and Remedies Agreement with BAL, pursuant to which the Company leased the Facility from BAL for a five-year term which ended in March 2022.</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the Company entered into a Second Amended and Restated Lease and Remedies Agreement (the "Restated Lease") with BAL, as lessor (the "Lessor"), which amends, restates, and extends its lease of the Facility. In March 2022, the Company also entered into a Second Amended and Restated Participation Agreement (the "Restated Participation Agreement") with Bank of America, N.A., as administrative agent, the Lessor, and a syndicate of financial institutions as rent assignees (collectively with the Lessor, the "Participants"), which amends and restates the original Participation Agreement entered into in March 2017.</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original Participation Agreement and certain related agreements were amended and restated in order to, among other things, (i) effect a five-year extension of the original March 2022 maturity date of the $720.0 million lease financing and the end of the term of the Company's lease of the Facility from the Lessor to March 2027, at which time all amounts outstanding thereunder will become due and payable in full, and (ii) modify the rate of the interest or yield that is payable to the Participants. In accordance with the terms of the Restated Lease, the Company continues to pay all maintenance, insurance, taxes, and other costs arising out of the use of the Facility. The Company is also required to make monthly payments of basic rent during the term of the Restated Lease in an amount equal to a variable rate per annum, which was modified in connection with the Restated Lease, to be an adjusted one-month forward-looking term rate based on the Secured Overnight Financing Rate ("SOFR"), plus an applicable margin that varies with the Company's debt rating and total leverage ratio.</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Restated Participation Agreement and Restated Lease include an option for the Company to elect to further extend the maturity date of the Restated Participation Agreement and the term of the Restated Lease for an additional five-year period, subject to the consent of all the Participants and certain other conditions. The Company also has the option prior to the end of the term of the Restated Lease to (a) purchase the Facility by paying an amount equal to the outstanding principal amount of the Participants' advances under the Restated Participation Agreement, all accrued and unpaid yield thereon, and all other outstanding amounts under the Restated Participation Agreement, Restated Lease, and certain related documents or (b) sell the Facility to a third party on behalf of the Lessor.</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the original lease, the Restated Lease continues to be classified as a finance lease as the Company has the option to purchase the Facility under terms that make it reasonably certain to be exercised. The agreements governing the Restated Lease financing contain financial and operating covenants. Such financial covenants and certain of the operating covenants are substantially similar to the covenants set forth in the Company's $750.0 million 2018 Credit Agreement. The Company was in compliance with all such covenants as of December 31, 2022.</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Amounts recognized in the Consolidated Balance Sheet related to the Lease are included in the table below. Other than the Lease described above, the Company had no leases accounted for as finance leases as of December 31, 2022 and 2021.</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19"/>
                <w:szCs w:val="19"/>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3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Property, plant, and equipment, net</w:t>
            </w:r>
            <w:r>
              <w:rPr>
                <w:rFonts w:ascii="Times New Roman" w:cs="Times New Roman" w:eastAsia="Times New Roman" w:hAnsi="Times New Roman"/>
                <w:sz w:val="23"/>
                <w:szCs w:val="23"/>
                <w:color w:val="auto"/>
                <w:vertAlign w:val="superscript"/>
              </w:rPr>
              <w:t>(a)</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r>
    </w:tbl>
    <w:p>
      <w:pPr>
        <w:spacing w:after="0" w:line="89" w:lineRule="exact"/>
        <w:rPr>
          <w:sz w:val="20"/>
          <w:szCs w:val="20"/>
          <w:color w:val="auto"/>
        </w:rPr>
      </w:pPr>
    </w:p>
    <w:p>
      <w:pPr>
        <w:ind w:left="800" w:right="700" w:firstLine="2"/>
        <w:spacing w:after="0" w:line="204" w:lineRule="auto"/>
        <w:tabs>
          <w:tab w:leader="none" w:pos="97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Finance lease right-of-use assets were recorded net of accumulated amortization of $119.4 million and $104.9 million as of December 31, 2022 and 2021,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costs consist of the following:</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99"/>
        </w:trPr>
        <w:tc>
          <w:tcPr>
            <w:tcW w:w="26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264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264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264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264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0"/>
        </w:trPr>
        <w:tc>
          <w:tcPr>
            <w:tcW w:w="264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includes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2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2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9"/>
                <w:szCs w:val="19"/>
                <w:color w:val="auto"/>
              </w:rPr>
            </w:pPr>
          </w:p>
        </w:tc>
      </w:tr>
      <w:tr>
        <w:trPr>
          <w:trHeight w:val="223"/>
        </w:trPr>
        <w:tc>
          <w:tcPr>
            <w:tcW w:w="2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1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r>
      <w:tr>
        <w:trPr>
          <w:trHeight w:val="234"/>
        </w:trPr>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20"/>
                <w:szCs w:val="20"/>
                <w:color w:val="auto"/>
              </w:rPr>
            </w:pPr>
          </w:p>
        </w:tc>
      </w:tr>
      <w:tr>
        <w:trPr>
          <w:trHeight w:val="454"/>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Supplemental information</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is a maturity analysis of the Company's finance lease liability:</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0"/>
        </w:trPr>
        <w:tc>
          <w:tcPr>
            <w:tcW w:w="2320" w:type="dxa"/>
            <w:vAlign w:val="bottom"/>
          </w:tcPr>
          <w:p>
            <w:pPr>
              <w:spacing w:after="0"/>
              <w:rPr>
                <w:sz w:val="24"/>
                <w:szCs w:val="24"/>
                <w:color w:val="auto"/>
              </w:rPr>
            </w:pPr>
          </w:p>
        </w:tc>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80" w:type="dxa"/>
            <w:vAlign w:val="bottom"/>
            <w:tcBorders>
              <w:bottom w:val="single" w:sz="8" w:color="CCEEFF"/>
            </w:tcBorders>
          </w:tcPr>
          <w:p>
            <w:pPr>
              <w:spacing w:after="0"/>
              <w:rPr>
                <w:sz w:val="24"/>
                <w:szCs w:val="24"/>
                <w:color w:val="auto"/>
              </w:rPr>
            </w:pPr>
          </w:p>
        </w:tc>
        <w:tc>
          <w:tcPr>
            <w:tcW w:w="25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223"/>
        </w:trPr>
        <w:tc>
          <w:tcPr>
            <w:tcW w:w="2320" w:type="dxa"/>
            <w:vAlign w:val="bottom"/>
          </w:tcPr>
          <w:p>
            <w:pPr>
              <w:spacing w:after="0"/>
              <w:rPr>
                <w:sz w:val="19"/>
                <w:szCs w:val="19"/>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shd w:val="clear" w:color="auto" w:fill="CCEEFF"/>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Pr>
          <w:p>
            <w:pPr>
              <w:spacing w:after="0"/>
              <w:rPr>
                <w:sz w:val="19"/>
                <w:szCs w:val="19"/>
                <w:color w:val="auto"/>
              </w:rPr>
            </w:pPr>
          </w:p>
        </w:tc>
      </w:tr>
      <w:tr>
        <w:trPr>
          <w:trHeight w:val="229"/>
        </w:trPr>
        <w:tc>
          <w:tcPr>
            <w:tcW w:w="2320" w:type="dxa"/>
            <w:vAlign w:val="bottom"/>
          </w:tcPr>
          <w:p>
            <w:pPr>
              <w:spacing w:after="0"/>
              <w:rPr>
                <w:sz w:val="19"/>
                <w:szCs w:val="19"/>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shd w:val="clear" w:color="auto" w:fill="CCEEFF"/>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2320" w:type="dxa"/>
            <w:vAlign w:val="bottom"/>
          </w:tcPr>
          <w:p>
            <w:pPr>
              <w:spacing w:after="0"/>
              <w:rPr>
                <w:sz w:val="19"/>
                <w:szCs w:val="19"/>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40" w:type="dxa"/>
            <w:vAlign w:val="bottom"/>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5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(153.4)</w:t>
            </w:r>
          </w:p>
        </w:tc>
      </w:tr>
      <w:tr>
        <w:trPr>
          <w:trHeight w:val="223"/>
        </w:trPr>
        <w:tc>
          <w:tcPr>
            <w:tcW w:w="2320" w:type="dxa"/>
            <w:vAlign w:val="bottom"/>
          </w:tcPr>
          <w:p>
            <w:pPr>
              <w:spacing w:after="0"/>
              <w:rPr>
                <w:sz w:val="19"/>
                <w:szCs w:val="19"/>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58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40" w:type="dxa"/>
            <w:vAlign w:val="bottom"/>
            <w:tcBorders>
              <w:bottom w:val="single" w:sz="8" w:color="auto"/>
            </w:tcBorders>
          </w:tcPr>
          <w:p>
            <w:pPr>
              <w:spacing w:after="0"/>
              <w:rPr>
                <w:sz w:val="19"/>
                <w:szCs w:val="19"/>
                <w:color w:val="auto"/>
              </w:rPr>
            </w:pPr>
          </w:p>
        </w:tc>
      </w:tr>
      <w:tr>
        <w:trPr>
          <w:trHeight w:val="20"/>
        </w:trPr>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Research Collaboration and Licensing Agreements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Company's research and development efforts, the Company enters into research collaboration and licensing agreements with other companies, universities, and other organizations. These agreements contain varying terms and provisions which include fees to be paid by the Company, services to be provided, and license rights to certain proprietary technology developed under the agreements. Some of these agreements may require the Company to pay additional amounts contingent upon the occurrence of various future events (e.g., upon the achievement of various development and commercial milestones). Additionally, the Company has in-licensed patent and/or technology pursuant to agreements which contain provisions that require the Company to pay royalties, as defined, at rates that range from 0.5% to 12.0%, in the event the Company sells or licenses any proprietary products developed under the respective agreements. The Company also has contingent reimbursement obligations to its collaborators Sanofi and Bayer out of the respective collaboration's profits, if they are sufficient for that purpose. See Note 3 for a more detailed description of collaboration, license, and other agreements.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3, as a result of obtaining worldwide rights to Libtayo, the Company pays Sanofi a royalty on net product sales of Libtayo. In addition, in 2018, the Company and Sanofi entered into a license agreement with Bristol-Myers Squibb Company, E. R. Squibb &amp; Sons, L.L.C., and Ono Pharmaceutical Co., Ltd. to obtain a license under certain patents owned and/or exclusively licensed by one or more of those parties that includes the right to develop and sell Libtayo. Under the agreement, the Company is obligated to pay royalties of 8.0% on worldwide sales of Libtayo through December 31, 2023, and royalties of 2.5% from January 1, 2024 through December 31, 2026. Prior to July 1, 2022, royalties on such sales were shared equally by the Company and Sanofi.</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recorded royalty expense (net of reimbursements from collaborators, as applicable) in Cost of goods sold and Cost of collaboration and contract manufacturing of $84.5 million, $66.9 million, and $56.5 million, respectively, based on product sales under various licensing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2019, the Company's board of directors authorized a share repurchase program to repurchase up to $1.0 billion of the Company's Common Stock. The share repurchase program permitted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2020, the Company had repurchased the entire $1.0 billion it was authorized to repurchase under the program.</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2021, the Company's board of directors authorized a share repurchase program to repurchase up to $1.5 billion of the Company's Common Stock. The share repurchase program was approved under terms substantially similar to the November 2019 share repurchase program described above. As of December 31, 2021, the Company had repurchased the entire $1.5 billion of its Common Stock that it was authorized to repurchase under the program.</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Company's board of directors authorized an additional share repurchase program to repurchase up to $3.0 billion of the Company's Common Stock. The share repurchase program was approved under terms substantially similar to the share repurchase programs described above. The program has no time limit and can be discontinued at any time. As of December 31, 2022, $745.2 million remained available for share repurchases under the November 2021 program.</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it repurchased under the programs and the cost of the shares, which were recorded as Treasury Stock.</w:t>
      </w:r>
    </w:p>
    <w:p>
      <w:pPr>
        <w:spacing w:after="0" w:line="158" w:lineRule="exact"/>
        <w:rPr>
          <w:sz w:val="20"/>
          <w:szCs w:val="20"/>
          <w:color w:val="auto"/>
        </w:rPr>
      </w:pPr>
    </w:p>
    <w:tbl>
      <w:tblPr>
        <w:tblLayout w:type="fixed"/>
        <w:tblInd w:w="154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Company's board of directors authorized a new share repurchase program to repurchase up to an additional $3.0 billion of the Company's Common Stock. The share repurchase program was approved under terms substantially similar to the share repurchase programs described above. The program has no time limit and can be discontinued at any time.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 repurchases may be made from time to time at management’s discretion, and the timing and amount of any such repurchases will be determined based on share price, market conditions, legal requirements, and other relevant factors.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Funding of Certain Development Costs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2018, the Company and Sanofi entered into an agreement, which, among other things, granted Sanofi a limited waiver of Sanofi's lock-up obligations under the amended and restated investor agreement between the Company and Sanofi in order to allow Sanofi to satisfy its funding obligations with respect to Libtayo development costs and/or certain activities relating to dupilumab and itepekimab incurred in quarterly periods through September 30, 2020 by selling shares of the Company's Common Stock owned by Sanofi. During 2020, Sanofi elected to sell, and the Company elected to purchase, shares of our Common Stock to satisfy Sanofi's funding obligation related to such activities. Consequently, the Company recorded the cost of the shares received, or $135.0 million, as Treasury Stock during 2020.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Stock Purchased from Sanofi</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2020, a secondary offering of 13,014,646 shares of the Company's Common Stock (the "Secondary Offering") held by Sanofi was completed. In connection with the Secondary Offering, the Company also purchased 9,806,805 shares directly from Sanofi for an aggregate purchase amount of $5.0 billion (the "Stock Purchase"). As a result of the Secondary Offering and the Stock Purchase, Sanofi disposed of all of its shares of the Company's Common Stock, other than 400,000 shares that it retained as of the closing of the Secondary Offering and the Stock Purchase (a portion of which Sanofi used for the funding of certain development costs described above).</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an amendment to the amended and restated investor agreement, which provides, among other things, that following the Secondary Offering and Stock Purchase, the “standstill” provisions, which contractually prohibit Sanofi from seeking to directly or indirectly exert control of the Company, continue to apply pursuant to their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Other Collaborators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Company's license and collaboration agreement with Bayer for the joint development and commercialization outside the United States of antibody product candidates to Ang2, Bayer is bound by certain "standstill" provisions, which contractually prohibit Bayer from seeking to influence the control of the Company or acquiring more than 20% of the Company's outstanding shares of Class A Stock and Common Stock (taken together). This prohibition will remain in place until the earliest of (i) the fifth anniversary of the termination of the agreement (which will occur on November 1, 2023) or (ii) other specified events.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pursuant to the 2016 Teva Collaboration Agreement, Teva and its affiliates are bound by certain "standstill" provisions, which contractually prohibit them from seeking to directly or indirectly exert control of the Company or acquiring more than 5% of the Company's Class A Stock and Common Stock (taken together). This prohibition will remain in place until the earliest of (i) the fifth anniversary of the expiration or earlier termination of the agreement or (ii) other specified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Incentive Plans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has used long-term incentive plans for the purpose of granting equity awards to employees of the Company, including officers, and non-employees, including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Second Amended and Restated Regeneron Pharmaceuticals, Inc. 2014 Long-Term Incentive Plan (the "Second Amended and Restated 2014 Incentive Plan"). It was most recently adopted and approved by the Company's shareholders in 2020. As of the most recent shareholder approval date, the Second Amended and Restated 2014 Incentive Plan provided for the issuance of up to 22.3 million shares of Common Stock in respect of awards. In addition, upon expiration, forfeiture, surrender, exchange, cancellation, or termination of any award previously granted under the Amended and Restated Regeneron Pharmaceuticals, Inc. 2014 Long-Term Incentive Plan (the "Amended and Restated 2014 Incentive Plan"), the Regeneron Pharmaceuticals, Inc. 2014 Long-Term Incentive Plan (the "Original 2014 Incentive Plan"), or the Second Amended and Restated 2000 Long-Term Incentive Plan (the "2000 Incentive Plan"), any shares subject to such award are added to the pool of shares available for grant under the Second Amended and Restated 2014 Incentive Plan.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awards that may be made under the Second Amended and Restated 2014 Incentive Plan include: (a) incentive stock options and non-qualified stock options, (b) restricted stock awards, (c) shares of phantom stock (also referred to as restricted stock units, which may be time- or performance-based), and</w:t>
      </w:r>
    </w:p>
    <w:p>
      <w:pPr>
        <w:ind w:firstLine="8"/>
        <w:spacing w:after="0" w:line="260" w:lineRule="auto"/>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awards. Any award granted may (but is not required to) be subject to vesting based on the attainment by the Company of performance goals pre-established by the Committee.</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 rata basis over a four-year period. The Committee also determines the expiration date of each option. The maximum term of options that have been awarded under the 2000 Incentive Plan, the Original 2014 Incentive Plan, the Amended and Restated 2014 Incentive Plan, and the Second Amended and Restated 2014 Incentive Plan (collectively, the "Incentive Plans") is ten years.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awards will be transferred to the Company.</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Phantom stock awards provide the Participant the right to receive Common Stock or an amount of cash based on the value of the Common Stock at a future date. The award is subject to such restrictions, if any, as the Committee may impose at the date of grant or thereafter, including a specified period of employment or the achievement of performance goals. Time-based restricted stock units and performance-based restricted stock units are each a type of phantom stock award permitted under the Second Amended and Restated 2014 Incentive Plan.</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Incentive Plans contain provisions that allow for the Committee to provide for the immediate vesting of awards upon a change in control of the Company, as defined in the Incentive Plans.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15.9 million shares available for future grants under the Second Amended and Restated 2014 Incentive Plan. No additional awards may be made under the 2000 Incentive Plan, the Original 2014 Incentive Plan, or the Amended and Restated 2014 Incentive Plan.</w:t>
      </w:r>
    </w:p>
    <w:p>
      <w:pPr>
        <w:spacing w:after="0" w:line="77"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involving stock option awards during 2022 under the Company's Incentive Plans are summarized in the table below.</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5"/>
                <w:szCs w:val="15"/>
                <w:color w:val="auto"/>
              </w:rPr>
            </w:pPr>
          </w:p>
        </w:tc>
        <w:tc>
          <w:tcPr>
            <w:tcW w:w="1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3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80" w:type="dxa"/>
            <w:vAlign w:val="bottom"/>
          </w:tcPr>
          <w:p>
            <w:pPr>
              <w:spacing w:after="0"/>
              <w:rPr>
                <w:sz w:val="21"/>
                <w:szCs w:val="21"/>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435.56</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382.66</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Vested and expected to vest as of December 31,</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3,632.8</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satisfies stock option exercises with newly issued shares of the Company's Common Stock. The total intrinsic value of stock options exercised during 2022, 2021, and 2020 was $1.214 billion, $1.707 billion, and $2.251 billion, respectively. The intrinsic value represents the amount by which the market price of the underlying stock exceeds the exercise price of an option.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weighted-average exercise prices and weighted-average grant-date fair values of options issued during the years ended December 31, 2022, 2021, and 2020.</w:t>
      </w:r>
    </w:p>
    <w:p>
      <w:pPr>
        <w:spacing w:after="0" w:line="99"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7"/>
                <w:szCs w:val="17"/>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7"/>
                <w:szCs w:val="17"/>
                <w:color w:val="auto"/>
              </w:rPr>
            </w:pPr>
          </w:p>
        </w:tc>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6"/>
                <w:szCs w:val="16"/>
                <w:color w:val="auto"/>
              </w:rPr>
            </w:pPr>
          </w:p>
        </w:tc>
        <w:tc>
          <w:tcPr>
            <w:tcW w:w="13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13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Granted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1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Fair</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0" w:type="dxa"/>
            <w:vAlign w:val="bottom"/>
          </w:tcPr>
          <w:p>
            <w:pPr>
              <w:spacing w:after="0"/>
              <w:rPr>
                <w:sz w:val="19"/>
                <w:szCs w:val="19"/>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jc w:val="right"/>
              <w:ind w:right="3410"/>
              <w:spacing w:after="0"/>
              <w:rPr>
                <w:sz w:val="20"/>
                <w:szCs w:val="20"/>
                <w:color w:val="auto"/>
              </w:rPr>
            </w:pPr>
            <w:r>
              <w:rPr>
                <w:rFonts w:ascii="Times New Roman" w:cs="Times New Roman" w:eastAsia="Times New Roman" w:hAnsi="Times New Roman"/>
                <w:sz w:val="18"/>
                <w:szCs w:val="18"/>
                <w:color w:val="auto"/>
                <w:w w:val="97"/>
              </w:rPr>
              <w:t>2022:</w:t>
            </w: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jc w:val="right"/>
              <w:ind w:right="3410"/>
              <w:spacing w:after="0"/>
              <w:rPr>
                <w:sz w:val="20"/>
                <w:szCs w:val="20"/>
                <w:color w:val="auto"/>
              </w:rPr>
            </w:pPr>
            <w:r>
              <w:rPr>
                <w:rFonts w:ascii="Times New Roman" w:cs="Times New Roman" w:eastAsia="Times New Roman" w:hAnsi="Times New Roman"/>
                <w:sz w:val="18"/>
                <w:szCs w:val="18"/>
                <w:color w:val="auto"/>
                <w:w w:val="97"/>
              </w:rPr>
              <w:t>2021:</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jc w:val="right"/>
              <w:ind w:right="3410"/>
              <w:spacing w:after="0"/>
              <w:rPr>
                <w:sz w:val="20"/>
                <w:szCs w:val="20"/>
                <w:color w:val="auto"/>
              </w:rPr>
            </w:pPr>
            <w:r>
              <w:rPr>
                <w:rFonts w:ascii="Times New Roman" w:cs="Times New Roman" w:eastAsia="Times New Roman" w:hAnsi="Times New Roman"/>
                <w:sz w:val="18"/>
                <w:szCs w:val="18"/>
                <w:color w:val="auto"/>
                <w:w w:val="97"/>
              </w:rPr>
              <w:t>2020:</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recognized $341.9 million, $328.7 million, and $329.5 million, respectively, of stock-based compensation expense related to stock option awards (net of amounts capitalized as inventory, which were not material for each of the three years). As of December 31, 2022, there was $572.0 million of stock-based compensation cost related to unvested stock options, net of estimated forfeitures, which had not yet been recognized. The Company expects to recognize this compensation cost over a weighted-average period of 1.8 years.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Assumptions: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values of the assumptions used in computing the fair value of option grants during 2022, 2021, and 2020.</w:t>
      </w:r>
    </w:p>
    <w:p>
      <w:pPr>
        <w:spacing w:after="0" w:line="131" w:lineRule="exact"/>
        <w:rPr>
          <w:sz w:val="20"/>
          <w:szCs w:val="20"/>
          <w:color w:val="auto"/>
        </w:rPr>
      </w:pPr>
    </w:p>
    <w:tbl>
      <w:tblPr>
        <w:tblLayout w:type="fixed"/>
        <w:tblInd w:w="2280" w:type="dxa"/>
        <w:tblCellMar>
          <w:top w:w="0" w:type="dxa"/>
          <w:left w:w="0" w:type="dxa"/>
          <w:bottom w:w="0" w:type="dxa"/>
          <w:right w:w="0" w:type="dxa"/>
        </w:tblCellMar>
      </w:tblPr>
      <w:tr>
        <w:trPr>
          <w:trHeight w:val="238"/>
        </w:trPr>
        <w:tc>
          <w:tcPr>
            <w:tcW w:w="3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 from grant date</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5.2 years</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5.5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years</w:t>
            </w:r>
          </w:p>
        </w:tc>
      </w:tr>
      <w:tr>
        <w:trPr>
          <w:trHeight w:val="23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0.47 %</w:t>
            </w:r>
          </w:p>
        </w:tc>
      </w:tr>
    </w:tbl>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112" w:lineRule="exact"/>
        <w:rPr>
          <w:sz w:val="20"/>
          <w:szCs w:val="20"/>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Stock Awards and Time-Based Restricted Stock Units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activity related to restricted stock awards and time-based restricted stock units (excluding performance-based restricted stock units, which are detailed further below) (collectively, "restricted stock") during 2022 is summarized below.</w:t>
      </w:r>
    </w:p>
    <w:p>
      <w:pPr>
        <w:spacing w:after="0" w:line="202" w:lineRule="exact"/>
        <w:rPr>
          <w:sz w:val="20"/>
          <w:szCs w:val="20"/>
          <w:color w:val="auto"/>
        </w:rPr>
      </w:pPr>
    </w:p>
    <w:tbl>
      <w:tblPr>
        <w:tblLayout w:type="fixed"/>
        <w:tblInd w:w="220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176"/>
        </w:trPr>
        <w:tc>
          <w:tcPr>
            <w:tcW w:w="36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Shares/Units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41"/>
        </w:trPr>
        <w:tc>
          <w:tcPr>
            <w:tcW w:w="36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2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56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18"/>
                <w:szCs w:val="18"/>
                <w:color w:val="auto"/>
              </w:rPr>
              <w:t>Granted</w:t>
            </w:r>
          </w:p>
        </w:tc>
        <w:tc>
          <w:tcPr>
            <w:tcW w:w="15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702.32</w:t>
            </w:r>
          </w:p>
        </w:tc>
      </w:tr>
      <w:tr>
        <w:trPr>
          <w:trHeight w:val="229"/>
        </w:trPr>
        <w:tc>
          <w:tcPr>
            <w:tcW w:w="3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8"/>
              </w:rPr>
              <w:t>(0.3)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477.22</w:t>
            </w:r>
          </w:p>
        </w:tc>
      </w:tr>
      <w:tr>
        <w:trPr>
          <w:trHeight w:val="230"/>
        </w:trPr>
        <w:tc>
          <w:tcPr>
            <w:tcW w:w="36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8"/>
              </w:rPr>
              <w:t>(0.1)</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522.18</w:t>
            </w: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56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7"/>
              </w:rPr>
              <w:t>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571.19</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recognized $331.1 million, $221.0 million, and $102.5 million, respectively, of stock-based compensation expense related to restricted stock (net of amounts capitalized as inventory, which were not material for each of the three years). As of December 31, 2022, there was $907.7 million of stock-based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compensation cost related to unvested restricted stock which had not yet been recognized. The Company expects to recognize this compensation cost over a weighted-average period of 2.1 years.</w:t>
      </w:r>
    </w:p>
    <w:p>
      <w:pPr>
        <w:spacing w:after="0" w:line="77" w:lineRule="exact"/>
        <w:rPr>
          <w:sz w:val="20"/>
          <w:szCs w:val="20"/>
          <w:color w:val="auto"/>
        </w:rPr>
      </w:pPr>
    </w:p>
    <w:p>
      <w:pPr>
        <w:ind w:left="360" w:hanging="352"/>
        <w:spacing w:after="0"/>
        <w:tabs>
          <w:tab w:leader="none" w:pos="36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Performance-based restricted stock units ("PSUs") have been granted to certain members of senior management of the Company. PSUs may be earned based upon the attainment of pre-established performance criteria, which may include a market and/or performance condition. Depending on the terms of the PSUs and the outcome of the pre-established performance criteria, a recipient may ultimately earn the target number of PSUs granted or a specified multiple thereof at the end of a 4–6 year vesting period, as applicable.</w:t>
      </w:r>
    </w:p>
    <w:p>
      <w:pPr>
        <w:spacing w:after="0" w:line="1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table below summarizes activity related to PSUs during 2022. The number of PSUs granted represents the maximum number of units that are eligible to be earned.</w:t>
      </w:r>
    </w:p>
    <w:tbl>
      <w:tblPr>
        <w:tblLayout w:type="fixed"/>
        <w:tblInd w:w="220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5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60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175"/>
        </w:trPr>
        <w:tc>
          <w:tcPr>
            <w:tcW w:w="36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Shares/Units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41"/>
        </w:trPr>
        <w:tc>
          <w:tcPr>
            <w:tcW w:w="36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2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209.06</w:t>
            </w:r>
          </w:p>
        </w:tc>
      </w:tr>
      <w:tr>
        <w:trPr>
          <w:trHeight w:val="22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485.61</w:t>
            </w: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each of the years ended December 31, 2022, and 2021, the Company recognized $52.0 million of stock-based compensation expense related to PSUs. The Company did not recognize stock-based compensation expense related to PSUs in 2020 (as PSUs granted in 2020 were granted on December 31, 2020 and are expensed over the vesting period). As of December 31, 2022, there was $156.1 million of stock-based compensation cost related to unvested PSUs which had not yet been recognized. The Company expects to recognize this compensation cost on a straight-line basis over a weighted average period of 3.3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Assumptions:</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values of the assumptions used in computing the fair value of PSUs that were granted during 2022 and 2020. The Company did not grant PSUs during 2021.</w:t>
      </w:r>
    </w:p>
    <w:p>
      <w:pPr>
        <w:spacing w:after="0" w:line="131" w:lineRule="exact"/>
        <w:rPr>
          <w:sz w:val="20"/>
          <w:szCs w:val="20"/>
          <w:color w:val="auto"/>
        </w:rPr>
      </w:pPr>
    </w:p>
    <w:tbl>
      <w:tblPr>
        <w:tblLayout w:type="fixed"/>
        <w:tblInd w:w="2800" w:type="dxa"/>
        <w:tblCellMar>
          <w:top w:w="0" w:type="dxa"/>
          <w:left w:w="0" w:type="dxa"/>
          <w:bottom w:w="0" w:type="dxa"/>
          <w:right w:w="0" w:type="dxa"/>
        </w:tblCellMar>
      </w:tblPr>
      <w:tr>
        <w:trPr>
          <w:trHeight w:val="238"/>
        </w:trPr>
        <w:tc>
          <w:tcPr>
            <w:tcW w:w="33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Savings Plans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as defined, to the accounts of participants under the Savings Plan. The Company also maintains additional employee savings plans outside of the United States, which cover eligible employees.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recognized by the Company related to contributions to such plans were $67.6 million, $55.5 million, and $49.9 million for the years ended December 31, 2022, 2021, and 2020,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state, and foreign income taxes. Components of income before income taxes consist of the following:</w:t>
      </w:r>
    </w:p>
    <w:p>
      <w:pPr>
        <w:spacing w:after="0" w:line="289" w:lineRule="exact"/>
        <w:rPr>
          <w:sz w:val="20"/>
          <w:szCs w:val="20"/>
          <w:color w:val="auto"/>
        </w:rPr>
      </w:pPr>
    </w:p>
    <w:tbl>
      <w:tblPr>
        <w:tblLayout w:type="fixed"/>
        <w:tblInd w:w="262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2,442.3</w:t>
            </w:r>
          </w:p>
        </w:tc>
      </w:tr>
      <w:tr>
        <w:trPr>
          <w:trHeight w:val="229"/>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w:t>
            </w:r>
          </w:p>
        </w:tc>
      </w:tr>
      <w:tr>
        <w:trPr>
          <w:trHeight w:val="248"/>
        </w:trPr>
        <w:tc>
          <w:tcPr>
            <w:tcW w:w="1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3,810.4</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income tax expense consist of the following:</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3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0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3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(benefit) expense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48"/>
        </w:trPr>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income tax rate is as follows:</w:t>
      </w:r>
    </w:p>
    <w:p>
      <w:pPr>
        <w:spacing w:after="0" w:line="18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40" w:type="dxa"/>
            <w:vAlign w:val="bottom"/>
            <w:gridSpan w:val="2"/>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48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Taxation of non-U.S. operations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4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credits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non-inventory related assets between foreign subsidiaries</w:t>
            </w:r>
          </w:p>
        </w:tc>
        <w:tc>
          <w:tcPr>
            <w:tcW w:w="158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480" w:type="dxa"/>
            <w:vAlign w:val="bottom"/>
          </w:tcPr>
          <w:p>
            <w:pPr>
              <w:spacing w:after="0"/>
              <w:rPr>
                <w:sz w:val="19"/>
                <w:szCs w:val="19"/>
                <w:color w:val="auto"/>
              </w:rPr>
            </w:pPr>
          </w:p>
        </w:tc>
      </w:tr>
      <w:tr>
        <w:trPr>
          <w:trHeight w:val="21"/>
        </w:trPr>
        <w:tc>
          <w:tcPr>
            <w:tcW w:w="7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55"/>
        </w:trPr>
        <w:tc>
          <w:tcPr>
            <w:tcW w:w="760" w:type="dxa"/>
            <w:vAlign w:val="bottom"/>
          </w:tcPr>
          <w:p>
            <w:pPr>
              <w:spacing w:after="0"/>
              <w:rPr>
                <w:sz w:val="24"/>
                <w:szCs w:val="24"/>
                <w:color w:val="auto"/>
              </w:rPr>
            </w:pPr>
          </w:p>
        </w:tc>
        <w:tc>
          <w:tcPr>
            <w:tcW w:w="6280" w:type="dxa"/>
            <w:vAlign w:val="bottom"/>
            <w:gridSpan w:val="2"/>
          </w:tcPr>
          <w:p>
            <w:pPr>
              <w:ind w:left="4700"/>
              <w:spacing w:after="0"/>
              <w:rPr>
                <w:sz w:val="20"/>
                <w:szCs w:val="20"/>
                <w:color w:val="auto"/>
              </w:rPr>
            </w:pPr>
            <w:r>
              <w:rPr>
                <w:rFonts w:ascii="Times New Roman" w:cs="Times New Roman" w:eastAsia="Times New Roman" w:hAnsi="Times New Roman"/>
                <w:sz w:val="18"/>
                <w:szCs w:val="18"/>
                <w:color w:val="auto"/>
              </w:rPr>
              <w:t>F-37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8"/>
        </w:trPr>
        <w:tc>
          <w:tcPr>
            <w:tcW w:w="7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17"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2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9"/>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30"/>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attribute carryforwards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3"/>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r>
      <w:tr>
        <w:trPr>
          <w:trHeight w:val="270"/>
        </w:trPr>
        <w:tc>
          <w:tcPr>
            <w:tcW w:w="4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4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48"/>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r>
              <w:rPr>
                <w:rFonts w:ascii="Times New Roman" w:cs="Times New Roman" w:eastAsia="Times New Roman" w:hAnsi="Times New Roman"/>
                <w:sz w:val="18"/>
                <w:szCs w:val="18"/>
                <w:u w:val="single" w:color="auto"/>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federal income tax returns for 2017 through 2021 remain open to examination by the IRS. The Company's 2017 and 2018 federal income tax returns are currently under audit by the IRS. In general, the Company's state income tax returns from 2018 to 2021 remain open to examination. The Company's income tax returns outside of the United States remain open to examination from 2018 to 2021. The United States and many states generally have statutes of limitation ranging from 3 to 5 years; however, those statutes could be extended due to the Company's tax credit carryforward position. In general, tax authorities have the ability to review income tax returns in which the statute of limitation has previously expired to adjust the tax credits generated in those years.</w:t>
      </w:r>
    </w:p>
    <w:p>
      <w:pPr>
        <w:spacing w:after="0" w:line="1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net unrecognized tax benefits that, if settled, would impact the effective tax rate is $373.7 million, $321.1 million, and $267.0 million as of December 31, 2022, 2021, and 2020, respectively. The following table reconciles the beginning and ending amounts of unrecognized tax benefits.</w:t>
      </w:r>
    </w:p>
    <w:p>
      <w:pPr>
        <w:spacing w:after="0" w:line="131" w:lineRule="exact"/>
        <w:rPr>
          <w:sz w:val="20"/>
          <w:szCs w:val="20"/>
          <w:color w:val="auto"/>
        </w:rPr>
      </w:pPr>
    </w:p>
    <w:tbl>
      <w:tblPr>
        <w:tblLayout w:type="fixed"/>
        <w:tblInd w:w="1740" w:type="dxa"/>
        <w:tblCellMar>
          <w:top w:w="0" w:type="dxa"/>
          <w:left w:w="0" w:type="dxa"/>
          <w:bottom w:w="0" w:type="dxa"/>
          <w:right w:w="0" w:type="dxa"/>
        </w:tblCellMar>
      </w:tblPr>
      <w:tr>
        <w:trPr>
          <w:trHeight w:val="238"/>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(decreases) increases related to prior year tax positions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175"/>
        </w:trPr>
        <w:tc>
          <w:tcPr>
            <w:tcW w:w="4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Gross decreases due to settlements and lapse of statutes of</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limitations</w:t>
            </w:r>
          </w:p>
        </w:tc>
        <w:tc>
          <w:tcPr>
            <w:tcW w:w="2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48"/>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2022, 2021, and 2020, the increases in unrecognized tax benefits primarily related to the Company's calculation of certain tax credits and other items related to the Company's international operations. The decrease in unrecognized tax benefits in 2021 was related to the closing of audits for the Company's federal income tax returns for 2015 and 2016. Interest expense related to unrecognized tax benefits was not material in 2022, 2021, and 2020. The Company does not believe that it is reasonably possible that the resolution of tax exposures within the next twelve months would have a material impact on the consolidated financial statements as of December 31, 2022.</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in the United States. The IRA created a new corporate alternative minimum tax of 15% on adjusted financial statement income and an excise tax of 1% of the value of certain stock repurchases. The provisions of the IRA will be effective for periods beginning after December 31, 2022. The enactment of the IRA did not result in any material adjustments to the Company's income tax provisions or net deferred tax assets as of December 31, 2022.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Legal Matters</w:t>
      </w:r>
    </w:p>
    <w:p>
      <w:pPr>
        <w:spacing w:after="0" w:line="13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were unable to prevail in any such proceedings, its consolidated financial position, results of operations, and future cash flows may be materially impacted. Costs associated with the Company's involvement in legal proceedings are expensed as incurred. The Company recognizes accruals for loss contingencies associated with such proceedings when it is probable that a liability will be incurred and the amount of loss can be reasonably estimated. As of December 31, 2022 and 2021, the Company's accruals for loss contingencies were not material. There are certain loss contingencies that the Company deems reasonably possible for which the possible loss or range of possible loss is not estimable at this time.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below, the Company is currently a party to patent infringement actions initiated by Amgen Inc. (and/or its affiliated entities) against the Company and/or Sanofi (and/or the Company's and Sanofi's respective affiliated entities) in a number of jurisdictions relating to Praluent. In addition, as described below, the Company filed a lawsuit against Amgen alleging that Amgen engaged in an anticompetitive bundling scheme which was designed to exclude Praluent from the market in violation of federal and state laws.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Amgen has asserted claims of U.S. Patent Nos. 8,829,165 (the "'165 Patent") and 8,859,741 (the "'741 Patent"), and sought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As previously reported, on February 11, 2021, the United States Court of Appeals for the Federal Circuit (the "Federal Circuit") affirmed the lower court's decision that certain of Amgen's asserted patent claims are invalid based on lack of enablement. On April 14, 2021, Amgen filed a petition for a rehearing en banc with the Federal Circuit, which was denied on June 21, 2021. On November 4, 2022, the United States Supreme Court granted Amgen's petition for writ of certiorari. An oral hearing has been scheduled for March 27, 2023.</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August 1, 2022, Amgen filed a motion to dismiss the complaint. On August 11, 2022, Amgen filed a motion to stay these proceedings pending resolution of the patent litigation described in the preceding paragraph. An oral hearing on Amgen's motion to dismiss and motion to stay has been scheduled for January 6,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Amgen has asserted European Patent No. 2,215,124 (the "'124 Patent"), which pertains to PCSK9 monoclonal antibodies, in certain countries in Europe. In October 2020, the '124 Patent claims directed to compositions of matter and medical use relevant to Praluent were ruled invalid based on a lack of inventive step by the Technical Board of Appeal (the "TBA") of the European Patent Office (the "EPO"). Following the EPO's decision, each of the '124 Patent infringement proceedings initiated by Amgen against the Company and certain of Sanofi's affiliated entities in these countries was dismissed, including in Germany. The dismissal in Germany followed an earlier finding of infringement and granting of an injunction, both of which were subsequently overturned. As a result of the overturned injunction in Germany discussed in the preceding sentence, the Company and/or certain of Sanofi's affiliated entities are seeking damages caused by Amgen's enforcement of the injunction. As part of its opposition to these damages claims, on March 23, 2022, Amgen filed a counterclaim that asserted the German designation of European Patent No. 2,641,917 (the "'917 Patent") and seeks, among other things, a judgment of patent infringement, injunctive relief, and monetary damages. The '917 Patent is a divisional patent of the '124 Patent discussed above (i.e., a patent that shares the same priority date, disclosure, and patent term of the parent '124 Patent but contains claims to a different invention). The '917 Patent is also subject to opposition proceedings in the EPO, which were initiated by Sanofi on May 5, 2021. An oral hearing before the EPO has been scheduled for February 21,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Dupixent (dupilumab) Injection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30, 2016, Sanofi initiated a revocation proceeding in the United Kingdom to invalidate the U.K. counterpart of European Patent No. 2,292,665 (the "'665 Patent"), a patent owned by Immunex Corporation relating to antibodies that bind the human interleukin-4 receptor. At the joint request of the parties to the revocation proceeding, the U.K. Patents Court ordered on January 30, 2017 that the revocation action be stayed pending the final determination of the EPO opposition proceedings initiated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which appeal was withdrawn at an oral hearing before the TBA on March 10, 2022 following the TBA's ruling discussed below. On May 18, 2022, the revocation action in the U.K. Patents Court was dismissed following the EPO's revocation of the '665 Patent. On September 20, 2017 and September 21, 2017, respectively, the Company and Sanofi initiated opposition proceedings in the EPO against Immunex's European Patent No. 2,990,420 (the "'420 Patent"), a divisional patent of the '665 Patent (i.e.,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At an oral hearing before the TBA on March 10, 2022, the TBA maintained the invalidity and revocation of the '420 Patent. The original patent term of the Immunex patents expired in May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4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On February 11, 2020, anonymous parties filed two requests for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of the Company's U.S. Patent Nos. 10,406,226 and 10,464,992 (the "'992 Patent"), and the USPTO has granted both requests to initiate reexamination proceedings.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5, 2021, Mylan Pharmaceuticals Inc. filed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petitions in the USPTO against the Company's U.S. Patent Nos. 9,254,338 (the "'338 Patent") and 9,669,069 (the "'069 Patent") seeking declarations of invalidity of the '338 Patent and the '069 Patent. On November 10, 2021, the USPTO issued a decision instituting both IPR proceedings. On December 9, 2021, Apotex Inc. and Celltrion, Inc. each filed two separate IPR petitions against the Company's '338 and '069 Patents requesting that their IPRs be instituted and joined with the IPR proceedings initiated by Mylan concerning the '338 and '069 Patents, which petitions were granted on February 9, 2022. An oral hearing was held on August 10, 2022. On November 9, 2022, the USPTO issued final written decisions finding that the claims of the '338 and '069 Patents are unpatentable and, therefore, invalid. On January 10, 2023, the Company filed notices of appeal of the USPTO written decisions concerning the '338 and '069 Patents with the Federal Circuit.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7, 2021, Celltrion, Inc. filed a post-grant review ("PGR") petition in the USPTO against the Company's U.S. Patent No. 10,857,231 (the "'231 Patent") seeking a declaration of invalidity of the '231 Patent. On March 14, 2022, the Company filed a Notice of Disclaimer with the USPTO, disclaiming all claims of the '231 Patent. As a result, on March 15, 2022, the USPTO denied institution of Celltrion's PGR petition.</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Mylan filed IPR petitions against the Company's U.S. Patent Nos. 10,130,681 (the "'681 Patent") and 10,888,601 (the "'601 Patent") (each filed July 1, 2022) and 10,857,205 (filed October 28, 2022) seeking declarations of invalidity of each of these patents. On January 11, 2023, the USPTO instituted IPR proceedings concerning the '681 Patent and the '601 Patent. On January 6, 2023, Samsung Bioepis Co., Ltd. filed a separate IPR petition against the Company's '681 Patent seeking a declaration of invalidity of the '681 Patent.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9, 2022, Apotex filed an IPR petition against the Company's U.S. Patent No. 11,253,572 (the "'572 Patent") seeking a declaration of invalidity of the '572 Patent.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17, 2023, Celltrion, Inc. filed an IPR petition against the '992 Patent seeking a declaration of invalidity of the '992 Patent.</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 2022, the Company filed a patent infringement lawsuit against Mylan in the United States District Court for the Northern District of West Virginia alleging that Mylan's filing for a U.S. Food and Drug Administration approval of an aflibercept biosimilar infringes certain Company patents. A trial has been scheduled to begin on June 12,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26 and October 27, 2021, anonymous parties initiated opposition proceedings in the EPO against the Company's European Patent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2,944,306 (the "'306 Patent") seeking revocation of the '306 Patent in its entirety.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15, July 15, August 30, and October 4, 2022, the Company and Bayer Inc. filed patent infringement lawsuits against BGP Pharma ULC d.b.a Viatris Canada ("Viatris Canada") in the Federal Court of Canada seeking a declaration that the making, constructing, using, or selling of an aflibercept biosimilar would directly or indirectly infringe one or more claims of the Company's Canadian Patent Nos. 2,654,510 (the "'510 Patent) and 3,007,276 (the "'276 Patent") (in the lawsuit filed on June 15, 2022); the Company's Canadian Patent No. 2,965,495 (the "'495 Patent") (in the lawsuit filed on July 15, 2022); the Company's Canadian Patent No. 2,906,768 (the "'768 Patent") (in the lawsuit filed on August 30, 2022, which has been joined with the lawsuit filed on July 15, 2022); and the Company's Canadian Patent No. 3,129,193 (the "'193 Patent") (in the lawsuit filed on October 4, 2022). A trial for the lawsuit concerning the '510 Patent and the '276 Patent has been scheduled for March 2024; a trial for the lawsuit concerning the '193 Patent has been scheduled for May 2024; and a trial for the lawsuit concerning the '495 Patent and the '768 Patent has been scheduled for November/December 2024. The filing of the lawsuit concerning the '510 Patent and the '276 Patent resulted in a statutory 24-month stay of regulatory approval of Viatris Canada's aflibercept biosimilar in Canada unless the lawsuit is resolved earlier.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5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October 31, 2022 and December 13, 2022, Samsung Bioepis Co., Ltd. initiated invalidation proceedings before the Intellectual Property Trial and Appeal Board of the Korean Intellectual Property Office against the Company's Korean Patent Nos. 1131429 and 1406811, respectively, seeking revocation of each of such patents in its entirety.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The ITC instituted the investigation on July 22, 2020 and a trial was scheduled for April 19–23, 2021. On March 26, 2021, the staff attorney appointed by the ITC's Office of Unfair Import Investigations ("OUII")—an independent government party to the case representing the public interest—determined that the '631 Patent is invalid on several grounds. On April 8, 2021, Novartis moved to terminate the ITC investigation in its entirety based on its withdrawal of the complaint; and, on May 3, 2021, the ITC terminated the investigation.</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19, 2020, Novartis also filed a patent infringement lawsuit (as amended on August 2, 2021)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November 7, 2022, the Company and Novartis entered into a stipulation staying the lawsuit in light of the decision in the IPR proceeding discussed below.</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 Following Novartis's motion to terminate the ITC investigation discussed above, on April 16, 2021 the Company filed a new IPR petition seeking a declaration of invalidity of the '631 Patent based on the same grounds that were the basis for the OUII staff attorney's determination discussed above. On October 26, 2021, the USPTO issued a decision instituting the IPR proceeding. An oral hearing was held on July 21, 2022. On October 25, 2022, the Patent Trial and Appeal Board ("PTAB") of the USPTO issued a final written decision invalidating all claims of the '631 Patent. On December 23, 2022, Novartis filed a notice of appeal of the PTAB's decision to the Federal Circuit.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this lawsuit was transferred to the same judge that had been assigned to the patent infringement lawsuit discussed above. On November 5, 2021, the Company filed a motion to stay these proceedings in light of the pending IPR proceeding discussed above. On January 31, 2022, the court denied the Company's motion to stay these proceedings and granted Novartis and Vetter's motion to dismiss the amended complaint. On June 10, 2022, the Company filed an appeal of the District Court's decision to dismiss the amended complaint with the U.S. Court of Appeals for the Second Circuit.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REGEN-COV (casirivimab and imdevimab)</w:t>
      </w:r>
    </w:p>
    <w:p>
      <w:pPr>
        <w:spacing w:after="0" w:line="1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(as amended on April 8, 2021 and December 12, 2022) against the Company in the United States District Court for the Southern District of New York, asserting infringement of U.S. Patent No. 10,221,221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 which motion was denied on March 2,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 On December 28, 2022, the U.S. Attorney’s Office for the District of Massachusetts filed a motion for partial summary judgment. On January 31, 2023, the Company filed a motion for summary judgment.</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filed against the Company, Regeneron Healthcare Solutions, Inc., and Sanofi-Aventis U.S. LLC by two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plaintiffs filed an amended complaint in this matter. On January 14, 2022, the Company filed a motion to dismiss the amended complaint in its entirety.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CMS. The CID covers the period from January 2011 through June 2021. The Company is cooperating with this investigation.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Department of Insurance Subpoena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received a subpoena from the Insurance Commissioner for the State of California pursuant to the California Insurance Code. The subpoena seeks information relating to the marketing, sale, and distribution of EYLEA, including (i) discounts, rebates, credit card fees, and inventory management systems; (ii) Regeneron's relationships with distributors; (iii) price reporting; (iv) speaker programs; and (v) patient support programs. The subpoena covers the period from January 1, 2014 through August 1, 2021. The Company is cooperating with this investigation.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 Relating to Patient Assistance Organization Support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civil complaint filed by the U.S. Attorney's Office for the District of Massachusetts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discussed under "Department of Justice Matters" above. On September 27, 2022, the lawsuits filed by BCBS, MMO, and Horizon were stayed by the U.S. District Court for the District of Massachusetts pending resolution of the proceedings before the same court discussed under "Department of Justice Matters" above; and, in light of these stays, the parties to the Local 464A action have also agreed to stay that matter.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Demands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or about September 30, 2020, March 30, 2022, and March 31, 2022, the Company's board of directors received three demand letters from purported shareholders of the Company. The demands allege that Regeneron and its shareholders have been damaged by the conduct alleged in the civil complaint filed by the U.S. Attorney's Office for the District of Massachusetts discussed under "Department of Justice Matters" above. The demand letters request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letters and has concluded that pursuing the claims alleged in the demands would not be in the Company's best interests at this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Complaint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civil complaint filed by the U.S. Attorney's Office for the District of Massachusetts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discussed under "Department of Justice Matters" above. As a result of the stay, the court also terminated the Company's motion to dismiss the complaint without prejudice to renew upon conclusion of the stay.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Net Income Per Share</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5"/>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are as follows: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1"/>
        </w:trPr>
        <w:tc>
          <w:tcPr>
            <w:tcW w:w="1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r>
      <w:tr>
        <w:trPr>
          <w:trHeight w:val="223"/>
        </w:trPr>
        <w:tc>
          <w:tcPr>
            <w:tcW w:w="1300" w:type="dxa"/>
            <w:vAlign w:val="bottom"/>
          </w:tcPr>
          <w:p>
            <w:pPr>
              <w:spacing w:after="0"/>
              <w:rPr>
                <w:sz w:val="19"/>
                <w:szCs w:val="19"/>
                <w:color w:val="auto"/>
              </w:rPr>
            </w:pPr>
          </w:p>
        </w:tc>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8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280" w:type="dxa"/>
            <w:vAlign w:val="bottom"/>
          </w:tcPr>
          <w:p>
            <w:pPr>
              <w:spacing w:after="0"/>
              <w:rPr>
                <w:sz w:val="19"/>
                <w:szCs w:val="19"/>
                <w:color w:val="auto"/>
              </w:rPr>
            </w:pPr>
          </w:p>
        </w:tc>
      </w:tr>
      <w:tr>
        <w:trPr>
          <w:trHeight w:val="270"/>
        </w:trPr>
        <w:tc>
          <w:tcPr>
            <w:tcW w:w="1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130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8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8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80" w:type="dxa"/>
            <w:vAlign w:val="bottom"/>
          </w:tcPr>
          <w:p>
            <w:pPr>
              <w:spacing w:after="0"/>
              <w:rPr>
                <w:sz w:val="19"/>
                <w:szCs w:val="19"/>
                <w:color w:val="auto"/>
              </w:rPr>
            </w:pPr>
          </w:p>
        </w:tc>
      </w:tr>
      <w:tr>
        <w:trPr>
          <w:trHeight w:val="248"/>
        </w:trPr>
        <w:tc>
          <w:tcPr>
            <w:tcW w:w="130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8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09"/>
        </w:trPr>
        <w:tc>
          <w:tcPr>
            <w:tcW w:w="13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30"/>
        </w:trPr>
        <w:tc>
          <w:tcPr>
            <w:tcW w:w="130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280" w:type="dxa"/>
            <w:vAlign w:val="bottom"/>
          </w:tcPr>
          <w:p>
            <w:pPr>
              <w:spacing w:after="0"/>
              <w:rPr>
                <w:sz w:val="19"/>
                <w:szCs w:val="19"/>
                <w:color w:val="auto"/>
              </w:rPr>
            </w:pPr>
          </w:p>
        </w:tc>
      </w:tr>
      <w:tr>
        <w:trPr>
          <w:trHeight w:val="234"/>
        </w:trPr>
        <w:tc>
          <w:tcPr>
            <w:tcW w:w="130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80" w:type="dxa"/>
            <w:vAlign w:val="bottom"/>
          </w:tcPr>
          <w:p>
            <w:pPr>
              <w:spacing w:after="0"/>
              <w:rPr>
                <w:sz w:val="20"/>
                <w:szCs w:val="20"/>
                <w:color w:val="auto"/>
              </w:rPr>
            </w:pPr>
          </w:p>
        </w:tc>
      </w:tr>
      <w:tr>
        <w:trPr>
          <w:trHeight w:val="657"/>
        </w:trPr>
        <w:tc>
          <w:tcPr>
            <w:tcW w:w="1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F-43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8"/>
        </w:trPr>
        <w:tc>
          <w:tcPr>
            <w:tcW w:w="13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75" w:lineRule="exact"/>
        <w:rPr>
          <w:sz w:val="20"/>
          <w:szCs w:val="20"/>
          <w:color w:val="auto"/>
        </w:rPr>
      </w:pPr>
    </w:p>
    <w:tbl>
      <w:tblPr>
        <w:tblLayout w:type="fixed"/>
        <w:tblInd w:w="174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Statement of Cash Flows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Consolidated Balance Sheet to the total of the same such amounts shown in the Consolidated Statement of Cash Flows:</w:t>
      </w:r>
    </w:p>
    <w:p>
      <w:pPr>
        <w:spacing w:after="0" w:line="212" w:lineRule="exact"/>
        <w:rPr>
          <w:sz w:val="20"/>
          <w:szCs w:val="20"/>
          <w:color w:val="auto"/>
        </w:rPr>
      </w:pPr>
    </w:p>
    <w:tbl>
      <w:tblPr>
        <w:tblLayout w:type="fixed"/>
        <w:tblInd w:w="178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2,193.7</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64"/>
        </w:trPr>
        <w:tc>
          <w:tcPr>
            <w:tcW w:w="39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shown in the Consolidated Statement of Cash</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Flows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payments for Libtayo intangible asset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369"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32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SUBSIDIARIES OF REGENERON PHARMACEUTICALS, INC.</w:t>
      </w:r>
    </w:p>
    <w:p>
      <w:pPr>
        <w:spacing w:after="0" w:line="37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3380" w:type="dxa"/>
            <w:vAlign w:val="bottom"/>
            <w:vMerge w:val="restart"/>
          </w:tcPr>
          <w:p>
            <w:pPr>
              <w:spacing w:after="0"/>
              <w:rPr>
                <w:sz w:val="17"/>
                <w:szCs w:val="17"/>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0" w:type="dxa"/>
            <w:vAlign w:val="bottom"/>
          </w:tcPr>
          <w:p>
            <w:pPr>
              <w:spacing w:after="0"/>
              <w:rPr>
                <w:sz w:val="1"/>
                <w:szCs w:val="1"/>
                <w:color w:val="auto"/>
              </w:rPr>
            </w:pPr>
          </w:p>
        </w:tc>
      </w:tr>
      <w:tr>
        <w:trPr>
          <w:trHeight w:val="163"/>
        </w:trPr>
        <w:tc>
          <w:tcPr>
            <w:tcW w:w="162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22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Checkmate Pharmaceuticals,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Eastside Campus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Road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Saw Mill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OSMR Holdings</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Assurance,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Atlantic Holdings</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Belgium BV</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Canada Company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Genetics Center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GmbH</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Healthcare Solutions,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India Private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International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Ireland Designated Activity Company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Japan KK</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NL B.V.</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Spain, S.L.U.</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UK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Rockwood Road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3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40"/>
        <w:spacing w:after="0"/>
        <w:rPr>
          <w:sz w:val="20"/>
          <w:szCs w:val="20"/>
          <w:color w:val="auto"/>
        </w:rPr>
      </w:pPr>
      <w:r>
        <w:rPr>
          <w:rFonts w:ascii="Times New Roman" w:cs="Times New Roman" w:eastAsia="Times New Roman" w:hAnsi="Times New Roman"/>
          <w:sz w:val="18"/>
          <w:szCs w:val="18"/>
          <w:color w:val="auto"/>
        </w:rPr>
        <w:t>* Directly or indirectly wholly owned by Regeneron Pharmaceuticals, Inc.</w:t>
      </w:r>
    </w:p>
    <w:p>
      <w:pPr>
        <w:sectPr>
          <w:pgSz w:w="11900" w:h="16838" w:orient="portrait"/>
          <w:cols w:equalWidth="0" w:num="1">
            <w:col w:w="10120"/>
          </w:cols>
          <w:pgMar w:left="1440" w:top="98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333-260763)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333-61132, 333-97375, 333-119257, 333-151941, 333-169569, 333-174863, 333-196799, 333-198794, 333-218669, and 333-239209) of Regeneron Pharmaceuticals, Inc. of our report dated February 6, 2023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2023</w:t>
      </w:r>
    </w:p>
    <w:p>
      <w:pPr>
        <w:sectPr>
          <w:pgSz w:w="11900" w:h="16838" w:orient="portrait"/>
          <w:cols w:equalWidth="0" w:num="1">
            <w:col w:w="11240"/>
          </w:cols>
          <w:pgMar w:left="320" w:top="89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February 6, 2023</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104"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February 6, 2023</w:t>
            </w:r>
          </w:p>
        </w:tc>
        <w:tc>
          <w:tcPr>
            <w:tcW w:w="1120" w:type="dxa"/>
            <w:vAlign w:val="bottom"/>
          </w:tcPr>
          <w:p>
            <w:pPr>
              <w:spacing w:after="0"/>
              <w:rPr>
                <w:sz w:val="18"/>
                <w:szCs w:val="18"/>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Robert E. Landry</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8100" w:type="dxa"/>
            <w:vAlign w:val="bottom"/>
            <w:gridSpan w:val="3"/>
            <w:vMerge w:val="restart"/>
          </w:tcPr>
          <w:p>
            <w:pPr>
              <w:ind w:left="1120"/>
              <w:spacing w:after="0"/>
              <w:rPr>
                <w:sz w:val="20"/>
                <w:szCs w:val="20"/>
                <w:color w:val="auto"/>
              </w:rPr>
            </w:pPr>
            <w:r>
              <w:rPr>
                <w:rFonts w:ascii="Times New Roman" w:cs="Times New Roman" w:eastAsia="Times New Roman" w:hAnsi="Times New Roman"/>
                <w:sz w:val="18"/>
                <w:szCs w:val="18"/>
                <w:color w:val="auto"/>
              </w:rPr>
              <w:t>Robert E. Landry</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8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8100" w:type="dxa"/>
            <w:vAlign w:val="bottom"/>
            <w:gridSpan w:val="3"/>
          </w:tcPr>
          <w:p>
            <w:pPr>
              <w:ind w:left="1120"/>
              <w:spacing w:after="0" w:line="181"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480" w:type="dxa"/>
            <w:vAlign w:val="bottom"/>
            <w:tcBorders>
              <w:bottom w:val="single" w:sz="8" w:color="666666"/>
            </w:tcBorders>
          </w:tcPr>
          <w:p>
            <w:pPr>
              <w:spacing w:after="0"/>
              <w:rPr>
                <w:sz w:val="24"/>
                <w:szCs w:val="24"/>
                <w:color w:val="auto"/>
              </w:rPr>
            </w:pPr>
          </w:p>
        </w:tc>
        <w:tc>
          <w:tcPr>
            <w:tcW w:w="55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Regeneron Pharmaceuticals, Inc. (the "Company") on Form 10-K for the year ended December 31, 2022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6, 2023</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E. Landry</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6, 2023</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lowerLetter"/>
      <w:start w:val="5"/>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1)"/>
      <w:numFmt w:val="lowerLetter"/>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32"/>
    </w:lvl>
  </w:abstractNum>
  <w:abstractNum w:abstractNumId="40">
    <w:nsid w:val="1BA026FA"/>
    <w:multiLevelType w:val="hybridMultilevel"/>
    <w:lvl w:ilvl="0">
      <w:lvlJc w:val="left"/>
      <w:lvlText w:val="%1"/>
      <w:numFmt w:val="decimal"/>
      <w:start w:val="101"/>
    </w:lvl>
    <w:lvl w:ilvl="1">
      <w:lvlJc w:val="left"/>
      <w:lvlText w:val="(%2)"/>
      <w:numFmt w:val="lowerRoman"/>
      <w:start w:val="2"/>
    </w:lvl>
  </w:abstractNum>
  <w:abstractNum w:abstractNumId="41">
    <w:nsid w:val="79A1DEAA"/>
    <w:multiLevelType w:val="hybridMultilevel"/>
    <w:lvl w:ilvl="0">
      <w:lvlJc w:val="left"/>
      <w:lvlText w:val="%1"/>
      <w:numFmt w:val="decimal"/>
      <w:start w:val="104"/>
    </w:lvl>
    <w:lvl w:ilvl="1">
      <w:lvlJc w:val="left"/>
      <w:lvlText w:val="*"/>
      <w:numFmt w:val="bullet"/>
      <w:start w:val="1"/>
    </w:lvl>
  </w:abstractNum>
  <w:abstractNum w:abstractNumId="42">
    <w:nsid w:val="75C6C33A"/>
    <w:multiLevelType w:val="hybridMultilevel"/>
    <w:lvl w:ilvl="0">
      <w:lvlJc w:val="left"/>
      <w:lvlText w:val="%1"/>
      <w:numFmt w:val="decimal"/>
      <w:start w:val="1"/>
    </w:lvl>
    <w:lvl w:ilvl="1">
      <w:lvlJc w:val="left"/>
      <w:lvlText w:val="**"/>
      <w:numFmt w:val="bullet"/>
      <w:start w:val="1"/>
    </w:lvl>
  </w:abstractNum>
  <w:abstractNum w:abstractNumId="43">
    <w:nsid w:val="12E685FB"/>
    <w:multiLevelType w:val="hybridMultilevel"/>
    <w:lvl w:ilvl="0">
      <w:lvlJc w:val="left"/>
      <w:lvlText w:val="%1"/>
      <w:numFmt w:val="decimal"/>
      <w:start w:val="1"/>
    </w:lvl>
    <w:lvl w:ilvl="1">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4"/>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2"/>
    </w:lvl>
  </w:abstractNum>
  <w:abstractNum w:abstractNumId="57">
    <w:nsid w:val="15B5AF5C"/>
    <w:multiLevelType w:val="hybridMultilevel"/>
    <w:lvl w:ilvl="0">
      <w:lvlJc w:val="left"/>
      <w:lvlText w:val="%1."/>
      <w:numFmt w:val="lowerLetter"/>
      <w:start w:val="3"/>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4" Type="http://schemas.openxmlformats.org/officeDocument/2006/relationships/image" Target="media/image114.png"/><Relationship Id="rId136" Type="http://schemas.openxmlformats.org/officeDocument/2006/relationships/image" Target="media/image115.png"/><Relationship Id="rId139" Type="http://schemas.openxmlformats.org/officeDocument/2006/relationships/image" Target="media/image116.png"/><Relationship Id="rId142" Type="http://schemas.openxmlformats.org/officeDocument/2006/relationships/image" Target="media/image117.png"/><Relationship Id="rId145" Type="http://schemas.openxmlformats.org/officeDocument/2006/relationships/image" Target="media/image118.png"/><Relationship Id="rId148" Type="http://schemas.openxmlformats.org/officeDocument/2006/relationships/image" Target="media/image119.png"/><Relationship Id="rId151" Type="http://schemas.openxmlformats.org/officeDocument/2006/relationships/image" Target="media/image120.png"/><Relationship Id="rId153" Type="http://schemas.openxmlformats.org/officeDocument/2006/relationships/image" Target="media/image121.png"/><Relationship Id="rId167" Type="http://schemas.openxmlformats.org/officeDocument/2006/relationships/image" Target="media/image122.png"/><Relationship Id="rId184" Type="http://schemas.openxmlformats.org/officeDocument/2006/relationships/image" Target="media/image123.png"/><Relationship Id="rId200" Type="http://schemas.openxmlformats.org/officeDocument/2006/relationships/image" Target="media/image124.png"/><Relationship Id="rId201" Type="http://schemas.openxmlformats.org/officeDocument/2006/relationships/image" Target="media/image125.png"/><Relationship Id="rId202" Type="http://schemas.openxmlformats.org/officeDocument/2006/relationships/image" Target="media/image126.png"/><Relationship Id="rId203" Type="http://schemas.openxmlformats.org/officeDocument/2006/relationships/image" Target="media/image127.png"/><Relationship Id="rId204" Type="http://schemas.openxmlformats.org/officeDocument/2006/relationships/image" Target="media/image128.png"/><Relationship Id="rId205" Type="http://schemas.openxmlformats.org/officeDocument/2006/relationships/image" Target="media/image129.png"/><Relationship Id="rId206" Type="http://schemas.openxmlformats.org/officeDocument/2006/relationships/image" Target="media/image130.png"/><Relationship Id="rId207" Type="http://schemas.openxmlformats.org/officeDocument/2006/relationships/image" Target="media/image131.png"/><Relationship Id="rId208" Type="http://schemas.openxmlformats.org/officeDocument/2006/relationships/image" Target="media/image132.png"/><Relationship Id="rId209" Type="http://schemas.openxmlformats.org/officeDocument/2006/relationships/image" Target="media/image133.png"/><Relationship Id="rId210" Type="http://schemas.openxmlformats.org/officeDocument/2006/relationships/image" Target="media/image134.png"/><Relationship Id="rId211" Type="http://schemas.openxmlformats.org/officeDocument/2006/relationships/image" Target="media/image135.png"/><Relationship Id="rId212" Type="http://schemas.openxmlformats.org/officeDocument/2006/relationships/image" Target="media/image136.png"/><Relationship Id="rId213" Type="http://schemas.openxmlformats.org/officeDocument/2006/relationships/image" Target="media/image137.png"/><Relationship Id="rId214" Type="http://schemas.openxmlformats.org/officeDocument/2006/relationships/image" Target="media/image138.png"/><Relationship Id="rId215" Type="http://schemas.openxmlformats.org/officeDocument/2006/relationships/image" Target="media/image139.png"/><Relationship Id="rId216" Type="http://schemas.openxmlformats.org/officeDocument/2006/relationships/image" Target="media/image140.png"/><Relationship Id="rId217" Type="http://schemas.openxmlformats.org/officeDocument/2006/relationships/image" Target="media/image141.png"/><Relationship Id="rId218" Type="http://schemas.openxmlformats.org/officeDocument/2006/relationships/image" Target="media/image142.png"/><Relationship Id="rId219" Type="http://schemas.openxmlformats.org/officeDocument/2006/relationships/image" Target="media/image143.png"/><Relationship Id="rId220" Type="http://schemas.openxmlformats.org/officeDocument/2006/relationships/image" Target="media/image144.png"/><Relationship Id="rId221" Type="http://schemas.openxmlformats.org/officeDocument/2006/relationships/image" Target="media/image145.png"/><Relationship Id="rId222" Type="http://schemas.openxmlformats.org/officeDocument/2006/relationships/image" Target="media/image146.png"/><Relationship Id="rId223" Type="http://schemas.openxmlformats.org/officeDocument/2006/relationships/image" Target="media/image147.png"/><Relationship Id="rId224" Type="http://schemas.openxmlformats.org/officeDocument/2006/relationships/image" Target="media/image148.png"/><Relationship Id="rId225" Type="http://schemas.openxmlformats.org/officeDocument/2006/relationships/image" Target="media/image149.png"/><Relationship Id="rId226" Type="http://schemas.openxmlformats.org/officeDocument/2006/relationships/image" Target="media/image150.png"/><Relationship Id="rId227" Type="http://schemas.openxmlformats.org/officeDocument/2006/relationships/image" Target="media/image151.png"/><Relationship Id="rId228" Type="http://schemas.openxmlformats.org/officeDocument/2006/relationships/image" Target="media/image152.png"/><Relationship Id="rId229" Type="http://schemas.openxmlformats.org/officeDocument/2006/relationships/image" Target="media/image153.png"/><Relationship Id="rId230" Type="http://schemas.openxmlformats.org/officeDocument/2006/relationships/image" Target="media/image154.png"/><Relationship Id="rId231" Type="http://schemas.openxmlformats.org/officeDocument/2006/relationships/image" Target="media/image155.png"/><Relationship Id="rId232" Type="http://schemas.openxmlformats.org/officeDocument/2006/relationships/image" Target="media/image156.png"/><Relationship Id="rId233" Type="http://schemas.openxmlformats.org/officeDocument/2006/relationships/image" Target="media/image157.png"/><Relationship Id="rId234" Type="http://schemas.openxmlformats.org/officeDocument/2006/relationships/image" Target="media/image158.png"/><Relationship Id="rId235" Type="http://schemas.openxmlformats.org/officeDocument/2006/relationships/image" Target="media/image159.png"/><Relationship Id="rId236" Type="http://schemas.openxmlformats.org/officeDocument/2006/relationships/image" Target="media/image160.png"/><Relationship Id="rId237" Type="http://schemas.openxmlformats.org/officeDocument/2006/relationships/image" Target="media/image161.png"/><Relationship Id="rId238" Type="http://schemas.openxmlformats.org/officeDocument/2006/relationships/image" Target="media/image162.png"/><Relationship Id="rId239" Type="http://schemas.openxmlformats.org/officeDocument/2006/relationships/image" Target="media/image163.png"/><Relationship Id="rId240" Type="http://schemas.openxmlformats.org/officeDocument/2006/relationships/image" Target="media/image164.png"/><Relationship Id="rId241" Type="http://schemas.openxmlformats.org/officeDocument/2006/relationships/image" Target="media/image165.png"/><Relationship Id="rId242" Type="http://schemas.openxmlformats.org/officeDocument/2006/relationships/image" Target="media/image166.png"/><Relationship Id="rId243" Type="http://schemas.openxmlformats.org/officeDocument/2006/relationships/image" Target="media/image167.png"/><Relationship Id="rId244" Type="http://schemas.openxmlformats.org/officeDocument/2006/relationships/image" Target="media/image168.png"/><Relationship Id="rId245" Type="http://schemas.openxmlformats.org/officeDocument/2006/relationships/image" Target="media/image169.png"/><Relationship Id="rId246" Type="http://schemas.openxmlformats.org/officeDocument/2006/relationships/image" Target="media/image170.png"/><Relationship Id="rId247" Type="http://schemas.openxmlformats.org/officeDocument/2006/relationships/image" Target="media/image171.png"/><Relationship Id="rId248" Type="http://schemas.openxmlformats.org/officeDocument/2006/relationships/image" Target="media/image172.png"/><Relationship Id="rId249" Type="http://schemas.openxmlformats.org/officeDocument/2006/relationships/image" Target="media/image173.png"/><Relationship Id="rId250" Type="http://schemas.openxmlformats.org/officeDocument/2006/relationships/image" Target="media/image174.png"/><Relationship Id="rId251" Type="http://schemas.openxmlformats.org/officeDocument/2006/relationships/image" Target="media/image175.png"/><Relationship Id="rId252" Type="http://schemas.openxmlformats.org/officeDocument/2006/relationships/image" Target="media/image176.png"/><Relationship Id="rId253" Type="http://schemas.openxmlformats.org/officeDocument/2006/relationships/image" Target="media/image177.png"/><Relationship Id="rId254" Type="http://schemas.openxmlformats.org/officeDocument/2006/relationships/image" Target="media/image178.png"/><Relationship Id="rId255" Type="http://schemas.openxmlformats.org/officeDocument/2006/relationships/image" Target="media/image179.png"/><Relationship Id="rId256" Type="http://schemas.openxmlformats.org/officeDocument/2006/relationships/image" Target="media/image180.png"/><Relationship Id="rId257" Type="http://schemas.openxmlformats.org/officeDocument/2006/relationships/image" Target="media/image181.png"/><Relationship Id="rId258" Type="http://schemas.openxmlformats.org/officeDocument/2006/relationships/image" Target="media/image182.png"/><Relationship Id="rId259" Type="http://schemas.openxmlformats.org/officeDocument/2006/relationships/image" Target="media/image183.png"/><Relationship Id="rId260" Type="http://schemas.openxmlformats.org/officeDocument/2006/relationships/image" Target="media/image184.png"/><Relationship Id="rId261" Type="http://schemas.openxmlformats.org/officeDocument/2006/relationships/image" Target="media/image185.png"/><Relationship Id="rId262" Type="http://schemas.openxmlformats.org/officeDocument/2006/relationships/image" Target="media/image186.png"/><Relationship Id="rId263" Type="http://schemas.openxmlformats.org/officeDocument/2006/relationships/image" Target="media/image187.png"/><Relationship Id="rId264" Type="http://schemas.openxmlformats.org/officeDocument/2006/relationships/image" Target="media/image188.png"/><Relationship Id="rId119" Type="http://schemas.openxmlformats.org/officeDocument/2006/relationships/hyperlink" Target="http://www.sec.gov/Archives/edgar/data/872589/000153217615000029/regn-ex_31x06302015x10q.htm" TargetMode="External"/><Relationship Id="rId120" Type="http://schemas.openxmlformats.org/officeDocument/2006/relationships/hyperlink" Target="http://www.sec.gov/Archives/edgar/data/872589/000110465916163216/a16-23471_1ex3d2.htm" TargetMode="External"/><Relationship Id="rId121" Type="http://schemas.openxmlformats.org/officeDocument/2006/relationships/hyperlink" Target="http://www.sec.gov/Archives/edgar/data/872589/000153217620000008/regn-ex41xdescriptiono.htm" TargetMode="External"/><Relationship Id="rId122" Type="http://schemas.openxmlformats.org/officeDocument/2006/relationships/hyperlink" Target="http://www.sec.gov/Archives/edgar/data/872589/000110465920093924/tm2027319d1_ex4-1.htm" TargetMode="External"/><Relationship Id="rId123" Type="http://schemas.openxmlformats.org/officeDocument/2006/relationships/hyperlink" Target="http://www.sec.gov/Archives/edgar/data/872589/000110465920093924/tm2027319d1_ex4-2.htm" TargetMode="External"/><Relationship Id="rId124" Type="http://schemas.openxmlformats.org/officeDocument/2006/relationships/hyperlink" Target="http://www.sec.gov/Archives/edgar/data/872589/000120677411001374/exhibit99-1.htm" TargetMode="External"/><Relationship Id="rId125" Type="http://schemas.openxmlformats.org/officeDocument/2006/relationships/hyperlink" Target="http://www.sec.gov/Archives/edgar/data/872589/000120677409000907/exhibit10-1.htm" TargetMode="External"/><Relationship Id="rId126" Type="http://schemas.openxmlformats.org/officeDocument/2006/relationships/hyperlink" Target="http://www.sec.gov/Archives/edgar/data/872589/000120677412000709/exhibit10-1_9.htm" TargetMode="External"/><Relationship Id="rId127" Type="http://schemas.openxmlformats.org/officeDocument/2006/relationships/hyperlink" Target="http://www.sec.gov/Archives/edgar/data/872589/000153217614000008/exhibit10110.htm" TargetMode="External"/><Relationship Id="rId128" Type="http://schemas.openxmlformats.org/officeDocument/2006/relationships/hyperlink" Target="http://www.sec.gov/Archives/edgar/data/872589/000110465917038718/a17-14867_1ex99d1.htm" TargetMode="External"/><Relationship Id="rId129" Type="http://schemas.openxmlformats.org/officeDocument/2006/relationships/hyperlink" Target="http://www.sec.gov/Archives/edgar/data/872589/000119312514240075/d741250dex101.htm" TargetMode="External"/><Relationship Id="rId130" Type="http://schemas.openxmlformats.org/officeDocument/2006/relationships/hyperlink" Target="http://www.sec.gov/Archives/edgar/data/872589/000119312514240075/d741250dex103.htm" TargetMode="External"/><Relationship Id="rId133" Type="http://schemas.openxmlformats.org/officeDocument/2006/relationships/hyperlink" Target="http://www.sec.gov/Archives/edgar/data/872589/000119312514240075/d741250dex104.htm" TargetMode="External"/><Relationship Id="rId135" Type="http://schemas.openxmlformats.org/officeDocument/2006/relationships/hyperlink" Target="http://www.sec.gov/Archives/edgar/data/872589/000153217616000045/regn-ex_1025x12312015x10k.htm" TargetMode="External"/><Relationship Id="rId137" Type="http://schemas.openxmlformats.org/officeDocument/2006/relationships/hyperlink" Target="http://www.sec.gov/Archives/edgar/data/872589/000110465915080234/a15-23696_1ex10d1.htm" TargetMode="External"/><Relationship Id="rId138" Type="http://schemas.openxmlformats.org/officeDocument/2006/relationships/hyperlink" Target="http://www.sec.gov/Archives/edgar/data/872589/000110465915080234/a15-23696_1ex10d3.htm" TargetMode="External"/><Relationship Id="rId140" Type="http://schemas.openxmlformats.org/officeDocument/2006/relationships/hyperlink" Target="http://www.sec.gov/Archives/edgar/data/872589/000153217616000045/regn-ex_10210x12312015x10k.htm" TargetMode="External"/><Relationship Id="rId141" Type="http://schemas.openxmlformats.org/officeDocument/2006/relationships/hyperlink" Target="http://www.sec.gov/Archives/edgar/data/872589/000153217618000013/regn-ex_10211xar2014ltipnq.htm" TargetMode="External"/><Relationship Id="rId143" Type="http://schemas.openxmlformats.org/officeDocument/2006/relationships/hyperlink" Target="http://www.sec.gov/Archives/edgar/data/872589/000153217618000013/regn-ex_10213xar2014ltipnq.htm" TargetMode="External"/><Relationship Id="rId144" Type="http://schemas.openxmlformats.org/officeDocument/2006/relationships/hyperlink" Target="http://www.sec.gov/Archives/edgar/data/872589/000153217618000013/regn-ex_10215xar2014ltiprs.htm" TargetMode="External"/><Relationship Id="rId146" Type="http://schemas.openxmlformats.org/officeDocument/2006/relationships/hyperlink" Target="http://www.sec.gov/Archives/edgar/data/872589/000153217618000013/regn-ex_10216xar2014ltipnq.htm" TargetMode="External"/><Relationship Id="rId147" Type="http://schemas.openxmlformats.org/officeDocument/2006/relationships/hyperlink" Target="http://www.sec.gov/Archives/edgar/data/872589/000153217619000009/regn-ex_10217xstockoptiona.htm" TargetMode="External"/><Relationship Id="rId149" Type="http://schemas.openxmlformats.org/officeDocument/2006/relationships/hyperlink" Target="http://www.sec.gov/Archives/edgar/data/872589/000153217619000009/regn-ex_10218xstockoptiona.htm" TargetMode="External"/><Relationship Id="rId150" Type="http://schemas.openxmlformats.org/officeDocument/2006/relationships/hyperlink" Target="http://www.sec.gov/Archives/edgar/data/872589/000153217619000009/regn-ex_10219xar2014ltiprs.htm" TargetMode="External"/><Relationship Id="rId152" Type="http://schemas.openxmlformats.org/officeDocument/2006/relationships/hyperlink" Target="http://www.sec.gov/Archives/edgar/data/872589/000153217619000009/regn-ex_10220xar2014ltipnq.htm" TargetMode="External"/><Relationship Id="rId154" Type="http://schemas.openxmlformats.org/officeDocument/2006/relationships/hyperlink" Target="http://www.sec.gov/Archives/edgar/data/872589/000153217619000009/regn-ex_10221xar2014ltiprs.htm" TargetMode="External"/><Relationship Id="rId155" Type="http://schemas.openxmlformats.org/officeDocument/2006/relationships/hyperlink" Target="http://www.sec.gov/Archives/edgar/data/872589/000153217620000008/regn-ex10217ar2014ltip.htm" TargetMode="External"/><Relationship Id="rId156" Type="http://schemas.openxmlformats.org/officeDocument/2006/relationships/hyperlink" Target="http://www.sec.gov/Archives/edgar/data/872589/000153217620000008/regn-ex10218ar2014ltip.htm" TargetMode="External"/><Relationship Id="rId157" Type="http://schemas.openxmlformats.org/officeDocument/2006/relationships/hyperlink" Target="http://www.sec.gov/Archives/edgar/data/872589/000153217620000008/regn-ex10219ar2014ltip.htm" TargetMode="External"/><Relationship Id="rId158" Type="http://schemas.openxmlformats.org/officeDocument/2006/relationships/hyperlink" Target="http://www.sec.gov/Archives/edgar/data/872589/000153217620000008/regn-ex10220ar2014ltip.htm" TargetMode="External"/><Relationship Id="rId159" Type="http://schemas.openxmlformats.org/officeDocument/2006/relationships/hyperlink" Target="http://www.sec.gov/Archives/edgar/data/872589/000153217620000008/regn-ex10221ar2014ltip.htm" TargetMode="External"/><Relationship Id="rId160" Type="http://schemas.openxmlformats.org/officeDocument/2006/relationships/hyperlink" Target="http://www.sec.gov/Archives/edgar/data/872589/000153217620000008/regn-ex10222ar2014ltip.htm" TargetMode="External"/><Relationship Id="rId161" Type="http://schemas.openxmlformats.org/officeDocument/2006/relationships/hyperlink" Target="http://www.sec.gov/Archives/edgar/data/872589/000110465920073764/tm2022552d1_ex99-1.htm" TargetMode="External"/><Relationship Id="rId162" Type="http://schemas.openxmlformats.org/officeDocument/2006/relationships/hyperlink" Target="http://www.sec.gov/Archives/edgar/data/872589/000180422021000008/regn-ex_1031x12312020x10k.htm" TargetMode="External"/><Relationship Id="rId163" Type="http://schemas.openxmlformats.org/officeDocument/2006/relationships/hyperlink" Target="http://www.sec.gov/Archives/edgar/data/872589/000180422021000008/regn-ex_1032x12312020x10k.htm" TargetMode="External"/><Relationship Id="rId164" Type="http://schemas.openxmlformats.org/officeDocument/2006/relationships/hyperlink" Target="http://www.sec.gov/Archives/edgar/data/872589/000180422021000008/regn-ex_1033x12312020x10k.htm" TargetMode="External"/><Relationship Id="rId165" Type="http://schemas.openxmlformats.org/officeDocument/2006/relationships/hyperlink" Target="http://www.sec.gov/Archives/edgar/data/872589/000180422021000008/regn-ex_1034x12312020x10k.htm" TargetMode="External"/><Relationship Id="rId166" Type="http://schemas.openxmlformats.org/officeDocument/2006/relationships/hyperlink" Target="http://www.sec.gov/Archives/edgar/data/872589/000180422021000008/regn-ex_1035x12312020x10k.htm" TargetMode="External"/><Relationship Id="rId168" Type="http://schemas.openxmlformats.org/officeDocument/2006/relationships/hyperlink" Target="http://www.sec.gov/Archives/edgar/data/872589/000180422021000008/regn-ex_1036x12312020x10k.htm" TargetMode="External"/><Relationship Id="rId169" Type="http://schemas.openxmlformats.org/officeDocument/2006/relationships/hyperlink" Target="http://www.sec.gov/Archives/edgar/data/872589/000180422021000008/regn-ex_1037x12312020x10k.htm" TargetMode="External"/><Relationship Id="rId170" Type="http://schemas.openxmlformats.org/officeDocument/2006/relationships/hyperlink" Target="http://www.sec.gov/Archives/edgar/data/872589/000120677409000338/exhibit10-3.htm" TargetMode="External"/><Relationship Id="rId171" Type="http://schemas.openxmlformats.org/officeDocument/2006/relationships/hyperlink" Target="http://www.sec.gov/Archives/edgar/data/872589/000095012305002979/y06183exv10w7.txt" TargetMode="External"/><Relationship Id="rId172" Type="http://schemas.openxmlformats.org/officeDocument/2006/relationships/hyperlink" Target="http://www.sec.gov/Archives/edgar/data/872589/000119312513365438/d596986dex101.htm" TargetMode="External"/><Relationship Id="rId173" Type="http://schemas.openxmlformats.org/officeDocument/2006/relationships/hyperlink" Target="http://www.sec.gov/Archives/edgar/data/872589/000120677409000338/exhibit10-5.htm" TargetMode="External"/><Relationship Id="rId174" Type="http://schemas.openxmlformats.org/officeDocument/2006/relationships/hyperlink" Target="http://www.sec.gov/Archives/edgar/data/872589/000110465915045962/a15-14252_1ex10d1.htm" TargetMode="External"/><Relationship Id="rId175" Type="http://schemas.openxmlformats.org/officeDocument/2006/relationships/hyperlink" Target="http://www.sec.gov/Archives/edgar/data/872589/000120677409001498/exhibit10-1.htm" TargetMode="External"/><Relationship Id="rId176" Type="http://schemas.openxmlformats.org/officeDocument/2006/relationships/hyperlink" Target="http://www.sec.gov/Archives/edgar/data/872589/000095012306013527/y26593exv10w1.htm" TargetMode="External"/><Relationship Id="rId177" Type="http://schemas.openxmlformats.org/officeDocument/2006/relationships/hyperlink" Target="http://www.sec.gov/Archives/edgar/data/872589/000153217615000008/regn-ex_10101x12312014x10k.htm" TargetMode="External"/><Relationship Id="rId178" Type="http://schemas.openxmlformats.org/officeDocument/2006/relationships/hyperlink" Target="http://www.sec.gov/Archives/edgar/data/872589/000153217620000008/regn-ex10102secondamen.htm" TargetMode="External"/><Relationship Id="rId179" Type="http://schemas.openxmlformats.org/officeDocument/2006/relationships/hyperlink" Target="http://www.sec.gov/Archives/edgar/data/872589/000120677410001385/exhibit10-15.htm" TargetMode="External"/><Relationship Id="rId180" Type="http://schemas.openxmlformats.org/officeDocument/2006/relationships/hyperlink" Target="http://www.sec.gov/Archives/edgar/data/872589/000153217613000022/regn-ex_105x6302013x10q.htm" TargetMode="External"/><Relationship Id="rId181" Type="http://schemas.openxmlformats.org/officeDocument/2006/relationships/hyperlink" Target="http://www.sec.gov/Archives/edgar/data/872589/000153217615000037/regn-ex_104x09302015x10q.htm" TargetMode="External"/><Relationship Id="rId182" Type="http://schemas.openxmlformats.org/officeDocument/2006/relationships/hyperlink" Target="http://www.sec.gov/Archives/edgar/data/872589/000180422020000022/regn-ex103x06302020x10q.htm" TargetMode="External"/><Relationship Id="rId183" Type="http://schemas.openxmlformats.org/officeDocument/2006/relationships/hyperlink" Target="http://www.sec.gov/Archives/edgar/data/872589/000180422022000007/regen-ex_10144x12312021x10k.htm" TargetMode="External"/><Relationship Id="rId185" Type="http://schemas.openxmlformats.org/officeDocument/2006/relationships/hyperlink" Target="http://www.sec.gov/Archives/edgar/data/872589/000180422022000023/regn-ex_103x6302022x10q.htm" TargetMode="External"/><Relationship Id="rId186" Type="http://schemas.openxmlformats.org/officeDocument/2006/relationships/hyperlink" Target="http://www.sec.gov/Archives/edgar/data/872589/000180422020000022/regn-ex104x06302020x10q.htm" TargetMode="External"/><Relationship Id="rId187" Type="http://schemas.openxmlformats.org/officeDocument/2006/relationships/hyperlink" Target="http://www.sec.gov/Archives/edgar/data/872589/000119312514008775/d659864dex101.htm" TargetMode="External"/><Relationship Id="rId188" Type="http://schemas.openxmlformats.org/officeDocument/2006/relationships/hyperlink" Target="http://www.sec.gov/Archives/edgar/data/872589/000110465920067752/tm2021201d1_ex10-2.htm" TargetMode="External"/><Relationship Id="rId189" Type="http://schemas.openxmlformats.org/officeDocument/2006/relationships/hyperlink" Target="http://www.sec.gov/Archives/edgar/data/872589/000110465922128613/tm2233051d1_ex10-1.htm" TargetMode="External"/><Relationship Id="rId190" Type="http://schemas.openxmlformats.org/officeDocument/2006/relationships/hyperlink" Target="http://www.sec.gov/Archives/edgar/data/872589/000180422022000023/regn-ex_102x06302022x10q.htm" TargetMode="External"/><Relationship Id="rId191" Type="http://schemas.openxmlformats.org/officeDocument/2006/relationships/hyperlink" Target="http://www.sec.gov/Archives/edgar/data/872589/000153217616000055/regn-ex_102x03312016x10q.htm" TargetMode="External"/><Relationship Id="rId192" Type="http://schemas.openxmlformats.org/officeDocument/2006/relationships/hyperlink" Target="http://www.sec.gov/Archives/edgar/data/872589/000153217617000008/regn-ex_1035xlandmarkpsaex.htm" TargetMode="External"/><Relationship Id="rId193" Type="http://schemas.openxmlformats.org/officeDocument/2006/relationships/hyperlink" Target="http://www.sec.gov/Archives/edgar/data/872589/000110465922031232/tm222431d2_ex10-1.htm" TargetMode="External"/><Relationship Id="rId194" Type="http://schemas.openxmlformats.org/officeDocument/2006/relationships/hyperlink" Target="http://www.sec.gov/Archives/edgar/data/872589/000110465922031232/tm222431d2_ex10-2.htm" TargetMode="External"/><Relationship Id="rId195" Type="http://schemas.openxmlformats.org/officeDocument/2006/relationships/hyperlink" Target="http://www.sec.gov/Archives/edgar/data/872589/000110465922031232/tm222431d2_ex10-3.htm" TargetMode="External"/><Relationship Id="rId196" Type="http://schemas.openxmlformats.org/officeDocument/2006/relationships/hyperlink" Target="http://www.sec.gov/Archives/edgar/data/872589/000153217619000026/regn-ex104.htm" TargetMode="External"/><Relationship Id="rId197" Type="http://schemas.openxmlformats.org/officeDocument/2006/relationships/hyperlink" Target="http://www.sec.gov/Archives/edgar/data/872589/000153217619000026/regn-ex1041.htm" TargetMode="External"/><Relationship Id="rId198" Type="http://schemas.openxmlformats.org/officeDocument/2006/relationships/hyperlink" Target="http://www.sec.gov/Archives/edgar/data/872589/000153217619000026/regn-ex1042.htm" TargetMode="External"/><Relationship Id="rId199" Type="http://schemas.openxmlformats.org/officeDocument/2006/relationships/hyperlink" Target="http://www.sec.gov/Archives/edgar/data/872589/000180422020000030/regn-ex103x09302020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2023-02-06T08:32:53Z</dcterms:created>
  <dcterms:modified xsi:type="dcterms:W3CDTF">2023-02-06T08:32:53Z</dcterms:modified>
</cp:coreProperties>
</file>