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1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ind w:left="360" w:right="2200" w:hanging="334"/>
        <w:spacing w:after="0" w:line="304" w:lineRule="auto"/>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March 31, 2026</w:t>
      </w:r>
    </w:p>
    <w:p>
      <w:pPr>
        <w:spacing w:after="0" w:line="181" w:lineRule="exact"/>
        <w:rPr>
          <w:sz w:val="24"/>
          <w:szCs w:val="24"/>
          <w:color w:val="auto"/>
        </w:rPr>
      </w:pPr>
    </w:p>
    <w:p>
      <w:pPr>
        <w:ind w:left="360" w:right="2180" w:hanging="334"/>
        <w:spacing w:after="0" w:line="319" w:lineRule="auto"/>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 to __________</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000-19034</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6" w:lineRule="exact"/>
        <w:rPr>
          <w:sz w:val="24"/>
          <w:szCs w:val="24"/>
          <w:color w:val="auto"/>
        </w:rPr>
      </w:pPr>
    </w:p>
    <w:tbl>
      <w:tblPr>
        <w:tblLayout w:type="fixed"/>
        <w:tblInd w:w="20" w:type="dxa"/>
        <w:tblCellMar>
          <w:top w:w="0" w:type="dxa"/>
          <w:left w:w="0" w:type="dxa"/>
          <w:bottom w:w="0" w:type="dxa"/>
          <w:right w:w="0" w:type="dxa"/>
        </w:tblCellMar>
      </w:tblPr>
      <w:tr>
        <w:trPr>
          <w:trHeight w:val="232"/>
        </w:trPr>
        <w:tc>
          <w:tcPr>
            <w:tcW w:w="2060" w:type="dxa"/>
            <w:vAlign w:val="bottom"/>
          </w:tcPr>
          <w:p>
            <w:pPr>
              <w:spacing w:after="0"/>
              <w:rPr>
                <w:sz w:val="20"/>
                <w:szCs w:val="20"/>
                <w:color w:val="auto"/>
              </w:rPr>
            </w:pPr>
          </w:p>
        </w:tc>
        <w:tc>
          <w:tcPr>
            <w:tcW w:w="2980" w:type="dxa"/>
            <w:vAlign w:val="bottom"/>
            <w:gridSpan w:val="2"/>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w w:val="99"/>
              </w:rPr>
              <w:t>New York</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40" w:type="dxa"/>
            <w:vAlign w:val="bottom"/>
            <w:gridSpan w:val="2"/>
          </w:tcPr>
          <w:p>
            <w:pPr>
              <w:jc w:val="right"/>
              <w:ind w:right="1124"/>
              <w:spacing w:after="0"/>
              <w:rPr>
                <w:sz w:val="20"/>
                <w:szCs w:val="20"/>
                <w:color w:val="auto"/>
              </w:rPr>
            </w:pPr>
            <w:r>
              <w:rPr>
                <w:rFonts w:ascii="Times New Roman" w:cs="Times New Roman" w:eastAsia="Times New Roman" w:hAnsi="Times New Roman"/>
                <w:sz w:val="18"/>
                <w:szCs w:val="18"/>
                <w:b w:val="1"/>
                <w:bCs w:val="1"/>
                <w:color w:val="auto"/>
              </w:rPr>
              <w:t>13-3444607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40" w:type="dxa"/>
            <w:vAlign w:val="bottom"/>
            <w:gridSpan w:val="3"/>
          </w:tcPr>
          <w:p>
            <w:pPr>
              <w:jc w:val="center"/>
              <w:ind w:left="377"/>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2060" w:type="dxa"/>
            <w:vAlign w:val="bottom"/>
          </w:tcPr>
          <w:p>
            <w:pPr>
              <w:spacing w:after="0"/>
              <w:rPr>
                <w:sz w:val="24"/>
                <w:szCs w:val="24"/>
                <w:color w:val="auto"/>
              </w:rPr>
            </w:pPr>
          </w:p>
        </w:tc>
        <w:tc>
          <w:tcPr>
            <w:tcW w:w="8140" w:type="dxa"/>
            <w:vAlign w:val="bottom"/>
            <w:gridSpan w:val="7"/>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 10591-6707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40" w:type="dxa"/>
            <w:vAlign w:val="bottom"/>
            <w:gridSpan w:val="6"/>
          </w:tcPr>
          <w:p>
            <w:pPr>
              <w:jc w:val="center"/>
              <w:ind w:right="234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 including zip code)</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(914) 847-7000</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40" w:type="dxa"/>
            <w:vAlign w:val="bottom"/>
            <w:gridSpan w:val="6"/>
          </w:tcPr>
          <w:p>
            <w:pPr>
              <w:jc w:val="center"/>
              <w:ind w:right="2340"/>
              <w:spacing w:after="0"/>
              <w:rPr>
                <w:sz w:val="20"/>
                <w:szCs w:val="20"/>
                <w:color w:val="auto"/>
              </w:rPr>
            </w:pPr>
            <w:r>
              <w:rPr>
                <w:rFonts w:ascii="Times New Roman" w:cs="Times New Roman" w:eastAsia="Times New Roman" w:hAnsi="Times New Roman"/>
                <w:sz w:val="18"/>
                <w:szCs w:val="18"/>
                <w:i w:val="1"/>
                <w:iCs w:val="1"/>
                <w:color w:val="auto"/>
                <w:w w:val="99"/>
              </w:rPr>
              <w:t>(Registrant's telephone number, including area code)</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40" w:type="dxa"/>
            <w:vAlign w:val="bottom"/>
            <w:gridSpan w:val="6"/>
          </w:tcPr>
          <w:p>
            <w:pPr>
              <w:jc w:val="center"/>
              <w:ind w:right="234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Title of each class</w:t>
            </w:r>
          </w:p>
        </w:tc>
        <w:tc>
          <w:tcPr>
            <w:tcW w:w="16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Trading Symbol</w:t>
            </w:r>
          </w:p>
        </w:tc>
        <w:tc>
          <w:tcPr>
            <w:tcW w:w="360" w:type="dxa"/>
            <w:vAlign w:val="bottom"/>
          </w:tcPr>
          <w:p>
            <w:pPr>
              <w:spacing w:after="0"/>
              <w:rPr>
                <w:sz w:val="24"/>
                <w:szCs w:val="24"/>
                <w:color w:val="auto"/>
              </w:rPr>
            </w:pPr>
          </w:p>
        </w:tc>
        <w:tc>
          <w:tcPr>
            <w:tcW w:w="36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gridSpan w:val="3"/>
          </w:tcPr>
          <w:p>
            <w:pPr>
              <w:jc w:val="center"/>
              <w:ind w:left="297"/>
              <w:spacing w:after="0"/>
              <w:rPr>
                <w:sz w:val="20"/>
                <w:szCs w:val="20"/>
                <w:color w:val="auto"/>
              </w:rPr>
            </w:pPr>
            <w:r>
              <w:rPr>
                <w:rFonts w:ascii="Times New Roman" w:cs="Times New Roman" w:eastAsia="Times New Roman" w:hAnsi="Times New Roman"/>
                <w:sz w:val="18"/>
                <w:szCs w:val="18"/>
                <w:b w:val="1"/>
                <w:bCs w:val="1"/>
                <w:color w:val="auto"/>
                <w:w w:val="99"/>
              </w:rPr>
              <w:t>Common Stock - par value $.001 per share</w:t>
            </w: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REGN</w:t>
            </w:r>
          </w:p>
        </w:tc>
        <w:tc>
          <w:tcPr>
            <w:tcW w:w="380" w:type="dxa"/>
            <w:vAlign w:val="bottom"/>
          </w:tcPr>
          <w:p>
            <w:pPr>
              <w:spacing w:after="0"/>
              <w:rPr>
                <w:sz w:val="21"/>
                <w:szCs w:val="21"/>
                <w:color w:val="auto"/>
              </w:rPr>
            </w:pPr>
          </w:p>
        </w:tc>
        <w:tc>
          <w:tcPr>
            <w:tcW w:w="3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02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0200" w:type="dxa"/>
            <w:vAlign w:val="bottom"/>
            <w:gridSpan w:val="8"/>
          </w:tcPr>
          <w:p>
            <w:pPr>
              <w:spacing w:after="0" w:line="162" w:lineRule="exact"/>
              <w:rPr>
                <w:sz w:val="20"/>
                <w:szCs w:val="20"/>
                <w:color w:val="auto"/>
              </w:rPr>
            </w:pPr>
            <w:r>
              <w:rPr>
                <w:rFonts w:ascii="Times New Roman" w:cs="Times New Roman" w:eastAsia="Times New Roman" w:hAnsi="Times New Roman"/>
                <w:sz w:val="16"/>
                <w:szCs w:val="16"/>
                <w:color w:val="auto"/>
              </w:rPr>
              <w:t>of 1934 during the preceding 12 months (or for such shorter period that the registrant was required to file such reports), and (2) has been subject</w:t>
            </w:r>
          </w:p>
        </w:tc>
        <w:tc>
          <w:tcPr>
            <w:tcW w:w="48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3"/>
                <w:szCs w:val="13"/>
                <w:color w:val="auto"/>
                <w:w w:val="88"/>
              </w:rPr>
              <w:t xml:space="preserve">No </w:t>
            </w:r>
            <w:r>
              <w:rPr>
                <w:rFonts w:ascii="MS PGothic" w:cs="MS PGothic" w:eastAsia="MS PGothic" w:hAnsi="MS PGothic"/>
                <w:sz w:val="17"/>
                <w:szCs w:val="17"/>
                <w:color w:val="auto"/>
                <w:w w:val="88"/>
              </w:rPr>
              <w:t>☐</w:t>
            </w:r>
          </w:p>
        </w:tc>
        <w:tc>
          <w:tcPr>
            <w:tcW w:w="0" w:type="dxa"/>
            <w:vAlign w:val="bottom"/>
          </w:tcPr>
          <w:p>
            <w:pPr>
              <w:spacing w:after="0"/>
              <w:rPr>
                <w:sz w:val="1"/>
                <w:szCs w:val="1"/>
                <w:color w:val="auto"/>
              </w:rPr>
            </w:pPr>
          </w:p>
        </w:tc>
      </w:tr>
      <w:tr>
        <w:trPr>
          <w:trHeight w:val="270"/>
        </w:trPr>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 such filing requirements for the past 90 days.</w:t>
            </w: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80" w:type="dxa"/>
            <w:vAlign w:val="bottom"/>
            <w:gridSpan w:val="2"/>
          </w:tcPr>
          <w:p>
            <w:pPr>
              <w:ind w:left="2740"/>
              <w:spacing w:after="0" w:line="196"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7"/>
                <w:szCs w:val="17"/>
                <w:color w:val="auto"/>
              </w:rPr>
              <w:t>☒</w:t>
            </w:r>
          </w:p>
        </w:tc>
        <w:tc>
          <w:tcPr>
            <w:tcW w:w="4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0200" w:type="dxa"/>
            <w:vAlign w:val="bottom"/>
            <w:gridSpan w:val="8"/>
          </w:tcPr>
          <w:p>
            <w:pPr>
              <w:spacing w:after="0" w:line="162" w:lineRule="exact"/>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0" w:type="dxa"/>
            <w:vAlign w:val="bottom"/>
            <w:gridSpan w:val="8"/>
          </w:tcPr>
          <w:p>
            <w:pPr>
              <w:spacing w:after="0" w:line="162" w:lineRule="exact"/>
              <w:rPr>
                <w:sz w:val="20"/>
                <w:szCs w:val="20"/>
                <w:color w:val="auto"/>
              </w:rPr>
            </w:pPr>
            <w:r>
              <w:rPr>
                <w:rFonts w:ascii="Times New Roman" w:cs="Times New Roman" w:eastAsia="Times New Roman" w:hAnsi="Times New Roman"/>
                <w:sz w:val="16"/>
                <w:szCs w:val="16"/>
                <w:color w:val="auto"/>
              </w:rPr>
              <w:t>405 of Regulation S-T (§232.405 of this chapter) during the preceding 12 months (or for such shorter period that the registrant was required to</w:t>
            </w:r>
          </w:p>
        </w:tc>
        <w:tc>
          <w:tcPr>
            <w:tcW w:w="48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3"/>
                <w:szCs w:val="13"/>
                <w:color w:val="auto"/>
                <w:w w:val="88"/>
              </w:rPr>
              <w:t xml:space="preserve">No </w:t>
            </w:r>
            <w:r>
              <w:rPr>
                <w:rFonts w:ascii="MS PGothic" w:cs="MS PGothic" w:eastAsia="MS PGothic" w:hAnsi="MS PGothic"/>
                <w:sz w:val="17"/>
                <w:szCs w:val="17"/>
                <w:color w:val="auto"/>
                <w:w w:val="88"/>
              </w:rPr>
              <w:t>☐</w:t>
            </w:r>
          </w:p>
        </w:tc>
        <w:tc>
          <w:tcPr>
            <w:tcW w:w="0" w:type="dxa"/>
            <w:vAlign w:val="bottom"/>
          </w:tcPr>
          <w:p>
            <w:pPr>
              <w:spacing w:after="0"/>
              <w:rPr>
                <w:sz w:val="1"/>
                <w:szCs w:val="1"/>
                <w:color w:val="auto"/>
              </w:rPr>
            </w:pPr>
          </w:p>
        </w:tc>
      </w:tr>
      <w:tr>
        <w:trPr>
          <w:trHeight w:val="303"/>
        </w:trPr>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submit such files).</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80" w:type="dxa"/>
            <w:vAlign w:val="bottom"/>
            <w:gridSpan w:val="2"/>
          </w:tcPr>
          <w:p>
            <w:pPr>
              <w:ind w:left="2740"/>
              <w:spacing w:after="0" w:line="196"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7"/>
                <w:szCs w:val="17"/>
                <w:color w:val="auto"/>
              </w:rPr>
              <w:t>☒</w:t>
            </w:r>
          </w:p>
        </w:tc>
        <w:tc>
          <w:tcPr>
            <w:tcW w:w="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4" w:lineRule="exact"/>
        <w:rPr>
          <w:sz w:val="24"/>
          <w:szCs w:val="24"/>
          <w:color w:val="auto"/>
        </w:rPr>
      </w:pPr>
    </w:p>
    <w:p>
      <w:pPr>
        <w:jc w:val="both"/>
        <w:ind w:left="20" w:right="16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1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Large accelerated</w:t>
            </w:r>
          </w:p>
        </w:tc>
        <w:tc>
          <w:tcPr>
            <w:tcW w:w="170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7"/>
                <w:szCs w:val="17"/>
                <w:color w:val="auto"/>
              </w:rPr>
              <w:t>☐</w:t>
            </w:r>
          </w:p>
        </w:tc>
        <w:tc>
          <w:tcPr>
            <w:tcW w:w="2280" w:type="dxa"/>
            <w:vAlign w:val="bottom"/>
            <w:vMerge w:val="restart"/>
          </w:tcPr>
          <w:p>
            <w:pPr>
              <w:ind w:left="240"/>
              <w:spacing w:after="0" w:line="196"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7"/>
                <w:szCs w:val="17"/>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Smaller reporting</w:t>
            </w:r>
          </w:p>
        </w:tc>
        <w:tc>
          <w:tcPr>
            <w:tcW w:w="62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Emerging growth</w:t>
            </w:r>
          </w:p>
        </w:tc>
        <w:tc>
          <w:tcPr>
            <w:tcW w:w="560" w:type="dxa"/>
            <w:vAlign w:val="bottom"/>
            <w:vMerge w:val="restart"/>
          </w:tcPr>
          <w:p>
            <w:pPr>
              <w:jc w:val="right"/>
              <w:ind w:right="299"/>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1780" w:type="dxa"/>
            <w:vAlign w:val="bottom"/>
          </w:tcPr>
          <w:p>
            <w:pPr>
              <w:ind w:left="1140"/>
              <w:spacing w:after="0" w:line="196" w:lineRule="exact"/>
              <w:rPr>
                <w:sz w:val="20"/>
                <w:szCs w:val="20"/>
                <w:color w:val="auto"/>
              </w:rPr>
            </w:pPr>
            <w:r>
              <w:rPr>
                <w:rFonts w:ascii="Times New Roman" w:cs="Times New Roman" w:eastAsia="Times New Roman" w:hAnsi="Times New Roman"/>
                <w:sz w:val="16"/>
                <w:szCs w:val="16"/>
                <w:color w:val="auto"/>
              </w:rPr>
              <w:t xml:space="preserve">filer </w:t>
            </w:r>
            <w:r>
              <w:rPr>
                <w:rFonts w:ascii="MS PGothic" w:cs="MS PGothic" w:eastAsia="MS PGothic" w:hAnsi="MS PGothic"/>
                <w:sz w:val="17"/>
                <w:szCs w:val="17"/>
                <w:color w:val="auto"/>
              </w:rPr>
              <w:t>☒</w:t>
            </w:r>
          </w:p>
        </w:tc>
        <w:tc>
          <w:tcPr>
            <w:tcW w:w="1700" w:type="dxa"/>
            <w:vAlign w:val="bottom"/>
            <w:vMerge w:val="continue"/>
          </w:tcPr>
          <w:p>
            <w:pPr>
              <w:spacing w:after="0"/>
              <w:rPr>
                <w:sz w:val="24"/>
                <w:szCs w:val="24"/>
                <w:color w:val="auto"/>
              </w:rPr>
            </w:pPr>
          </w:p>
        </w:tc>
        <w:tc>
          <w:tcPr>
            <w:tcW w:w="2280" w:type="dxa"/>
            <w:vAlign w:val="bottom"/>
            <w:vMerge w:val="continue"/>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company</w:t>
            </w:r>
          </w:p>
        </w:tc>
        <w:tc>
          <w:tcPr>
            <w:tcW w:w="620" w:type="dxa"/>
            <w:vAlign w:val="bottom"/>
            <w:vMerge w:val="continue"/>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company</w:t>
            </w:r>
          </w:p>
        </w:tc>
        <w:tc>
          <w:tcPr>
            <w:tcW w:w="5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w:t>
            </w:r>
          </w:p>
        </w:tc>
        <w:tc>
          <w:tcPr>
            <w:tcW w:w="560" w:type="dxa"/>
            <w:vAlign w:val="bottom"/>
            <w:vMerge w:val="restart"/>
          </w:tcPr>
          <w:p>
            <w:pPr>
              <w:jc w:val="right"/>
              <w:ind w:right="99"/>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any new or revised financial accounting standards provided pursuant to Section 13(a) of the Exchange Act.</w:t>
            </w:r>
          </w:p>
        </w:tc>
        <w:tc>
          <w:tcPr>
            <w:tcW w:w="6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7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60" w:type="dxa"/>
            <w:vAlign w:val="bottom"/>
          </w:tcPr>
          <w:p>
            <w:pPr>
              <w:jc w:val="right"/>
              <w:ind w:right="99"/>
              <w:spacing w:after="0" w:line="196" w:lineRule="exact"/>
              <w:rPr>
                <w:sz w:val="20"/>
                <w:szCs w:val="20"/>
                <w:color w:val="auto"/>
              </w:rPr>
            </w:pPr>
            <w:r>
              <w:rPr>
                <w:rFonts w:ascii="Times New Roman" w:cs="Times New Roman" w:eastAsia="Times New Roman" w:hAnsi="Times New Roman"/>
                <w:sz w:val="13"/>
                <w:szCs w:val="13"/>
                <w:color w:val="auto"/>
                <w:w w:val="88"/>
              </w:rPr>
              <w:t xml:space="preserve">Yes </w:t>
            </w:r>
            <w:r>
              <w:rPr>
                <w:rFonts w:ascii="MS PGothic" w:cs="MS PGothic" w:eastAsia="MS PGothic" w:hAnsi="MS PGothic"/>
                <w:sz w:val="17"/>
                <w:szCs w:val="17"/>
                <w:color w:val="auto"/>
                <w:w w:val="88"/>
              </w:rPr>
              <w:t>☐</w:t>
            </w:r>
          </w:p>
        </w:tc>
        <w:tc>
          <w:tcPr>
            <w:tcW w:w="520" w:type="dxa"/>
            <w:vAlign w:val="bottom"/>
          </w:tcPr>
          <w:p>
            <w:pPr>
              <w:ind w:left="180"/>
              <w:spacing w:after="0" w:line="196" w:lineRule="exact"/>
              <w:rPr>
                <w:sz w:val="20"/>
                <w:szCs w:val="20"/>
                <w:color w:val="auto"/>
              </w:rPr>
            </w:pPr>
            <w:r>
              <w:rPr>
                <w:rFonts w:ascii="Times New Roman" w:cs="Times New Roman" w:eastAsia="Times New Roman" w:hAnsi="Times New Roman"/>
                <w:sz w:val="13"/>
                <w:szCs w:val="13"/>
                <w:color w:val="auto"/>
                <w:w w:val="88"/>
              </w:rPr>
              <w:t xml:space="preserve">No </w:t>
            </w:r>
            <w:r>
              <w:rPr>
                <w:rFonts w:ascii="MS PGothic" w:cs="MS PGothic" w:eastAsia="MS PGothic" w:hAnsi="MS PGothic"/>
                <w:sz w:val="17"/>
                <w:szCs w:val="17"/>
                <w:color w:val="auto"/>
                <w:w w:val="88"/>
              </w:rPr>
              <w:t>☒</w:t>
            </w:r>
          </w:p>
        </w:tc>
        <w:tc>
          <w:tcPr>
            <w:tcW w:w="0" w:type="dxa"/>
            <w:vAlign w:val="bottom"/>
          </w:tcPr>
          <w:p>
            <w:pPr>
              <w:spacing w:after="0"/>
              <w:rPr>
                <w:sz w:val="1"/>
                <w:szCs w:val="1"/>
                <w:color w:val="auto"/>
              </w:rPr>
            </w:pPr>
          </w:p>
        </w:tc>
      </w:tr>
    </w:tbl>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The number of shares outstanding of each of the registrant's classes of common stock as of April 14, 2026:</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35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Class of Common Stock</w:t>
            </w:r>
          </w:p>
        </w:tc>
        <w:tc>
          <w:tcPr>
            <w:tcW w:w="542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Number of Shares</w:t>
            </w:r>
          </w:p>
        </w:tc>
      </w:tr>
      <w:tr>
        <w:trPr>
          <w:trHeight w:val="207"/>
        </w:trPr>
        <w:tc>
          <w:tcPr>
            <w:tcW w:w="2240" w:type="dxa"/>
            <w:vAlign w:val="bottom"/>
          </w:tcPr>
          <w:p>
            <w:pPr>
              <w:spacing w:after="0"/>
              <w:rPr>
                <w:sz w:val="17"/>
                <w:szCs w:val="17"/>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Stock, $.001 par value</w:t>
            </w:r>
          </w:p>
        </w:tc>
        <w:tc>
          <w:tcPr>
            <w:tcW w:w="320" w:type="dxa"/>
            <w:vAlign w:val="bottom"/>
          </w:tcPr>
          <w:p>
            <w:pPr>
              <w:spacing w:after="0"/>
              <w:rPr>
                <w:sz w:val="17"/>
                <w:szCs w:val="17"/>
                <w:color w:val="auto"/>
              </w:rPr>
            </w:pPr>
          </w:p>
        </w:tc>
        <w:tc>
          <w:tcPr>
            <w:tcW w:w="3200" w:type="dxa"/>
            <w:vAlign w:val="bottom"/>
            <w:tcBorders>
              <w:top w:val="single" w:sz="8" w:color="auto"/>
            </w:tcBorders>
          </w:tcPr>
          <w:p>
            <w:pPr>
              <w:jc w:val="right"/>
              <w:ind w:right="1199"/>
              <w:spacing w:after="0"/>
              <w:rPr>
                <w:sz w:val="20"/>
                <w:szCs w:val="20"/>
                <w:color w:val="auto"/>
              </w:rPr>
            </w:pPr>
            <w:r>
              <w:rPr>
                <w:rFonts w:ascii="Times New Roman" w:cs="Times New Roman" w:eastAsia="Times New Roman" w:hAnsi="Times New Roman"/>
                <w:sz w:val="16"/>
                <w:szCs w:val="16"/>
                <w:color w:val="auto"/>
              </w:rPr>
              <w:t>1,817,146</w:t>
            </w:r>
          </w:p>
        </w:tc>
        <w:tc>
          <w:tcPr>
            <w:tcW w:w="2220" w:type="dxa"/>
            <w:vAlign w:val="bottom"/>
          </w:tcPr>
          <w:p>
            <w:pPr>
              <w:spacing w:after="0"/>
              <w:rPr>
                <w:sz w:val="17"/>
                <w:szCs w:val="17"/>
                <w:color w:val="auto"/>
              </w:rPr>
            </w:pPr>
          </w:p>
        </w:tc>
      </w:tr>
      <w:tr>
        <w:trPr>
          <w:trHeight w:val="216"/>
        </w:trPr>
        <w:tc>
          <w:tcPr>
            <w:tcW w:w="2240" w:type="dxa"/>
            <w:vAlign w:val="bottom"/>
          </w:tcPr>
          <w:p>
            <w:pPr>
              <w:spacing w:after="0"/>
              <w:rPr>
                <w:sz w:val="18"/>
                <w:szCs w:val="18"/>
                <w:color w:val="auto"/>
              </w:rPr>
            </w:pPr>
          </w:p>
        </w:tc>
        <w:tc>
          <w:tcPr>
            <w:tcW w:w="35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3200" w:type="dxa"/>
            <w:vAlign w:val="bottom"/>
          </w:tcPr>
          <w:p>
            <w:pPr>
              <w:jc w:val="right"/>
              <w:ind w:right="1119"/>
              <w:spacing w:after="0"/>
              <w:rPr>
                <w:sz w:val="20"/>
                <w:szCs w:val="20"/>
                <w:color w:val="auto"/>
              </w:rPr>
            </w:pPr>
            <w:r>
              <w:rPr>
                <w:rFonts w:ascii="Times New Roman" w:cs="Times New Roman" w:eastAsia="Times New Roman" w:hAnsi="Times New Roman"/>
                <w:sz w:val="16"/>
                <w:szCs w:val="16"/>
                <w:color w:val="auto"/>
              </w:rPr>
              <w:t>103,021,886</w:t>
            </w:r>
          </w:p>
        </w:tc>
        <w:tc>
          <w:tcPr>
            <w:tcW w:w="2220" w:type="dxa"/>
            <w:vAlign w:val="bottom"/>
          </w:tcPr>
          <w:p>
            <w:pPr>
              <w:spacing w:after="0"/>
              <w:rPr>
                <w:sz w:val="18"/>
                <w:szCs w:val="18"/>
                <w:color w:val="auto"/>
              </w:rPr>
            </w:pPr>
          </w:p>
        </w:tc>
      </w:tr>
      <w:tr>
        <w:trPr>
          <w:trHeight w:val="1026"/>
        </w:trPr>
        <w:tc>
          <w:tcPr>
            <w:tcW w:w="22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Page Numbers</w:t>
            </w: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118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75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10"/>
        </w:trPr>
        <w:tc>
          <w:tcPr>
            <w:tcW w:w="118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75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660" w:type="dxa"/>
            <w:vAlign w:val="bottom"/>
            <w:gridSpan w:val="4"/>
            <w:shd w:val="clear" w:color="auto" w:fill="CCEEFF"/>
          </w:tcPr>
          <w:p>
            <w:pPr>
              <w:jc w:val="center"/>
              <w:ind w:left="390"/>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5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660" w:type="dxa"/>
            <w:vAlign w:val="bottom"/>
            <w:gridSpan w:val="4"/>
            <w:shd w:val="clear" w:color="auto" w:fill="CCEEFF"/>
          </w:tcPr>
          <w:p>
            <w:pPr>
              <w:jc w:val="center"/>
              <w:ind w:left="390"/>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5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w:t>
            </w:r>
          </w:p>
        </w:tc>
        <w:tc>
          <w:tcPr>
            <w:tcW w:w="660" w:type="dxa"/>
            <w:vAlign w:val="bottom"/>
            <w:gridSpan w:val="4"/>
            <w:shd w:val="clear" w:color="auto" w:fill="CCEEFF"/>
          </w:tcPr>
          <w:p>
            <w:pPr>
              <w:jc w:val="center"/>
              <w:ind w:left="390"/>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5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660" w:type="dxa"/>
            <w:vAlign w:val="bottom"/>
            <w:gridSpan w:val="4"/>
            <w:shd w:val="clear" w:color="auto" w:fill="CCEEFF"/>
          </w:tcPr>
          <w:p>
            <w:pPr>
              <w:jc w:val="center"/>
              <w:ind w:left="390"/>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5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660" w:type="dxa"/>
            <w:vAlign w:val="bottom"/>
            <w:gridSpan w:val="4"/>
            <w:shd w:val="clear" w:color="auto" w:fill="CCEEFF"/>
          </w:tcPr>
          <w:p>
            <w:pPr>
              <w:jc w:val="center"/>
              <w:ind w:left="390"/>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5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60" w:type="dxa"/>
            <w:vAlign w:val="bottom"/>
            <w:gridSpan w:val="4"/>
            <w:shd w:val="clear" w:color="auto" w:fill="CCEEFF"/>
          </w:tcPr>
          <w:p>
            <w:pPr>
              <w:jc w:val="center"/>
              <w:ind w:left="390"/>
              <w:spacing w:after="0" w:line="189" w:lineRule="exact"/>
              <w:rPr>
                <w:sz w:val="20"/>
                <w:szCs w:val="20"/>
                <w:color w:val="auto"/>
              </w:rPr>
            </w:pPr>
            <w:r>
              <w:rPr>
                <w:rFonts w:ascii="Times New Roman" w:cs="Times New Roman" w:eastAsia="Times New Roman" w:hAnsi="Times New Roman"/>
                <w:sz w:val="18"/>
                <w:szCs w:val="18"/>
                <w:color w:val="0000FF"/>
              </w:rPr>
              <w:t>6</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09"/>
        </w:trPr>
        <w:tc>
          <w:tcPr>
            <w:tcW w:w="118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75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4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20</w:t>
            </w:r>
          </w:p>
        </w:tc>
        <w:tc>
          <w:tcPr>
            <w:tcW w:w="180" w:type="dxa"/>
            <w:vAlign w:val="bottom"/>
            <w:shd w:val="clear" w:color="auto" w:fill="CCEEFF"/>
          </w:tcPr>
          <w:p>
            <w:pPr>
              <w:spacing w:after="0"/>
              <w:rPr>
                <w:sz w:val="18"/>
                <w:szCs w:val="18"/>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09"/>
        </w:trPr>
        <w:tc>
          <w:tcPr>
            <w:tcW w:w="118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75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4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39</w:t>
            </w:r>
          </w:p>
        </w:tc>
        <w:tc>
          <w:tcPr>
            <w:tcW w:w="180" w:type="dxa"/>
            <w:vAlign w:val="bottom"/>
            <w:shd w:val="clear" w:color="auto" w:fill="CCEEFF"/>
          </w:tcPr>
          <w:p>
            <w:pPr>
              <w:spacing w:after="0"/>
              <w:rPr>
                <w:sz w:val="18"/>
                <w:szCs w:val="18"/>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09"/>
        </w:trPr>
        <w:tc>
          <w:tcPr>
            <w:tcW w:w="118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75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14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39</w:t>
            </w:r>
          </w:p>
        </w:tc>
        <w:tc>
          <w:tcPr>
            <w:tcW w:w="180" w:type="dxa"/>
            <w:vAlign w:val="bottom"/>
            <w:shd w:val="clear" w:color="auto" w:fill="CCEEFF"/>
          </w:tcPr>
          <w:p>
            <w:pPr>
              <w:spacing w:after="0"/>
              <w:rPr>
                <w:sz w:val="18"/>
                <w:szCs w:val="18"/>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10"/>
        </w:trPr>
        <w:tc>
          <w:tcPr>
            <w:tcW w:w="118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75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09"/>
        </w:trPr>
        <w:tc>
          <w:tcPr>
            <w:tcW w:w="118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75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14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40</w:t>
            </w:r>
          </w:p>
        </w:tc>
        <w:tc>
          <w:tcPr>
            <w:tcW w:w="180" w:type="dxa"/>
            <w:vAlign w:val="bottom"/>
            <w:shd w:val="clear" w:color="auto" w:fill="CCEEFF"/>
          </w:tcPr>
          <w:p>
            <w:pPr>
              <w:spacing w:after="0"/>
              <w:rPr>
                <w:sz w:val="18"/>
                <w:szCs w:val="18"/>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09"/>
        </w:trPr>
        <w:tc>
          <w:tcPr>
            <w:tcW w:w="118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75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14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40</w:t>
            </w:r>
          </w:p>
        </w:tc>
        <w:tc>
          <w:tcPr>
            <w:tcW w:w="180" w:type="dxa"/>
            <w:vAlign w:val="bottom"/>
            <w:shd w:val="clear" w:color="auto" w:fill="CCEEFF"/>
          </w:tcPr>
          <w:p>
            <w:pPr>
              <w:spacing w:after="0"/>
              <w:rPr>
                <w:sz w:val="18"/>
                <w:szCs w:val="18"/>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10"/>
        </w:trPr>
        <w:tc>
          <w:tcPr>
            <w:tcW w:w="118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75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14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77</w:t>
            </w:r>
          </w:p>
        </w:tc>
        <w:tc>
          <w:tcPr>
            <w:tcW w:w="180" w:type="dxa"/>
            <w:vAlign w:val="bottom"/>
            <w:shd w:val="clear" w:color="auto" w:fill="CCEEFF"/>
          </w:tcPr>
          <w:p>
            <w:pPr>
              <w:spacing w:after="0"/>
              <w:rPr>
                <w:sz w:val="18"/>
                <w:szCs w:val="18"/>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09"/>
        </w:trPr>
        <w:tc>
          <w:tcPr>
            <w:tcW w:w="118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75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14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77</w:t>
            </w:r>
          </w:p>
        </w:tc>
        <w:tc>
          <w:tcPr>
            <w:tcW w:w="180" w:type="dxa"/>
            <w:vAlign w:val="bottom"/>
            <w:shd w:val="clear" w:color="auto" w:fill="CCEEFF"/>
          </w:tcPr>
          <w:p>
            <w:pPr>
              <w:spacing w:after="0"/>
              <w:rPr>
                <w:sz w:val="18"/>
                <w:szCs w:val="18"/>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6.</w:t>
            </w:r>
          </w:p>
        </w:tc>
        <w:tc>
          <w:tcPr>
            <w:tcW w:w="640" w:type="dxa"/>
            <w:vAlign w:val="bottom"/>
            <w:gridSpan w:val="4"/>
            <w:shd w:val="clear" w:color="auto" w:fill="CCEEFF"/>
          </w:tcPr>
          <w:p>
            <w:pPr>
              <w:spacing w:after="0"/>
              <w:rPr>
                <w:sz w:val="18"/>
                <w:szCs w:val="18"/>
                <w:color w:val="auto"/>
              </w:rPr>
            </w:pPr>
          </w:p>
        </w:tc>
        <w:tc>
          <w:tcPr>
            <w:tcW w:w="6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6"/>
              </w:rPr>
              <w:t>Exhibits</w:t>
            </w:r>
          </w:p>
        </w:tc>
        <w:tc>
          <w:tcPr>
            <w:tcW w:w="6980" w:type="dxa"/>
            <w:vAlign w:val="bottom"/>
            <w:gridSpan w:val="14"/>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center"/>
              <w:ind w:right="480"/>
              <w:spacing w:after="0" w:line="189" w:lineRule="exact"/>
              <w:rPr>
                <w:sz w:val="20"/>
                <w:szCs w:val="20"/>
                <w:color w:val="auto"/>
              </w:rPr>
            </w:pPr>
            <w:r>
              <w:rPr>
                <w:rFonts w:ascii="Times New Roman" w:cs="Times New Roman" w:eastAsia="Times New Roman" w:hAnsi="Times New Roman"/>
                <w:sz w:val="18"/>
                <w:szCs w:val="18"/>
                <w:color w:val="0000FF"/>
                <w:w w:val="99"/>
              </w:rPr>
              <w:t>78</w:t>
            </w:r>
          </w:p>
        </w:tc>
        <w:tc>
          <w:tcPr>
            <w:tcW w:w="180" w:type="dxa"/>
            <w:vAlign w:val="bottom"/>
            <w:shd w:val="clear" w:color="auto" w:fill="CCEEFF"/>
          </w:tcPr>
          <w:p>
            <w:pPr>
              <w:spacing w:after="0"/>
              <w:rPr>
                <w:sz w:val="18"/>
                <w:szCs w:val="18"/>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189"/>
        </w:trPr>
        <w:tc>
          <w:tcPr>
            <w:tcW w:w="8760" w:type="dxa"/>
            <w:vAlign w:val="bottom"/>
            <w:gridSpan w:val="2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0000FF"/>
              </w:rPr>
              <w:t>SIGNATURE PAGE</w:t>
            </w:r>
          </w:p>
        </w:tc>
        <w:tc>
          <w:tcPr>
            <w:tcW w:w="114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79</w:t>
            </w:r>
          </w:p>
        </w:tc>
        <w:tc>
          <w:tcPr>
            <w:tcW w:w="1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"Altibodies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"ARCALYST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"Evkeeza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"EYLEA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"EYLEA HD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"Inmazeb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"Libtayo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"Lynozyfic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"Ordspono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"Otarmeni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jc w:val="both"/>
        <w:spacing w:after="0" w:line="188" w:lineRule="auto"/>
        <w:rPr>
          <w:sz w:val="20"/>
          <w:szCs w:val="20"/>
          <w:color w:val="auto"/>
        </w:rPr>
      </w:pPr>
      <w:r>
        <w:rPr>
          <w:rFonts w:ascii="Times New Roman" w:cs="Times New Roman" w:eastAsia="Times New Roman" w:hAnsi="Times New Roman"/>
          <w:sz w:val="17"/>
          <w:szCs w:val="17"/>
          <w:color w:val="auto"/>
        </w:rPr>
        <w:t>"Praluent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(in the United States), "REGEN-COV</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"Regeneron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"Regeneron Genetics Center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"RGC</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"STEM-Fueled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Veloci-Bi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VelociGene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VelociHum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VelociMab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VelocImmune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VelociMouse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VelociSuite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"Veopoz</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"ZALTRAP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are trademarks of Regeneron Pharmaceuticals, Inc. Trademarks and trade names of other companies appearing in this report are, to the knowledge of</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Regeneron Pharmaceuticals, Inc., the property of their respective owners. This report refers to products of Regeneron Pharmaceuticals, Inc., its collaborators, and other parties. Consult the product label in each territory for specific information about such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716280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27"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7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601"/>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24"/>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8"/>
        </w:trPr>
        <w:tc>
          <w:tcPr>
            <w:tcW w:w="1160" w:type="dxa"/>
            <w:vAlign w:val="bottom"/>
          </w:tcPr>
          <w:p>
            <w:pPr>
              <w:spacing w:after="0"/>
              <w:rPr>
                <w:sz w:val="21"/>
                <w:szCs w:val="21"/>
                <w:color w:val="auto"/>
              </w:rPr>
            </w:pPr>
          </w:p>
        </w:tc>
        <w:tc>
          <w:tcPr>
            <w:tcW w:w="710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6"/>
        </w:trPr>
        <w:tc>
          <w:tcPr>
            <w:tcW w:w="1160" w:type="dxa"/>
            <w:vAlign w:val="bottom"/>
          </w:tcPr>
          <w:p>
            <w:pPr>
              <w:spacing w:after="0"/>
              <w:rPr>
                <w:sz w:val="18"/>
                <w:szCs w:val="18"/>
                <w:color w:val="auto"/>
              </w:rPr>
            </w:pPr>
          </w:p>
        </w:tc>
        <w:tc>
          <w:tcPr>
            <w:tcW w:w="710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 (Unaudited)</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8"/>
        </w:trPr>
        <w:tc>
          <w:tcPr>
            <w:tcW w:w="1160" w:type="dxa"/>
            <w:vAlign w:val="bottom"/>
          </w:tcPr>
          <w:p>
            <w:pPr>
              <w:spacing w:after="0"/>
              <w:rPr>
                <w:sz w:val="20"/>
                <w:szCs w:val="20"/>
                <w:color w:val="auto"/>
              </w:rPr>
            </w:pPr>
          </w:p>
        </w:tc>
        <w:tc>
          <w:tcPr>
            <w:tcW w:w="710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i w:val="1"/>
                <w:iCs w:val="1"/>
                <w:color w:val="auto"/>
                <w:w w:val="99"/>
              </w:rPr>
              <w:t>(In millions, except per share data)</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8"/>
        </w:trPr>
        <w:tc>
          <w:tcPr>
            <w:tcW w:w="1160" w:type="dxa"/>
            <w:vAlign w:val="bottom"/>
          </w:tcPr>
          <w:p>
            <w:pPr>
              <w:spacing w:after="0"/>
              <w:rPr>
                <w:sz w:val="21"/>
                <w:szCs w:val="21"/>
                <w:color w:val="auto"/>
              </w:rPr>
            </w:pPr>
          </w:p>
        </w:tc>
        <w:tc>
          <w:tcPr>
            <w:tcW w:w="7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160" w:type="dxa"/>
            <w:vAlign w:val="bottom"/>
            <w:tcBorders>
              <w:bottom w:val="single" w:sz="8" w:color="CCEEFF"/>
            </w:tcBorders>
          </w:tcPr>
          <w:p>
            <w:pPr>
              <w:spacing w:after="0"/>
              <w:rPr>
                <w:sz w:val="20"/>
                <w:szCs w:val="20"/>
                <w:color w:val="auto"/>
              </w:rPr>
            </w:pPr>
          </w:p>
        </w:tc>
        <w:tc>
          <w:tcPr>
            <w:tcW w:w="7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1160" w:type="dxa"/>
            <w:vAlign w:val="bottom"/>
            <w:shd w:val="clear" w:color="auto" w:fill="CCEEFF"/>
          </w:tcPr>
          <w:p>
            <w:pPr>
              <w:spacing w:after="0"/>
              <w:rPr>
                <w:sz w:val="18"/>
                <w:szCs w:val="18"/>
                <w:color w:val="auto"/>
              </w:rPr>
            </w:pPr>
          </w:p>
        </w:tc>
        <w:tc>
          <w:tcPr>
            <w:tcW w:w="7100" w:type="dxa"/>
            <w:vAlign w:val="bottom"/>
            <w:shd w:val="clear" w:color="auto" w:fill="CCEEFF"/>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3,118.1</w:t>
            </w:r>
          </w:p>
        </w:tc>
      </w:tr>
      <w:tr>
        <w:trPr>
          <w:trHeight w:val="229"/>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5,487.1</w:t>
            </w:r>
          </w:p>
        </w:tc>
      </w:tr>
      <w:tr>
        <w:trPr>
          <w:trHeight w:val="230"/>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5,741.1</w:t>
            </w:r>
          </w:p>
        </w:tc>
      </w:tr>
      <w:tr>
        <w:trPr>
          <w:trHeight w:val="229"/>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3,200.8</w:t>
            </w:r>
          </w:p>
        </w:tc>
      </w:tr>
      <w:tr>
        <w:trPr>
          <w:trHeight w:val="229"/>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w:t>
            </w:r>
          </w:p>
        </w:tc>
      </w:tr>
      <w:tr>
        <w:trPr>
          <w:trHeight w:val="22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18,021.9</w:t>
            </w:r>
          </w:p>
        </w:tc>
      </w:tr>
      <w:tr>
        <w:trPr>
          <w:trHeight w:val="216"/>
        </w:trPr>
        <w:tc>
          <w:tcPr>
            <w:tcW w:w="82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10,260.6</w:t>
            </w:r>
          </w:p>
        </w:tc>
      </w:tr>
      <w:tr>
        <w:trPr>
          <w:trHeight w:val="229"/>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5,120.4</w:t>
            </w:r>
          </w:p>
        </w:tc>
      </w:tr>
      <w:tr>
        <w:trPr>
          <w:trHeight w:val="229"/>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1,257.4</w:t>
            </w:r>
          </w:p>
        </w:tc>
      </w:tr>
      <w:tr>
        <w:trPr>
          <w:trHeight w:val="230"/>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4,077.2</w:t>
            </w:r>
          </w:p>
        </w:tc>
      </w:tr>
      <w:tr>
        <w:trPr>
          <w:trHeight w:val="229"/>
        </w:trPr>
        <w:tc>
          <w:tcPr>
            <w:tcW w:w="8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1,821.2</w:t>
            </w:r>
          </w:p>
        </w:tc>
      </w:tr>
      <w:tr>
        <w:trPr>
          <w:trHeight w:val="248"/>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40,558.7</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116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30"/>
        </w:trPr>
        <w:tc>
          <w:tcPr>
            <w:tcW w:w="1160" w:type="dxa"/>
            <w:vAlign w:val="bottom"/>
            <w:shd w:val="clear" w:color="auto" w:fill="CCEEFF"/>
          </w:tcPr>
          <w:p>
            <w:pPr>
              <w:spacing w:after="0"/>
              <w:rPr>
                <w:sz w:val="19"/>
                <w:szCs w:val="19"/>
                <w:color w:val="auto"/>
              </w:rPr>
            </w:pPr>
          </w:p>
        </w:tc>
        <w:tc>
          <w:tcPr>
            <w:tcW w:w="7100" w:type="dxa"/>
            <w:vAlign w:val="bottom"/>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939.0</w:t>
            </w:r>
          </w:p>
        </w:tc>
      </w:tr>
      <w:tr>
        <w:trPr>
          <w:trHeight w:val="230"/>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2,876.4</w:t>
            </w:r>
          </w:p>
        </w:tc>
      </w:tr>
      <w:tr>
        <w:trPr>
          <w:trHeight w:val="229"/>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553.0</w:t>
            </w:r>
          </w:p>
        </w:tc>
      </w:tr>
      <w:tr>
        <w:trPr>
          <w:trHeight w:val="223"/>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4,368.4</w:t>
            </w:r>
          </w:p>
        </w:tc>
      </w:tr>
      <w:tr>
        <w:trPr>
          <w:trHeight w:val="196"/>
        </w:trPr>
        <w:tc>
          <w:tcPr>
            <w:tcW w:w="116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9"/>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1,985.9</w:t>
            </w:r>
          </w:p>
        </w:tc>
      </w:tr>
      <w:tr>
        <w:trPr>
          <w:trHeight w:val="230"/>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r>
      <w:tr>
        <w:trPr>
          <w:trHeight w:val="230"/>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r>
      <w:tr>
        <w:trPr>
          <w:trHeight w:val="230"/>
        </w:trPr>
        <w:tc>
          <w:tcPr>
            <w:tcW w:w="8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2,018.8</w:t>
            </w:r>
          </w:p>
        </w:tc>
      </w:tr>
      <w:tr>
        <w:trPr>
          <w:trHeight w:val="223"/>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9,445.2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9,301.8</w:t>
            </w:r>
          </w:p>
        </w:tc>
      </w:tr>
      <w:tr>
        <w:trPr>
          <w:trHeight w:val="196"/>
        </w:trPr>
        <w:tc>
          <w:tcPr>
            <w:tcW w:w="116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Preferred Stock, par value $.01 per share; 30.0 shares authorized; shares issued and outstanding - none</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26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Class A Stock, convertible, par value $.001 per share; 40.0 shares authorized; shares issued and outstanding -</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82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1.8 in 2026 and 2025</w:t>
            </w:r>
          </w:p>
        </w:tc>
        <w:tc>
          <w:tcPr>
            <w:tcW w:w="2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26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par value $.001 per share; 320.0 shares authorized; shares issued - 137.9 in 2026 and 137.6 in</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3"/>
        </w:trPr>
        <w:tc>
          <w:tcPr>
            <w:tcW w:w="1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2025</w:t>
            </w:r>
          </w:p>
        </w:tc>
        <w:tc>
          <w:tcPr>
            <w:tcW w:w="7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13,995.0</w:t>
            </w:r>
          </w:p>
        </w:tc>
      </w:tr>
      <w:tr>
        <w:trPr>
          <w:trHeight w:val="230"/>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35,797.1</w:t>
            </w:r>
          </w:p>
        </w:tc>
      </w:tr>
      <w:tr>
        <w:trPr>
          <w:trHeight w:val="230"/>
        </w:trPr>
        <w:tc>
          <w:tcPr>
            <w:tcW w:w="8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29"/>
        </w:trPr>
        <w:tc>
          <w:tcPr>
            <w:tcW w:w="8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Treasury Stock, at cost; 34.7 shares in 2026 and 33.7 shares in 2025</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(18,612.8)</w:t>
            </w:r>
          </w:p>
        </w:tc>
      </w:tr>
      <w:tr>
        <w:trPr>
          <w:trHeight w:val="223"/>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31,256.9</w:t>
            </w:r>
          </w:p>
        </w:tc>
      </w:tr>
      <w:tr>
        <w:trPr>
          <w:trHeight w:val="22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40,868.8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40,558.7</w:t>
            </w:r>
          </w:p>
        </w:tc>
      </w:tr>
      <w:tr>
        <w:trPr>
          <w:trHeight w:val="21"/>
        </w:trPr>
        <w:tc>
          <w:tcPr>
            <w:tcW w:w="116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5"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(Unaudited)</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per share data)</w:t>
      </w:r>
    </w:p>
    <w:p>
      <w:pPr>
        <w:spacing w:after="0" w:line="114"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720" w:type="dxa"/>
        <w:tblCellMar>
          <w:top w:w="0" w:type="dxa"/>
          <w:left w:w="0" w:type="dxa"/>
          <w:bottom w:w="0" w:type="dxa"/>
          <w:right w:w="0" w:type="dxa"/>
        </w:tblCellMar>
      </w:tblPr>
      <w:tr>
        <w:trPr>
          <w:trHeight w:val="236"/>
        </w:trPr>
        <w:tc>
          <w:tcPr>
            <w:tcW w:w="702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product 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1,415.6</w:t>
            </w: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Collaboration revenue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1,531.2</w:t>
            </w:r>
          </w:p>
        </w:tc>
      </w:tr>
      <w:tr>
        <w:trPr>
          <w:trHeight w:val="22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revenue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23"/>
        </w:trPr>
        <w:tc>
          <w:tcPr>
            <w:tcW w:w="7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3,028.7</w:t>
            </w:r>
          </w:p>
        </w:tc>
      </w:tr>
      <w:tr>
        <w:trPr>
          <w:trHeight w:val="196"/>
        </w:trPr>
        <w:tc>
          <w:tcPr>
            <w:tcW w:w="7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1,327.4</w:t>
            </w: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w:t>
            </w: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r>
      <w:tr>
        <w:trPr>
          <w:trHeight w:val="22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collaboration and contract manufacturing</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r>
      <w:tr>
        <w:trPr>
          <w:trHeight w:val="223"/>
        </w:trPr>
        <w:tc>
          <w:tcPr>
            <w:tcW w:w="7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2,437.0</w:t>
            </w:r>
          </w:p>
        </w:tc>
      </w:tr>
      <w:tr>
        <w:trPr>
          <w:trHeight w:val="196"/>
        </w:trPr>
        <w:tc>
          <w:tcPr>
            <w:tcW w:w="7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w:t>
            </w:r>
          </w:p>
        </w:tc>
      </w:tr>
      <w:tr>
        <w:trPr>
          <w:trHeight w:val="216"/>
        </w:trPr>
        <w:tc>
          <w:tcPr>
            <w:tcW w:w="7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r>
      <w:tr>
        <w:trPr>
          <w:trHeight w:val="230"/>
        </w:trPr>
        <w:tc>
          <w:tcPr>
            <w:tcW w:w="7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70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w:t>
            </w:r>
          </w:p>
        </w:tc>
      </w:tr>
      <w:tr>
        <w:trPr>
          <w:trHeight w:val="196"/>
        </w:trPr>
        <w:tc>
          <w:tcPr>
            <w:tcW w:w="7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w:t>
            </w:r>
          </w:p>
        </w:tc>
      </w:tr>
      <w:tr>
        <w:trPr>
          <w:trHeight w:val="216"/>
        </w:trPr>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r>
      <w:tr>
        <w:trPr>
          <w:trHeight w:val="196"/>
        </w:trPr>
        <w:tc>
          <w:tcPr>
            <w:tcW w:w="7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5"/>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16"/>
        </w:trPr>
        <w:tc>
          <w:tcPr>
            <w:tcW w:w="7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r>
      <w:tr>
        <w:trPr>
          <w:trHeight w:val="216"/>
        </w:trPr>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(loss) gain on debt securities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(loss) on foreign currency translation</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845.7</w:t>
            </w:r>
          </w:p>
        </w:tc>
      </w:tr>
      <w:tr>
        <w:trPr>
          <w:trHeight w:val="20"/>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19685</wp:posOffset>
            </wp:positionV>
            <wp:extent cx="62236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2363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45720</wp:posOffset>
            </wp:positionV>
            <wp:extent cx="6223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369" w:right="10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p>
      <w:pPr>
        <w:spacing w:after="0" w:line="109"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2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12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Class A Stock</w:t>
            </w:r>
          </w:p>
        </w:tc>
        <w:tc>
          <w:tcPr>
            <w:tcW w:w="80" w:type="dxa"/>
            <w:vAlign w:val="bottom"/>
            <w:vMerge w:val="restart"/>
          </w:tcPr>
          <w:p>
            <w:pPr>
              <w:spacing w:after="0"/>
              <w:rPr>
                <w:sz w:val="14"/>
                <w:szCs w:val="14"/>
                <w:color w:val="auto"/>
              </w:rPr>
            </w:pPr>
          </w:p>
        </w:tc>
        <w:tc>
          <w:tcPr>
            <w:tcW w:w="12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50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720" w:type="dxa"/>
            <w:vAlign w:val="bottom"/>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900" w:type="dxa"/>
            <w:vAlign w:val="bottom"/>
            <w:gridSpan w:val="2"/>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900" w:type="dxa"/>
            <w:vAlign w:val="bottom"/>
            <w:gridSpan w:val="2"/>
            <w:vMerge w:val="restart"/>
          </w:tcPr>
          <w:p>
            <w:pPr>
              <w:ind w:left="10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500" w:type="dxa"/>
            <w:vAlign w:val="bottom"/>
            <w:tcBorders>
              <w:bottom w:val="single" w:sz="8" w:color="auto"/>
            </w:tcBorders>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37"/>
        </w:trPr>
        <w:tc>
          <w:tcPr>
            <w:tcW w:w="2720" w:type="dxa"/>
            <w:vAlign w:val="bottom"/>
          </w:tcPr>
          <w:p>
            <w:pPr>
              <w:spacing w:after="0"/>
              <w:rPr>
                <w:sz w:val="3"/>
                <w:szCs w:val="3"/>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272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5"/>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$13,995.0</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$35,797.1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$(18,612.8)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31,256.9</w:t>
            </w: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tendered upon exercise</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of stock options and vesting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restricted stock for employee tax</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obligations</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2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2026</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14,401.3</w:t>
            </w:r>
          </w:p>
        </w:tc>
        <w:tc>
          <w:tcPr>
            <w:tcW w:w="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36,423.8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(19,413.5)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31,423.6</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$12,855.9</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$31,672.9</w:t>
            </w:r>
          </w:p>
        </w:tc>
        <w:tc>
          <w:tcPr>
            <w:tcW w:w="1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$(15,167.4)</w:t>
            </w: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29,353.6</w:t>
            </w: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tendered upon exercise</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of stock options and vesting of</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restricted stock for employee tax</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obligations</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(1,052.4)</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48"/>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2025</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13,192.1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32,384.4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(16,218.1)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29,387.6</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19685</wp:posOffset>
            </wp:positionV>
            <wp:extent cx="68922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45720</wp:posOffset>
            </wp:positionV>
            <wp:extent cx="68922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22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69" w:right="5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81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579"/>
        </w:trPr>
        <w:tc>
          <w:tcPr>
            <w:tcW w:w="8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702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58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2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97"/>
        </w:trPr>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r>
      <w:tr>
        <w:trPr>
          <w:trHeight w:val="225"/>
        </w:trPr>
        <w:tc>
          <w:tcPr>
            <w:tcW w:w="80" w:type="dxa"/>
            <w:vAlign w:val="bottom"/>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70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80" w:type="dxa"/>
            <w:vAlign w:val="bottom"/>
          </w:tcPr>
          <w:p>
            <w:pPr>
              <w:spacing w:after="0"/>
              <w:rPr>
                <w:sz w:val="19"/>
                <w:szCs w:val="19"/>
                <w:color w:val="auto"/>
              </w:rPr>
            </w:pPr>
          </w:p>
        </w:tc>
        <w:tc>
          <w:tcPr>
            <w:tcW w:w="8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w:t>
            </w:r>
          </w:p>
        </w:tc>
      </w:tr>
      <w:tr>
        <w:trPr>
          <w:trHeight w:val="230"/>
        </w:trPr>
        <w:tc>
          <w:tcPr>
            <w:tcW w:w="80" w:type="dxa"/>
            <w:vAlign w:val="bottom"/>
          </w:tcPr>
          <w:p>
            <w:pPr>
              <w:spacing w:after="0"/>
              <w:rPr>
                <w:sz w:val="19"/>
                <w:szCs w:val="19"/>
                <w:color w:val="auto"/>
              </w:rPr>
            </w:pPr>
          </w:p>
        </w:tc>
        <w:tc>
          <w:tcPr>
            <w:tcW w:w="8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81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r>
      <w:tr>
        <w:trPr>
          <w:trHeight w:val="229"/>
        </w:trPr>
        <w:tc>
          <w:tcPr>
            <w:tcW w:w="80" w:type="dxa"/>
            <w:vAlign w:val="bottom"/>
          </w:tcPr>
          <w:p>
            <w:pPr>
              <w:spacing w:after="0"/>
              <w:rPr>
                <w:sz w:val="19"/>
                <w:szCs w:val="19"/>
                <w:color w:val="auto"/>
              </w:rPr>
            </w:pPr>
          </w:p>
        </w:tc>
        <w:tc>
          <w:tcPr>
            <w:tcW w:w="81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r>
      <w:tr>
        <w:trPr>
          <w:trHeight w:val="230"/>
        </w:trPr>
        <w:tc>
          <w:tcPr>
            <w:tcW w:w="80" w:type="dxa"/>
            <w:vAlign w:val="bottom"/>
          </w:tcPr>
          <w:p>
            <w:pPr>
              <w:spacing w:after="0"/>
              <w:rPr>
                <w:sz w:val="19"/>
                <w:szCs w:val="19"/>
                <w:color w:val="auto"/>
              </w:rPr>
            </w:pPr>
          </w:p>
        </w:tc>
        <w:tc>
          <w:tcPr>
            <w:tcW w:w="81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Gains on marketable and other securities, net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29"/>
        </w:trPr>
        <w:tc>
          <w:tcPr>
            <w:tcW w:w="80" w:type="dxa"/>
            <w:vAlign w:val="bottom"/>
          </w:tcPr>
          <w:p>
            <w:pPr>
              <w:spacing w:after="0"/>
              <w:rPr>
                <w:sz w:val="19"/>
                <w:szCs w:val="19"/>
                <w:color w:val="auto"/>
              </w:rPr>
            </w:pPr>
          </w:p>
        </w:tc>
        <w:tc>
          <w:tcPr>
            <w:tcW w:w="81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80" w:type="dxa"/>
            <w:vAlign w:val="bottom"/>
          </w:tcPr>
          <w:p>
            <w:pPr>
              <w:spacing w:after="0"/>
              <w:rPr>
                <w:sz w:val="19"/>
                <w:szCs w:val="19"/>
                <w:color w:val="auto"/>
              </w:rPr>
            </w:pPr>
          </w:p>
        </w:tc>
        <w:tc>
          <w:tcPr>
            <w:tcW w:w="81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r>
      <w:tr>
        <w:trPr>
          <w:trHeight w:val="230"/>
        </w:trPr>
        <w:tc>
          <w:tcPr>
            <w:tcW w:w="80" w:type="dxa"/>
            <w:vAlign w:val="bottom"/>
          </w:tcPr>
          <w:p>
            <w:pPr>
              <w:spacing w:after="0"/>
              <w:rPr>
                <w:sz w:val="19"/>
                <w:szCs w:val="19"/>
                <w:color w:val="auto"/>
              </w:rPr>
            </w:pPr>
          </w:p>
        </w:tc>
        <w:tc>
          <w:tcPr>
            <w:tcW w:w="81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8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Decrease in accounts receivable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w:t>
            </w:r>
          </w:p>
        </w:tc>
      </w:tr>
      <w:tr>
        <w:trPr>
          <w:trHeight w:val="230"/>
        </w:trPr>
        <w:tc>
          <w:tcPr>
            <w:tcW w:w="80" w:type="dxa"/>
            <w:vAlign w:val="bottom"/>
          </w:tcPr>
          <w:p>
            <w:pPr>
              <w:spacing w:after="0"/>
              <w:rPr>
                <w:sz w:val="19"/>
                <w:szCs w:val="19"/>
                <w:color w:val="auto"/>
              </w:rPr>
            </w:pPr>
          </w:p>
        </w:tc>
        <w:tc>
          <w:tcPr>
            <w:tcW w:w="81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r>
      <w:tr>
        <w:trPr>
          <w:trHeight w:val="229"/>
        </w:trPr>
        <w:tc>
          <w:tcPr>
            <w:tcW w:w="80" w:type="dxa"/>
            <w:vAlign w:val="bottom"/>
          </w:tcPr>
          <w:p>
            <w:pPr>
              <w:spacing w:after="0"/>
              <w:rPr>
                <w:sz w:val="19"/>
                <w:szCs w:val="19"/>
                <w:color w:val="auto"/>
              </w:rPr>
            </w:pPr>
          </w:p>
        </w:tc>
        <w:tc>
          <w:tcPr>
            <w:tcW w:w="8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Increase in prepaid expenses and other assets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r>
      <w:tr>
        <w:trPr>
          <w:trHeight w:val="229"/>
        </w:trPr>
        <w:tc>
          <w:tcPr>
            <w:tcW w:w="80" w:type="dxa"/>
            <w:vAlign w:val="bottom"/>
          </w:tcPr>
          <w:p>
            <w:pPr>
              <w:spacing w:after="0"/>
              <w:rPr>
                <w:sz w:val="19"/>
                <w:szCs w:val="19"/>
                <w:color w:val="auto"/>
              </w:rPr>
            </w:pPr>
          </w:p>
        </w:tc>
        <w:tc>
          <w:tcPr>
            <w:tcW w:w="81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Increase in deferred revenue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30"/>
        </w:trPr>
        <w:tc>
          <w:tcPr>
            <w:tcW w:w="80" w:type="dxa"/>
            <w:vAlign w:val="bottom"/>
          </w:tcPr>
          <w:p>
            <w:pPr>
              <w:spacing w:after="0"/>
              <w:rPr>
                <w:sz w:val="19"/>
                <w:szCs w:val="19"/>
                <w:color w:val="auto"/>
              </w:rPr>
            </w:pPr>
          </w:p>
        </w:tc>
        <w:tc>
          <w:tcPr>
            <w:tcW w:w="810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Increase (decrease) in accounts payable, accrued expenses, and other liabilities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w:t>
            </w:r>
          </w:p>
        </w:tc>
      </w:tr>
      <w:tr>
        <w:trPr>
          <w:trHeight w:val="223"/>
        </w:trPr>
        <w:tc>
          <w:tcPr>
            <w:tcW w:w="80" w:type="dxa"/>
            <w:vAlign w:val="bottom"/>
          </w:tcPr>
          <w:p>
            <w:pPr>
              <w:spacing w:after="0"/>
              <w:rPr>
                <w:sz w:val="19"/>
                <w:szCs w:val="19"/>
                <w:color w:val="auto"/>
              </w:rPr>
            </w:pPr>
          </w:p>
        </w:tc>
        <w:tc>
          <w:tcPr>
            <w:tcW w:w="8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adjustments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r>
      <w:tr>
        <w:trPr>
          <w:trHeight w:val="223"/>
        </w:trPr>
        <w:tc>
          <w:tcPr>
            <w:tcW w:w="80" w:type="dxa"/>
            <w:vAlign w:val="bottom"/>
          </w:tcPr>
          <w:p>
            <w:pPr>
              <w:spacing w:after="0"/>
              <w:rPr>
                <w:sz w:val="19"/>
                <w:szCs w:val="19"/>
                <w:color w:val="auto"/>
              </w:rPr>
            </w:pPr>
          </w:p>
        </w:tc>
        <w:tc>
          <w:tcPr>
            <w:tcW w:w="8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1,045.1</w:t>
            </w:r>
          </w:p>
        </w:tc>
      </w:tr>
      <w:tr>
        <w:trPr>
          <w:trHeight w:val="196"/>
        </w:trPr>
        <w:tc>
          <w:tcPr>
            <w:tcW w:w="8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9"/>
        </w:trPr>
        <w:tc>
          <w:tcPr>
            <w:tcW w:w="80" w:type="dxa"/>
            <w:vAlign w:val="bottom"/>
          </w:tcPr>
          <w:p>
            <w:pPr>
              <w:spacing w:after="0"/>
              <w:rPr>
                <w:sz w:val="19"/>
                <w:szCs w:val="19"/>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8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marketable and other securities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(2,539.3)</w:t>
            </w:r>
          </w:p>
        </w:tc>
      </w:tr>
      <w:tr>
        <w:trPr>
          <w:trHeight w:val="229"/>
        </w:trPr>
        <w:tc>
          <w:tcPr>
            <w:tcW w:w="80" w:type="dxa"/>
            <w:vAlign w:val="bottom"/>
          </w:tcPr>
          <w:p>
            <w:pPr>
              <w:spacing w:after="0"/>
              <w:rPr>
                <w:sz w:val="19"/>
                <w:szCs w:val="19"/>
                <w:color w:val="auto"/>
              </w:rPr>
            </w:pPr>
          </w:p>
        </w:tc>
        <w:tc>
          <w:tcPr>
            <w:tcW w:w="8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Sales or maturities of marketable and other securities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3,458.3</w:t>
            </w:r>
          </w:p>
        </w:tc>
      </w:tr>
      <w:tr>
        <w:trPr>
          <w:trHeight w:val="230"/>
        </w:trPr>
        <w:tc>
          <w:tcPr>
            <w:tcW w:w="80" w:type="dxa"/>
            <w:vAlign w:val="bottom"/>
          </w:tcPr>
          <w:p>
            <w:pPr>
              <w:spacing w:after="0"/>
              <w:rPr>
                <w:sz w:val="19"/>
                <w:szCs w:val="19"/>
                <w:color w:val="auto"/>
              </w:rPr>
            </w:pPr>
          </w:p>
        </w:tc>
        <w:tc>
          <w:tcPr>
            <w:tcW w:w="8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r>
      <w:tr>
        <w:trPr>
          <w:trHeight w:val="230"/>
        </w:trPr>
        <w:tc>
          <w:tcPr>
            <w:tcW w:w="80" w:type="dxa"/>
            <w:vAlign w:val="bottom"/>
          </w:tcPr>
          <w:p>
            <w:pPr>
              <w:spacing w:after="0"/>
              <w:rPr>
                <w:sz w:val="19"/>
                <w:szCs w:val="19"/>
                <w:color w:val="auto"/>
              </w:rPr>
            </w:pPr>
          </w:p>
        </w:tc>
        <w:tc>
          <w:tcPr>
            <w:tcW w:w="81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Payments for intangible assets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3"/>
        </w:trPr>
        <w:tc>
          <w:tcPr>
            <w:tcW w:w="80" w:type="dxa"/>
            <w:vAlign w:val="bottom"/>
          </w:tcPr>
          <w:p>
            <w:pPr>
              <w:spacing w:after="0"/>
              <w:rPr>
                <w:sz w:val="19"/>
                <w:szCs w:val="19"/>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w:t>
            </w:r>
          </w:p>
        </w:tc>
      </w:tr>
      <w:tr>
        <w:trPr>
          <w:trHeight w:val="196"/>
        </w:trPr>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80" w:type="dxa"/>
            <w:vAlign w:val="bottom"/>
          </w:tcPr>
          <w:p>
            <w:pPr>
              <w:spacing w:after="0"/>
              <w:rPr>
                <w:sz w:val="19"/>
                <w:szCs w:val="19"/>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8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30"/>
        </w:trPr>
        <w:tc>
          <w:tcPr>
            <w:tcW w:w="80" w:type="dxa"/>
            <w:vAlign w:val="bottom"/>
          </w:tcPr>
          <w:p>
            <w:pPr>
              <w:spacing w:after="0"/>
              <w:rPr>
                <w:sz w:val="19"/>
                <w:szCs w:val="19"/>
                <w:color w:val="auto"/>
              </w:rPr>
            </w:pPr>
          </w:p>
        </w:tc>
        <w:tc>
          <w:tcPr>
            <w:tcW w:w="8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 in connection with Common Stock tendered for employee tax obligations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80" w:type="dxa"/>
            <w:vAlign w:val="bottom"/>
          </w:tcPr>
          <w:p>
            <w:pPr>
              <w:spacing w:after="0"/>
              <w:rPr>
                <w:sz w:val="19"/>
                <w:szCs w:val="19"/>
                <w:color w:val="auto"/>
              </w:rPr>
            </w:pPr>
          </w:p>
        </w:tc>
        <w:tc>
          <w:tcPr>
            <w:tcW w:w="8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(1,041.4)</w:t>
            </w:r>
          </w:p>
        </w:tc>
      </w:tr>
      <w:tr>
        <w:trPr>
          <w:trHeight w:val="229"/>
        </w:trPr>
        <w:tc>
          <w:tcPr>
            <w:tcW w:w="80" w:type="dxa"/>
            <w:vAlign w:val="bottom"/>
          </w:tcPr>
          <w:p>
            <w:pPr>
              <w:spacing w:after="0"/>
              <w:rPr>
                <w:sz w:val="19"/>
                <w:szCs w:val="19"/>
                <w:color w:val="auto"/>
              </w:rPr>
            </w:pPr>
          </w:p>
        </w:tc>
        <w:tc>
          <w:tcPr>
            <w:tcW w:w="8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30"/>
        </w:trPr>
        <w:tc>
          <w:tcPr>
            <w:tcW w:w="80" w:type="dxa"/>
            <w:vAlign w:val="bottom"/>
          </w:tcPr>
          <w:p>
            <w:pPr>
              <w:spacing w:after="0"/>
              <w:rPr>
                <w:sz w:val="19"/>
                <w:szCs w:val="19"/>
                <w:color w:val="auto"/>
              </w:rPr>
            </w:pPr>
          </w:p>
        </w:tc>
        <w:tc>
          <w:tcPr>
            <w:tcW w:w="8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3"/>
        </w:trPr>
        <w:tc>
          <w:tcPr>
            <w:tcW w:w="80" w:type="dxa"/>
            <w:vAlign w:val="bottom"/>
          </w:tcPr>
          <w:p>
            <w:pPr>
              <w:spacing w:after="0"/>
              <w:rPr>
                <w:sz w:val="19"/>
                <w:szCs w:val="19"/>
                <w:color w:val="auto"/>
              </w:rPr>
            </w:pPr>
          </w:p>
        </w:tc>
        <w:tc>
          <w:tcPr>
            <w:tcW w:w="81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w:t>
            </w:r>
          </w:p>
        </w:tc>
      </w:tr>
      <w:tr>
        <w:trPr>
          <w:trHeight w:val="196"/>
        </w:trPr>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9"/>
        </w:trPr>
        <w:tc>
          <w:tcPr>
            <w:tcW w:w="80" w:type="dxa"/>
            <w:vAlign w:val="bottom"/>
          </w:tcPr>
          <w:p>
            <w:pPr>
              <w:spacing w:after="0"/>
              <w:rPr>
                <w:sz w:val="19"/>
                <w:szCs w:val="19"/>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80" w:type="dxa"/>
            <w:vAlign w:val="bottom"/>
          </w:tcPr>
          <w:p>
            <w:pPr>
              <w:spacing w:after="0"/>
              <w:rPr>
                <w:sz w:val="18"/>
                <w:szCs w:val="18"/>
                <w:color w:val="auto"/>
              </w:rPr>
            </w:pPr>
          </w:p>
        </w:tc>
        <w:tc>
          <w:tcPr>
            <w:tcW w:w="81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80" w:type="dxa"/>
            <w:vAlign w:val="bottom"/>
          </w:tcPr>
          <w:p>
            <w:pPr>
              <w:spacing w:after="0"/>
              <w:rPr>
                <w:sz w:val="19"/>
                <w:szCs w:val="19"/>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w:t>
            </w:r>
          </w:p>
        </w:tc>
      </w:tr>
      <w:tr>
        <w:trPr>
          <w:trHeight w:val="216"/>
        </w:trPr>
        <w:tc>
          <w:tcPr>
            <w:tcW w:w="80" w:type="dxa"/>
            <w:vAlign w:val="bottom"/>
          </w:tcPr>
          <w:p>
            <w:pPr>
              <w:spacing w:after="0"/>
              <w:rPr>
                <w:sz w:val="18"/>
                <w:szCs w:val="18"/>
                <w:color w:val="auto"/>
              </w:rPr>
            </w:pPr>
          </w:p>
        </w:tc>
        <w:tc>
          <w:tcPr>
            <w:tcW w:w="81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80" w:type="dxa"/>
            <w:vAlign w:val="bottom"/>
          </w:tcPr>
          <w:p>
            <w:pPr>
              <w:spacing w:after="0"/>
              <w:rPr>
                <w:sz w:val="19"/>
                <w:szCs w:val="19"/>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2,489.0</w:t>
            </w:r>
          </w:p>
        </w:tc>
      </w:tr>
      <w:tr>
        <w:trPr>
          <w:trHeight w:val="196"/>
        </w:trPr>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5"/>
        </w:trPr>
        <w:tc>
          <w:tcPr>
            <w:tcW w:w="80" w:type="dxa"/>
            <w:vAlign w:val="bottom"/>
          </w:tcPr>
          <w:p>
            <w:pPr>
              <w:spacing w:after="0"/>
              <w:rPr>
                <w:sz w:val="21"/>
                <w:szCs w:val="21"/>
                <w:color w:val="auto"/>
              </w:rPr>
            </w:pPr>
          </w:p>
        </w:tc>
        <w:tc>
          <w:tcPr>
            <w:tcW w:w="8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3,093.0</w:t>
            </w:r>
          </w:p>
        </w:tc>
      </w:tr>
      <w:tr>
        <w:trPr>
          <w:trHeight w:val="20"/>
        </w:trPr>
        <w:tc>
          <w:tcPr>
            <w:tcW w:w="80" w:type="dxa"/>
            <w:vAlign w:val="bottom"/>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19685</wp:posOffset>
            </wp:positionV>
            <wp:extent cx="70548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54850" cy="889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45720</wp:posOffset>
            </wp:positionV>
            <wp:extent cx="70548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Interim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interim Condensed Consolidated Financial Statements of Regeneron Pharmaceuticals, Inc. and its subsidiaries ("Regeneron," "Company," "we," "us," and "our")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condensed consolidated financial statements for such periods. The results of operations for any interim period are not necessarily indicative of the results for the full year. The December 31, 2025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2025.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80" w:type="dxa"/>
            <w:vAlign w:val="bottom"/>
          </w:tcPr>
          <w:p>
            <w:pPr>
              <w:spacing w:after="0"/>
              <w:rPr>
                <w:sz w:val="24"/>
                <w:szCs w:val="24"/>
                <w:color w:val="auto"/>
              </w:rPr>
            </w:pPr>
          </w:p>
        </w:tc>
        <w:tc>
          <w:tcPr>
            <w:tcW w:w="5460" w:type="dxa"/>
            <w:vAlign w:val="bottom"/>
            <w:vMerge w:val="restart"/>
          </w:tcPr>
          <w:p>
            <w:pPr>
              <w:ind w:left="1940"/>
              <w:spacing w:after="0"/>
              <w:rPr>
                <w:sz w:val="20"/>
                <w:szCs w:val="20"/>
                <w:color w:val="auto"/>
              </w:rPr>
            </w:pPr>
            <w:r>
              <w:rPr>
                <w:rFonts w:ascii="Times New Roman" w:cs="Times New Roman" w:eastAsia="Times New Roman" w:hAnsi="Times New Roman"/>
                <w:sz w:val="18"/>
                <w:szCs w:val="18"/>
                <w:b w:val="1"/>
                <w:bCs w:val="1"/>
                <w:color w:val="auto"/>
              </w:rPr>
              <w:t>Standard/Description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3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Impact of Adoption on the Company's</w:t>
            </w: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54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2"/>
            <w:vMerge w:val="continue"/>
          </w:tcPr>
          <w:p>
            <w:pPr>
              <w:spacing w:after="0"/>
              <w:rPr>
                <w:sz w:val="20"/>
                <w:szCs w:val="20"/>
                <w:color w:val="auto"/>
              </w:rPr>
            </w:pPr>
          </w:p>
        </w:tc>
        <w:tc>
          <w:tcPr>
            <w:tcW w:w="3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546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ASU 2024-03: In November 2024, the FASB issued new guidance which</w:t>
            </w: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12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January 1, 2027 for annual</w:t>
            </w:r>
          </w:p>
        </w:tc>
        <w:tc>
          <w:tcPr>
            <w:tcW w:w="120" w:type="dxa"/>
            <w:vAlign w:val="bottom"/>
            <w:tcBorders>
              <w:top w:val="single" w:sz="8" w:color="CCEEFF"/>
            </w:tcBorders>
            <w:shd w:val="clear" w:color="auto" w:fill="CCEEFF"/>
          </w:tcPr>
          <w:p>
            <w:pPr>
              <w:spacing w:after="0"/>
              <w:rPr>
                <w:sz w:val="15"/>
                <w:szCs w:val="15"/>
                <w:color w:val="auto"/>
              </w:rPr>
            </w:pPr>
          </w:p>
        </w:tc>
        <w:tc>
          <w:tcPr>
            <w:tcW w:w="320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Currently evaluating impact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54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 xml:space="preserve">requires disclosure of </w:t>
            </w:r>
            <w:r>
              <w:rPr>
                <w:rFonts w:ascii="Times New Roman" w:cs="Times New Roman" w:eastAsia="Times New Roman" w:hAnsi="Times New Roman"/>
                <w:sz w:val="18"/>
                <w:szCs w:val="18"/>
                <w:b w:val="1"/>
                <w:bCs w:val="1"/>
                <w:color w:val="auto"/>
              </w:rPr>
              <w:t>disaggregated income statement expense</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40" w:type="dxa"/>
            <w:vAlign w:val="bottom"/>
            <w:gridSpan w:val="2"/>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reporting periods and</w:t>
            </w:r>
          </w:p>
        </w:tc>
        <w:tc>
          <w:tcPr>
            <w:tcW w:w="32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54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information about specific categories (including purchases of inventory,</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January 1, 2028 for</w:t>
            </w:r>
          </w:p>
        </w:tc>
        <w:tc>
          <w:tcPr>
            <w:tcW w:w="320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54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employee compensation, depreciation, and intangible asset amortization)</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40" w:type="dxa"/>
            <w:vAlign w:val="bottom"/>
            <w:gridSpan w:val="2"/>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interim reporting periods</w:t>
            </w:r>
          </w:p>
        </w:tc>
        <w:tc>
          <w:tcPr>
            <w:tcW w:w="32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the notes to financial statements.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Product Sales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product sales consist of the following:</w:t>
      </w:r>
    </w:p>
    <w:p>
      <w:pPr>
        <w:spacing w:after="0" w:line="266" w:lineRule="exact"/>
        <w:rPr>
          <w:sz w:val="20"/>
          <w:szCs w:val="20"/>
          <w:color w:val="auto"/>
        </w:rPr>
      </w:pPr>
    </w:p>
    <w:tbl>
      <w:tblPr>
        <w:tblLayout w:type="fixed"/>
        <w:tblInd w:w="206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29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r>
      <w:tr>
        <w:trPr>
          <w:trHeight w:val="228"/>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9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2025</w:t>
            </w:r>
          </w:p>
        </w:tc>
      </w:tr>
      <w:tr>
        <w:trPr>
          <w:trHeight w:val="223"/>
        </w:trPr>
        <w:tc>
          <w:tcPr>
            <w:tcW w:w="29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 HD</w:t>
            </w:r>
            <w:r>
              <w:rPr>
                <w:rFonts w:ascii="Times New Roman" w:cs="Times New Roman" w:eastAsia="Times New Roman" w:hAnsi="Times New Roman"/>
                <w:sz w:val="23"/>
                <w:szCs w:val="23"/>
                <w:color w:val="auto"/>
                <w:vertAlign w:val="superscript"/>
              </w:rPr>
              <w:t>®</w:t>
            </w:r>
          </w:p>
        </w:tc>
        <w:tc>
          <w:tcPr>
            <w:tcW w:w="1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r>
      <w:tr>
        <w:trPr>
          <w:trHeight w:val="230"/>
        </w:trPr>
        <w:tc>
          <w:tcPr>
            <w:tcW w:w="29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w:t>
            </w:r>
          </w:p>
        </w:tc>
        <w:tc>
          <w:tcPr>
            <w:tcW w:w="19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736.0</w:t>
            </w:r>
          </w:p>
        </w:tc>
      </w:tr>
      <w:tr>
        <w:trPr>
          <w:trHeight w:val="223"/>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EYLEA HD and EYLEA</w:t>
            </w:r>
          </w:p>
        </w:tc>
        <w:tc>
          <w:tcPr>
            <w:tcW w:w="1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1,042.8</w:t>
            </w:r>
          </w:p>
        </w:tc>
      </w:tr>
      <w:tr>
        <w:trPr>
          <w:trHeight w:val="230"/>
        </w:trPr>
        <w:tc>
          <w:tcPr>
            <w:tcW w:w="2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w:t>
            </w:r>
          </w:p>
        </w:tc>
        <w:tc>
          <w:tcPr>
            <w:tcW w:w="1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Libtayo</w:t>
            </w:r>
          </w:p>
        </w:tc>
        <w:tc>
          <w:tcPr>
            <w:tcW w:w="1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Rest of world</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r>
      <w:tr>
        <w:trPr>
          <w:trHeight w:val="223"/>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Libtayo</w:t>
            </w:r>
          </w:p>
        </w:tc>
        <w:tc>
          <w:tcPr>
            <w:tcW w:w="1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Global</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r>
      <w:tr>
        <w:trPr>
          <w:trHeight w:val="229"/>
        </w:trPr>
        <w:tc>
          <w:tcPr>
            <w:tcW w:w="2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w:t>
            </w:r>
          </w:p>
        </w:tc>
        <w:tc>
          <w:tcPr>
            <w:tcW w:w="1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29"/>
        </w:trPr>
        <w:tc>
          <w:tcPr>
            <w:tcW w:w="2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Evkeeza</w:t>
            </w:r>
            <w:r>
              <w:rPr>
                <w:rFonts w:ascii="Times New Roman" w:cs="Times New Roman" w:eastAsia="Times New Roman" w:hAnsi="Times New Roman"/>
                <w:sz w:val="23"/>
                <w:szCs w:val="23"/>
                <w:color w:val="auto"/>
                <w:vertAlign w:val="superscript"/>
              </w:rPr>
              <w:t>®</w:t>
            </w:r>
          </w:p>
        </w:tc>
        <w:tc>
          <w:tcPr>
            <w:tcW w:w="1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30"/>
        </w:trPr>
        <w:tc>
          <w:tcPr>
            <w:tcW w:w="2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Lynozyfic</w:t>
            </w:r>
            <w:r>
              <w:rPr>
                <w:rFonts w:ascii="Times New Roman" w:cs="Times New Roman" w:eastAsia="Times New Roman" w:hAnsi="Times New Roman"/>
                <w:sz w:val="23"/>
                <w:szCs w:val="23"/>
                <w:color w:val="auto"/>
                <w:vertAlign w:val="superscript"/>
              </w:rPr>
              <w:t>®</w:t>
            </w:r>
          </w:p>
        </w:tc>
        <w:tc>
          <w:tcPr>
            <w:tcW w:w="1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Global</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products</w:t>
            </w:r>
          </w:p>
        </w:tc>
        <w:tc>
          <w:tcPr>
            <w:tcW w:w="19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Global</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9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1,415.6</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had $3.529 billion and $3.458 billion, respectively, of trade accounts receivable that were recorded within Accounts receivable, net.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product sales to certain customers that each accounted for more than 10% of total gross product revenue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 Sales to each of these customers as a percentage of the Company's total gross product revenue are as follows:</w:t>
      </w:r>
    </w:p>
    <w:p>
      <w:pPr>
        <w:spacing w:after="0" w:line="249" w:lineRule="exact"/>
        <w:rPr>
          <w:sz w:val="20"/>
          <w:szCs w:val="20"/>
          <w:color w:val="auto"/>
        </w:rPr>
      </w:pPr>
    </w:p>
    <w:p>
      <w:pPr>
        <w:jc w:val="center"/>
        <w:ind w:left="25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25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520" w:type="dxa"/>
            <w:vAlign w:val="bottom"/>
            <w:tcBorders>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1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34"/>
        </w:trPr>
        <w:tc>
          <w:tcPr>
            <w:tcW w:w="1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495"/>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Collaboration, License, and Other Agreements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4"/>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w:t>
            </w:r>
          </w:p>
        </w:tc>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Sanofi</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130"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The Company is party to a global, strategic collaboration with Sanofi to research, develop, and commercialize fully human monoclonal antibodies, which currently consists of Dupixent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(dupilumab), Kevzara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(sarilumab), and itepekimab</w:t>
      </w:r>
      <w:r>
        <w:rPr>
          <w:rFonts w:ascii="Times New Roman" w:cs="Times New Roman" w:eastAsia="Times New Roman" w:hAnsi="Times New Roman"/>
          <w:sz w:val="21"/>
          <w:szCs w:val="21"/>
          <w:i w:val="1"/>
          <w:iCs w:val="1"/>
          <w:color w:val="auto"/>
        </w:rPr>
        <w:t>.</w:t>
      </w:r>
    </w:p>
    <w:p>
      <w:pPr>
        <w:jc w:val="both"/>
        <w:spacing w:after="0" w:line="258" w:lineRule="auto"/>
        <w:rPr>
          <w:sz w:val="20"/>
          <w:szCs w:val="20"/>
          <w:color w:val="auto"/>
        </w:rPr>
      </w:pPr>
      <w:r>
        <w:rPr>
          <w:rFonts w:ascii="Times New Roman" w:cs="Times New Roman" w:eastAsia="Times New Roman" w:hAnsi="Times New Roman"/>
          <w:sz w:val="18"/>
          <w:szCs w:val="18"/>
          <w:color w:val="auto"/>
        </w:rPr>
        <w:t>Sanofi is generally responsible for funding 80% to 100% of agreed-upon development expenses as incurred. The Company is obligated to reimburse Sanofi for 30% to 50% of development expenses that were funded by Sanofi (i.e., "development balance") based on the Company's share of collaboration profits. The Company is required to apply 20% of its share of profits from the collaboration each calendar quarter to reimburse Sanofi for these development expenses. The Company's contingent reimbursement obligation to Sanofi in connection with the development balance was approximately $278 million as of March 31, 2026.</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Sanofi leads commercialization activities for products under the collaboration, subject to the Company's right to co-commercialize such products. The Company co-commercializes Dupixent in the United States and in certain countries outside the United States. The Company supplies certain commercial bulk product to Sanofi. The parties equally share profits from sales within the United States. The parties share profits outside the United States on a sliding scale based on sales starting at 65% (Sanofi)/35% (Regeneron) and ending at 55% (Sanofi)/45% (Regeneron).</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its Sanofi collaboration are as follows:</w:t>
      </w:r>
    </w:p>
    <w:p>
      <w:pPr>
        <w:spacing w:after="0" w:line="266"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46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r>
      <w:tr>
        <w:trPr>
          <w:trHeight w:val="25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Classification</w:t>
            </w:r>
          </w:p>
        </w:tc>
        <w:tc>
          <w:tcPr>
            <w:tcW w:w="20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2025</w:t>
            </w: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1,018.2</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Reimbursement for manufacturing of commercial supplies</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r>
      <w:tr>
        <w:trPr>
          <w:trHeight w:val="176"/>
        </w:trPr>
        <w:tc>
          <w:tcPr>
            <w:tcW w:w="4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Regeneron's obligation for its share of Sanofi R&amp;D expenses,</w:t>
            </w:r>
          </w:p>
        </w:tc>
        <w:tc>
          <w:tcPr>
            <w:tcW w:w="31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(R&amp;D expense)</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43"/>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of reimbursement of R&amp;D expenses</w:t>
            </w:r>
          </w:p>
        </w:tc>
        <w:tc>
          <w:tcPr>
            <w:tcW w:w="3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Reimbursement of commercialization-related expenses</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Reduction of SG&amp;A expense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Company's Sanofi collaboration:</w:t>
      </w:r>
    </w:p>
    <w:p>
      <w:pPr>
        <w:spacing w:after="0" w:line="194" w:lineRule="exact"/>
        <w:rPr>
          <w:sz w:val="20"/>
          <w:szCs w:val="20"/>
          <w:color w:val="auto"/>
        </w:rPr>
      </w:pPr>
    </w:p>
    <w:tbl>
      <w:tblPr>
        <w:tblLayout w:type="fixed"/>
        <w:tblInd w:w="2500" w:type="dxa"/>
        <w:tblCellMar>
          <w:top w:w="0" w:type="dxa"/>
          <w:left w:w="0" w:type="dxa"/>
          <w:bottom w:w="0" w:type="dxa"/>
          <w:right w:w="0" w:type="dxa"/>
        </w:tblCellMar>
      </w:tblPr>
      <w:tr>
        <w:trPr>
          <w:trHeight w:val="229"/>
        </w:trPr>
        <w:tc>
          <w:tcPr>
            <w:tcW w:w="2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1,610.6</w:t>
            </w:r>
          </w:p>
        </w:tc>
      </w:tr>
      <w:tr>
        <w:trPr>
          <w:trHeight w:val="234"/>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Bayer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party to a license and collaboration agreement with Bayer for the global development and commercialization of EYLEA 8 mg (aflibercept 8 mg) and EYLEA (aflibercept) outside the United States. Agreed-upon development expenses incurred by the Company and Bayer are generally shared equally. The Company is also obligated to use commercially reasonable efforts to supply clinical and commercial bulk product to Bayer.</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Bayer is responsible for commercialization activities outside the United States, and the companies share equally in profits from such sales. Within the United States, the Company is responsible for commercialization and retains profits from such sales.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its Bayer collaboration are as follows:</w:t>
      </w:r>
    </w:p>
    <w:p>
      <w:pPr>
        <w:spacing w:after="0" w:line="279"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46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46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r>
      <w:tr>
        <w:trPr>
          <w:trHeight w:val="25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Classification</w:t>
            </w:r>
          </w:p>
        </w:tc>
        <w:tc>
          <w:tcPr>
            <w:tcW w:w="20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2025</w:t>
            </w: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Reimbursement for manufacturing of commercial supplies</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175"/>
        </w:trPr>
        <w:tc>
          <w:tcPr>
            <w:tcW w:w="4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R&amp;D expenses, net of Regeneron's</w:t>
            </w:r>
          </w:p>
        </w:tc>
        <w:tc>
          <w:tcPr>
            <w:tcW w:w="31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Reduction of R&amp;D expense/(R&amp;D</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43"/>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 for its share of Bayer R&amp;D expenses</w:t>
            </w:r>
          </w:p>
        </w:tc>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Company's Bayer collaboration:</w:t>
      </w:r>
    </w:p>
    <w:p>
      <w:pPr>
        <w:spacing w:after="0" w:line="194" w:lineRule="exact"/>
        <w:rPr>
          <w:sz w:val="20"/>
          <w:szCs w:val="20"/>
          <w:color w:val="auto"/>
        </w:rPr>
      </w:pPr>
    </w:p>
    <w:tbl>
      <w:tblPr>
        <w:tblLayout w:type="fixed"/>
        <w:tblInd w:w="2500" w:type="dxa"/>
        <w:tblCellMar>
          <w:top w:w="0" w:type="dxa"/>
          <w:left w:w="0" w:type="dxa"/>
          <w:bottom w:w="0" w:type="dxa"/>
          <w:right w:w="0" w:type="dxa"/>
        </w:tblCellMar>
      </w:tblPr>
      <w:tr>
        <w:trPr>
          <w:trHeight w:val="230"/>
        </w:trPr>
        <w:tc>
          <w:tcPr>
            <w:tcW w:w="2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r>
      <w:tr>
        <w:trPr>
          <w:trHeight w:val="234"/>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Other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collaboration and license agreements discussed above, the Company has collaboration and license agreements that are not individually significant to its operating results or financial condition at this time. Pursuant to the terms of those agreements, the Company may (i) incur, and/or get reimbursed for, research and development expenses, and/or (ii) be required to pay, and/or may receive, additional amounts contingent upon the occurrence of various future events (e.g., upon the achievement of development and commercial milestones), which in the aggregate could be significant.</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Acquired In-Process Research and Development ("IPR&amp;D") Expenses</w:t>
      </w:r>
    </w:p>
    <w:p>
      <w:pPr>
        <w:spacing w:after="0" w:line="1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Acquired IPR&amp;D expenses for the three months ended March 31, 2026 primarily related to the premium on equity securities purchased, as well as development milestone and up-front payments, in connection with collaboration and licensing agreements.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Net Income Per Share</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6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calculations of basic and diluted net income per share are as follows: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96"/>
        </w:trPr>
        <w:tc>
          <w:tcPr>
            <w:tcW w:w="20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20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r>
      <w:tr>
        <w:trPr>
          <w:trHeight w:val="223"/>
        </w:trPr>
        <w:tc>
          <w:tcPr>
            <w:tcW w:w="2080" w:type="dxa"/>
            <w:vAlign w:val="bottom"/>
          </w:tcPr>
          <w:p>
            <w:pPr>
              <w:spacing w:after="0"/>
              <w:rPr>
                <w:sz w:val="19"/>
                <w:szCs w:val="19"/>
                <w:color w:val="auto"/>
              </w:rPr>
            </w:pPr>
          </w:p>
        </w:tc>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2080" w:type="dxa"/>
            <w:vAlign w:val="bottom"/>
          </w:tcPr>
          <w:p>
            <w:pPr>
              <w:spacing w:after="0"/>
              <w:rPr>
                <w:sz w:val="19"/>
                <w:szCs w:val="19"/>
                <w:color w:val="auto"/>
              </w:rPr>
            </w:pPr>
          </w:p>
        </w:tc>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 basic and diluted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w:t>
            </w:r>
          </w:p>
        </w:tc>
      </w:tr>
      <w:tr>
        <w:trPr>
          <w:trHeight w:val="270"/>
        </w:trPr>
        <w:tc>
          <w:tcPr>
            <w:tcW w:w="208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30"/>
        </w:trPr>
        <w:tc>
          <w:tcPr>
            <w:tcW w:w="2080" w:type="dxa"/>
            <w:vAlign w:val="bottom"/>
          </w:tcPr>
          <w:p>
            <w:pPr>
              <w:spacing w:after="0"/>
              <w:rPr>
                <w:sz w:val="19"/>
                <w:szCs w:val="19"/>
                <w:color w:val="auto"/>
              </w:rPr>
            </w:pPr>
          </w:p>
        </w:tc>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r>
      <w:tr>
        <w:trPr>
          <w:trHeight w:val="229"/>
        </w:trPr>
        <w:tc>
          <w:tcPr>
            <w:tcW w:w="2080" w:type="dxa"/>
            <w:vAlign w:val="bottom"/>
          </w:tcPr>
          <w:p>
            <w:pPr>
              <w:spacing w:after="0"/>
              <w:rPr>
                <w:sz w:val="19"/>
                <w:szCs w:val="19"/>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080" w:type="dxa"/>
            <w:vAlign w:val="bottom"/>
          </w:tcPr>
          <w:p>
            <w:pPr>
              <w:spacing w:after="0"/>
              <w:rPr>
                <w:sz w:val="19"/>
                <w:szCs w:val="19"/>
                <w:color w:val="auto"/>
              </w:rPr>
            </w:pPr>
          </w:p>
        </w:tc>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2080" w:type="dxa"/>
            <w:vAlign w:val="bottom"/>
          </w:tcPr>
          <w:p>
            <w:pPr>
              <w:spacing w:after="0"/>
              <w:rPr>
                <w:sz w:val="19"/>
                <w:szCs w:val="19"/>
                <w:color w:val="auto"/>
              </w:rPr>
            </w:pPr>
          </w:p>
        </w:tc>
        <w:tc>
          <w:tcPr>
            <w:tcW w:w="4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Restricted stock awards and restricted stock units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8"/>
        </w:trPr>
        <w:tc>
          <w:tcPr>
            <w:tcW w:w="208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r>
      <w:tr>
        <w:trPr>
          <w:trHeight w:val="20"/>
        </w:trPr>
        <w:tc>
          <w:tcPr>
            <w:tcW w:w="2080" w:type="dxa"/>
            <w:vAlign w:val="bottom"/>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2080" w:type="dxa"/>
            <w:vAlign w:val="bottom"/>
          </w:tcPr>
          <w:p>
            <w:pPr>
              <w:spacing w:after="0"/>
              <w:rPr>
                <w:sz w:val="19"/>
                <w:szCs w:val="19"/>
                <w:color w:val="auto"/>
              </w:rPr>
            </w:pPr>
          </w:p>
        </w:tc>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34"/>
        </w:trPr>
        <w:tc>
          <w:tcPr>
            <w:tcW w:w="208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which have been excluded from diluted per share amounts because their effect would have been antidilutive include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460" w:type="dxa"/>
            <w:vAlign w:val="bottom"/>
            <w:gridSpan w:val="5"/>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2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48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20" w:type="dxa"/>
            <w:vAlign w:val="bottom"/>
            <w:tcBorders>
              <w:bottom w:val="single" w:sz="8" w:color="auto"/>
            </w:tcBorders>
          </w:tcPr>
          <w:p>
            <w:pPr>
              <w:spacing w:after="0"/>
              <w:rPr>
                <w:sz w:val="20"/>
                <w:szCs w:val="20"/>
                <w:color w:val="auto"/>
              </w:rPr>
            </w:pPr>
          </w:p>
        </w:tc>
        <w:tc>
          <w:tcPr>
            <w:tcW w:w="2260" w:type="dxa"/>
            <w:vAlign w:val="bottom"/>
          </w:tcPr>
          <w:p>
            <w:pPr>
              <w:spacing w:after="0"/>
              <w:rPr>
                <w:sz w:val="20"/>
                <w:szCs w:val="20"/>
                <w:color w:val="auto"/>
              </w:rPr>
            </w:pPr>
          </w:p>
        </w:tc>
      </w:tr>
      <w:tr>
        <w:trPr>
          <w:trHeight w:val="223"/>
        </w:trPr>
        <w:tc>
          <w:tcPr>
            <w:tcW w:w="2280" w:type="dxa"/>
            <w:vAlign w:val="bottom"/>
          </w:tcPr>
          <w:p>
            <w:pPr>
              <w:spacing w:after="0"/>
              <w:rPr>
                <w:sz w:val="19"/>
                <w:szCs w:val="19"/>
                <w:color w:val="auto"/>
              </w:rPr>
            </w:pPr>
          </w:p>
        </w:tc>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260" w:type="dxa"/>
            <w:vAlign w:val="bottom"/>
          </w:tcPr>
          <w:p>
            <w:pPr>
              <w:spacing w:after="0"/>
              <w:rPr>
                <w:sz w:val="19"/>
                <w:szCs w:val="19"/>
                <w:color w:val="auto"/>
              </w:rPr>
            </w:pPr>
          </w:p>
        </w:tc>
      </w:tr>
      <w:tr>
        <w:trPr>
          <w:trHeight w:val="223"/>
        </w:trPr>
        <w:tc>
          <w:tcPr>
            <w:tcW w:w="2280" w:type="dxa"/>
            <w:vAlign w:val="bottom"/>
          </w:tcPr>
          <w:p>
            <w:pPr>
              <w:spacing w:after="0"/>
              <w:rPr>
                <w:sz w:val="19"/>
                <w:szCs w:val="19"/>
                <w:color w:val="auto"/>
              </w:rPr>
            </w:pPr>
          </w:p>
        </w:tc>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60" w:type="dxa"/>
            <w:vAlign w:val="bottom"/>
          </w:tcPr>
          <w:p>
            <w:pPr>
              <w:spacing w:after="0"/>
              <w:rPr>
                <w:sz w:val="19"/>
                <w:szCs w:val="19"/>
                <w:color w:val="auto"/>
              </w:rPr>
            </w:pPr>
          </w:p>
        </w:tc>
      </w:tr>
      <w:tr>
        <w:trPr>
          <w:trHeight w:val="234"/>
        </w:trPr>
        <w:tc>
          <w:tcPr>
            <w:tcW w:w="2280" w:type="dxa"/>
            <w:vAlign w:val="bottom"/>
          </w:tcPr>
          <w:p>
            <w:pPr>
              <w:spacing w:after="0"/>
              <w:rPr>
                <w:sz w:val="20"/>
                <w:szCs w:val="20"/>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 and restricted stock units</w:t>
            </w:r>
          </w:p>
        </w:tc>
        <w:tc>
          <w:tcPr>
            <w:tcW w:w="14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60" w:type="dxa"/>
            <w:vAlign w:val="bottom"/>
          </w:tcPr>
          <w:p>
            <w:pPr>
              <w:spacing w:after="0"/>
              <w:rPr>
                <w:sz w:val="20"/>
                <w:szCs w:val="20"/>
                <w:color w:val="auto"/>
              </w:rPr>
            </w:pPr>
          </w:p>
        </w:tc>
      </w:tr>
      <w:tr>
        <w:trPr>
          <w:trHeight w:val="805"/>
        </w:trPr>
        <w:tc>
          <w:tcPr>
            <w:tcW w:w="678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58"/>
        </w:trPr>
        <w:tc>
          <w:tcPr>
            <w:tcW w:w="228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Marketable Securities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Marketable securities as of March 31, 2026 and December 31, 2025 consist of both available-for-sale debt securities of investment grade issuers (see below and Note 6) as well as equity securities of publicly traded companies (see Note 6).</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investments in available-for-sale debt securities: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9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183"/>
        </w:trPr>
        <w:tc>
          <w:tcPr>
            <w:tcW w:w="20" w:type="dxa"/>
            <w:vAlign w:val="bottom"/>
          </w:tcPr>
          <w:p>
            <w:pPr>
              <w:spacing w:after="0"/>
              <w:rPr>
                <w:sz w:val="15"/>
                <w:szCs w:val="15"/>
                <w:color w:val="auto"/>
              </w:rPr>
            </w:pPr>
          </w:p>
        </w:tc>
        <w:tc>
          <w:tcPr>
            <w:tcW w:w="50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 of March 31, 2026</w:t>
            </w:r>
          </w:p>
        </w:tc>
        <w:tc>
          <w:tcPr>
            <w:tcW w:w="180" w:type="dxa"/>
            <w:vAlign w:val="bottom"/>
          </w:tcPr>
          <w:p>
            <w:pPr>
              <w:spacing w:after="0"/>
              <w:rPr>
                <w:sz w:val="15"/>
                <w:szCs w:val="15"/>
                <w:color w:val="auto"/>
              </w:rPr>
            </w:pPr>
          </w:p>
        </w:tc>
        <w:tc>
          <w:tcPr>
            <w:tcW w:w="1240" w:type="dxa"/>
            <w:vAlign w:val="bottom"/>
            <w:gridSpan w:val="2"/>
          </w:tcPr>
          <w:p>
            <w:pPr>
              <w:ind w:left="80"/>
              <w:spacing w:after="0" w:line="182" w:lineRule="exact"/>
              <w:rPr>
                <w:sz w:val="20"/>
                <w:szCs w:val="20"/>
                <w:color w:val="auto"/>
              </w:rPr>
            </w:pPr>
            <w:r>
              <w:rPr>
                <w:rFonts w:ascii="Times New Roman" w:cs="Times New Roman" w:eastAsia="Times New Roman" w:hAnsi="Times New Roman"/>
                <w:sz w:val="18"/>
                <w:szCs w:val="18"/>
                <w:b w:val="1"/>
                <w:bCs w:val="1"/>
                <w:color w:val="auto"/>
              </w:rPr>
              <w:t>Cost Basis</w:t>
            </w:r>
          </w:p>
        </w:tc>
        <w:tc>
          <w:tcPr>
            <w:tcW w:w="9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Gains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ind w:right="330"/>
              <w:spacing w:after="0" w:line="182"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350"/>
              <w:spacing w:after="0" w:line="182" w:lineRule="exact"/>
              <w:rPr>
                <w:sz w:val="20"/>
                <w:szCs w:val="20"/>
                <w:color w:val="auto"/>
              </w:rPr>
            </w:pPr>
            <w:r>
              <w:rPr>
                <w:rFonts w:ascii="Times New Roman" w:cs="Times New Roman" w:eastAsia="Times New Roman" w:hAnsi="Times New Roman"/>
                <w:sz w:val="18"/>
                <w:szCs w:val="18"/>
                <w:b w:val="1"/>
                <w:bCs w:val="1"/>
                <w:color w:val="auto"/>
              </w:rPr>
              <w:t>Value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10,606.9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10,619.6</w:t>
            </w:r>
          </w:p>
        </w:tc>
      </w:tr>
      <w:tr>
        <w:trPr>
          <w:trHeight w:val="230"/>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3,667.6</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w:t>
            </w:r>
          </w:p>
        </w:tc>
      </w:tr>
      <w:tr>
        <w:trPr>
          <w:trHeight w:val="230"/>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r>
      <w:tr>
        <w:trPr>
          <w:trHeight w:val="229"/>
        </w:trPr>
        <w:tc>
          <w:tcPr>
            <w:tcW w:w="20" w:type="dxa"/>
            <w:vAlign w:val="bottom"/>
            <w:tcBorders>
              <w:bottom w:val="single" w:sz="8" w:color="CCEEFF"/>
            </w:tcBorders>
          </w:tcPr>
          <w:p>
            <w:pPr>
              <w:spacing w:after="0"/>
              <w:rPr>
                <w:sz w:val="19"/>
                <w:szCs w:val="19"/>
                <w:color w:val="auto"/>
              </w:rPr>
            </w:pPr>
          </w:p>
        </w:tc>
        <w:tc>
          <w:tcPr>
            <w:tcW w:w="5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15,515.8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15,528.4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As of December 31, 2025</w:t>
            </w:r>
          </w:p>
        </w:tc>
        <w:tc>
          <w:tcPr>
            <w:tcW w:w="3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10,141.0</w:t>
            </w:r>
          </w:p>
        </w:tc>
        <w:tc>
          <w:tcPr>
            <w:tcW w:w="100" w:type="dxa"/>
            <w:vAlign w:val="bottom"/>
          </w:tcPr>
          <w:p>
            <w:pPr>
              <w:spacing w:after="0"/>
              <w:rPr>
                <w:sz w:val="19"/>
                <w:szCs w:val="19"/>
                <w:color w:val="auto"/>
              </w:rPr>
            </w:pP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10,219.5</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4,367.3</w:t>
            </w:r>
          </w:p>
        </w:tc>
      </w:tr>
      <w:tr>
        <w:trPr>
          <w:trHeight w:val="230"/>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r>
      <w:tr>
        <w:trPr>
          <w:trHeight w:val="230"/>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15,617.4</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15,713.4</w:t>
            </w: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classifies its investments in available-for-sale debt securities based on their contractual maturity dates. The available-for-sale debt securities as of March 31, 2026 mature at various dates through December 2032. The fair values of available-for-sale debt securities by contractual maturity consist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9"/>
                <w:szCs w:val="19"/>
                <w:color w:val="auto"/>
              </w:rPr>
            </w:pPr>
          </w:p>
        </w:tc>
        <w:tc>
          <w:tcPr>
            <w:tcW w:w="3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00" w:type="dxa"/>
            <w:vAlign w:val="bottom"/>
          </w:tcPr>
          <w:p>
            <w:pPr>
              <w:spacing w:after="0"/>
              <w:rPr>
                <w:sz w:val="20"/>
                <w:szCs w:val="20"/>
                <w:color w:val="auto"/>
              </w:rPr>
            </w:pPr>
          </w:p>
        </w:tc>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6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00" w:type="dxa"/>
            <w:vAlign w:val="bottom"/>
          </w:tcPr>
          <w:p>
            <w:pPr>
              <w:spacing w:after="0"/>
              <w:rPr>
                <w:sz w:val="19"/>
                <w:szCs w:val="19"/>
                <w:color w:val="auto"/>
              </w:rPr>
            </w:pPr>
          </w:p>
        </w:tc>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5,487.1</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after one year through five years</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10,224.8</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after five years</w:t>
            </w:r>
          </w:p>
        </w:tc>
        <w:tc>
          <w:tcPr>
            <w:tcW w:w="6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15,528.4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15,713.4</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3"/>
        </w:trPr>
        <w:tc>
          <w:tcPr>
            <w:tcW w:w="20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0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assets which are measured at fair value on a recurring basis. The following fair value hierarchy is used to classify assets and liabilities, based on inputs to valuation techniques utilized to measure fair value:</w:t>
      </w:r>
    </w:p>
    <w:p>
      <w:pPr>
        <w:spacing w:after="0" w:line="9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Significant other observable inputs, such as quoted market prices for similar instruments in active markets, quoted prices for identical or similar instruments in markets that are not active, or model-based valuations in which significant inputs used are observable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Significant other unobservable inputs</w:t>
      </w:r>
    </w:p>
    <w:p>
      <w:pPr>
        <w:spacing w:after="0" w:line="153"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60" w:type="dxa"/>
            <w:vAlign w:val="bottom"/>
          </w:tcPr>
          <w:p>
            <w:pPr>
              <w:spacing w:after="0"/>
              <w:rPr>
                <w:sz w:val="17"/>
                <w:szCs w:val="17"/>
                <w:color w:val="auto"/>
              </w:rPr>
            </w:pPr>
          </w:p>
        </w:tc>
        <w:tc>
          <w:tcPr>
            <w:tcW w:w="14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40" w:type="dxa"/>
            <w:vAlign w:val="bottom"/>
          </w:tcPr>
          <w:p>
            <w:pPr>
              <w:spacing w:after="0"/>
              <w:rPr>
                <w:sz w:val="17"/>
                <w:szCs w:val="17"/>
                <w:color w:val="auto"/>
              </w:rPr>
            </w:pPr>
          </w:p>
        </w:tc>
        <w:tc>
          <w:tcPr>
            <w:tcW w:w="326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 Measurements at Reporting</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gridSpan w:val="3"/>
            <w:vMerge w:val="continue"/>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3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 of March 31, 2026</w:t>
            </w:r>
          </w:p>
        </w:tc>
        <w:tc>
          <w:tcPr>
            <w:tcW w:w="360" w:type="dxa"/>
            <w:vAlign w:val="bottom"/>
          </w:tcPr>
          <w:p>
            <w:pPr>
              <w:spacing w:after="0"/>
              <w:rPr>
                <w:sz w:val="15"/>
                <w:szCs w:val="15"/>
                <w:color w:val="auto"/>
              </w:rPr>
            </w:pPr>
          </w:p>
        </w:tc>
        <w:tc>
          <w:tcPr>
            <w:tcW w:w="1400" w:type="dxa"/>
            <w:vAlign w:val="bottom"/>
            <w:gridSpan w:val="2"/>
          </w:tcPr>
          <w:p>
            <w:pPr>
              <w:jc w:val="center"/>
              <w:ind w:right="480"/>
              <w:spacing w:after="0" w:line="182"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140" w:type="dxa"/>
            <w:vAlign w:val="bottom"/>
          </w:tcPr>
          <w:p>
            <w:pPr>
              <w:spacing w:after="0"/>
              <w:rPr>
                <w:sz w:val="15"/>
                <w:szCs w:val="15"/>
                <w:color w:val="auto"/>
              </w:rPr>
            </w:pPr>
          </w:p>
        </w:tc>
        <w:tc>
          <w:tcPr>
            <w:tcW w:w="1620" w:type="dxa"/>
            <w:vAlign w:val="bottom"/>
            <w:gridSpan w:val="2"/>
          </w:tcPr>
          <w:p>
            <w:pPr>
              <w:ind w:left="400"/>
              <w:spacing w:after="0" w:line="182" w:lineRule="exact"/>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15"/>
                <w:szCs w:val="15"/>
                <w:color w:val="auto"/>
              </w:rPr>
            </w:pPr>
          </w:p>
        </w:tc>
        <w:tc>
          <w:tcPr>
            <w:tcW w:w="1320" w:type="dxa"/>
            <w:vAlign w:val="bottom"/>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Level 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2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Sovereign bonds</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8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Equity securities</w:t>
            </w:r>
            <w:r>
              <w:rPr>
                <w:rFonts w:ascii="Times New Roman" w:cs="Times New Roman" w:eastAsia="Times New Roman" w:hAnsi="Times New Roman"/>
                <w:sz w:val="23"/>
                <w:szCs w:val="23"/>
                <w:color w:val="auto"/>
                <w:vertAlign w:val="superscript"/>
              </w:rPr>
              <w:t>(a)</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17,442.4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16,780.4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 of December 31, 2025</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Sovereign bonds</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8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Equity securities</w:t>
            </w:r>
            <w:r>
              <w:rPr>
                <w:rFonts w:ascii="Times New Roman" w:cs="Times New Roman" w:eastAsia="Times New Roman" w:hAnsi="Times New Roman"/>
                <w:sz w:val="23"/>
                <w:szCs w:val="23"/>
                <w:color w:val="auto"/>
                <w:vertAlign w:val="superscript"/>
              </w:rPr>
              <w:t>(a)</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17,869.3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1000" w:right="980" w:hanging="9"/>
        <w:spacing w:after="0" w:line="204" w:lineRule="auto"/>
        <w:tabs>
          <w:tab w:leader="none" w:pos="1159"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equity securities of $47.5 million and $33.3 million as of March 31, 2026 and December 31, 2025, respectively, which were subject to transfer restrictions that expired in April 2026</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investments summarized in the table above, the Company recorded the following investments within Other noncurrent assets:</w:t>
      </w:r>
    </w:p>
    <w:p>
      <w:pPr>
        <w:spacing w:after="0" w:line="158" w:lineRule="exact"/>
        <w:rPr>
          <w:sz w:val="20"/>
          <w:szCs w:val="20"/>
          <w:color w:val="auto"/>
        </w:rPr>
      </w:pPr>
    </w:p>
    <w:p>
      <w:pPr>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and December 31, 2025, $571.6 million and $334.0 million, respectively, of equity securities that do not have a readily determinable fair value. The change in carrying value of such investments was primarily the result of additional purchases.</w:t>
      </w:r>
    </w:p>
    <w:p>
      <w:pPr>
        <w:jc w:val="both"/>
        <w:ind w:left="660" w:hanging="328"/>
        <w:spacing w:after="0" w:line="25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and December 31, 2025, equity securities held through ownership interest in an investment fund of $169.9 million and $147.5 million, respectively, which are measured at fair value based on Level 3 inputs. The change in carrying value was primarily the result of additional purchases by the fund.</w:t>
      </w:r>
    </w:p>
    <w:p>
      <w:pPr>
        <w:spacing w:after="0" w:line="21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recognized $24.0 million and $139.7 million of net unrealized gains, respectively, in Other income (expense), net, related to investments in equity securities that were still held as of the period end date.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Company's long-term debt, which was determined based on Level 2 inputs, was estimated to be $1.564 billion and $1.576 billion as of March 31, 2026 and December 31, 2025, respectively. The carrying value was $1.986 billion as of March 31, 2026 and December 31, 2025.</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Inventories</w:t>
            </w: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6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6"/>
        </w:trPr>
        <w:tc>
          <w:tcPr>
            <w:tcW w:w="22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24"/>
                <w:szCs w:val="24"/>
                <w:color w:val="auto"/>
              </w:rPr>
            </w:pP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240" w:type="dxa"/>
            <w:vAlign w:val="bottom"/>
          </w:tcPr>
          <w:p>
            <w:pPr>
              <w:spacing w:after="0"/>
              <w:rPr>
                <w:sz w:val="20"/>
                <w:szCs w:val="20"/>
                <w:color w:val="auto"/>
              </w:rPr>
            </w:pPr>
          </w:p>
        </w:tc>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2240" w:type="dxa"/>
            <w:vAlign w:val="bottom"/>
          </w:tcPr>
          <w:p>
            <w:pPr>
              <w:spacing w:after="0"/>
              <w:rPr>
                <w:sz w:val="19"/>
                <w:szCs w:val="19"/>
                <w:color w:val="auto"/>
              </w:rPr>
            </w:pPr>
          </w:p>
        </w:tc>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w:t>
            </w:r>
          </w:p>
        </w:tc>
      </w:tr>
      <w:tr>
        <w:trPr>
          <w:trHeight w:val="229"/>
        </w:trPr>
        <w:tc>
          <w:tcPr>
            <w:tcW w:w="224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1,641.6</w:t>
            </w:r>
          </w:p>
        </w:tc>
      </w:tr>
      <w:tr>
        <w:trPr>
          <w:trHeight w:val="230"/>
        </w:trPr>
        <w:tc>
          <w:tcPr>
            <w:tcW w:w="2240" w:type="dxa"/>
            <w:vAlign w:val="bottom"/>
          </w:tcPr>
          <w:p>
            <w:pPr>
              <w:spacing w:after="0"/>
              <w:rPr>
                <w:sz w:val="19"/>
                <w:szCs w:val="19"/>
                <w:color w:val="auto"/>
              </w:rPr>
            </w:pPr>
          </w:p>
        </w:tc>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w:t>
            </w:r>
          </w:p>
        </w:tc>
      </w:tr>
      <w:tr>
        <w:trPr>
          <w:trHeight w:val="229"/>
        </w:trPr>
        <w:tc>
          <w:tcPr>
            <w:tcW w:w="2240" w:type="dxa"/>
            <w:vAlign w:val="bottom"/>
          </w:tcPr>
          <w:p>
            <w:pPr>
              <w:spacing w:after="0"/>
              <w:rPr>
                <w:sz w:val="19"/>
                <w:szCs w:val="19"/>
                <w:color w:val="auto"/>
              </w:rPr>
            </w:pPr>
          </w:p>
        </w:tc>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costs</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727.5</w:t>
            </w:r>
          </w:p>
        </w:tc>
      </w:tr>
      <w:tr>
        <w:trPr>
          <w:trHeight w:val="248"/>
        </w:trPr>
        <w:tc>
          <w:tcPr>
            <w:tcW w:w="2240" w:type="dxa"/>
            <w:vAlign w:val="bottom"/>
          </w:tcPr>
          <w:p>
            <w:pPr>
              <w:spacing w:after="0"/>
              <w:rPr>
                <w:sz w:val="21"/>
                <w:szCs w:val="21"/>
                <w:color w:val="auto"/>
              </w:rPr>
            </w:pPr>
          </w:p>
        </w:tc>
        <w:tc>
          <w:tcPr>
            <w:tcW w:w="3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3,200.8</w:t>
            </w:r>
          </w:p>
        </w:tc>
      </w:tr>
      <w:tr>
        <w:trPr>
          <w:trHeight w:val="20"/>
        </w:trPr>
        <w:tc>
          <w:tcPr>
            <w:tcW w:w="2240" w:type="dxa"/>
            <w:vAlign w:val="bottom"/>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costs represent the costs of product manufactured and shipped to the Company's collaborators for which recognition of revenue has been deferred.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effective tax rate was 12.5% and 10.6% for the three months ended March 31, 2026 and 2025, respectively. The Company's effective tax rate for the three months ended March 31, 2026 and 2025 was positively impacted, compared to the U.S. federal statutory rate, primarily by income earned in foreign jurisdictions with tax rates lower than the U.S. federal statutory rate and, to a lesser extent, federal tax credits for research activities, partly offset by changes in unrecognized tax benefits.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Share Repurchase Programs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board of directors has authorized share repurchase programs, including a share repurchase program for up to $3.0 billion of the Company's Common Stock which was authorized in February 2025. The programs have no time limit and can be discontinued at any time.</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summarizes the shares of the Company's Common Stock that the Company repurchased under its share repurchase programs and the cost of such shares, which were recorded as Treasury Stock.</w:t>
      </w:r>
    </w:p>
    <w:p>
      <w:pPr>
        <w:spacing w:after="0" w:line="108" w:lineRule="exact"/>
        <w:rPr>
          <w:sz w:val="20"/>
          <w:szCs w:val="20"/>
          <w:color w:val="auto"/>
        </w:rPr>
      </w:pPr>
    </w:p>
    <w:tbl>
      <w:tblPr>
        <w:tblLayout w:type="fixed"/>
        <w:tblInd w:w="2540" w:type="dxa"/>
        <w:tblCellMar>
          <w:top w:w="0" w:type="dxa"/>
          <w:left w:w="0" w:type="dxa"/>
          <w:bottom w:w="0" w:type="dxa"/>
          <w:right w:w="0" w:type="dxa"/>
        </w:tblCellMar>
      </w:tblPr>
      <w:tr>
        <w:trPr>
          <w:trHeight w:val="207"/>
        </w:trPr>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80" w:type="dxa"/>
            <w:vAlign w:val="bottom"/>
            <w:gridSpan w:val="4"/>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26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20" w:type="dxa"/>
            <w:vAlign w:val="bottom"/>
            <w:tcBorders>
              <w:bottom w:val="single" w:sz="8" w:color="auto"/>
            </w:tcBorders>
          </w:tcPr>
          <w:p>
            <w:pPr>
              <w:spacing w:after="0"/>
              <w:rPr>
                <w:sz w:val="20"/>
                <w:szCs w:val="20"/>
                <w:color w:val="auto"/>
              </w:rPr>
            </w:pPr>
          </w:p>
        </w:tc>
      </w:tr>
      <w:tr>
        <w:trPr>
          <w:trHeight w:val="228"/>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shares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12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1,052.4</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$688.2 million remained available for share repurchases under the Company's share repurchase programs.</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April 2026, the Company's board of directors authorized a share repurchase program to repurchase up to an additional $3.0 billion of the Company's Common Stock. The share repurchase program was approved under terms substantially similar to the repurchase programs described above.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Dividends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January 2026, the Company's board of directors declared a quarterly cash dividend of $0.94 per share on its Common Stock and Class A Stock, which was paid to the Company's shareholders in March 2026.</w:t>
      </w:r>
    </w:p>
    <w:p>
      <w:pPr>
        <w:spacing w:after="0" w:line="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Additionally, in April 2026, the Company's board of directors declared a cash dividend of $0.94 per share on its Common Stock and Class A Stock. The dividend will be payable to the Company's shareholders in June 2026.</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Statement of Cash Flows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of cash, cash equivalents, and restricted cash reported within the Condensed Consolidated Balance Sheets to the total of the same such amounts shown in the Condensed Consolidated Statements of Cash Flows:</w:t>
      </w:r>
    </w:p>
    <w:p>
      <w:pPr>
        <w:spacing w:after="0" w:line="131" w:lineRule="exact"/>
        <w:rPr>
          <w:sz w:val="20"/>
          <w:szCs w:val="20"/>
          <w:color w:val="auto"/>
        </w:rPr>
      </w:pPr>
    </w:p>
    <w:tbl>
      <w:tblPr>
        <w:tblLayout w:type="fixed"/>
        <w:tblInd w:w="54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3,090.2</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55"/>
        </w:trPr>
        <w:tc>
          <w:tcPr>
            <w:tcW w:w="64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Condensed Consolidated</w:t>
            </w:r>
          </w:p>
        </w:tc>
        <w:tc>
          <w:tcPr>
            <w:tcW w:w="4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2,970.6</w:t>
            </w:r>
          </w:p>
        </w:tc>
        <w:tc>
          <w:tcPr>
            <w:tcW w:w="12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3,093.0</w:t>
            </w:r>
          </w:p>
        </w:tc>
        <w:tc>
          <w:tcPr>
            <w:tcW w:w="0" w:type="dxa"/>
            <w:vAlign w:val="bottom"/>
          </w:tcPr>
          <w:p>
            <w:pPr>
              <w:spacing w:after="0"/>
              <w:rPr>
                <w:sz w:val="1"/>
                <w:szCs w:val="1"/>
                <w:color w:val="auto"/>
              </w:rPr>
            </w:pPr>
          </w:p>
        </w:tc>
      </w:tr>
      <w:tr>
        <w:trPr>
          <w:trHeight w:val="236"/>
        </w:trPr>
        <w:tc>
          <w:tcPr>
            <w:tcW w:w="6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Statements of Cash Flows</w:t>
            </w: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840"/>
        <w:spacing w:after="0" w:line="443" w:lineRule="auto"/>
        <w:rPr>
          <w:sz w:val="20"/>
          <w:szCs w:val="20"/>
          <w:color w:val="auto"/>
        </w:rPr>
      </w:pPr>
      <w:r>
        <w:rPr>
          <w:rFonts w:ascii="Times New Roman" w:cs="Times New Roman" w:eastAsia="Times New Roman" w:hAnsi="Times New Roman"/>
          <w:sz w:val="18"/>
          <w:szCs w:val="18"/>
          <w:color w:val="auto"/>
        </w:rPr>
        <w:t xml:space="preserve">Restricted cash consists of amounts held pursuant to contractual arrangements and for dividends payable on certain equity awards. </w:t>
      </w:r>
      <w:r>
        <w:rPr>
          <w:rFonts w:ascii="Times New Roman" w:cs="Times New Roman" w:eastAsia="Times New Roman" w:hAnsi="Times New Roman"/>
          <w:sz w:val="18"/>
          <w:szCs w:val="18"/>
          <w:b w:val="1"/>
          <w:bCs w:val="1"/>
          <w:i w:val="1"/>
          <w:iCs w:val="1"/>
          <w:color w:val="auto"/>
        </w:rPr>
        <w:t>Supplemental disclosure of non-cash investing and financing activities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9"/>
                <w:szCs w:val="19"/>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Pr>
          <w:p>
            <w:pPr>
              <w:spacing w:after="0"/>
              <w:rPr>
                <w:sz w:val="19"/>
                <w:szCs w:val="19"/>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9"/>
                <w:szCs w:val="19"/>
                <w:color w:val="auto"/>
              </w:rPr>
            </w:pP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r>
      <w:tr>
        <w:trPr>
          <w:trHeight w:val="176"/>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Accrued contingent consideration in</w:t>
            </w: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connection with acquisitions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4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in one business segment, which includes all activities related to the discovery, development, and commercialization of medicines for serious diseases. The determination of a single business segment is consistent with the consolidated financial information regularly provided to the Company's chief operating decision maker ("CODM"). The Company's CODM is its Chief Executive Officer, who reviews and evaluates consolidated net income for purposes of assessing performance, making operating decisions, allocating resources, and planning and forecasting for future periods.</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significant expense categories included within consolidated net income presented on the Company's Condensed Consolidated Statements of Operations, see below for disaggregated amounts that comprise research and development expenses: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tbl>
      <w:tblPr>
        <w:tblLayout w:type="fixed"/>
        <w:tblInd w:w="196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4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39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r>
      <w:tr>
        <w:trPr>
          <w:trHeight w:val="228"/>
        </w:trPr>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392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Direct research and development expenses</w:t>
            </w:r>
            <w:r>
              <w:rPr>
                <w:rFonts w:ascii="Times New Roman" w:cs="Times New Roman" w:eastAsia="Times New Roman" w:hAnsi="Times New Roman"/>
                <w:sz w:val="23"/>
                <w:szCs w:val="23"/>
                <w:color w:val="auto"/>
                <w:vertAlign w:val="superscript"/>
              </w:rPr>
              <w:t>(a)</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w:t>
            </w:r>
          </w:p>
        </w:tc>
      </w:tr>
      <w:tr>
        <w:trPr>
          <w:trHeight w:val="270"/>
        </w:trPr>
        <w:tc>
          <w:tcPr>
            <w:tcW w:w="3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Indirect research and development expenses: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Payroll and benefits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w:t>
            </w:r>
          </w:p>
        </w:tc>
      </w:tr>
      <w:tr>
        <w:trPr>
          <w:trHeight w:val="176"/>
        </w:trPr>
        <w:tc>
          <w:tcPr>
            <w:tcW w:w="392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Lab supplies and other research and development</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3"/>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3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w:t>
            </w:r>
          </w:p>
        </w:tc>
      </w:tr>
      <w:tr>
        <w:trPr>
          <w:trHeight w:val="22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w:t>
            </w:r>
          </w:p>
        </w:tc>
      </w:tr>
      <w:tr>
        <w:trPr>
          <w:trHeight w:val="250"/>
        </w:trPr>
        <w:tc>
          <w:tcPr>
            <w:tcW w:w="3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manufacturing costs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w:t>
            </w:r>
          </w:p>
        </w:tc>
      </w:tr>
      <w:tr>
        <w:trPr>
          <w:trHeight w:val="270"/>
        </w:trPr>
        <w:tc>
          <w:tcPr>
            <w:tcW w:w="3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176"/>
        </w:trPr>
        <w:tc>
          <w:tcPr>
            <w:tcW w:w="3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Reimbursement of research and development</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3"/>
        </w:trPr>
        <w:tc>
          <w:tcPr>
            <w:tcW w:w="3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expenses by collaborators</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70"/>
        </w:trPr>
        <w:tc>
          <w:tcPr>
            <w:tcW w:w="39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r>
      <w:tr>
        <w:trPr>
          <w:trHeight w:val="248"/>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1,327.4</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ind w:left="2120" w:right="2000" w:firstLine="5"/>
        <w:spacing w:after="0" w:line="206" w:lineRule="auto"/>
        <w:tabs>
          <w:tab w:leader="none" w:pos="229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Direct research and development expenses are comprised primarily of costs paid to third parties for clinical and product development activities, and the portion of research and development expenses incurred by our collaborators that we are obligated to reimburse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Legal Matters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a party to legal proceedings in the course of the Company's business. The outcome of any such proceedings, regardless of the merits, is inherently uncertain. If the Company is unable to prevail in one or more of such proceedings, its consolidated financial position, results of operations, and future cash flows may be materially adversely impacted. Costs associated with the Company's involvement in legal proceedings are expensed as incurred. The Company recognizes gain contingencies associated with such proceedings when the award or recovery is realized or realizable and loss contingencies when it is probable that a liability will be incurred and the amount of loss can be reasonably estimated. As of March 31, 2026 and December 31, 2025, the Company's accruals for loss contingencies were not material. There are certain loss contingencies that the Company deems reasonably possible for which the possible loss or range of possible loss is not estimable at this time.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Proceedings Relating to EYLEA (aflibercept) Injection</w:t>
      </w:r>
    </w:p>
    <w:p>
      <w:pPr>
        <w:spacing w:after="0" w:line="162"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United States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greater detail below, the Company has filed patent infringement lawsuits against various parties in the United States alleging infringement of certain Company patents pertaining to EYLEA, and certain of these patents have also been subject to post-grant proceedings before the United States Patent and Trademark Office ("USPTO").</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11, 2026, the Company entered into a settlement agreement resulting in the dismissal of the previously disclosed patent infringement lawsuit before the United States District Court for the Northern District of West Virginia against Samsung Bioepis Co., Ltd. ("Samsung Bioepis"). The lawsuit alleged infringement of certain Company patents, including the Company's U.S. Patent No. 11,084,865. Pursuant to the settlement agreement, Samsung Bioepis is precluded from launching its aflibercept 2 mg biosimilar until January 2027.</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10, 2024, the Company filed a patent infringement lawsuit (as amended on January 7, 2026) against Amgen Inc. ("Amgen") in the United States District Court for the Central District of California (subsequently transferred to the United States District Court for the Northern District of West Virginia) alleging that Amgen's filing for U.S. Food and Drug Administration ("FDA") approval of an aflibercept 2 mg biosimilar infringed certain Company patents (as amended, the "2024 lawsuit"). On September 23, 2024, the court denied the Company's motion for a preliminary injunction, which decision was affirmed by the Federal Circuit on March 14, 2025. On June 17, 2025, the Company filed an additional patent infringement lawsuit against Amgen in the United States District Court for the Central District of California alleging that Amgen's continued commercialization of its aflibercept 2 mg biosimilar infringes the Company's U.S. Patent No. 12,331,099 (the "2025 lawsuit"). On September 12, 2025, Amgen filed its answer and counterclaims in the 2025 lawsuit alleging, among other things, that the Company obtained numerous patents fraudulently, rendering them unenforceable, and that obtaining and enforcing certain Company patents violated Section 2 of the Sherman Antitrust Act of 1890, as amended (the "Sherman Antitrust Act"). On November 12, 2025, the Company filed a motion to dismiss certain of Amgen's affirmative defenses and counterclaims in the 2025 lawsuit, and an oral hearing on the motion was held on April 7, 2026. On March 9, 2026, Amgen filed its answer and counterclaims in the 2024 lawsuit; and, on April 20, 2026, the Company filed a motion to dismiss certain of Amgen's affirmative defenses and counterclaims in the 2024 lawsuit.</w:t>
      </w:r>
    </w:p>
    <w:p>
      <w:pPr>
        <w:spacing w:after="0" w:line="109"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Outside the United States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greater detail below, the Company has filed patent infringement lawsuits against various parties in several jurisdictions outside the United States alleging infringement of certain Company patents pertaining to EYLEA, and certain of these patents have also been subject to post-grant proceedings before the European Patent Office (the "EPO") and/or other comparable foreign authorities.</w:t>
      </w:r>
    </w:p>
    <w:p>
      <w:pPr>
        <w:spacing w:after="0" w:line="145" w:lineRule="exact"/>
        <w:rPr>
          <w:sz w:val="20"/>
          <w:szCs w:val="20"/>
          <w:color w:val="auto"/>
        </w:rPr>
      </w:pPr>
    </w:p>
    <w:p>
      <w:pPr>
        <w:jc w:val="both"/>
        <w:ind w:firstLine="8"/>
        <w:spacing w:after="0" w:line="262" w:lineRule="auto"/>
        <w:tabs>
          <w:tab w:leader="none" w:pos="228"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Multijurisdictional Settlement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Formycon</w:t>
      </w:r>
      <w:r>
        <w:rPr>
          <w:rFonts w:ascii="Times New Roman" w:cs="Times New Roman" w:eastAsia="Times New Roman" w:hAnsi="Times New Roman"/>
          <w:sz w:val="18"/>
          <w:szCs w:val="18"/>
          <w:color w:val="auto"/>
        </w:rPr>
        <w:t>. On February 23, 2026, the Company and Bayer entered into a settlement agreement with Formycon AG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("Formycon") in respect of Europe and certain markets in Latin America and the Asia-Pacific region. Pursuant to the settlement agreement, all pending judicial and administrative proceedings related to Formycon's aflibercept 2 mg biosimilar product have been dismissed, and Formycon is permitted to launch its product in the United Kingdom and, starting in May 2026, the rest of Europe and the other jurisdictions covered by the settlement.</w:t>
      </w:r>
    </w:p>
    <w:p>
      <w:pPr>
        <w:spacing w:after="0" w:line="97" w:lineRule="exact"/>
        <w:rPr>
          <w:rFonts w:ascii="Times New Roman" w:cs="Times New Roman" w:eastAsia="Times New Roman" w:hAnsi="Times New Roman"/>
          <w:sz w:val="18"/>
          <w:szCs w:val="18"/>
          <w:i w:val="1"/>
          <w:iCs w:val="1"/>
          <w:color w:val="auto"/>
        </w:rPr>
      </w:pPr>
    </w:p>
    <w:p>
      <w:pPr>
        <w:ind w:left="280" w:hanging="272"/>
        <w:spacing w:after="0"/>
        <w:tabs>
          <w:tab w:leader="none" w:pos="28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Europe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EPO Post-Grant Proceedings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Various parties, including Amgen and other, anonymous parties, are seeking revocation of the Company's European Patent Nos. 2,944,306 (the "'306 Patent"), 3,716,992 (the "'992 Patent"), and 3,384,049 (the "'049 Patent") before the Opposition Division ("OD") of the EPO. On November 26, 2024, following an oral hearing, the OD announced its decision to revoke the '306 Patent. An oral hearing concerning the Company's appeal of this decision has been scheduled for October 2026. On October 22, 2025, following an oral hearing, the OD upheld the validity of the '992 Patent's claims in amended form, which decision has been appealed by Amgen. On April 21, 2026, following an oral hearing, the OD invalidated the '049 Patent.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Country-Specific Proceedings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also party to proceedings against various parties, including Sandoz Inc. ("Sandoz"), Sam Chun Dang Pharm. Co., Ltd ("Sam Chun Dang"), and/or their affiliated entities, before several European national courts. In Germany, in a January 2026 preliminary injunction proceeding, the Munich Regional Court issued a decision that found that Sandoz's aflibercept 2 mg biosimilar product infringes the Company's European Patent No. 2,364,691 (the "'691 Patent") and granted the Company's motion for a preliminary injunction, enjoining Sandoz from selling its aflibercept 2 mg biosimilar in Germany until the expiration of the '691 Patent. Following an appeal by Sandoz, in February 2026 the Munich Higher Regional Court suspended enforcement of, and the Company subsequently withdrew its request for, the preliminary injunction. On March 31, 2026, the Company initiated a patent infringement lawsuit in the Munich Regional Court against Sandoz alleging its aflibercept 2 mg biosimilar infringes the '691 Patent. In addition, on April 1, 2026, the Company initiated a patent infringement lawsuit in the Munich Regional Court against Sam Chun Dang alleging its aflibercept 2 mg biosimilar infringes the '691 Patent.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(iii) South Korea</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and Bayer Consumer Care AG have filed patent infringement lawsuits in the Seoul Central District Court against Sam Chun Dang and OPTUS Pharmaceutical Co., Ltd. These lawsuits seek damages and/or injunctive relief and allege that the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making, constructing, using, or selling of an aflibercept 2 mg biosimilar by the defendants would infringe one or more claims of the Company's Korean Patent Nos. 1406811, 659477, and 2519234.</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(iv) Japan</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10, 2025, the Company filed a patent infringement lawsuit in the Osaka District Court against Fuji Pharma Co., Ltd. alleging that the making, constructing, using, or selling of an aflibercept 2 mg biosimilar by the defendant would infringe one or more claims of the Company's Japanese Patent No. 7,733,706. On January 28, 2026, the parties entered into a settlement agreement, pursuant to which this lawsuit has been dismissed.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Proceedings Relating to EYLEA (aflibercept) Injection Pre-filled Syringe</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17, 2020, the Company filed an antitrust lawsuit (as amended on January 25, 2021) against Novartis Pharma AG, Novartis Pharmaceuticals Corporation, and Novartis Technology LLC (collectively, "Novartis") and Vetter Pharma International GmbH in the United States District Court for the Southern District of New York (the "SDNY") seeking a judgment that the defendants' conduct relating to Novartis's attempt to assert its U.S. Patent No. 9,220,631 against Regeneron in 2020 violated Sections 1 and 2 of the Sherman Antitrust Act, and constituted tortious interference with contract. The Company is also seeking injunctive relief and treble damages. On September 21, 2021, this lawsuit was transferred to the Northern District of New York. On June 10, 2022, the Company filed an appeal of the District Court's decision to dismiss the amended complaint with the U.S. Court of Appeals for the Second Circuit (the "Second Circuit"). On March 18, 2024, the Second Circuit reversed the District Court's decision to dismiss the amended complaint and remanded the lawsuit to the District Court for further proceedings consistent with the Second Circuit's opinion. On November 19, 2024, the Company moved to transfer the lawsuit back to the SDNY, which motion was granted on December 5,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Proceedings Relating to Praluent (alirocumab) Injection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27, 2022, the Company filed a lawsuit against Amgen in the United States District Court for the District of Delaware, alleging that, beginning in 2020, Amgen engaged in an anticompetitive bundling scheme which was designed to exclude Praluent from the market in violation of federal and state laws. The lawsuit seeks damages for harm caused by the alleged scheme, as well as injunctive relief restraining Amgen from continuing its alleged anticompetitive conduct. A trial was held in May 2025. On May 15, 2025, the jury reached a verdict in Regeneron's favor on nine of the ten counts submitted to it and awarded Regeneron $135.6 million in compensatory damages and $271.2 million in punitive damages. On June 20, 2025, Amgen filed a post-trial motion for judgment as a matter of law or, in the alternative, for a new trial. Also on June 20, 2025, the Company filed a post-trial motion for (i) permanent injunctive relief, (ii) a constructive trust, and (iii) prejudgment interest. An oral hearing on Amgen's and Regeneron's respective post-trial motions was held on August 27, 2025.</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Department of Justice Matters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24, 2020, the U.S. Attorney's Office for the District of Massachusetts filed a civil complaint in the U.S. District Court for the District of Massachusetts alleging violations of the federal Anti-Kickback Statute and asserting causes of action under the federal False Claims Act and state law (the "June 2020 Civil Complaint") relating to the Company's support of 501(c)(3) organizations that provide financial assistance to patients. On September 27, 2023, the court (i) denied in part and granted in part the Company's motion for summary judgment and (ii) denied in its entirety the motion for partial summary judgment filed by the U.S. Attorney's Office for the District of Massachusetts. On October 25, 2023, the court certified for interlocutory appeal a portion of the court's September 27, 2023 order that addressed the causation standard applicable to the alleged violations of the federal Anti-Kickback Statute and federal False Claims Act. On February 18, 2025, the U.S. Court of Appeals for the First Circuit affirmed the portion of the court's September 27, 2023 order that had been certified for interlocutory appeal. On October 1, 2025, the U.S. Attorney's Office for the District of Massachusetts filed a second motion for partial summary judgment.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3, 2021, the United States District Court for the Central District of California unsealed a qui tam complaint (as amended on October 29, 2021) filed against the Company, Regeneron Healthcare Solutions, Inc., and Sanofi-Aventis U.S. LLC by two qui tam plaintiffs (known as relators) purportedly on behalf of the United States and various states (the "State Plaintiffs"). The amended complaint alleges violations of the federal Anti-Kickback Statute and asserts causes of action under the federal False Claims Act and state law relating to allegedly unlawful remuneration and assistance provided to prescribers. Also on June 3, 2021, the United States and the State Plaintiffs notified the court of their decision to decline to intervene in the case. On January 14, 2022, the Company filed a motion to dismiss the amended complaint in its entirety. On July 25, 2023, the court granted in part and denied in part the Company's motion to dismiss. On September 1, 2023, the Company filed a second motion to dismiss the amended complaint or, in the alternative, a motion for judgment on the pleadings. On July 31, 2024 and August 15, 2024, respectively, the District Court granted the Company's second motion to dismiss the amended complaint with respect to the remaining causes of action under federal law and declined to exercise supplemental jurisdiction over the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remaining causes of action under state law. On August 26, 2024, the qui tam plaintiffs filed a notice of appeal. Oral argument on the appeal was held on November 18, 2025.</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2021, the Company received a civil investigative demand ("CID") from the U.S. Department of Justice pursuant to the federal False Claims Act relating to, among other things, alleged inflated reimbursement rates for EYLEA by excluding applicable discounts, rebates, and benefits from the average sales price reported to the Centers for Medicare &amp; Medicaid Services. On March 28, 2024, the U.S. District Court for the District of Massachusetts unsealed a qui tam complaint against the Company and others by two qui tam plaintiffs, purportedly on behalf of the United States and various states and municipalities, asserting causes of action under the federal False Claims Act and state and local laws, and alleging violations of the federal Anti-Kickback statute related to, among other things, the alleged conduct described above. Also on March 28, 2024, the U.S. Department of Justice and the U.S. Attorney's Office for the District of Massachusetts filed a civil complaint in partial intervention (the "March 2024 Civil Complaint") of the qui tam action, in the same court, asserting causes of action under the federal False Claims Act and a claim for unjust enrichment related to the alleged conduct described above. On June 25, 2024, the States of Colorado, Georgia, Michigan, North Carolina, Texas, and Washington filed a civil complaint in partial intervention (the "June 2024 Civil Complaint") in the same court asserting causes of action under various state laws related to the same alleged conduct. On April 29, 2025, the court denied the Company's motion to dismiss the March 2024 Civil Complaint and the June 2024 Civil Complaint. On June 18, 2025, the States of Maine, Nebraska, Ohio, Oregon, and Wyoming intervened in the action and filed a consolidated complaint asserting causes of action under their respective state laws.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Proceedings Initiated by Other Payors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party to several lawsuits relating to the conduct alleged in the June 2020 Civil Complaint discussed under "d. Department of Justice Matters" above. These lawsuits were filed by UnitedHealthcare Insurance Company and United Healthcare Services, Inc. (collectively, "UHC") and Humana Inc. ("Humana") in the SDNY on December 17, 2020 and July 22, 2021, respectively; and by Blue Cross and Blue Shield of Massachusetts, Inc. and Blue Cross and Blue Shield of Massachusetts HMO Blue, Inc. (collectively, "BCBS"), Medical Mutual of Ohio ("MMO"), Horizon Healthcare Services, Inc. d/b/a Horizon Blue Cross Blue Shield of New Jersey ("Horizon"), and Local 464A United Food and Commercial Workers Union Welfare Service Benefit Fund ("Local 464A") in the U.S. District Court for the District of Massachusetts on December 20, 2021, February 23, 2022, April 4, 2022, and June 17, 2022, respectively. These lawsuits allege causes of action under state law and the federal Racketeer Influenced and Corrupt Organizations Act ("RICO") and seek monetary damages and equitable relief. The MMO and Local 464A lawsuits are putative class action lawsuits. On December 29, 2021, the lawsuits filed by UHC and Humana were stayed by the SDNY pending resolution of the proceedings before the U.S. District Court for the District of Massachusetts concerning the allegations in the June 2020 Civil Complaint. On September 27, 2022, the lawsuits filed by BCBS, MMO, and Horizon were stayed by the U.S. District Court for the District of Massachusetts pending resolution of the proceedings before the same court concerning the allegations in the June 2020 Civil Complaint; and, in light of these stays, the parties to the Local 464A action have also agreed to stay that matter.</w:t>
      </w:r>
    </w:p>
    <w:p>
      <w:pPr>
        <w:spacing w:after="0" w:line="1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24, 2024, a group of plaintiffs purporting to be assignees of claims by various Medicare Advantage plans and related entities filed a putative class action complaint in the U.S. District Court for the District of Columbia on behalf of Medicare Advantage plans and other payors. The lawsuit relates to the conduct alleged in the June 2020 Civil Complaint, March 2024 Civil Complaint, and June 2024 Civil Complaint discussed under "d. Department of Justice Matters" above. The lawsuit alleges causes of action under state law and RICO and seeks monetary damages and equitable relief. On October 22, 2024, the Company filed a motion to transfer the proceedings to the U.S. District Court for the District of Massachusetts or, in the alternative, to stay the proceedings or dismiss the proceedings. On January 28, 2025, pursuant to a stipulation among the parties, the proceedings were transferred to the U.S. District Court for the District of Massachusetts. On February 1, 2025, the parties jointly filed a stipulation to stay the action pending resolution of the proceedings before the same court concerning the allegations in the June 2020 Civil Complaint.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Shareholder Derivative Complaint – Department of Justice June 2020 Civil Complaint Matters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29, 2021, an alleged shareholder filed a shareholder derivative complaint in the Supreme Court of the State of New York (the "NY Supreme Court"), naming the then-current and certain former members of the Company's board of directors and certain then-current and former executive officers of the Company as defendants and Regeneron as a nominal defendant. The complaint asserts that the individual defendants breached their fiduciary duties in relation to the allegations in the June 2020 Civil Complaint discussed under "d. Department of Justice Matters" above. The complaint seeks an award of damages allegedly sustained by the Company; an order requiring Regeneron to take all necessary actions to reform and improve its corporate governance and internal procedures; disgorgement from the individual defendants of all profits and benefits obtained by them resulting from their sales of Regeneron stock; and costs and disbursements of the action, including attorneys' fees. On July 28, 2021, the defendants filed a notice of removal, removing the case from the NY Supreme Court to the SDNY. On September 23, 2021, the plaintiff moved to remand the case to the NY Supreme Court. Also on September 23, 2021, the individual defendants moved to dismiss the complaint in its entirety. On December 19, 2022, the SDNY denied the plaintiff's motion to remand the case and granted a motion to stay the case pending resolution of the proceedings before the U.S. District Court for the District of Massachusetts concerning the allegations in the June 2020 Civil Complaint. As a result of the stay, the court also terminated the Company's motion to dismiss the complaint without prejudice. The Company can therefore renew the motion to dismiss upon conclusion of the stay.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Shareholder Derivative Complaints – Department of Justice March 2024 Civil Complaint Matters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2025, various purported shareholders of the Company filed several shareholder derivative complaints in the SDNY or the NY Supreme Court against members of the Company's board of directors and certain current and former executive officers of the Company as defendants and Regeneron as a nominal defendant. The complaints allege that the individual defendants, among other things, breached their fiduciary duties to the Company by failing to properly manage and oversee the Company in connection with the conduct alleged in the March 2024 Civil Complaint discussed under "d. Department of Justice Matters" above, and one lawsuit also alleges a breach of fiduciary duty relating to the conduct alleged in the second amended putative class action civil complaint discussed under "i. Class Action Civil Complaint" below. The complaints also allege that the individual defendants breached the federal securities laws, wasted corporate assets, and unjustly enriched themselves at the expense of the Company. The complaints seek, among other things, an award of damages allegedly sustained by the Company as a result of the alleged misconduct of the individual defendants; an order requiring the individual defendants to take all necessary actions to reform and improve the Company's corporate governance and internal procedures; and costs and disbursements of the applicable action, including attorneys' fees. The cases filed in the SDNY were consolidated and stayed pending resolution of the motion to dismiss filed in the putative class action discussed under "i. Class Action Civil Complaint" below. The shareholder derivative complaints filed in the NY Supreme Court were removed to the SDNY, and the purported shareholders filed motions to remand. On March 16, 2026, the SDNY denied the motions to remand and consolidated the cases with the other shareholder derivative lawsuits pending in the SDNY (which, as noted above, are subject to a stay).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Shareholder Derivative Complaint – Director Compensation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22, 2025, an alleged shareholder filed a shareholder derivative complaint in the NY Supreme Court, naming the current non-employee members of our board of directors, and the co-Chairs of our board of directors (who also serve as our President and Chief Executive Officer and our President and Chief Scientific Officer, respectively) as defendants and Regeneron as a nominal defendant. The complaint asserts that the individual defendants breached their fiduciary duties and/or were unjustly enriched when they approved and/or received allegedly excessive non-employee director compensation in 2024 and 2025, and that this allegedly excessive compensation was a waste of corporate assets. The complaint seeks damages in favor of Regeneron for the alleged breaches of fiduciary duties, unjust enrichment, and waste of corporate assets; improvements to Regeneron's corporate governance and internal procedures; equitable relief, including restitution from the individual defendants; and award of the costs of the action, including attorneys' fees. An oral hearing on the Company's motion to dismiss the complaint was held on April 17, 2026.</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Class Action Civil Complaint</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7, 2025 (as amended on September 8, 2025 and October 30, 2025), a purported shareholder filed a putative class action civil complaint, on behalf of himself and all others similarly situated, in the SDNY against the Company and certain current and former executive officers of the Company. The second amended complaint asserts violations of federal securities laws in connection with statements or disclosures purportedly related to the conduct alleged in the March 2024 Civil Complaint discussed under "d. Department of Justice Matters" above as well as allegations relating to the launch of EYLEA HD. On July 10, 2025, the court appointed a lead plaintiff and lead counsel for the action. On November 17, 2025, the Company filed a motion to dismiss the second amended complaint.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Sanofi Litigation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18, 2024, the Company filed a lawsuit (as amended on December 20, 2024) in the SDNY against Sanofi and certain of its affiliated entities (collectively, "Sanofi"). The lawsuit alleges that the defendants breached certain provisions of the parties' Amended and Restated License and Collaboration Agreement, dated as of November 10, 2009 (as amended, the "Collaboration Agreement"), concerning Sanofi's obligation to provide Regeneron with full access to material information relating to the commercialization of Dupixent or other products commercialized pursuant to the Collaboration Agreement and Regeneron's audit rights under the Collaboration Agreement. The lawsuit seeks a declaratory judgment, injunctive relief, damages, and other relief. On March 17, 2026, the court denied Sanofi's motion to dismiss the complaint.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Dupixent Product Liability Litigation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2025, a number of product liability lawsuits have been filed in various U.S. district and state courts against the Company and certain of Sanofi's affiliated entities claiming that Dupixent either caused or exacerbated the patients' T-cell lymphoma, and asserting causes of action under various state laws. On February 13, 2026, several of the plaintiffs filed a motion with the United States Judicial Panel on Multidistrict Litigation seeking to consolidate these lawsuits for coordinated pretrial proceedings.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risks and uncertainties relating to future events and the future performance of Regeneron Pharmaceuticals, Inc. (where applicable, together with its subsidiaries,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w:t>
      </w:r>
    </w:p>
    <w:p>
      <w:pPr>
        <w:spacing w:after="0" w:line="106" w:lineRule="exact"/>
        <w:rPr>
          <w:sz w:val="20"/>
          <w:szCs w:val="20"/>
          <w:color w:val="auto"/>
        </w:rPr>
      </w:pPr>
    </w:p>
    <w:p>
      <w:pPr>
        <w:jc w:val="both"/>
        <w:ind w:left="660" w:hanging="328"/>
        <w:spacing w:after="0" w:line="247"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competing products and product candidates (including biosimilar products) that may be superior to, or more cost effective than, products marketed or otherwise commercialized by Regeneron and/or its collaborators or licensees (collectively, "Regeneron's Products") and product candidates being developed by Regeneron and/or its collaborators or licensees (collectively, "Regeneron's Product Candidates");</w:t>
      </w:r>
    </w:p>
    <w:p>
      <w:pPr>
        <w:spacing w:after="0" w:line="2" w:lineRule="exact"/>
        <w:rPr>
          <w:rFonts w:ascii="Times New Roman" w:cs="Times New Roman" w:eastAsia="Times New Roman" w:hAnsi="Times New Roman"/>
          <w:sz w:val="18"/>
          <w:szCs w:val="18"/>
          <w:i w:val="1"/>
          <w:iCs w:val="1"/>
          <w:color w:val="auto"/>
        </w:rPr>
      </w:pPr>
    </w:p>
    <w:p>
      <w:pPr>
        <w:jc w:val="both"/>
        <w:ind w:left="660" w:hanging="328"/>
        <w:spacing w:after="0" w:line="239"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or other factors beyond Regeneron's control on the commercial success of Regeneron's Products and Regeneron's Product Candidates;</w:t>
      </w:r>
    </w:p>
    <w:p>
      <w:pPr>
        <w:jc w:val="both"/>
        <w:ind w:left="660" w:hanging="328"/>
        <w:spacing w:after="0"/>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nature, timing, and possible success and therapeutic applications of Regeneron's Products and Regeneron's Product Candidates and research and clinical programs now underway or planned, including without limitation those discussed or referenced in this report, Regeneron's and its collaborators' earlier-stage programs, and the use of human genetics in Regeneron's research programs;</w:t>
      </w:r>
    </w:p>
    <w:p>
      <w:pPr>
        <w:ind w:left="660" w:hanging="328"/>
        <w:spacing w:after="0" w:line="234" w:lineRule="auto"/>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likelihood and timing of achieving any of our anticipated development milestones referenced in this report;</w:t>
      </w:r>
    </w:p>
    <w:p>
      <w:pPr>
        <w:ind w:left="660" w:hanging="328"/>
        <w:spacing w:after="0" w:line="242"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safety issues resulting from the administration of Regeneron's Products and Regeneron's Product Candidates in patients, including serious complications or side effects in connection with the use of Regeneron's Products and Regeneron's Product Candidates in clinical trials;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41"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likelihood, timing, and scope of possible regulatory approval and commercial launch of Regeneron's Product Candidates and new indications for Regeneron's Products, including without limitation those discussed or referenced in this report;</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35"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extent to which the results from the research and development programs conducted by us and/or our collaborators may be replicated in other studies and/or lead to advancement of product candidates to clinical trials, therapeutic applications, or regulatory approval;</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42"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ongoing regulatory obligations and oversight impacting Regeneron's Products, research and clinical programs, and business, including those relating to patient privacy;</w:t>
      </w:r>
    </w:p>
    <w:p>
      <w:pPr>
        <w:spacing w:after="0" w:line="1" w:lineRule="exact"/>
        <w:rPr>
          <w:rFonts w:ascii="Times New Roman" w:cs="Times New Roman" w:eastAsia="Times New Roman" w:hAnsi="Times New Roman"/>
          <w:sz w:val="18"/>
          <w:szCs w:val="18"/>
          <w:i w:val="1"/>
          <w:iCs w:val="1"/>
          <w:color w:val="auto"/>
        </w:rPr>
      </w:pPr>
    </w:p>
    <w:p>
      <w:pPr>
        <w:ind w:left="660" w:right="20" w:hanging="328"/>
        <w:spacing w:after="0" w:line="241"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determinations by regulatory and administrative governmental authorities which may delay or restrict our ability to continue to develop or commercialize Regeneron's Products and Regeneron's Product Candidates;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35"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manufacture and manage supply chains for multiple products and product candidates and risks associated with tariffs and other trade restrictions;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41"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ability of our collaborators, suppliers, or other third parties (as applicable) to perform manufacturing, filling, finishing, packaging, labeling, distribution, and other steps related to Regeneron's Products and Regeneron's Product Candidates;</w:t>
      </w:r>
    </w:p>
    <w:p>
      <w:pPr>
        <w:spacing w:after="0" w:line="1" w:lineRule="exact"/>
        <w:rPr>
          <w:rFonts w:ascii="Times New Roman" w:cs="Times New Roman" w:eastAsia="Times New Roman" w:hAnsi="Times New Roman"/>
          <w:sz w:val="18"/>
          <w:szCs w:val="18"/>
          <w:i w:val="1"/>
          <w:iCs w:val="1"/>
          <w:color w:val="auto"/>
        </w:rPr>
      </w:pPr>
    </w:p>
    <w:p>
      <w:pPr>
        <w:jc w:val="both"/>
        <w:ind w:left="660" w:right="20" w:hanging="328"/>
        <w:spacing w:after="0"/>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availability and extent of reimbursement or copay assistance for Regeneron's Products from third-party payors and other third parties, including private payor healthcare and insurance programs, health maintenance organizations, pharmacy benefit management companies, and government programs such as Medicare and Medicaid;</w:t>
      </w:r>
    </w:p>
    <w:p>
      <w:pPr>
        <w:ind w:left="660" w:hanging="328"/>
        <w:spacing w:after="0" w:line="235"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coverage and reimbursement determinations by such payors and other third parties and new policies and procedures adopted by such payors and other third parties;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42"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to drug pricing regulations and requirements and our drug pricing strategy, including in connection with our April 2026 agreements with the U.S. government discussed in this report;</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34" w:lineRule="auto"/>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changes in laws, regulations, and policies affecting the healthcare industry;</w:t>
      </w: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costs of developing, producing, and selling products or unanticipated expenses;</w:t>
      </w:r>
    </w:p>
    <w:p>
      <w:pPr>
        <w:spacing w:after="0" w:line="7" w:lineRule="exact"/>
        <w:rPr>
          <w:rFonts w:ascii="Times New Roman" w:cs="Times New Roman" w:eastAsia="Times New Roman" w:hAnsi="Times New Roman"/>
          <w:sz w:val="18"/>
          <w:szCs w:val="18"/>
          <w:i w:val="1"/>
          <w:iCs w:val="1"/>
          <w:color w:val="auto"/>
        </w:rPr>
      </w:pPr>
    </w:p>
    <w:p>
      <w:pPr>
        <w:ind w:left="660" w:hanging="328"/>
        <w:spacing w:after="0" w:line="236" w:lineRule="auto"/>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meet any of our financial projections or guidance and changes to the assumptions underlying those projections or guidance;</w:t>
      </w:r>
    </w:p>
    <w:p>
      <w:pPr>
        <w:ind w:left="660" w:hanging="328"/>
        <w:spacing w:after="0" w:line="241"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potential for any license or collaboration agreement, including our agreements with Sanofi and Bayer (or their respective affiliated companies, as applicable), to be cancelled or terminated;</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36" w:lineRule="auto"/>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public health outbreaks, epidemics, or pandemics on our business; and</w:t>
      </w:r>
    </w:p>
    <w:p>
      <w:pPr>
        <w:jc w:val="both"/>
        <w:ind w:left="660" w:hanging="328"/>
        <w:spacing w:after="0"/>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litigation and other proceedings and government investigations relating to the Company and/or its operations (including without limitation those described in Note 12 to our Condensed Consolidated Financial Statements included in this report), risks associated with intellectual property of other parties and pending or future litigation relating thereto (including without limitation the patent litigation and other related proceedings described further in Note 12 to our Condensed Consolidated Financial Statements included in this report), the ultimate outcome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7" w:lineRule="exact"/>
        <w:rPr>
          <w:sz w:val="20"/>
          <w:szCs w:val="20"/>
          <w:color w:val="auto"/>
        </w:rPr>
      </w:pPr>
    </w:p>
    <w:p>
      <w:pPr>
        <w:ind w:left="660"/>
        <w:spacing w:after="0" w:line="268" w:lineRule="auto"/>
        <w:rPr>
          <w:sz w:val="20"/>
          <w:szCs w:val="20"/>
          <w:color w:val="auto"/>
        </w:rPr>
      </w:pPr>
      <w:r>
        <w:rPr>
          <w:rFonts w:ascii="Times New Roman" w:cs="Times New Roman" w:eastAsia="Times New Roman" w:hAnsi="Times New Roman"/>
          <w:sz w:val="18"/>
          <w:szCs w:val="18"/>
          <w:i w:val="1"/>
          <w:iCs w:val="1"/>
          <w:color w:val="auto"/>
        </w:rPr>
        <w:t>of any such proceedings and investigations, and the impact any of the foregoing may have on our business, prospects, operating results, and financial condition.</w:t>
      </w:r>
    </w:p>
    <w:p>
      <w:pPr>
        <w:spacing w:after="0" w:line="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These statements are made based on management's current beliefs and judgment, and the reader is cautioned not to rely on any such statements. In evaluating such statements, shareholders and potential investors should specifically consider the various factors identified under Part II, Item 1A. "Risk Factors," which could cause actual events and results to differ materially from those indicated by such forward-looking statements. We do not undertake any obligation to update (publicly or otherwise) any forward-looking statement, whether as a result of new information, future events, or otherwise.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Regeneron Pharmaceuticals, Inc. is a fully integrated biotechnology company that invents, develops, manufactures, and commercializes medicines for people with serious diseases. Our products and product candidates in development are designed to help patients with eye diseases, allergic and inflammatory diseases, cancer, cardiovascular and metabolic diseases, neurological diseases, hematologic conditions, infectious diseases, and rare diseases.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core business strategy is to maintain a strong foundation in scientific research and drug development using our proprietary technologies, and to build on that foundation with our clinical development, manufacturing, and commercial capabilities. Our objective is to continue to advance as an integrated, multi-product biotechnology company that provides patients and medical professionals with important medicines for preventing and treating human diseases.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Selected financial information is summarized as follows: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51"/>
        </w:trPr>
        <w:tc>
          <w:tcPr>
            <w:tcW w:w="2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25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60" w:type="dxa"/>
            <w:vAlign w:val="bottom"/>
            <w:tcBorders>
              <w:bottom w:val="single" w:sz="8" w:color="auto"/>
            </w:tcBorders>
          </w:tcPr>
          <w:p>
            <w:pPr>
              <w:spacing w:after="0"/>
              <w:rPr>
                <w:sz w:val="20"/>
                <w:szCs w:val="20"/>
                <w:color w:val="auto"/>
              </w:rPr>
            </w:pPr>
          </w:p>
        </w:tc>
      </w:tr>
      <w:tr>
        <w:trPr>
          <w:trHeight w:val="228"/>
        </w:trPr>
        <w:tc>
          <w:tcPr>
            <w:tcW w:w="2580" w:type="dxa"/>
            <w:vAlign w:val="bottom"/>
          </w:tcPr>
          <w:p>
            <w:pPr>
              <w:spacing w:after="0"/>
              <w:rPr>
                <w:sz w:val="19"/>
                <w:szCs w:val="19"/>
                <w:color w:val="auto"/>
              </w:rPr>
            </w:pPr>
          </w:p>
        </w:tc>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23"/>
        </w:trPr>
        <w:tc>
          <w:tcPr>
            <w:tcW w:w="258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3,028.7</w:t>
            </w:r>
          </w:p>
        </w:tc>
      </w:tr>
      <w:tr>
        <w:trPr>
          <w:trHeight w:val="229"/>
        </w:trPr>
        <w:tc>
          <w:tcPr>
            <w:tcW w:w="258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w:t>
            </w:r>
          </w:p>
        </w:tc>
      </w:tr>
      <w:tr>
        <w:trPr>
          <w:trHeight w:val="230"/>
        </w:trPr>
        <w:tc>
          <w:tcPr>
            <w:tcW w:w="258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this report, references to our products encompass products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Products that have received marketing approval are summarized in the table below. Certain products have also received marketing approval in countries outside the United States, European Union ("EU"), or Japan.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Territory</w:t>
            </w:r>
          </w:p>
        </w:tc>
        <w:tc>
          <w:tcPr>
            <w:tcW w:w="9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60" w:type="dxa"/>
            <w:vAlign w:val="bottom"/>
          </w:tcPr>
          <w:p>
            <w:pPr>
              <w:spacing w:after="0"/>
              <w:rPr>
                <w:sz w:val="20"/>
                <w:szCs w:val="20"/>
                <w:color w:val="auto"/>
              </w:rPr>
            </w:pPr>
          </w:p>
        </w:tc>
        <w:tc>
          <w:tcPr>
            <w:tcW w:w="384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Borders>
              <w:bottom w:val="single" w:sz="8" w:color="CCEEFF"/>
            </w:tcBorders>
          </w:tcPr>
          <w:p>
            <w:pPr>
              <w:spacing w:after="0"/>
              <w:rPr>
                <w:sz w:val="20"/>
                <w:szCs w:val="20"/>
                <w:color w:val="auto"/>
              </w:rPr>
            </w:pPr>
          </w:p>
        </w:tc>
        <w:tc>
          <w:tcPr>
            <w:tcW w:w="39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EU</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Japan</w:t>
            </w:r>
          </w:p>
        </w:tc>
        <w:tc>
          <w:tcPr>
            <w:tcW w:w="4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 HD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(aflibercept) Injection 8 mg</w:t>
            </w:r>
            <w:r>
              <w:rPr>
                <w:rFonts w:ascii="Times New Roman" w:cs="Times New Roman" w:eastAsia="Times New Roman" w:hAnsi="Times New Roman"/>
                <w:sz w:val="23"/>
                <w:szCs w:val="23"/>
                <w:color w:val="auto"/>
                <w:vertAlign w:val="superscript"/>
              </w:rPr>
              <w:t>(a)</w:t>
            </w:r>
          </w:p>
        </w:tc>
        <w:tc>
          <w:tcPr>
            <w:tcW w:w="12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Wet age-related macular degeneration ("wAMD")</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Diabetic macular edema ("DME")</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Diabetic retinopathy ("DR")</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69"/>
        </w:trPr>
        <w:tc>
          <w:tcPr>
            <w:tcW w:w="60" w:type="dxa"/>
            <w:vAlign w:val="bottom"/>
          </w:tcPr>
          <w:p>
            <w:pPr>
              <w:spacing w:after="0"/>
              <w:rPr>
                <w:sz w:val="14"/>
                <w:szCs w:val="14"/>
                <w:color w:val="auto"/>
              </w:rPr>
            </w:pPr>
          </w:p>
        </w:tc>
        <w:tc>
          <w:tcPr>
            <w:tcW w:w="3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9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Macular edema following retinal vein occlusion</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right="120"/>
              <w:spacing w:after="0" w:line="169" w:lineRule="exact"/>
              <w:rPr>
                <w:sz w:val="20"/>
                <w:szCs w:val="20"/>
                <w:color w:val="auto"/>
              </w:rPr>
            </w:pPr>
            <w:r>
              <w:rPr>
                <w:rFonts w:ascii="Webdings" w:cs="Webdings" w:eastAsia="Webdings" w:hAnsi="Webdings"/>
                <w:sz w:val="18"/>
                <w:szCs w:val="18"/>
                <w:b w:val="1"/>
                <w:bCs w:val="1"/>
                <w:color w:val="auto"/>
                <w:w w:val="99"/>
              </w:rPr>
              <w:t>a</w:t>
            </w:r>
          </w:p>
        </w:tc>
        <w:tc>
          <w:tcPr>
            <w:tcW w:w="1100" w:type="dxa"/>
            <w:vAlign w:val="bottom"/>
            <w:gridSpan w:val="2"/>
            <w:shd w:val="clear" w:color="auto" w:fill="CCEEFF"/>
          </w:tcPr>
          <w:p>
            <w:pPr>
              <w:jc w:val="center"/>
              <w:ind w:right="120"/>
              <w:spacing w:after="0" w:line="169"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239"/>
        </w:trPr>
        <w:tc>
          <w:tcPr>
            <w:tcW w:w="60" w:type="dxa"/>
            <w:vAlign w:val="bottom"/>
          </w:tcPr>
          <w:p>
            <w:pPr>
              <w:spacing w:after="0"/>
              <w:rPr>
                <w:sz w:val="20"/>
                <w:szCs w:val="20"/>
                <w:color w:val="auto"/>
              </w:rPr>
            </w:pPr>
          </w:p>
        </w:tc>
        <w:tc>
          <w:tcPr>
            <w:tcW w:w="38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("RVO")</w:t>
            </w: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7"/>
        </w:trPr>
        <w:tc>
          <w:tcPr>
            <w:tcW w:w="60" w:type="dxa"/>
            <w:vAlign w:val="bottom"/>
          </w:tcPr>
          <w:p>
            <w:pPr>
              <w:spacing w:after="0"/>
              <w:rPr>
                <w:sz w:val="19"/>
                <w:szCs w:val="19"/>
                <w:color w:val="auto"/>
              </w:rPr>
            </w:pPr>
          </w:p>
        </w:tc>
        <w:tc>
          <w:tcPr>
            <w:tcW w:w="384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(aflibercept) Injection</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19"/>
                <w:szCs w:val="19"/>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wAMD</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DME</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DR</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RVO</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Myopic choroidal neovascularization ("mCNV")</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228"/>
        </w:trPr>
        <w:tc>
          <w:tcPr>
            <w:tcW w:w="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Neovascular glaucoma ("NVG")</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60"/>
              <w:spacing w:after="0"/>
              <w:rPr>
                <w:sz w:val="20"/>
                <w:szCs w:val="20"/>
                <w:color w:val="auto"/>
              </w:rPr>
            </w:pPr>
            <w:r>
              <w:rPr>
                <w:rFonts w:ascii="Webdings" w:cs="Webdings" w:eastAsia="Webdings" w:hAnsi="Webdings"/>
                <w:sz w:val="18"/>
                <w:szCs w:val="18"/>
                <w:b w:val="1"/>
                <w:bCs w:val="1"/>
                <w:color w:val="auto"/>
                <w:w w:val="88"/>
              </w:rPr>
              <w:t>a</w:t>
            </w:r>
          </w:p>
        </w:tc>
      </w:tr>
      <w:tr>
        <w:trPr>
          <w:trHeight w:val="36"/>
        </w:trPr>
        <w:tc>
          <w:tcPr>
            <w:tcW w:w="60" w:type="dxa"/>
            <w:vAlign w:val="bottom"/>
          </w:tcPr>
          <w:p>
            <w:pPr>
              <w:spacing w:after="0"/>
              <w:rPr>
                <w:sz w:val="3"/>
                <w:szCs w:val="3"/>
                <w:color w:val="auto"/>
              </w:rPr>
            </w:pPr>
          </w:p>
        </w:tc>
        <w:tc>
          <w:tcPr>
            <w:tcW w:w="3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64"/>
        </w:trPr>
        <w:tc>
          <w:tcPr>
            <w:tcW w:w="60" w:type="dxa"/>
            <w:vAlign w:val="bottom"/>
          </w:tcPr>
          <w:p>
            <w:pPr>
              <w:spacing w:after="0"/>
              <w:rPr>
                <w:sz w:val="22"/>
                <w:szCs w:val="22"/>
                <w:color w:val="auto"/>
              </w:rPr>
            </w:pPr>
          </w:p>
        </w:tc>
        <w:tc>
          <w:tcPr>
            <w:tcW w:w="3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Retinopathy of prematurity ("ROP")</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22"/>
                <w:szCs w:val="22"/>
                <w:color w:val="auto"/>
              </w:rPr>
            </w:pPr>
          </w:p>
        </w:tc>
      </w:tr>
      <w:tr>
        <w:trPr>
          <w:trHeight w:val="952"/>
        </w:trPr>
        <w:tc>
          <w:tcPr>
            <w:tcW w:w="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020" w:type="dxa"/>
            <w:vAlign w:val="bottom"/>
            <w:gridSpan w:val="2"/>
          </w:tcPr>
          <w:p>
            <w:pPr>
              <w:jc w:val="right"/>
              <w:ind w:right="211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8"/>
        </w:trPr>
        <w:tc>
          <w:tcPr>
            <w:tcW w:w="6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Territory</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60" w:type="dxa"/>
            <w:vAlign w:val="bottom"/>
          </w:tcPr>
          <w:p>
            <w:pPr>
              <w:spacing w:after="0"/>
              <w:rPr>
                <w:sz w:val="20"/>
                <w:szCs w:val="20"/>
                <w:color w:val="auto"/>
              </w:rPr>
            </w:pPr>
          </w:p>
        </w:tc>
        <w:tc>
          <w:tcPr>
            <w:tcW w:w="384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 xml:space="preserve">Product </w:t>
            </w:r>
            <w:r>
              <w:rPr>
                <w:rFonts w:ascii="Times New Roman" w:cs="Times New Roman" w:eastAsia="Times New Roman" w:hAnsi="Times New Roman"/>
                <w:sz w:val="18"/>
                <w:szCs w:val="18"/>
                <w:b w:val="1"/>
                <w:bCs w:val="1"/>
                <w:i w:val="1"/>
                <w:iCs w:val="1"/>
                <w:color w:val="auto"/>
              </w:rPr>
              <w:t>(continued)</w:t>
            </w:r>
          </w:p>
        </w:tc>
        <w:tc>
          <w:tcPr>
            <w:tcW w:w="120" w:type="dxa"/>
            <w:vAlign w:val="bottom"/>
          </w:tcPr>
          <w:p>
            <w:pPr>
              <w:spacing w:after="0"/>
              <w:rPr>
                <w:sz w:val="20"/>
                <w:szCs w:val="20"/>
                <w:color w:val="auto"/>
              </w:rPr>
            </w:pPr>
          </w:p>
        </w:tc>
        <w:tc>
          <w:tcPr>
            <w:tcW w:w="390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EU</w:t>
            </w:r>
          </w:p>
        </w:tc>
        <w:tc>
          <w:tcPr>
            <w:tcW w:w="120" w:type="dxa"/>
            <w:vAlign w:val="bottom"/>
          </w:tcPr>
          <w:p>
            <w:pPr>
              <w:spacing w:after="0"/>
              <w:rPr>
                <w:sz w:val="20"/>
                <w:szCs w:val="20"/>
                <w:color w:val="auto"/>
              </w:rPr>
            </w:pP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Japan</w:t>
            </w:r>
          </w:p>
        </w:tc>
      </w:tr>
      <w:tr>
        <w:trPr>
          <w:trHeight w:val="178"/>
        </w:trPr>
        <w:tc>
          <w:tcPr>
            <w:tcW w:w="60" w:type="dxa"/>
            <w:vAlign w:val="bottom"/>
          </w:tcPr>
          <w:p>
            <w:pPr>
              <w:spacing w:after="0"/>
              <w:rPr>
                <w:sz w:val="15"/>
                <w:szCs w:val="15"/>
                <w:color w:val="auto"/>
              </w:rPr>
            </w:pPr>
          </w:p>
        </w:tc>
        <w:tc>
          <w:tcPr>
            <w:tcW w:w="3840" w:type="dxa"/>
            <w:vAlign w:val="bottom"/>
            <w:tcBorders>
              <w:top w:val="single" w:sz="8" w:color="auto"/>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Dupixent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(dupilumab) Injection</w:t>
            </w:r>
            <w:r>
              <w:rPr>
                <w:rFonts w:ascii="Times New Roman" w:cs="Times New Roman" w:eastAsia="Times New Roman" w:hAnsi="Times New Roman"/>
                <w:sz w:val="20"/>
                <w:szCs w:val="20"/>
                <w:color w:val="auto"/>
                <w:vertAlign w:val="superscript"/>
              </w:rPr>
              <w:t>(b)</w:t>
            </w:r>
          </w:p>
        </w:tc>
        <w:tc>
          <w:tcPr>
            <w:tcW w:w="120" w:type="dxa"/>
            <w:vAlign w:val="bottom"/>
            <w:tcBorders>
              <w:top w:val="single" w:sz="8" w:color="CCEEFF"/>
            </w:tcBorders>
            <w:shd w:val="clear" w:color="auto" w:fill="CCEEFF"/>
          </w:tcPr>
          <w:p>
            <w:pPr>
              <w:spacing w:after="0"/>
              <w:rPr>
                <w:sz w:val="15"/>
                <w:szCs w:val="15"/>
                <w:color w:val="auto"/>
              </w:rPr>
            </w:pPr>
          </w:p>
        </w:tc>
        <w:tc>
          <w:tcPr>
            <w:tcW w:w="3900" w:type="dxa"/>
            <w:vAlign w:val="bottom"/>
            <w:tcBorders>
              <w:top w:val="single" w:sz="8" w:color="auto"/>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Atopic dermatitis (in patients aged 6 months and</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older)</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Asthma (in patients aged 6 years and older)</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178"/>
        </w:trPr>
        <w:tc>
          <w:tcPr>
            <w:tcW w:w="60" w:type="dxa"/>
            <w:vAlign w:val="bottom"/>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9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Chronic rhinosinusitis with nasal polyposis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("CRSwNP") (in adults)</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CRSwNP (in adolescents)</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Chronic obstructive pulmonary disease ("COPD")</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178"/>
        </w:trPr>
        <w:tc>
          <w:tcPr>
            <w:tcW w:w="60" w:type="dxa"/>
            <w:vAlign w:val="bottom"/>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9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Eosinophilic esophagitis ("EoE") (in patients aged 1</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and older)</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Prurigo nodularis</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210"/>
        </w:trPr>
        <w:tc>
          <w:tcPr>
            <w:tcW w:w="6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Chronic spontaneous urticaria ("CSU") (in adults and</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adolescents)</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CSU (in pediatrics 2–11 years of age)</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Bullous pemphigoid</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178"/>
        </w:trPr>
        <w:tc>
          <w:tcPr>
            <w:tcW w:w="60" w:type="dxa"/>
            <w:vAlign w:val="bottom"/>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9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Allergic fungal rhinosinusitis ("AFRS") (in patients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aged 6 years and older)</w:t>
            </w: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09"/>
        </w:trPr>
        <w:tc>
          <w:tcPr>
            <w:tcW w:w="60" w:type="dxa"/>
            <w:vAlign w:val="bottom"/>
          </w:tcPr>
          <w:p>
            <w:pPr>
              <w:spacing w:after="0"/>
              <w:rPr>
                <w:sz w:val="18"/>
                <w:szCs w:val="18"/>
                <w:color w:val="auto"/>
              </w:rPr>
            </w:pPr>
          </w:p>
        </w:tc>
        <w:tc>
          <w:tcPr>
            <w:tcW w:w="384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(cemiplimab) Injection</w:t>
            </w:r>
          </w:p>
        </w:tc>
        <w:tc>
          <w:tcPr>
            <w:tcW w:w="1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Metastatic or locally advanced first-line non-small</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8"/>
                <w:szCs w:val="18"/>
                <w:color w:val="auto"/>
              </w:rPr>
            </w:pPr>
          </w:p>
        </w:tc>
        <w:tc>
          <w:tcPr>
            <w:tcW w:w="1020" w:type="dxa"/>
            <w:vAlign w:val="bottom"/>
            <w:gridSpan w:val="2"/>
          </w:tcPr>
          <w:p>
            <w:pPr>
              <w:jc w:val="center"/>
              <w:ind w:right="60"/>
              <w:spacing w:after="0"/>
              <w:rPr>
                <w:sz w:val="20"/>
                <w:szCs w:val="20"/>
                <w:color w:val="auto"/>
              </w:rPr>
            </w:pPr>
            <w:r>
              <w:rPr>
                <w:rFonts w:ascii="Webdings" w:cs="Webdings" w:eastAsia="Webdings" w:hAnsi="Webdings"/>
                <w:sz w:val="18"/>
                <w:szCs w:val="18"/>
                <w:b w:val="1"/>
                <w:bCs w:val="1"/>
                <w:color w:val="auto"/>
                <w:w w:val="88"/>
              </w:rPr>
              <w:t>a</w:t>
            </w:r>
          </w:p>
        </w:tc>
      </w:tr>
      <w:tr>
        <w:trPr>
          <w:trHeight w:val="184"/>
        </w:trPr>
        <w:tc>
          <w:tcPr>
            <w:tcW w:w="6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cell lung cancer ("NSCLC"), monotherapy and in</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4"/>
        </w:trPr>
        <w:tc>
          <w:tcPr>
            <w:tcW w:w="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combination with chemotherapy</w:t>
            </w: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Metastatic or locally advanced basal cell carcinoma</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("BCC")</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178"/>
        </w:trPr>
        <w:tc>
          <w:tcPr>
            <w:tcW w:w="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Metastatic or locally advanced cutaneous squamous</w:t>
            </w:r>
          </w:p>
        </w:tc>
        <w:tc>
          <w:tcPr>
            <w:tcW w:w="100" w:type="dxa"/>
            <w:vAlign w:val="bottom"/>
          </w:tcPr>
          <w:p>
            <w:pPr>
              <w:spacing w:after="0"/>
              <w:rPr>
                <w:sz w:val="15"/>
                <w:szCs w:val="15"/>
                <w:color w:val="auto"/>
              </w:rPr>
            </w:pPr>
          </w:p>
        </w:tc>
        <w:tc>
          <w:tcPr>
            <w:tcW w:w="1000" w:type="dxa"/>
            <w:vAlign w:val="bottom"/>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5"/>
                <w:szCs w:val="15"/>
                <w:color w:val="auto"/>
              </w:rPr>
            </w:pPr>
          </w:p>
        </w:tc>
        <w:tc>
          <w:tcPr>
            <w:tcW w:w="980" w:type="dxa"/>
            <w:vAlign w:val="bottom"/>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cell carcinoma ("CSCC")</w:t>
            </w: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Adjuvant CSCC</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63"/>
        </w:trPr>
        <w:tc>
          <w:tcPr>
            <w:tcW w:w="6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Metastatic or recurrent second-line cervical cancer</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22"/>
                <w:szCs w:val="22"/>
                <w:color w:val="auto"/>
              </w:rPr>
            </w:pPr>
          </w:p>
        </w:tc>
        <w:tc>
          <w:tcPr>
            <w:tcW w:w="1020" w:type="dxa"/>
            <w:vAlign w:val="bottom"/>
            <w:gridSpan w:val="2"/>
          </w:tcPr>
          <w:p>
            <w:pPr>
              <w:jc w:val="center"/>
              <w:ind w:right="60"/>
              <w:spacing w:after="0"/>
              <w:rPr>
                <w:sz w:val="20"/>
                <w:szCs w:val="20"/>
                <w:color w:val="auto"/>
              </w:rPr>
            </w:pPr>
            <w:r>
              <w:rPr>
                <w:rFonts w:ascii="Webdings" w:cs="Webdings" w:eastAsia="Webdings" w:hAnsi="Webdings"/>
                <w:sz w:val="18"/>
                <w:szCs w:val="18"/>
                <w:b w:val="1"/>
                <w:bCs w:val="1"/>
                <w:color w:val="auto"/>
                <w:w w:val="88"/>
              </w:rPr>
              <w:t>a</w:t>
            </w:r>
          </w:p>
        </w:tc>
      </w:tr>
      <w:tr>
        <w:trPr>
          <w:trHeight w:val="178"/>
        </w:trPr>
        <w:tc>
          <w:tcPr>
            <w:tcW w:w="60" w:type="dxa"/>
            <w:vAlign w:val="bottom"/>
          </w:tcPr>
          <w:p>
            <w:pPr>
              <w:spacing w:after="0"/>
              <w:rPr>
                <w:sz w:val="15"/>
                <w:szCs w:val="15"/>
                <w:color w:val="auto"/>
              </w:rPr>
            </w:pPr>
          </w:p>
        </w:tc>
        <w:tc>
          <w:tcPr>
            <w:tcW w:w="3840" w:type="dxa"/>
            <w:vAlign w:val="bottom"/>
            <w:tcBorders>
              <w:top w:val="single" w:sz="8" w:color="auto"/>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Praluent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(alirocumab) Injection</w:t>
            </w:r>
            <w:r>
              <w:rPr>
                <w:rFonts w:ascii="Times New Roman" w:cs="Times New Roman" w:eastAsia="Times New Roman" w:hAnsi="Times New Roman"/>
                <w:sz w:val="20"/>
                <w:szCs w:val="20"/>
                <w:color w:val="auto"/>
                <w:vertAlign w:val="superscript"/>
              </w:rPr>
              <w:t>(c)</w:t>
            </w:r>
          </w:p>
        </w:tc>
        <w:tc>
          <w:tcPr>
            <w:tcW w:w="120" w:type="dxa"/>
            <w:vAlign w:val="bottom"/>
            <w:tcBorders>
              <w:top w:val="single" w:sz="8" w:color="CCEEFF"/>
            </w:tcBorders>
            <w:shd w:val="clear" w:color="auto" w:fill="CCEEFF"/>
          </w:tcPr>
          <w:p>
            <w:pPr>
              <w:spacing w:after="0"/>
              <w:rPr>
                <w:sz w:val="15"/>
                <w:szCs w:val="15"/>
                <w:color w:val="auto"/>
              </w:rPr>
            </w:pPr>
          </w:p>
        </w:tc>
        <w:tc>
          <w:tcPr>
            <w:tcW w:w="3900" w:type="dxa"/>
            <w:vAlign w:val="bottom"/>
            <w:tcBorders>
              <w:top w:val="single" w:sz="8" w:color="auto"/>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Cardiovascular risk reduction in patients at increased</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of cardiovascular events</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63"/>
        </w:trPr>
        <w:tc>
          <w:tcPr>
            <w:tcW w:w="60" w:type="dxa"/>
            <w:vAlign w:val="bottom"/>
          </w:tcPr>
          <w:p>
            <w:pPr>
              <w:spacing w:after="0"/>
              <w:rPr>
                <w:sz w:val="22"/>
                <w:szCs w:val="22"/>
                <w:color w:val="auto"/>
              </w:rPr>
            </w:pPr>
          </w:p>
        </w:tc>
        <w:tc>
          <w:tcPr>
            <w:tcW w:w="3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Hypercholesterolemia</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210"/>
        </w:trPr>
        <w:tc>
          <w:tcPr>
            <w:tcW w:w="6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Heterozygous familial hypercholesterolemia</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("HeFH") (in patients aged 8 years and older)</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78"/>
        </w:trPr>
        <w:tc>
          <w:tcPr>
            <w:tcW w:w="60" w:type="dxa"/>
            <w:vAlign w:val="bottom"/>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9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Homozygous familial hypercholesterolemia</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("HoFH")</w:t>
            </w: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38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(sarilumab) Injection</w:t>
            </w:r>
            <w:r>
              <w:rPr>
                <w:rFonts w:ascii="Times New Roman" w:cs="Times New Roman" w:eastAsia="Times New Roman" w:hAnsi="Times New Roman"/>
                <w:sz w:val="23"/>
                <w:szCs w:val="23"/>
                <w:color w:val="auto"/>
                <w:vertAlign w:val="superscript"/>
              </w:rPr>
              <w:t>(b)</w:t>
            </w:r>
          </w:p>
        </w:tc>
        <w:tc>
          <w:tcPr>
            <w:tcW w:w="1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Rheumatoid arthritis ("RA")</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1020" w:type="dxa"/>
            <w:vAlign w:val="bottom"/>
            <w:gridSpan w:val="2"/>
          </w:tcPr>
          <w:p>
            <w:pPr>
              <w:jc w:val="center"/>
              <w:ind w:right="60"/>
              <w:spacing w:after="0"/>
              <w:rPr>
                <w:sz w:val="20"/>
                <w:szCs w:val="20"/>
                <w:color w:val="auto"/>
              </w:rPr>
            </w:pPr>
            <w:r>
              <w:rPr>
                <w:rFonts w:ascii="Webdings" w:cs="Webdings" w:eastAsia="Webdings" w:hAnsi="Webdings"/>
                <w:sz w:val="18"/>
                <w:szCs w:val="18"/>
                <w:b w:val="1"/>
                <w:bCs w:val="1"/>
                <w:color w:val="auto"/>
                <w:w w:val="88"/>
              </w:rPr>
              <w:t>a</w:t>
            </w:r>
          </w:p>
        </w:tc>
      </w:tr>
      <w:tr>
        <w:trPr>
          <w:trHeight w:val="263"/>
        </w:trPr>
        <w:tc>
          <w:tcPr>
            <w:tcW w:w="6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9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Polymyalgia rheumatica ("PMR")</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23"/>
        </w:trPr>
        <w:tc>
          <w:tcPr>
            <w:tcW w:w="60" w:type="dxa"/>
            <w:vAlign w:val="bottom"/>
          </w:tcPr>
          <w:p>
            <w:pPr>
              <w:spacing w:after="0"/>
              <w:rPr>
                <w:sz w:val="19"/>
                <w:szCs w:val="19"/>
                <w:color w:val="auto"/>
              </w:rPr>
            </w:pPr>
          </w:p>
        </w:tc>
        <w:tc>
          <w:tcPr>
            <w:tcW w:w="38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Polyarticular juvenile idiopathic arthritis ("pJIA")</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4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Evkeeza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(evinacumab) Injection</w:t>
            </w:r>
            <w:r>
              <w:rPr>
                <w:rFonts w:ascii="Times New Roman" w:cs="Times New Roman" w:eastAsia="Times New Roman" w:hAnsi="Times New Roman"/>
                <w:sz w:val="23"/>
                <w:szCs w:val="23"/>
                <w:color w:val="auto"/>
                <w:vertAlign w:val="superscript"/>
              </w:rPr>
              <w:t>(d)</w:t>
            </w:r>
          </w:p>
        </w:tc>
        <w:tc>
          <w:tcPr>
            <w:tcW w:w="120" w:type="dxa"/>
            <w:vAlign w:val="bottom"/>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HoFH (in adults, adolescents, and pediatrics)</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264"/>
        </w:trPr>
        <w:tc>
          <w:tcPr>
            <w:tcW w:w="60" w:type="dxa"/>
            <w:vAlign w:val="bottom"/>
          </w:tcPr>
          <w:p>
            <w:pPr>
              <w:spacing w:after="0"/>
              <w:rPr>
                <w:sz w:val="22"/>
                <w:szCs w:val="22"/>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Ordspono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(odronextamab)</w:t>
            </w:r>
          </w:p>
        </w:tc>
        <w:tc>
          <w:tcPr>
            <w:tcW w:w="120" w:type="dxa"/>
            <w:vAlign w:val="bottom"/>
          </w:tcPr>
          <w:p>
            <w:pPr>
              <w:spacing w:after="0"/>
              <w:rPr>
                <w:sz w:val="22"/>
                <w:szCs w:val="22"/>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Follicular lymphoma ("FL")</w:t>
            </w:r>
          </w:p>
        </w:tc>
        <w:tc>
          <w:tcPr>
            <w:tcW w:w="10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60" w:type="dxa"/>
            <w:vAlign w:val="bottom"/>
          </w:tcPr>
          <w:p>
            <w:pPr>
              <w:spacing w:after="0"/>
              <w:rPr>
                <w:sz w:val="22"/>
                <w:szCs w:val="22"/>
                <w:color w:val="auto"/>
              </w:rPr>
            </w:pPr>
          </w:p>
        </w:tc>
        <w:tc>
          <w:tcPr>
            <w:tcW w:w="38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Diffuse large B-cell lymphoma ("DLBCL")</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60" w:type="dxa"/>
            <w:vAlign w:val="bottom"/>
          </w:tcPr>
          <w:p>
            <w:pPr>
              <w:spacing w:after="0"/>
              <w:rPr>
                <w:sz w:val="22"/>
                <w:szCs w:val="22"/>
                <w:color w:val="auto"/>
              </w:rPr>
            </w:pPr>
          </w:p>
        </w:tc>
        <w:tc>
          <w:tcPr>
            <w:tcW w:w="3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Lynozyfic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(linvoseltamab)</w:t>
            </w:r>
          </w:p>
        </w:tc>
        <w:tc>
          <w:tcPr>
            <w:tcW w:w="120" w:type="dxa"/>
            <w:vAlign w:val="bottom"/>
            <w:shd w:val="clear" w:color="auto" w:fill="CCEEFF"/>
          </w:tcPr>
          <w:p>
            <w:pPr>
              <w:spacing w:after="0"/>
              <w:rPr>
                <w:sz w:val="22"/>
                <w:szCs w:val="22"/>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Relapsed/refractory multiple myeloma</w:t>
            </w:r>
          </w:p>
        </w:tc>
        <w:tc>
          <w:tcPr>
            <w:tcW w:w="10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178"/>
        </w:trPr>
        <w:tc>
          <w:tcPr>
            <w:tcW w:w="60" w:type="dxa"/>
            <w:vAlign w:val="bottom"/>
          </w:tcPr>
          <w:p>
            <w:pPr>
              <w:spacing w:after="0"/>
              <w:rPr>
                <w:sz w:val="15"/>
                <w:szCs w:val="15"/>
                <w:color w:val="auto"/>
              </w:rPr>
            </w:pPr>
          </w:p>
        </w:tc>
        <w:tc>
          <w:tcPr>
            <w:tcW w:w="3840" w:type="dxa"/>
            <w:vAlign w:val="bottom"/>
          </w:tcPr>
          <w:p>
            <w:pPr>
              <w:ind w:left="20"/>
              <w:spacing w:after="0" w:line="178" w:lineRule="exact"/>
              <w:rPr>
                <w:sz w:val="20"/>
                <w:szCs w:val="20"/>
                <w:color w:val="auto"/>
              </w:rPr>
            </w:pPr>
            <w:r>
              <w:rPr>
                <w:rFonts w:ascii="Times New Roman" w:cs="Times New Roman" w:eastAsia="Times New Roman" w:hAnsi="Times New Roman"/>
                <w:sz w:val="16"/>
                <w:szCs w:val="16"/>
                <w:color w:val="auto"/>
              </w:rPr>
              <w:t>Inmazeb</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(atoltivimab, maftivimab, and</w:t>
            </w:r>
          </w:p>
        </w:tc>
        <w:tc>
          <w:tcPr>
            <w:tcW w:w="120" w:type="dxa"/>
            <w:vAlign w:val="bottom"/>
          </w:tcPr>
          <w:p>
            <w:pPr>
              <w:spacing w:after="0"/>
              <w:rPr>
                <w:sz w:val="15"/>
                <w:szCs w:val="15"/>
                <w:color w:val="auto"/>
              </w:rPr>
            </w:pPr>
          </w:p>
        </w:tc>
        <w:tc>
          <w:tcPr>
            <w:tcW w:w="39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xml:space="preserve">Infection caused by </w:t>
            </w:r>
            <w:r>
              <w:rPr>
                <w:rFonts w:ascii="Times New Roman" w:cs="Times New Roman" w:eastAsia="Times New Roman" w:hAnsi="Times New Roman"/>
                <w:sz w:val="18"/>
                <w:szCs w:val="18"/>
                <w:i w:val="1"/>
                <w:iCs w:val="1"/>
                <w:color w:val="auto"/>
              </w:rPr>
              <w:t>Zaire ebolavirus</w:t>
            </w:r>
          </w:p>
        </w:tc>
        <w:tc>
          <w:tcPr>
            <w:tcW w:w="100" w:type="dxa"/>
            <w:vAlign w:val="bottom"/>
          </w:tcPr>
          <w:p>
            <w:pPr>
              <w:spacing w:after="0"/>
              <w:rPr>
                <w:sz w:val="15"/>
                <w:szCs w:val="15"/>
                <w:color w:val="auto"/>
              </w:rPr>
            </w:pPr>
          </w:p>
        </w:tc>
        <w:tc>
          <w:tcPr>
            <w:tcW w:w="1000" w:type="dxa"/>
            <w:vAlign w:val="bottom"/>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odesivimab) Injection</w:t>
            </w:r>
          </w:p>
        </w:tc>
        <w:tc>
          <w:tcPr>
            <w:tcW w:w="120" w:type="dxa"/>
            <w:vAlign w:val="bottom"/>
            <w:tcBorders>
              <w:bottom w:val="single" w:sz="8" w:color="CCEEFF"/>
            </w:tcBorders>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78"/>
        </w:trPr>
        <w:tc>
          <w:tcPr>
            <w:tcW w:w="60" w:type="dxa"/>
            <w:vAlign w:val="bottom"/>
          </w:tcPr>
          <w:p>
            <w:pPr>
              <w:spacing w:after="0"/>
              <w:rPr>
                <w:sz w:val="15"/>
                <w:szCs w:val="15"/>
                <w:color w:val="auto"/>
              </w:rPr>
            </w:pPr>
          </w:p>
        </w:tc>
        <w:tc>
          <w:tcPr>
            <w:tcW w:w="38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Veopoz</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(pozelimab) Injection</w:t>
            </w:r>
          </w:p>
        </w:tc>
        <w:tc>
          <w:tcPr>
            <w:tcW w:w="120" w:type="dxa"/>
            <w:vAlign w:val="bottom"/>
            <w:shd w:val="clear" w:color="auto" w:fill="CCEEFF"/>
          </w:tcPr>
          <w:p>
            <w:pPr>
              <w:spacing w:after="0"/>
              <w:rPr>
                <w:sz w:val="15"/>
                <w:szCs w:val="15"/>
                <w:color w:val="auto"/>
              </w:rPr>
            </w:pPr>
          </w:p>
        </w:tc>
        <w:tc>
          <w:tcPr>
            <w:tcW w:w="39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CD55-deficient protein-losing enteropathy</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("CHAPLE") (in patients aged 1 year and older)</w:t>
            </w: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857"/>
        </w:trPr>
        <w:tc>
          <w:tcPr>
            <w:tcW w:w="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020" w:type="dxa"/>
            <w:vAlign w:val="bottom"/>
            <w:gridSpan w:val="2"/>
          </w:tcPr>
          <w:p>
            <w:pPr>
              <w:jc w:val="right"/>
              <w:ind w:right="211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8"/>
        </w:trPr>
        <w:tc>
          <w:tcPr>
            <w:tcW w:w="6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Territory</w:t>
            </w:r>
          </w:p>
        </w:tc>
        <w:tc>
          <w:tcPr>
            <w:tcW w:w="980" w:type="dxa"/>
            <w:vAlign w:val="bottom"/>
            <w:tcBorders>
              <w:bottom w:val="single" w:sz="8" w:color="auto"/>
            </w:tcBorders>
          </w:tcPr>
          <w:p>
            <w:pPr>
              <w:spacing w:after="0"/>
              <w:rPr>
                <w:sz w:val="20"/>
                <w:szCs w:val="20"/>
                <w:color w:val="auto"/>
              </w:rPr>
            </w:pPr>
          </w:p>
        </w:tc>
      </w:tr>
      <w:tr>
        <w:trPr>
          <w:trHeight w:val="237"/>
        </w:trPr>
        <w:tc>
          <w:tcPr>
            <w:tcW w:w="38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 xml:space="preserve">Product </w:t>
            </w:r>
            <w:r>
              <w:rPr>
                <w:rFonts w:ascii="Times New Roman" w:cs="Times New Roman" w:eastAsia="Times New Roman" w:hAnsi="Times New Roman"/>
                <w:sz w:val="18"/>
                <w:szCs w:val="18"/>
                <w:b w:val="1"/>
                <w:bCs w:val="1"/>
                <w:i w:val="1"/>
                <w:iCs w:val="1"/>
                <w:color w:val="auto"/>
              </w:rPr>
              <w:t>(continued)</w:t>
            </w:r>
          </w:p>
        </w:tc>
        <w:tc>
          <w:tcPr>
            <w:tcW w:w="120" w:type="dxa"/>
            <w:vAlign w:val="bottom"/>
          </w:tcPr>
          <w:p>
            <w:pPr>
              <w:spacing w:after="0"/>
              <w:rPr>
                <w:sz w:val="20"/>
                <w:szCs w:val="20"/>
                <w:color w:val="auto"/>
              </w:rPr>
            </w:pPr>
          </w:p>
        </w:tc>
        <w:tc>
          <w:tcPr>
            <w:tcW w:w="388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EU</w:t>
            </w:r>
          </w:p>
        </w:tc>
        <w:tc>
          <w:tcPr>
            <w:tcW w:w="12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Japan</w:t>
            </w:r>
          </w:p>
        </w:tc>
      </w:tr>
      <w:tr>
        <w:trPr>
          <w:trHeight w:val="209"/>
        </w:trPr>
        <w:tc>
          <w:tcPr>
            <w:tcW w:w="386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Otarmeni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(lunsotogene parvec)</w:t>
            </w:r>
          </w:p>
        </w:tc>
        <w:tc>
          <w:tcPr>
            <w:tcW w:w="1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Hearing loss associated with variants in the </w:t>
            </w:r>
            <w:r>
              <w:rPr>
                <w:rFonts w:ascii="Times New Roman" w:cs="Times New Roman" w:eastAsia="Times New Roman" w:hAnsi="Times New Roman"/>
                <w:sz w:val="18"/>
                <w:szCs w:val="18"/>
                <w:i w:val="1"/>
                <w:iCs w:val="1"/>
                <w:color w:val="auto"/>
              </w:rPr>
              <w:t>OTOF</w:t>
            </w:r>
          </w:p>
        </w:tc>
        <w:tc>
          <w:tcPr>
            <w:tcW w:w="110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38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gene (in adults, adolescents, and pediatrics)</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178"/>
        </w:trPr>
        <w:tc>
          <w:tcPr>
            <w:tcW w:w="386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ARCALYST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(rilonacept) Injection</w:t>
            </w:r>
            <w:r>
              <w:rPr>
                <w:rFonts w:ascii="Times New Roman" w:cs="Times New Roman" w:eastAsia="Times New Roman" w:hAnsi="Times New Roman"/>
                <w:sz w:val="20"/>
                <w:szCs w:val="20"/>
                <w:color w:val="auto"/>
                <w:vertAlign w:val="superscript"/>
              </w:rPr>
              <w:t>(e)</w:t>
            </w: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Cryopyrin-associated periodic syndromes ("CAPS"),</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12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0"/>
        </w:trPr>
        <w:tc>
          <w:tcPr>
            <w:tcW w:w="3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9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including familial cold auto-inflammatory syndrome</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6"/>
        </w:trPr>
        <w:tc>
          <w:tcPr>
            <w:tcW w:w="3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("FCAS") and Muckle-Wells syndrome ("MWS") (in</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29"/>
        </w:trPr>
        <w:tc>
          <w:tcPr>
            <w:tcW w:w="3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adults and adolescents)</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r>
        <w:trPr>
          <w:trHeight w:val="178"/>
        </w:trPr>
        <w:tc>
          <w:tcPr>
            <w:tcW w:w="3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Deficiency of interleukin-1 receptor antagonist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12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34"/>
        </w:trPr>
        <w:tc>
          <w:tcPr>
            <w:tcW w:w="3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("DIRA") (in adults, adolescents, and pediatrics)</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r>
      <w:tr>
        <w:trPr>
          <w:trHeight w:val="223"/>
        </w:trPr>
        <w:tc>
          <w:tcPr>
            <w:tcW w:w="38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Recurrent pericarditis (in adults and adolescents)</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r>
        <w:trPr>
          <w:trHeight w:val="174"/>
        </w:trPr>
        <w:tc>
          <w:tcPr>
            <w:tcW w:w="386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ZALTRAP</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(ziv-aflibercept) Injection for</w:t>
            </w:r>
          </w:p>
        </w:tc>
        <w:tc>
          <w:tcPr>
            <w:tcW w:w="120" w:type="dxa"/>
            <w:vAlign w:val="bottom"/>
          </w:tcPr>
          <w:p>
            <w:pPr>
              <w:spacing w:after="0"/>
              <w:rPr>
                <w:sz w:val="15"/>
                <w:szCs w:val="15"/>
                <w:color w:val="auto"/>
              </w:rPr>
            </w:pPr>
          </w:p>
        </w:tc>
        <w:tc>
          <w:tcPr>
            <w:tcW w:w="388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Metastatic colorectal cancer ("mCRC")</w:t>
            </w:r>
          </w:p>
        </w:tc>
        <w:tc>
          <w:tcPr>
            <w:tcW w:w="100" w:type="dxa"/>
            <w:vAlign w:val="bottom"/>
          </w:tcPr>
          <w:p>
            <w:pPr>
              <w:spacing w:after="0"/>
              <w:rPr>
                <w:sz w:val="15"/>
                <w:szCs w:val="15"/>
                <w:color w:val="auto"/>
              </w:rPr>
            </w:pPr>
          </w:p>
        </w:tc>
        <w:tc>
          <w:tcPr>
            <w:tcW w:w="1100" w:type="dxa"/>
            <w:vAlign w:val="bottom"/>
            <w:gridSpan w:val="2"/>
          </w:tcPr>
          <w:p>
            <w:pPr>
              <w:jc w:val="center"/>
              <w:ind w:right="120"/>
              <w:spacing w:after="0" w:line="175" w:lineRule="exact"/>
              <w:rPr>
                <w:sz w:val="20"/>
                <w:szCs w:val="20"/>
                <w:color w:val="auto"/>
              </w:rPr>
            </w:pPr>
            <w:r>
              <w:rPr>
                <w:rFonts w:ascii="Webdings" w:cs="Webdings" w:eastAsia="Webdings" w:hAnsi="Webdings"/>
                <w:sz w:val="18"/>
                <w:szCs w:val="18"/>
                <w:b w:val="1"/>
                <w:bCs w:val="1"/>
                <w:color w:val="auto"/>
                <w:w w:val="99"/>
              </w:rPr>
              <w:t>a</w:t>
            </w:r>
          </w:p>
        </w:tc>
        <w:tc>
          <w:tcPr>
            <w:tcW w:w="1100" w:type="dxa"/>
            <w:vAlign w:val="bottom"/>
            <w:gridSpan w:val="2"/>
          </w:tcPr>
          <w:p>
            <w:pPr>
              <w:jc w:val="center"/>
              <w:ind w:right="120"/>
              <w:spacing w:after="0" w:line="175"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tcPr>
          <w:p>
            <w:pPr>
              <w:jc w:val="center"/>
              <w:spacing w:after="0" w:line="175" w:lineRule="exact"/>
              <w:rPr>
                <w:sz w:val="20"/>
                <w:szCs w:val="20"/>
                <w:color w:val="auto"/>
              </w:rPr>
            </w:pPr>
            <w:r>
              <w:rPr>
                <w:rFonts w:ascii="Webdings" w:cs="Webdings" w:eastAsia="Webdings" w:hAnsi="Webdings"/>
                <w:sz w:val="18"/>
                <w:szCs w:val="18"/>
                <w:b w:val="1"/>
                <w:bCs w:val="1"/>
                <w:color w:val="auto"/>
                <w:w w:val="88"/>
              </w:rPr>
              <w:t>a</w:t>
            </w:r>
          </w:p>
        </w:tc>
      </w:tr>
      <w:tr>
        <w:trPr>
          <w:trHeight w:val="238"/>
        </w:trPr>
        <w:tc>
          <w:tcPr>
            <w:tcW w:w="3860" w:type="dxa"/>
            <w:vAlign w:val="bottom"/>
            <w:tcBorders>
              <w:bottom w:val="single" w:sz="8" w:color="auto"/>
            </w:tcBorders>
          </w:tcPr>
          <w:p>
            <w:pPr>
              <w:ind w:left="20"/>
              <w:spacing w:after="0" w:line="237" w:lineRule="exact"/>
              <w:rPr>
                <w:sz w:val="20"/>
                <w:szCs w:val="20"/>
                <w:color w:val="auto"/>
              </w:rPr>
            </w:pPr>
            <w:r>
              <w:rPr>
                <w:rFonts w:ascii="Times New Roman" w:cs="Times New Roman" w:eastAsia="Times New Roman" w:hAnsi="Times New Roman"/>
                <w:sz w:val="18"/>
                <w:szCs w:val="18"/>
                <w:color w:val="auto"/>
              </w:rPr>
              <w:t>Intravenous Infusion</w:t>
            </w:r>
            <w:r>
              <w:rPr>
                <w:rFonts w:ascii="Times New Roman" w:cs="Times New Roman" w:eastAsia="Times New Roman" w:hAnsi="Times New Roman"/>
                <w:sz w:val="23"/>
                <w:szCs w:val="23"/>
                <w:color w:val="auto"/>
                <w:vertAlign w:val="superscript"/>
              </w:rPr>
              <w:t>(f)</w:t>
            </w:r>
          </w:p>
        </w:tc>
        <w:tc>
          <w:tcPr>
            <w:tcW w:w="120" w:type="dxa"/>
            <w:vAlign w:val="bottom"/>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bl>
    <w:p>
      <w:pPr>
        <w:spacing w:after="0" w:line="40" w:lineRule="exact"/>
        <w:rPr>
          <w:sz w:val="20"/>
          <w:szCs w:val="20"/>
          <w:color w:val="auto"/>
        </w:rPr>
      </w:pPr>
    </w:p>
    <w:p>
      <w:pPr>
        <w:ind w:left="240" w:right="440"/>
        <w:spacing w:after="0" w:line="242" w:lineRule="auto"/>
        <w:rPr>
          <w:sz w:val="20"/>
          <w:szCs w:val="20"/>
          <w:color w:val="auto"/>
        </w:rPr>
      </w:pPr>
      <w:r>
        <w:rPr>
          <w:rFonts w:ascii="Times New Roman" w:cs="Times New Roman" w:eastAsia="Times New Roman" w:hAnsi="Times New Roman"/>
          <w:sz w:val="16"/>
          <w:szCs w:val="16"/>
          <w:color w:val="auto"/>
        </w:rPr>
        <w:t>Note: Refer to table below (net product sales of Regeneron-discovered products) for information regarding whether net product sales for a particular product are recorded by us or others. In addition, unless otherwise noted, products in the table above are generally approved for use in adults in the above-referenced diseases.</w:t>
      </w:r>
    </w:p>
    <w:p>
      <w:pPr>
        <w:ind w:left="400" w:hanging="165"/>
        <w:spacing w:after="0" w:line="206" w:lineRule="auto"/>
        <w:tabs>
          <w:tab w:leader="none" w:pos="4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Bayer outside the United States. Aflibercept 8 mg is known as EYLEA HD in the United States and EYLEA 8 mg in other countries.</w:t>
      </w:r>
    </w:p>
    <w:p>
      <w:pPr>
        <w:spacing w:after="0" w:line="23"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Sanofi</w:t>
      </w:r>
    </w:p>
    <w:p>
      <w:pPr>
        <w:spacing w:after="0" w:line="24" w:lineRule="exact"/>
        <w:rPr>
          <w:rFonts w:ascii="Times New Roman" w:cs="Times New Roman" w:eastAsia="Times New Roman" w:hAnsi="Times New Roman"/>
          <w:sz w:val="22"/>
          <w:szCs w:val="22"/>
          <w:color w:val="auto"/>
          <w:vertAlign w:val="superscript"/>
        </w:rPr>
      </w:pPr>
    </w:p>
    <w:p>
      <w:pPr>
        <w:ind w:left="240" w:right="720" w:hanging="5"/>
        <w:spacing w:after="0" w:line="189" w:lineRule="auto"/>
        <w:tabs>
          <w:tab w:leader="none" w:pos="41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Company is responsible for the development and commercialization of Praluent in the United States and Sanofi is responsible for the development and commercialization of Praluent outside the United States</w:t>
      </w:r>
    </w:p>
    <w:p>
      <w:pPr>
        <w:spacing w:after="0" w:line="6" w:lineRule="exact"/>
        <w:rPr>
          <w:rFonts w:ascii="Times New Roman" w:cs="Times New Roman" w:eastAsia="Times New Roman" w:hAnsi="Times New Roman"/>
          <w:sz w:val="23"/>
          <w:szCs w:val="23"/>
          <w:color w:val="auto"/>
          <w:vertAlign w:val="superscript"/>
        </w:rPr>
      </w:pPr>
    </w:p>
    <w:p>
      <w:pPr>
        <w:ind w:left="240" w:right="400" w:hanging="5"/>
        <w:spacing w:after="0" w:line="199" w:lineRule="auto"/>
        <w:tabs>
          <w:tab w:leader="none" w:pos="417"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Company is responsible for the development and commercialization of Evkeeza in the United States and Ultragenyx is responsible for the development and commercialization of Evkeeza outside the United States</w:t>
      </w:r>
    </w:p>
    <w:p>
      <w:pPr>
        <w:ind w:left="400" w:hanging="165"/>
        <w:spacing w:after="0" w:line="217" w:lineRule="auto"/>
        <w:tabs>
          <w:tab w:leader="none" w:pos="4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Kiniksa is responsible for the development and commercialization of ARCALYST</w:t>
      </w:r>
    </w:p>
    <w:p>
      <w:pPr>
        <w:spacing w:after="0" w:line="24" w:lineRule="exact"/>
        <w:rPr>
          <w:rFonts w:ascii="Times New Roman" w:cs="Times New Roman" w:eastAsia="Times New Roman" w:hAnsi="Times New Roman"/>
          <w:sz w:val="22"/>
          <w:szCs w:val="22"/>
          <w:color w:val="auto"/>
          <w:vertAlign w:val="superscript"/>
        </w:rPr>
      </w:pPr>
    </w:p>
    <w:p>
      <w:pPr>
        <w:ind w:left="400" w:hanging="165"/>
        <w:spacing w:after="0" w:line="182" w:lineRule="auto"/>
        <w:tabs>
          <w:tab w:leader="none" w:pos="4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Sanofi is responsible for the development and commercialization of ZALTRAP</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9"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table below includes net product sales of Regeneron-discovered products. Such net product sales are recorded by us or others, as further described in the footnotes to the table. We believe the information in the table is useful to investors as it demonstrates our pipeline productivity and our ability to innovate, discover, and develop new products, and bring those products to market either alone or based on contractual arrangements with other parties, which has a direct impact on our results of operations and financial condition. The table also shows the degree to which we, a collaborator, and/or a licensee is currently commercializing the products discovered by Regeneron. In addition, this information allows management and investors to assess the commercial trends and developments impacting Regeneron-discovered products. In arrangements where our collaborator or licensee is currently commercializing such products and is recording net product sales as a result, the net product sales shown in the table also are an important metric for management's review and assessment of (i) the revenues we record for our share of profits and/or royalties from such sales and (ii) the impact of our obligation to supply commercial product to certain of these collaborators or licensees.</w:t>
      </w:r>
    </w:p>
    <w:p>
      <w:pPr>
        <w:spacing w:after="0" w:line="14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U.S.</w:t>
            </w:r>
          </w:p>
        </w:tc>
        <w:tc>
          <w:tcPr>
            <w:tcW w:w="160" w:type="dxa"/>
            <w:vAlign w:val="bottom"/>
          </w:tcPr>
          <w:p>
            <w:pPr>
              <w:spacing w:after="0"/>
              <w:rPr>
                <w:sz w:val="19"/>
                <w:szCs w:val="19"/>
                <w:color w:val="auto"/>
              </w:rPr>
            </w:pPr>
          </w:p>
        </w:tc>
        <w:tc>
          <w:tcPr>
            <w:tcW w:w="980" w:type="dxa"/>
            <w:vAlign w:val="bottom"/>
            <w:gridSpan w:val="2"/>
          </w:tcPr>
          <w:p>
            <w:pPr>
              <w:ind w:left="60"/>
              <w:spacing w:after="0" w:line="223" w:lineRule="exact"/>
              <w:rPr>
                <w:sz w:val="20"/>
                <w:szCs w:val="20"/>
                <w:color w:val="auto"/>
              </w:rPr>
            </w:pPr>
            <w:r>
              <w:rPr>
                <w:rFonts w:ascii="Times New Roman" w:cs="Times New Roman" w:eastAsia="Times New Roman" w:hAnsi="Times New Roman"/>
                <w:sz w:val="18"/>
                <w:szCs w:val="18"/>
                <w:b w:val="1"/>
                <w:bCs w:val="1"/>
                <w:color w:val="auto"/>
              </w:rPr>
              <w:t>ROW</w:t>
            </w:r>
            <w:r>
              <w:rPr>
                <w:rFonts w:ascii="Times New Roman" w:cs="Times New Roman" w:eastAsia="Times New Roman" w:hAnsi="Times New Roman"/>
                <w:sz w:val="23"/>
                <w:szCs w:val="23"/>
                <w:b w:val="1"/>
                <w:bCs w:val="1"/>
                <w:color w:val="auto"/>
                <w:vertAlign w:val="superscript"/>
              </w:rPr>
              <w:t>(f)</w:t>
            </w:r>
          </w:p>
        </w:tc>
        <w:tc>
          <w:tcPr>
            <w:tcW w:w="220" w:type="dxa"/>
            <w:vAlign w:val="bottom"/>
          </w:tcPr>
          <w:p>
            <w:pPr>
              <w:spacing w:after="0"/>
              <w:rPr>
                <w:sz w:val="19"/>
                <w:szCs w:val="19"/>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ROW</w:t>
            </w:r>
          </w:p>
        </w:tc>
        <w:tc>
          <w:tcPr>
            <w:tcW w:w="220" w:type="dxa"/>
            <w:vAlign w:val="bottom"/>
          </w:tcPr>
          <w:p>
            <w:pPr>
              <w:spacing w:after="0"/>
              <w:rPr>
                <w:sz w:val="19"/>
                <w:szCs w:val="19"/>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 Sales)</w:t>
            </w:r>
          </w:p>
        </w:tc>
      </w:tr>
      <w:tr>
        <w:trPr>
          <w:trHeight w:val="223"/>
        </w:trPr>
        <w:tc>
          <w:tcPr>
            <w:tcW w:w="292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Dupixent</w:t>
            </w:r>
            <w:r>
              <w:rPr>
                <w:rFonts w:ascii="Times New Roman" w:cs="Times New Roman" w:eastAsia="Times New Roman" w:hAnsi="Times New Roman"/>
                <w:sz w:val="23"/>
                <w:szCs w:val="23"/>
                <w:color w:val="auto"/>
                <w:vertAlign w:val="superscript"/>
              </w:rPr>
              <w:t>(a)</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3,665.6</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2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EYLEA HD</w:t>
            </w:r>
            <w:r>
              <w:rPr>
                <w:rFonts w:ascii="Times New Roman" w:cs="Times New Roman" w:eastAsia="Times New Roman" w:hAnsi="Times New Roman"/>
                <w:sz w:val="23"/>
                <w:szCs w:val="23"/>
                <w:color w:val="auto"/>
                <w:vertAlign w:val="superscript"/>
              </w:rPr>
              <w:t>(b)</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2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(b)</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EYLEA HD and EYLEA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2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(c)</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2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2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Lynozyfic</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3"/>
                <w:szCs w:val="23"/>
                <w:color w:val="auto"/>
                <w:vertAlign w:val="superscript"/>
              </w:rPr>
              <w:t>(e)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bl>
    <w:p>
      <w:pPr>
        <w:spacing w:after="0" w:line="4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xml:space="preserve"> Percentage not meaningful</w:t>
      </w:r>
    </w:p>
    <w:p>
      <w:pPr>
        <w:spacing w:after="0" w:line="4" w:lineRule="exact"/>
        <w:rPr>
          <w:sz w:val="20"/>
          <w:szCs w:val="20"/>
          <w:color w:val="auto"/>
        </w:rPr>
      </w:pPr>
    </w:p>
    <w:p>
      <w:pPr>
        <w:ind w:left="180" w:right="800" w:firstLine="8"/>
        <w:spacing w:after="0" w:line="213" w:lineRule="auto"/>
        <w:tabs>
          <w:tab w:leader="none" w:pos="35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Sanofi records global net product sales of Dupixent and Kevzara, and we record our share of profits in connection with global sales of such products within Collaboration revenue. Refer to "Results of Operations - Revenues - Sanofi Collaboration Revenue" below for such amounts.</w:t>
      </w:r>
    </w:p>
    <w:p>
      <w:pPr>
        <w:spacing w:after="0" w:line="6" w:lineRule="exact"/>
        <w:rPr>
          <w:rFonts w:ascii="Times New Roman" w:cs="Times New Roman" w:eastAsia="Times New Roman" w:hAnsi="Times New Roman"/>
          <w:sz w:val="21"/>
          <w:szCs w:val="21"/>
          <w:color w:val="auto"/>
          <w:vertAlign w:val="superscript"/>
        </w:rPr>
      </w:pPr>
    </w:p>
    <w:p>
      <w:pPr>
        <w:ind w:left="180" w:right="40" w:firstLine="8"/>
        <w:spacing w:after="0"/>
        <w:tabs>
          <w:tab w:leader="none" w:pos="356"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We record net product sales of EYLEA HD and EYLEA in the United States, and Bayer records net product sales outside the United States. We record our share of profits in connection with sales outside the United States within Collaboration revenue; refer to "Results of Operations - Revenues - Bayer Collaboration Revenue" below for such amounts.</w:t>
      </w:r>
    </w:p>
    <w:p>
      <w:pPr>
        <w:spacing w:after="0" w:line="120" w:lineRule="exact"/>
        <w:rPr>
          <w:rFonts w:ascii="Times New Roman" w:cs="Times New Roman" w:eastAsia="Times New Roman" w:hAnsi="Times New Roman"/>
          <w:sz w:val="21"/>
          <w:szCs w:val="21"/>
          <w:color w:val="auto"/>
          <w:vertAlign w:val="superscript"/>
        </w:rPr>
      </w:pPr>
    </w:p>
    <w:p>
      <w:pPr>
        <w:ind w:left="360" w:hanging="172"/>
        <w:spacing w:after="0" w:line="208" w:lineRule="auto"/>
        <w:tabs>
          <w:tab w:leader="none" w:pos="36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We record global net product sales of Libtayo and pay Sanofi a royalty on such sales</w:t>
      </w:r>
    </w:p>
    <w:p>
      <w:pPr>
        <w:spacing w:after="0" w:line="37" w:lineRule="exact"/>
        <w:rPr>
          <w:rFonts w:ascii="Times New Roman" w:cs="Times New Roman" w:eastAsia="Times New Roman" w:hAnsi="Times New Roman"/>
          <w:sz w:val="23"/>
          <w:szCs w:val="23"/>
          <w:color w:val="auto"/>
          <w:vertAlign w:val="superscript"/>
        </w:rPr>
      </w:pPr>
    </w:p>
    <w:p>
      <w:pPr>
        <w:ind w:left="180" w:right="100" w:firstLine="8"/>
        <w:spacing w:after="0" w:line="202" w:lineRule="auto"/>
        <w:tabs>
          <w:tab w:leader="none" w:pos="361"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We record net product sales of Praluent in the United States. Sanofi records net product sales of Praluent outside the United States and pays us a royalty on such sales, which is recorded within Other revenue.</w:t>
      </w:r>
    </w:p>
    <w:p>
      <w:pPr>
        <w:spacing w:after="0" w:line="5" w:lineRule="exact"/>
        <w:rPr>
          <w:rFonts w:ascii="Times New Roman" w:cs="Times New Roman" w:eastAsia="Times New Roman" w:hAnsi="Times New Roman"/>
          <w:sz w:val="22"/>
          <w:szCs w:val="22"/>
          <w:color w:val="auto"/>
          <w:vertAlign w:val="superscript"/>
        </w:rPr>
      </w:pPr>
    </w:p>
    <w:p>
      <w:pPr>
        <w:ind w:left="180" w:right="60" w:firstLine="8"/>
        <w:spacing w:after="0" w:line="211" w:lineRule="auto"/>
        <w:tabs>
          <w:tab w:leader="none" w:pos="354"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Included in this line item are products which are sold by us and others. Refer to "Results of Operations - Revenues" below for a listing of net product sales recorded by us. Not included in this line item are net product sales of ARCALYST, which are recorded by Kiniksa.</w:t>
      </w:r>
    </w:p>
    <w:p>
      <w:pPr>
        <w:spacing w:after="0" w:line="1" w:lineRule="exact"/>
        <w:rPr>
          <w:rFonts w:ascii="Times New Roman" w:cs="Times New Roman" w:eastAsia="Times New Roman" w:hAnsi="Times New Roman"/>
          <w:sz w:val="22"/>
          <w:szCs w:val="22"/>
          <w:color w:val="auto"/>
          <w:vertAlign w:val="superscript"/>
        </w:rPr>
      </w:pPr>
    </w:p>
    <w:p>
      <w:pPr>
        <w:ind w:left="340" w:hanging="152"/>
        <w:spacing w:after="0" w:line="192" w:lineRule="auto"/>
        <w:tabs>
          <w:tab w:leader="none" w:pos="34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Rest of world ("ROW")</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Programs in Clinical Development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candidates in Phase 2 and Phase 3 clinical development, which are being developed by us and/or our collaborators, are summarized in the table below. A program is classified in Phase 2 or 3 clinical development after enrollment for the corresponding study or studies has commenced.</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(including any post-approval studies), uncertainties related to the enrollment and performance of clinical trials, changes in regulatory requirements, changes to drug pricing and reimbursement regulations and requirements, and changes in the competitive landscape affecting a product candidate. The planning, execution, and results of our clinical programs are significant factors that can affect our operating and financial results.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Part II, Item 1A. "Risk Factors" for a description of risks and uncertainties that may affect our clinical programs. Any of such risks and uncertainties may, among other matters, negatively impact the development timelines set forth in the table below.</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80" w:type="dxa"/>
            <w:vAlign w:val="bottom"/>
            <w:vMerge w:val="restart"/>
          </w:tcPr>
          <w:p>
            <w:pPr>
              <w:spacing w:after="0"/>
              <w:rPr>
                <w:sz w:val="17"/>
                <w:szCs w:val="17"/>
                <w:color w:val="auto"/>
              </w:rPr>
            </w:pPr>
          </w:p>
        </w:tc>
        <w:tc>
          <w:tcPr>
            <w:tcW w:w="15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80" w:type="dxa"/>
            <w:vAlign w:val="bottom"/>
            <w:vMerge w:val="restart"/>
          </w:tcPr>
          <w:p>
            <w:pPr>
              <w:spacing w:after="0"/>
              <w:rPr>
                <w:sz w:val="17"/>
                <w:szCs w:val="17"/>
                <w:color w:val="auto"/>
              </w:rPr>
            </w:pPr>
          </w:p>
        </w:tc>
        <w:tc>
          <w:tcPr>
            <w:tcW w:w="118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9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2026 Events to Date</w:t>
            </w:r>
          </w:p>
        </w:tc>
        <w:tc>
          <w:tcPr>
            <w:tcW w:w="0" w:type="dxa"/>
            <w:vAlign w:val="bottom"/>
          </w:tcPr>
          <w:p>
            <w:pPr>
              <w:spacing w:after="0"/>
              <w:rPr>
                <w:sz w:val="1"/>
                <w:szCs w:val="1"/>
                <w:color w:val="auto"/>
              </w:rPr>
            </w:pPr>
          </w:p>
        </w:tc>
      </w:tr>
      <w:tr>
        <w:trPr>
          <w:trHeight w:val="240"/>
        </w:trPr>
        <w:tc>
          <w:tcPr>
            <w:tcW w:w="204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Borders>
              <w:bottom w:val="single" w:sz="8" w:color="auto"/>
            </w:tcBorders>
          </w:tcPr>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80" w:type="dxa"/>
            <w:vAlign w:val="bottom"/>
          </w:tcPr>
          <w:p>
            <w:pPr>
              <w:spacing w:after="0"/>
              <w:rPr>
                <w:sz w:val="20"/>
                <w:szCs w:val="20"/>
                <w:color w:val="auto"/>
              </w:rPr>
            </w:pPr>
          </w:p>
        </w:tc>
        <w:tc>
          <w:tcPr>
            <w:tcW w:w="1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Ophthalmology</w:t>
            </w: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EYLEA HD (aflibercept)</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–Pre-filled syringe</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–Approved by European</w:t>
            </w:r>
          </w:p>
        </w:tc>
        <w:tc>
          <w:tcPr>
            <w:tcW w:w="0" w:type="dxa"/>
            <w:vAlign w:val="bottom"/>
          </w:tcPr>
          <w:p>
            <w:pPr>
              <w:spacing w:after="0"/>
              <w:rPr>
                <w:sz w:val="1"/>
                <w:szCs w:val="1"/>
                <w:color w:val="auto"/>
              </w:rPr>
            </w:pPr>
          </w:p>
        </w:tc>
      </w:tr>
      <w:tr>
        <w:trPr>
          <w:trHeight w:val="186"/>
        </w:trPr>
        <w:tc>
          <w:tcPr>
            <w:tcW w:w="212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7"/>
                <w:szCs w:val="17"/>
                <w:b w:val="1"/>
                <w:bCs w:val="1"/>
                <w:color w:val="auto"/>
              </w:rPr>
              <w:t>8 mg</w:t>
            </w:r>
            <w:r>
              <w:rPr>
                <w:rFonts w:ascii="Times New Roman" w:cs="Times New Roman" w:eastAsia="Times New Roman" w:hAnsi="Times New Roman"/>
                <w:sz w:val="21"/>
                <w:szCs w:val="21"/>
                <w:b w:val="1"/>
                <w:bCs w:val="1"/>
                <w:color w:val="auto"/>
                <w:vertAlign w:val="superscript"/>
              </w:rPr>
              <w:t>(a)</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8"/>
                <w:szCs w:val="18"/>
                <w:color w:val="auto"/>
              </w:rPr>
              <w:t>(U.S.)</w:t>
            </w:r>
          </w:p>
        </w:tc>
        <w:tc>
          <w:tcPr>
            <w:tcW w:w="190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Commission ("EC") for</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RVO</w:t>
            </w:r>
          </w:p>
        </w:tc>
        <w:tc>
          <w:tcPr>
            <w:tcW w:w="0" w:type="dxa"/>
            <w:vAlign w:val="bottom"/>
          </w:tcPr>
          <w:p>
            <w:pPr>
              <w:spacing w:after="0"/>
              <w:rPr>
                <w:sz w:val="1"/>
                <w:szCs w:val="1"/>
                <w:color w:val="auto"/>
              </w:rPr>
            </w:pPr>
          </w:p>
        </w:tc>
      </w:tr>
      <w:tr>
        <w:trPr>
          <w:trHeight w:val="238"/>
        </w:trPr>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–RVO (Japan)</w:t>
            </w:r>
          </w:p>
        </w:tc>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–Approved by U.S. Food</w:t>
            </w:r>
          </w:p>
        </w:tc>
        <w:tc>
          <w:tcPr>
            <w:tcW w:w="0" w:type="dxa"/>
            <w:vAlign w:val="bottom"/>
          </w:tcPr>
          <w:p>
            <w:pPr>
              <w:spacing w:after="0"/>
              <w:rPr>
                <w:sz w:val="1"/>
                <w:szCs w:val="1"/>
                <w:color w:val="auto"/>
              </w:rPr>
            </w:pPr>
          </w:p>
        </w:tc>
      </w:tr>
      <w:tr>
        <w:trPr>
          <w:trHeight w:val="130"/>
        </w:trPr>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and Drug Administration</w:t>
            </w: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("FDA") for extension of</w:t>
            </w:r>
          </w:p>
        </w:tc>
        <w:tc>
          <w:tcPr>
            <w:tcW w:w="0" w:type="dxa"/>
            <w:vAlign w:val="bottom"/>
          </w:tcPr>
          <w:p>
            <w:pPr>
              <w:spacing w:after="0"/>
              <w:rPr>
                <w:sz w:val="1"/>
                <w:szCs w:val="1"/>
                <w:color w:val="auto"/>
              </w:rPr>
            </w:pPr>
          </w:p>
        </w:tc>
      </w:tr>
      <w:tr>
        <w:trPr>
          <w:trHeight w:val="184"/>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dosing intervals up to 20</w:t>
            </w:r>
          </w:p>
        </w:tc>
        <w:tc>
          <w:tcPr>
            <w:tcW w:w="0" w:type="dxa"/>
            <w:vAlign w:val="bottom"/>
          </w:tcPr>
          <w:p>
            <w:pPr>
              <w:spacing w:after="0"/>
              <w:rPr>
                <w:sz w:val="1"/>
                <w:szCs w:val="1"/>
                <w:color w:val="auto"/>
              </w:rPr>
            </w:pPr>
          </w:p>
        </w:tc>
      </w:tr>
      <w:tr>
        <w:trPr>
          <w:trHeight w:val="180"/>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weeks in wAMD and</w:t>
            </w:r>
          </w:p>
        </w:tc>
        <w:tc>
          <w:tcPr>
            <w:tcW w:w="0" w:type="dxa"/>
            <w:vAlign w:val="bottom"/>
          </w:tcPr>
          <w:p>
            <w:pPr>
              <w:spacing w:after="0"/>
              <w:rPr>
                <w:sz w:val="1"/>
                <w:szCs w:val="1"/>
                <w:color w:val="auto"/>
              </w:rPr>
            </w:pPr>
          </w:p>
        </w:tc>
      </w:tr>
      <w:tr>
        <w:trPr>
          <w:trHeight w:val="234"/>
        </w:trPr>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Cemdisiran</w:t>
            </w:r>
            <w:r>
              <w:rPr>
                <w:rFonts w:ascii="Times New Roman" w:cs="Times New Roman" w:eastAsia="Times New Roman" w:hAnsi="Times New Roman"/>
                <w:sz w:val="23"/>
                <w:szCs w:val="23"/>
                <w:b w:val="1"/>
                <w:bCs w:val="1"/>
                <w:color w:val="auto"/>
                <w:vertAlign w:val="superscript"/>
              </w:rPr>
              <w:t>(k)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(siRNA</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DME</w:t>
            </w:r>
          </w:p>
        </w:tc>
        <w:tc>
          <w:tcPr>
            <w:tcW w:w="0" w:type="dxa"/>
            <w:vAlign w:val="bottom"/>
          </w:tcPr>
          <w:p>
            <w:pPr>
              <w:spacing w:after="0"/>
              <w:rPr>
                <w:sz w:val="1"/>
                <w:szCs w:val="1"/>
                <w:color w:val="auto"/>
              </w:rPr>
            </w:pPr>
          </w:p>
        </w:tc>
      </w:tr>
      <w:tr>
        <w:trPr>
          <w:trHeight w:val="199"/>
        </w:trPr>
        <w:tc>
          <w:tcPr>
            <w:tcW w:w="2120" w:type="dxa"/>
            <w:vAlign w:val="bottom"/>
            <w:gridSpan w:val="2"/>
            <w:vMerge w:val="continue"/>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80" w:type="dxa"/>
            <w:vAlign w:val="bottom"/>
            <w:gridSpan w:val="5"/>
          </w:tcPr>
          <w:p>
            <w:pPr>
              <w:ind w:left="20"/>
              <w:spacing w:after="0" w:line="200" w:lineRule="exact"/>
              <w:rPr>
                <w:sz w:val="20"/>
                <w:szCs w:val="20"/>
                <w:color w:val="auto"/>
              </w:rPr>
            </w:pPr>
            <w:r>
              <w:rPr>
                <w:rFonts w:ascii="Times New Roman" w:cs="Times New Roman" w:eastAsia="Times New Roman" w:hAnsi="Times New Roman"/>
                <w:sz w:val="18"/>
                <w:szCs w:val="18"/>
                <w:color w:val="auto"/>
              </w:rPr>
              <w:t>–Geographic atrophy</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-1526540</wp:posOffset>
            </wp:positionV>
            <wp:extent cx="7132320" cy="13970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97000"/>
                    </a:xfrm>
                    <a:prstGeom prst="rect">
                      <a:avLst/>
                    </a:prstGeom>
                    <a:noFill/>
                  </pic:spPr>
                </pic:pic>
              </a:graphicData>
            </a:graphic>
          </wp:anchor>
        </w:drawing>
      </w:r>
    </w:p>
    <w:p>
      <w:pPr>
        <w:ind w:left="20"/>
        <w:spacing w:after="0" w:line="203" w:lineRule="auto"/>
        <w:rPr>
          <w:sz w:val="20"/>
          <w:szCs w:val="20"/>
          <w:color w:val="auto"/>
        </w:rPr>
      </w:pPr>
      <w:r>
        <w:rPr>
          <w:rFonts w:ascii="Times New Roman" w:cs="Times New Roman" w:eastAsia="Times New Roman" w:hAnsi="Times New Roman"/>
          <w:sz w:val="18"/>
          <w:szCs w:val="18"/>
          <w:i w:val="1"/>
          <w:iCs w:val="1"/>
          <w:color w:val="auto"/>
        </w:rPr>
        <w:t xml:space="preserve">therapeutic targeting C5) </w:t>
      </w:r>
      <w:r>
        <w:rPr>
          <w:rFonts w:ascii="Times New Roman" w:cs="Times New Roman" w:eastAsia="Times New Roman" w:hAnsi="Times New Roman"/>
          <w:sz w:val="18"/>
          <w:szCs w:val="18"/>
          <w:color w:val="auto"/>
        </w:rPr>
        <w:t>±</w:t>
      </w:r>
    </w:p>
    <w:p>
      <w:pPr>
        <w:ind w:left="20"/>
        <w:spacing w:after="0" w:line="183" w:lineRule="auto"/>
        <w:rPr>
          <w:sz w:val="20"/>
          <w:szCs w:val="20"/>
          <w:color w:val="auto"/>
        </w:rPr>
      </w:pPr>
      <w:r>
        <w:rPr>
          <w:rFonts w:ascii="Times New Roman" w:cs="Times New Roman" w:eastAsia="Times New Roman" w:hAnsi="Times New Roman"/>
          <w:sz w:val="16"/>
          <w:szCs w:val="16"/>
          <w:b w:val="1"/>
          <w:bCs w:val="1"/>
          <w:color w:val="auto"/>
        </w:rPr>
        <w:t>pozelimab</w:t>
      </w:r>
      <w:r>
        <w:rPr>
          <w:rFonts w:ascii="Times New Roman" w:cs="Times New Roman" w:eastAsia="Times New Roman" w:hAnsi="Times New Roman"/>
          <w:sz w:val="20"/>
          <w:szCs w:val="20"/>
          <w:b w:val="1"/>
          <w:bCs w:val="1"/>
          <w:color w:val="auto"/>
          <w:vertAlign w:val="superscript"/>
        </w:rPr>
        <w:t>(f)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(antibody to</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C5)</w:t>
      </w:r>
    </w:p>
    <w:p>
      <w:pPr>
        <w:spacing w:after="0" w:line="200" w:lineRule="exact"/>
        <w:rPr>
          <w:sz w:val="20"/>
          <w:szCs w:val="20"/>
          <w:color w:val="auto"/>
        </w:rPr>
      </w:pPr>
    </w:p>
    <w:p>
      <w:pPr>
        <w:spacing w:after="0" w:line="21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Immunology &amp; 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Select Upcoming</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4445</wp:posOffset>
            </wp:positionV>
            <wp:extent cx="13373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361" w:lineRule="exact"/>
        <w:rPr>
          <w:sz w:val="20"/>
          <w:szCs w:val="20"/>
          <w:color w:val="auto"/>
        </w:rPr>
      </w:pPr>
    </w:p>
    <w:p>
      <w:pPr>
        <w:ind w:right="340"/>
        <w:spacing w:after="0" w:line="237" w:lineRule="auto"/>
        <w:rPr>
          <w:sz w:val="20"/>
          <w:szCs w:val="20"/>
          <w:color w:val="auto"/>
        </w:rPr>
      </w:pPr>
      <w:r>
        <w:rPr>
          <w:rFonts w:ascii="Times New Roman" w:cs="Times New Roman" w:eastAsia="Times New Roman" w:hAnsi="Times New Roman"/>
          <w:sz w:val="18"/>
          <w:szCs w:val="18"/>
          <w:color w:val="auto"/>
        </w:rPr>
        <w:t>–FDA decisions for pre-filled syringe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initial results from</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lead-in cohort of Phase 3 study in geographic atrophy (combination and</w:t>
      </w:r>
    </w:p>
    <w:p>
      <w:pPr>
        <w:spacing w:after="0" w:line="205" w:lineRule="auto"/>
        <w:rPr>
          <w:sz w:val="20"/>
          <w:szCs w:val="20"/>
          <w:color w:val="auto"/>
        </w:rPr>
      </w:pPr>
      <w:r>
        <w:rPr>
          <w:rFonts w:ascii="Times New Roman" w:cs="Times New Roman" w:eastAsia="Times New Roman" w:hAnsi="Times New Roman"/>
          <w:sz w:val="18"/>
          <w:szCs w:val="18"/>
          <w:color w:val="auto"/>
        </w:rPr>
        <w:t>cemdisiran monotherapy)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(fourth quarter 2026)</w:t>
      </w:r>
    </w:p>
    <w:p>
      <w:pPr>
        <w:spacing w:after="0" w:line="262" w:lineRule="exact"/>
        <w:rPr>
          <w:sz w:val="20"/>
          <w:szCs w:val="20"/>
          <w:color w:val="auto"/>
        </w:rPr>
      </w:pPr>
    </w:p>
    <w:p>
      <w:pPr>
        <w:sectPr>
          <w:pgSz w:w="11900" w:h="16838" w:orient="portrait"/>
          <w:cols w:equalWidth="0" w:num="2">
            <w:col w:w="9060" w:space="100"/>
            <w:col w:w="208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Dupixent (dupilumab)</w:t>
            </w:r>
            <w:r>
              <w:rPr>
                <w:rFonts w:ascii="Times New Roman" w:cs="Times New Roman" w:eastAsia="Times New Roman" w:hAnsi="Times New Roman"/>
                <w:sz w:val="23"/>
                <w:szCs w:val="23"/>
                <w:b w:val="1"/>
                <w:bCs w:val="1"/>
                <w:color w:val="auto"/>
                <w:vertAlign w:val="superscript"/>
              </w:rPr>
              <w:t>(b)</w:t>
            </w:r>
          </w:p>
        </w:tc>
        <w:tc>
          <w:tcPr>
            <w:tcW w:w="1640" w:type="dxa"/>
            <w:vAlign w:val="bottom"/>
            <w:shd w:val="clear" w:color="auto" w:fill="CCEEFF"/>
          </w:tcPr>
          <w:p>
            <w:pPr>
              <w:spacing w:after="0"/>
              <w:rPr>
                <w:sz w:val="22"/>
                <w:szCs w:val="22"/>
                <w:color w:val="auto"/>
              </w:rPr>
            </w:pPr>
          </w:p>
        </w:tc>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–Asthma in pediatrics</w:t>
            </w:r>
          </w:p>
        </w:tc>
        <w:tc>
          <w:tcPr>
            <w:tcW w:w="1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–CSU in pediatrics</w:t>
            </w:r>
          </w:p>
        </w:tc>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–Approved by FDA for</w:t>
            </w:r>
          </w:p>
        </w:tc>
        <w:tc>
          <w:tcPr>
            <w:tcW w:w="2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–EC decision on regulatory</w:t>
            </w:r>
          </w:p>
        </w:tc>
        <w:tc>
          <w:tcPr>
            <w:tcW w:w="0" w:type="dxa"/>
            <w:vAlign w:val="bottom"/>
          </w:tcPr>
          <w:p>
            <w:pPr>
              <w:spacing w:after="0"/>
              <w:rPr>
                <w:sz w:val="1"/>
                <w:szCs w:val="1"/>
                <w:color w:val="auto"/>
              </w:rPr>
            </w:pPr>
          </w:p>
        </w:tc>
      </w:tr>
      <w:tr>
        <w:trPr>
          <w:trHeight w:val="182"/>
        </w:trPr>
        <w:tc>
          <w:tcPr>
            <w:tcW w:w="20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Antibody to IL-4R alpha</w:t>
            </w:r>
          </w:p>
        </w:tc>
        <w:tc>
          <w:tcPr>
            <w:tcW w:w="1640" w:type="dxa"/>
            <w:vAlign w:val="bottom"/>
            <w:shd w:val="clear" w:color="auto" w:fill="CCEEFF"/>
          </w:tcPr>
          <w:p>
            <w:pPr>
              <w:spacing w:after="0"/>
              <w:rPr>
                <w:sz w:val="15"/>
                <w:szCs w:val="15"/>
                <w:color w:val="auto"/>
              </w:rPr>
            </w:pPr>
          </w:p>
        </w:tc>
        <w:tc>
          <w:tcPr>
            <w:tcW w:w="1800" w:type="dxa"/>
            <w:vAlign w:val="bottom"/>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color w:val="auto"/>
              </w:rPr>
              <w:t>(2–5 years of age)</w:t>
            </w:r>
          </w:p>
        </w:tc>
        <w:tc>
          <w:tcPr>
            <w:tcW w:w="1580" w:type="dxa"/>
            <w:vAlign w:val="bottom"/>
            <w:shd w:val="clear" w:color="auto" w:fill="CCEEFF"/>
          </w:tcPr>
          <w:p>
            <w:pPr>
              <w:ind w:left="60"/>
              <w:spacing w:after="0" w:line="182" w:lineRule="exact"/>
              <w:rPr>
                <w:sz w:val="20"/>
                <w:szCs w:val="20"/>
                <w:color w:val="auto"/>
              </w:rPr>
            </w:pPr>
            <w:r>
              <w:rPr>
                <w:rFonts w:ascii="Times New Roman" w:cs="Times New Roman" w:eastAsia="Times New Roman" w:hAnsi="Times New Roman"/>
                <w:sz w:val="18"/>
                <w:szCs w:val="18"/>
                <w:color w:val="auto"/>
              </w:rPr>
              <w:t>(2–11 years of age)</w:t>
            </w:r>
          </w:p>
        </w:tc>
        <w:tc>
          <w:tcPr>
            <w:tcW w:w="2040" w:type="dxa"/>
            <w:vAlign w:val="bottom"/>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color w:val="auto"/>
              </w:rPr>
              <w:t>AFRS</w:t>
            </w:r>
          </w:p>
        </w:tc>
        <w:tc>
          <w:tcPr>
            <w:tcW w:w="2160" w:type="dxa"/>
            <w:vAlign w:val="bottom"/>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rPr>
              <w:t>submission for bullous</w:t>
            </w:r>
          </w:p>
        </w:tc>
        <w:tc>
          <w:tcPr>
            <w:tcW w:w="0" w:type="dxa"/>
            <w:vAlign w:val="bottom"/>
          </w:tcPr>
          <w:p>
            <w:pPr>
              <w:spacing w:after="0"/>
              <w:rPr>
                <w:sz w:val="1"/>
                <w:szCs w:val="1"/>
                <w:color w:val="auto"/>
              </w:rPr>
            </w:pPr>
          </w:p>
        </w:tc>
      </w:tr>
      <w:tr>
        <w:trPr>
          <w:trHeight w:val="176"/>
        </w:trPr>
        <w:tc>
          <w:tcPr>
            <w:tcW w:w="2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subunit</w:t>
            </w:r>
          </w:p>
        </w:tc>
        <w:tc>
          <w:tcPr>
            <w:tcW w:w="16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58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(Japan)</w:t>
            </w:r>
          </w:p>
        </w:tc>
        <w:tc>
          <w:tcPr>
            <w:tcW w:w="2040" w:type="dxa"/>
            <w:vAlign w:val="bottom"/>
            <w:shd w:val="clear" w:color="auto" w:fill="CCEEFF"/>
          </w:tcPr>
          <w:p>
            <w:pPr>
              <w:spacing w:after="0"/>
              <w:rPr>
                <w:sz w:val="15"/>
                <w:szCs w:val="15"/>
                <w:color w:val="auto"/>
              </w:rPr>
            </w:pPr>
          </w:p>
        </w:tc>
        <w:tc>
          <w:tcPr>
            <w:tcW w:w="21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pemphigoid (second half</w:t>
            </w:r>
          </w:p>
        </w:tc>
        <w:tc>
          <w:tcPr>
            <w:tcW w:w="0" w:type="dxa"/>
            <w:vAlign w:val="bottom"/>
          </w:tcPr>
          <w:p>
            <w:pPr>
              <w:spacing w:after="0"/>
              <w:rPr>
                <w:sz w:val="1"/>
                <w:szCs w:val="1"/>
                <w:color w:val="auto"/>
              </w:rPr>
            </w:pPr>
          </w:p>
        </w:tc>
      </w:tr>
      <w:tr>
        <w:trPr>
          <w:trHeight w:val="243"/>
        </w:trPr>
        <w:tc>
          <w:tcPr>
            <w:tcW w:w="20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–Chronic pruritus of</w:t>
            </w:r>
          </w:p>
        </w:tc>
        <w:tc>
          <w:tcPr>
            <w:tcW w:w="15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–Bullous</w:t>
            </w:r>
          </w:p>
        </w:tc>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–Approved by FDA and</w:t>
            </w:r>
          </w:p>
        </w:tc>
        <w:tc>
          <w:tcPr>
            <w:tcW w:w="2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184"/>
        </w:trPr>
        <w:tc>
          <w:tcPr>
            <w:tcW w:w="20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80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unknown origin</w:t>
            </w:r>
          </w:p>
        </w:tc>
        <w:tc>
          <w:tcPr>
            <w:tcW w:w="1580" w:type="dxa"/>
            <w:vAlign w:val="bottom"/>
            <w:vMerge w:val="continue"/>
            <w:shd w:val="clear" w:color="auto" w:fill="CCEEFF"/>
          </w:tcPr>
          <w:p>
            <w:pPr>
              <w:spacing w:after="0"/>
              <w:rPr>
                <w:sz w:val="16"/>
                <w:szCs w:val="16"/>
                <w:color w:val="auto"/>
              </w:rPr>
            </w:pPr>
          </w:p>
        </w:tc>
        <w:tc>
          <w:tcPr>
            <w:tcW w:w="204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EC for CSU in pediatrics</w:t>
            </w:r>
          </w:p>
        </w:tc>
        <w:tc>
          <w:tcPr>
            <w:tcW w:w="2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80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("CPUO")</w:t>
            </w:r>
          </w:p>
        </w:tc>
        <w:tc>
          <w:tcPr>
            <w:tcW w:w="1580" w:type="dxa"/>
            <w:vAlign w:val="bottom"/>
            <w:shd w:val="clear" w:color="auto" w:fill="CCEEFF"/>
          </w:tcPr>
          <w:p>
            <w:pPr>
              <w:ind w:left="60"/>
              <w:spacing w:after="0" w:line="181" w:lineRule="exact"/>
              <w:rPr>
                <w:sz w:val="20"/>
                <w:szCs w:val="20"/>
                <w:color w:val="auto"/>
              </w:rPr>
            </w:pPr>
            <w:r>
              <w:rPr>
                <w:rFonts w:ascii="Times New Roman" w:cs="Times New Roman" w:eastAsia="Times New Roman" w:hAnsi="Times New Roman"/>
                <w:sz w:val="18"/>
                <w:szCs w:val="18"/>
                <w:color w:val="auto"/>
              </w:rPr>
              <w:t>pemphigoid (EU)</w:t>
            </w:r>
          </w:p>
        </w:tc>
        <w:tc>
          <w:tcPr>
            <w:tcW w:w="2040" w:type="dxa"/>
            <w:vAlign w:val="bottom"/>
            <w:shd w:val="clear" w:color="auto" w:fill="CCEEFF"/>
          </w:tcPr>
          <w:p>
            <w:pPr>
              <w:spacing w:after="0"/>
              <w:rPr>
                <w:sz w:val="15"/>
                <w:szCs w:val="15"/>
                <w:color w:val="auto"/>
              </w:rPr>
            </w:pPr>
          </w:p>
        </w:tc>
        <w:tc>
          <w:tcPr>
            <w:tcW w:w="216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–Report results from Phase</w:t>
            </w:r>
          </w:p>
        </w:tc>
        <w:tc>
          <w:tcPr>
            <w:tcW w:w="0" w:type="dxa"/>
            <w:vAlign w:val="bottom"/>
          </w:tcPr>
          <w:p>
            <w:pPr>
              <w:spacing w:after="0"/>
              <w:rPr>
                <w:sz w:val="1"/>
                <w:szCs w:val="1"/>
                <w:color w:val="auto"/>
              </w:rPr>
            </w:pPr>
          </w:p>
        </w:tc>
      </w:tr>
      <w:tr>
        <w:trPr>
          <w:trHeight w:val="176"/>
        </w:trPr>
        <w:tc>
          <w:tcPr>
            <w:tcW w:w="20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04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–Approved by Japan's</w:t>
            </w:r>
          </w:p>
        </w:tc>
        <w:tc>
          <w:tcPr>
            <w:tcW w:w="21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3 study in lichen simplex</w:t>
            </w:r>
          </w:p>
        </w:tc>
        <w:tc>
          <w:tcPr>
            <w:tcW w:w="0" w:type="dxa"/>
            <w:vAlign w:val="bottom"/>
          </w:tcPr>
          <w:p>
            <w:pPr>
              <w:spacing w:after="0"/>
              <w:rPr>
                <w:sz w:val="1"/>
                <w:szCs w:val="1"/>
                <w:color w:val="auto"/>
              </w:rPr>
            </w:pPr>
          </w:p>
        </w:tc>
      </w:tr>
      <w:tr>
        <w:trPr>
          <w:trHeight w:val="68"/>
        </w:trPr>
        <w:tc>
          <w:tcPr>
            <w:tcW w:w="202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2040" w:type="dxa"/>
            <w:vAlign w:val="bottom"/>
            <w:vMerge w:val="continue"/>
            <w:shd w:val="clear" w:color="auto" w:fill="CCEEFF"/>
          </w:tcPr>
          <w:p>
            <w:pPr>
              <w:spacing w:after="0"/>
              <w:rPr>
                <w:sz w:val="5"/>
                <w:szCs w:val="5"/>
                <w:color w:val="auto"/>
              </w:rPr>
            </w:pPr>
          </w:p>
        </w:tc>
        <w:tc>
          <w:tcPr>
            <w:tcW w:w="2160" w:type="dxa"/>
            <w:vAlign w:val="bottom"/>
            <w:vMerge w:val="restart"/>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chronicus (second half</w:t>
            </w:r>
          </w:p>
        </w:tc>
        <w:tc>
          <w:tcPr>
            <w:tcW w:w="0" w:type="dxa"/>
            <w:vAlign w:val="bottom"/>
          </w:tcPr>
          <w:p>
            <w:pPr>
              <w:spacing w:after="0"/>
              <w:rPr>
                <w:sz w:val="1"/>
                <w:szCs w:val="1"/>
                <w:color w:val="auto"/>
              </w:rPr>
            </w:pPr>
          </w:p>
        </w:tc>
      </w:tr>
      <w:tr>
        <w:trPr>
          <w:trHeight w:val="117"/>
        </w:trPr>
        <w:tc>
          <w:tcPr>
            <w:tcW w:w="202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1800" w:type="dxa"/>
            <w:vAlign w:val="bottom"/>
            <w:vMerge w:val="restart"/>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–Lichen simplex</w:t>
            </w:r>
          </w:p>
        </w:tc>
        <w:tc>
          <w:tcPr>
            <w:tcW w:w="1580" w:type="dxa"/>
            <w:vAlign w:val="bottom"/>
            <w:shd w:val="clear" w:color="auto" w:fill="CCEEFF"/>
          </w:tcPr>
          <w:p>
            <w:pPr>
              <w:spacing w:after="0"/>
              <w:rPr>
                <w:sz w:val="10"/>
                <w:szCs w:val="10"/>
                <w:color w:val="auto"/>
              </w:rPr>
            </w:pPr>
          </w:p>
        </w:tc>
        <w:tc>
          <w:tcPr>
            <w:tcW w:w="2040" w:type="dxa"/>
            <w:vAlign w:val="bottom"/>
            <w:vMerge w:val="restart"/>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Ministry of Health,</w:t>
            </w:r>
          </w:p>
        </w:tc>
        <w:tc>
          <w:tcPr>
            <w:tcW w:w="21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02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1800" w:type="dxa"/>
            <w:vAlign w:val="bottom"/>
            <w:vMerge w:val="continue"/>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2040" w:type="dxa"/>
            <w:vAlign w:val="bottom"/>
            <w:vMerge w:val="continue"/>
            <w:shd w:val="clear" w:color="auto" w:fill="CCEEFF"/>
          </w:tcPr>
          <w:p>
            <w:pPr>
              <w:spacing w:after="0"/>
              <w:rPr>
                <w:sz w:val="5"/>
                <w:szCs w:val="5"/>
                <w:color w:val="auto"/>
              </w:rPr>
            </w:pPr>
          </w:p>
        </w:tc>
        <w:tc>
          <w:tcPr>
            <w:tcW w:w="21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184"/>
        </w:trPr>
        <w:tc>
          <w:tcPr>
            <w:tcW w:w="20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80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chronicus</w:t>
            </w:r>
          </w:p>
        </w:tc>
        <w:tc>
          <w:tcPr>
            <w:tcW w:w="1580" w:type="dxa"/>
            <w:vAlign w:val="bottom"/>
            <w:shd w:val="clear" w:color="auto" w:fill="CCEEFF"/>
          </w:tcPr>
          <w:p>
            <w:pPr>
              <w:spacing w:after="0"/>
              <w:rPr>
                <w:sz w:val="16"/>
                <w:szCs w:val="16"/>
                <w:color w:val="auto"/>
              </w:rPr>
            </w:pPr>
          </w:p>
        </w:tc>
        <w:tc>
          <w:tcPr>
            <w:tcW w:w="204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Labour and Welfare</w:t>
            </w:r>
          </w:p>
        </w:tc>
        <w:tc>
          <w:tcPr>
            <w:tcW w:w="2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04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("MHLW") for bullous</w:t>
            </w:r>
          </w:p>
        </w:tc>
        <w:tc>
          <w:tcPr>
            <w:tcW w:w="2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pemphigoid</w:t>
            </w:r>
          </w:p>
        </w:tc>
        <w:tc>
          <w:tcPr>
            <w:tcW w:w="2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2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Kevzara (sarilumab)</w:t>
            </w:r>
            <w:r>
              <w:rPr>
                <w:rFonts w:ascii="Times New Roman" w:cs="Times New Roman" w:eastAsia="Times New Roman" w:hAnsi="Times New Roman"/>
                <w:sz w:val="21"/>
                <w:szCs w:val="21"/>
                <w:b w:val="1"/>
                <w:bCs w:val="1"/>
                <w:color w:val="auto"/>
                <w:vertAlign w:val="superscript"/>
              </w:rPr>
              <w:t>(b)</w:t>
            </w:r>
          </w:p>
        </w:tc>
        <w:tc>
          <w:tcPr>
            <w:tcW w:w="164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–Systemic juvenile</w:t>
            </w:r>
          </w:p>
        </w:tc>
        <w:tc>
          <w:tcPr>
            <w:tcW w:w="18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Antibody to IL-6R</w:t>
            </w:r>
          </w:p>
        </w:tc>
        <w:tc>
          <w:tcPr>
            <w:tcW w:w="164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idiopathic arthritis</w:t>
            </w:r>
          </w:p>
        </w:tc>
        <w:tc>
          <w:tcPr>
            <w:tcW w:w="18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spacing w:after="0"/>
              <w:rPr>
                <w:sz w:val="15"/>
                <w:szCs w:val="15"/>
                <w:color w:val="auto"/>
              </w:rPr>
            </w:pPr>
          </w:p>
        </w:tc>
        <w:tc>
          <w:tcPr>
            <w:tcW w:w="16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("sJIA") (pivotal</w:t>
            </w:r>
          </w:p>
        </w:tc>
        <w:tc>
          <w:tcPr>
            <w:tcW w:w="18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20" w:type="dxa"/>
            <w:vAlign w:val="bottom"/>
          </w:tcPr>
          <w:p>
            <w:pPr>
              <w:spacing w:after="0"/>
              <w:rPr>
                <w:sz w:val="19"/>
                <w:szCs w:val="19"/>
                <w:color w:val="auto"/>
              </w:rPr>
            </w:pPr>
          </w:p>
        </w:tc>
        <w:tc>
          <w:tcPr>
            <w:tcW w:w="1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study)</w:t>
            </w:r>
          </w:p>
        </w:tc>
        <w:tc>
          <w:tcPr>
            <w:tcW w:w="18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Itepekimab</w:t>
            </w:r>
            <w:r>
              <w:rPr>
                <w:rFonts w:ascii="Times New Roman" w:cs="Times New Roman" w:eastAsia="Times New Roman" w:hAnsi="Times New Roman"/>
                <w:sz w:val="20"/>
                <w:szCs w:val="20"/>
                <w:b w:val="1"/>
                <w:bCs w:val="1"/>
                <w:color w:val="auto"/>
                <w:vertAlign w:val="superscript"/>
              </w:rPr>
              <w:t>(b)</w:t>
            </w:r>
          </w:p>
        </w:tc>
        <w:tc>
          <w:tcPr>
            <w:tcW w:w="1640" w:type="dxa"/>
            <w:vAlign w:val="bottom"/>
            <w:shd w:val="clear" w:color="auto" w:fill="CCEEFF"/>
          </w:tcPr>
          <w:p>
            <w:pPr>
              <w:ind w:left="120"/>
              <w:spacing w:after="0" w:line="180" w:lineRule="exact"/>
              <w:rPr>
                <w:sz w:val="20"/>
                <w:szCs w:val="20"/>
                <w:color w:val="auto"/>
              </w:rPr>
            </w:pPr>
            <w:r>
              <w:rPr>
                <w:rFonts w:ascii="Times New Roman" w:cs="Times New Roman" w:eastAsia="Times New Roman" w:hAnsi="Times New Roman"/>
                <w:sz w:val="18"/>
                <w:szCs w:val="18"/>
                <w:color w:val="auto"/>
              </w:rPr>
              <w:t>–Chronic</w:t>
            </w:r>
          </w:p>
        </w:tc>
        <w:tc>
          <w:tcPr>
            <w:tcW w:w="180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6"/>
                <w:szCs w:val="16"/>
                <w:color w:val="auto"/>
              </w:rPr>
              <w:t>–COPD</w:t>
            </w:r>
            <w:r>
              <w:rPr>
                <w:rFonts w:ascii="Times New Roman" w:cs="Times New Roman" w:eastAsia="Times New Roman" w:hAnsi="Times New Roman"/>
                <w:sz w:val="20"/>
                <w:szCs w:val="20"/>
                <w:color w:val="auto"/>
                <w:vertAlign w:val="superscript"/>
              </w:rPr>
              <w:t>(e)</w:t>
            </w:r>
          </w:p>
        </w:tc>
        <w:tc>
          <w:tcPr>
            <w:tcW w:w="158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(REGN3500)</w:t>
            </w:r>
          </w:p>
        </w:tc>
        <w:tc>
          <w:tcPr>
            <w:tcW w:w="1640" w:type="dxa"/>
            <w:vAlign w:val="bottom"/>
            <w:shd w:val="clear" w:color="auto" w:fill="CCEEFF"/>
          </w:tcPr>
          <w:p>
            <w:pPr>
              <w:ind w:left="120"/>
              <w:spacing w:after="0" w:line="184" w:lineRule="exact"/>
              <w:rPr>
                <w:sz w:val="20"/>
                <w:szCs w:val="20"/>
                <w:color w:val="auto"/>
              </w:rPr>
            </w:pPr>
            <w:r>
              <w:rPr>
                <w:rFonts w:ascii="Times New Roman" w:cs="Times New Roman" w:eastAsia="Times New Roman" w:hAnsi="Times New Roman"/>
                <w:sz w:val="18"/>
                <w:szCs w:val="18"/>
                <w:color w:val="auto"/>
              </w:rPr>
              <w:t>rhinosinusitis</w:t>
            </w:r>
          </w:p>
        </w:tc>
        <w:tc>
          <w:tcPr>
            <w:tcW w:w="18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Antibody to IL-33</w:t>
            </w:r>
          </w:p>
        </w:tc>
        <w:tc>
          <w:tcPr>
            <w:tcW w:w="164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without nasal</w:t>
            </w:r>
          </w:p>
        </w:tc>
        <w:tc>
          <w:tcPr>
            <w:tcW w:w="18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–CRSwNP</w:t>
            </w:r>
          </w:p>
        </w:tc>
        <w:tc>
          <w:tcPr>
            <w:tcW w:w="158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20" w:type="dxa"/>
            <w:vAlign w:val="bottom"/>
            <w:shd w:val="clear" w:color="auto" w:fill="CCEEFF"/>
          </w:tcPr>
          <w:p>
            <w:pPr>
              <w:spacing w:after="0"/>
              <w:rPr>
                <w:sz w:val="10"/>
                <w:szCs w:val="10"/>
                <w:color w:val="auto"/>
              </w:rPr>
            </w:pPr>
          </w:p>
        </w:tc>
        <w:tc>
          <w:tcPr>
            <w:tcW w:w="1640" w:type="dxa"/>
            <w:vAlign w:val="bottom"/>
            <w:vMerge w:val="restart"/>
            <w:shd w:val="clear" w:color="auto" w:fill="CCEEFF"/>
          </w:tcPr>
          <w:p>
            <w:pPr>
              <w:ind w:left="120"/>
              <w:spacing w:after="0" w:line="184" w:lineRule="exact"/>
              <w:rPr>
                <w:sz w:val="20"/>
                <w:szCs w:val="20"/>
                <w:color w:val="auto"/>
              </w:rPr>
            </w:pPr>
            <w:r>
              <w:rPr>
                <w:rFonts w:ascii="Times New Roman" w:cs="Times New Roman" w:eastAsia="Times New Roman" w:hAnsi="Times New Roman"/>
                <w:sz w:val="18"/>
                <w:szCs w:val="18"/>
                <w:color w:val="auto"/>
              </w:rPr>
              <w:t>polyposis</w:t>
            </w:r>
          </w:p>
        </w:tc>
        <w:tc>
          <w:tcPr>
            <w:tcW w:w="1800" w:type="dxa"/>
            <w:vAlign w:val="bottom"/>
            <w:vMerge w:val="continue"/>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2040" w:type="dxa"/>
            <w:vAlign w:val="bottom"/>
            <w:shd w:val="clear" w:color="auto" w:fill="CCEEFF"/>
          </w:tcPr>
          <w:p>
            <w:pPr>
              <w:spacing w:after="0"/>
              <w:rPr>
                <w:sz w:val="10"/>
                <w:szCs w:val="10"/>
                <w:color w:val="auto"/>
              </w:rPr>
            </w:pPr>
          </w:p>
        </w:tc>
        <w:tc>
          <w:tcPr>
            <w:tcW w:w="2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2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2040" w:type="dxa"/>
            <w:vAlign w:val="bottom"/>
            <w:shd w:val="clear" w:color="auto" w:fill="CCEEFF"/>
          </w:tcPr>
          <w:p>
            <w:pPr>
              <w:spacing w:after="0"/>
              <w:rPr>
                <w:sz w:val="5"/>
                <w:szCs w:val="5"/>
                <w:color w:val="auto"/>
              </w:rPr>
            </w:pPr>
          </w:p>
        </w:tc>
        <w:tc>
          <w:tcPr>
            <w:tcW w:w="2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020" w:type="dxa"/>
            <w:vAlign w:val="bottom"/>
            <w:shd w:val="clear" w:color="auto" w:fill="CCEEFF"/>
          </w:tcPr>
          <w:p>
            <w:pPr>
              <w:spacing w:after="0"/>
              <w:rPr>
                <w:sz w:val="20"/>
                <w:szCs w:val="20"/>
                <w:color w:val="auto"/>
              </w:rPr>
            </w:pPr>
          </w:p>
        </w:tc>
        <w:tc>
          <w:tcPr>
            <w:tcW w:w="1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("CRSsNP")</w:t>
            </w:r>
          </w:p>
        </w:tc>
        <w:tc>
          <w:tcPr>
            <w:tcW w:w="18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REGN5713-5715</w:t>
            </w:r>
          </w:p>
        </w:tc>
        <w:tc>
          <w:tcPr>
            <w:tcW w:w="1640" w:type="dxa"/>
            <w:vAlign w:val="bottom"/>
          </w:tcPr>
          <w:p>
            <w:pPr>
              <w:spacing w:after="0"/>
              <w:rPr>
                <w:sz w:val="18"/>
                <w:szCs w:val="18"/>
                <w:color w:val="auto"/>
              </w:rPr>
            </w:pP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–Birch allergy</w:t>
            </w:r>
          </w:p>
        </w:tc>
        <w:tc>
          <w:tcPr>
            <w:tcW w:w="1580" w:type="dxa"/>
            <w:vAlign w:val="bottom"/>
          </w:tcPr>
          <w:p>
            <w:pPr>
              <w:spacing w:after="0"/>
              <w:rPr>
                <w:sz w:val="18"/>
                <w:szCs w:val="18"/>
                <w:color w:val="auto"/>
              </w:rPr>
            </w:pPr>
          </w:p>
        </w:tc>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–Initiated second Phase 3</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Multi-antibody therapy to</w:t>
            </w:r>
          </w:p>
        </w:tc>
        <w:tc>
          <w:tcPr>
            <w:tcW w:w="16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trial in birch allergy</w:t>
            </w: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Bet v 1</w:t>
            </w:r>
          </w:p>
        </w:tc>
        <w:tc>
          <w:tcPr>
            <w:tcW w:w="16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REGN1908-1909</w:t>
            </w:r>
            <w:r>
              <w:rPr>
                <w:rFonts w:ascii="Times New Roman" w:cs="Times New Roman" w:eastAsia="Times New Roman" w:hAnsi="Times New Roman"/>
                <w:sz w:val="23"/>
                <w:szCs w:val="23"/>
                <w:b w:val="1"/>
                <w:bCs w:val="1"/>
                <w:color w:val="auto"/>
                <w:vertAlign w:val="superscript"/>
              </w:rPr>
              <w:t>(f)</w:t>
            </w: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–Cat allergy</w:t>
            </w:r>
          </w:p>
        </w:tc>
        <w:tc>
          <w:tcPr>
            <w:tcW w:w="15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–Initiate second Phase 3</w:t>
            </w:r>
          </w:p>
        </w:tc>
        <w:tc>
          <w:tcPr>
            <w:tcW w:w="0" w:type="dxa"/>
            <w:vAlign w:val="bottom"/>
          </w:tcPr>
          <w:p>
            <w:pPr>
              <w:spacing w:after="0"/>
              <w:rPr>
                <w:sz w:val="1"/>
                <w:szCs w:val="1"/>
                <w:color w:val="auto"/>
              </w:rPr>
            </w:pPr>
          </w:p>
        </w:tc>
      </w:tr>
      <w:tr>
        <w:trPr>
          <w:trHeight w:val="175"/>
        </w:trPr>
        <w:tc>
          <w:tcPr>
            <w:tcW w:w="2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Multi-antibody therapy to</w:t>
            </w:r>
          </w:p>
        </w:tc>
        <w:tc>
          <w:tcPr>
            <w:tcW w:w="16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1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study in cat allergy (second</w:t>
            </w:r>
          </w:p>
        </w:tc>
        <w:tc>
          <w:tcPr>
            <w:tcW w:w="0" w:type="dxa"/>
            <w:vAlign w:val="bottom"/>
          </w:tcPr>
          <w:p>
            <w:pPr>
              <w:spacing w:after="0"/>
              <w:rPr>
                <w:sz w:val="1"/>
                <w:szCs w:val="1"/>
                <w:color w:val="auto"/>
              </w:rPr>
            </w:pPr>
          </w:p>
        </w:tc>
      </w:tr>
      <w:tr>
        <w:trPr>
          <w:trHeight w:val="243"/>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Fel d 1</w:t>
            </w:r>
          </w:p>
        </w:tc>
        <w:tc>
          <w:tcPr>
            <w:tcW w:w="164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2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half 2026)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6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7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2026 Events to Date</w:t>
            </w:r>
          </w:p>
        </w:tc>
        <w:tc>
          <w:tcPr>
            <w:tcW w:w="21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40"/>
        </w:trPr>
        <w:tc>
          <w:tcPr>
            <w:tcW w:w="21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660" w:type="dxa"/>
            <w:vAlign w:val="bottom"/>
            <w:gridSpan w:val="2"/>
            <w:vMerge w:val="continue"/>
          </w:tcPr>
          <w:p>
            <w:pPr>
              <w:spacing w:after="0"/>
              <w:rPr>
                <w:sz w:val="20"/>
                <w:szCs w:val="20"/>
                <w:color w:val="auto"/>
              </w:rPr>
            </w:pPr>
          </w:p>
        </w:tc>
        <w:tc>
          <w:tcPr>
            <w:tcW w:w="1740" w:type="dxa"/>
            <w:vAlign w:val="bottom"/>
            <w:gridSpan w:val="2"/>
            <w:vMerge w:val="continue"/>
          </w:tcPr>
          <w:p>
            <w:pPr>
              <w:spacing w:after="0"/>
              <w:rPr>
                <w:sz w:val="20"/>
                <w:szCs w:val="20"/>
                <w:color w:val="auto"/>
              </w:rPr>
            </w:pPr>
          </w:p>
        </w:tc>
        <w:tc>
          <w:tcPr>
            <w:tcW w:w="1660" w:type="dxa"/>
            <w:vAlign w:val="bottom"/>
            <w:gridSpan w:val="2"/>
          </w:tcPr>
          <w:p>
            <w:pPr>
              <w:jc w:val="center"/>
              <w:ind w:right="80"/>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1960" w:type="dxa"/>
            <w:vAlign w:val="bottom"/>
            <w:gridSpan w:val="2"/>
            <w:vMerge w:val="continue"/>
          </w:tcPr>
          <w:p>
            <w:pPr>
              <w:spacing w:after="0"/>
              <w:rPr>
                <w:sz w:val="20"/>
                <w:szCs w:val="20"/>
                <w:color w:val="auto"/>
              </w:rPr>
            </w:pPr>
          </w:p>
        </w:tc>
        <w:tc>
          <w:tcPr>
            <w:tcW w:w="21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34"/>
        </w:trPr>
        <w:tc>
          <w:tcPr>
            <w:tcW w:w="20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4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5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3400" w:type="dxa"/>
            <w:vAlign w:val="bottom"/>
            <w:gridSpan w:val="4"/>
            <w:shd w:val="clear" w:color="auto" w:fill="ACACAC"/>
          </w:tcPr>
          <w:p>
            <w:pPr>
              <w:ind w:left="980"/>
              <w:spacing w:after="0"/>
              <w:rPr>
                <w:sz w:val="20"/>
                <w:szCs w:val="20"/>
                <w:color w:val="auto"/>
              </w:rPr>
            </w:pPr>
            <w:r>
              <w:rPr>
                <w:rFonts w:ascii="Times New Roman" w:cs="Times New Roman" w:eastAsia="Times New Roman" w:hAnsi="Times New Roman"/>
                <w:sz w:val="18"/>
                <w:szCs w:val="18"/>
                <w:b w:val="1"/>
                <w:bCs w:val="1"/>
                <w:color w:val="auto"/>
              </w:rPr>
              <w:t>Solid Tumor Oncology</w:t>
            </w:r>
          </w:p>
        </w:tc>
        <w:tc>
          <w:tcPr>
            <w:tcW w:w="18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210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Libtayo (cemiplimab)</w:t>
            </w:r>
            <w:r>
              <w:rPr>
                <w:rFonts w:ascii="Times New Roman" w:cs="Times New Roman" w:eastAsia="Times New Roman" w:hAnsi="Times New Roman"/>
                <w:sz w:val="23"/>
                <w:szCs w:val="23"/>
                <w:b w:val="1"/>
                <w:bCs w:val="1"/>
                <w:color w:val="auto"/>
                <w:vertAlign w:val="superscript"/>
              </w:rPr>
              <w:t>(f)(g)</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–Neoadjuvant CSCC</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–Early-stage CSCC</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–Adjuvant and</w:t>
            </w:r>
          </w:p>
        </w:tc>
        <w:tc>
          <w:tcPr>
            <w:tcW w:w="1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21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Antibody to PD-1</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(intralesional)</w:t>
            </w:r>
          </w:p>
        </w:tc>
        <w:tc>
          <w:tcPr>
            <w:tcW w:w="16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advanced CSCC</w:t>
            </w: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–First-line NSCLC,</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BNT116</w:t>
            </w:r>
            <w:r>
              <w:rPr>
                <w:rFonts w:ascii="Times New Roman" w:cs="Times New Roman" w:eastAsia="Times New Roman" w:hAnsi="Times New Roman"/>
                <w:sz w:val="20"/>
                <w:szCs w:val="20"/>
                <w:color w:val="auto"/>
                <w:vertAlign w:val="superscript"/>
              </w:rPr>
              <w:t>(i)</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combination</w:t>
            </w: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–Neoadjuvant</w:t>
            </w: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NSCLC</w:t>
            </w: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–Neoadjuvant</w:t>
            </w: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hepatocellular</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carcinoma ("HCC")</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1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Fianlimab</w:t>
            </w:r>
            <w:r>
              <w:rPr>
                <w:rFonts w:ascii="Times New Roman" w:cs="Times New Roman" w:eastAsia="Times New Roman" w:hAnsi="Times New Roman"/>
                <w:sz w:val="20"/>
                <w:szCs w:val="20"/>
                <w:b w:val="1"/>
                <w:bCs w:val="1"/>
                <w:color w:val="auto"/>
                <w:vertAlign w:val="superscript"/>
              </w:rPr>
              <w:t>(f)</w:t>
            </w:r>
            <w:r>
              <w:rPr>
                <w:rFonts w:ascii="Times New Roman" w:cs="Times New Roman" w:eastAsia="Times New Roman" w:hAnsi="Times New Roman"/>
                <w:sz w:val="16"/>
                <w:szCs w:val="16"/>
                <w:b w:val="1"/>
                <w:bCs w:val="1"/>
                <w:color w:val="auto"/>
              </w:rPr>
              <w:t xml:space="preserve"> (REGN3767)</w:t>
            </w:r>
          </w:p>
        </w:tc>
        <w:tc>
          <w:tcPr>
            <w:tcW w:w="16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–Perioperative</w:t>
            </w:r>
          </w:p>
        </w:tc>
        <w:tc>
          <w:tcPr>
            <w:tcW w:w="17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–First-line metastatic</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–Phase 2 data in first-line</w:t>
            </w:r>
          </w:p>
        </w:tc>
        <w:tc>
          <w:tcPr>
            <w:tcW w:w="21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–Report results from Phase</w:t>
            </w:r>
          </w:p>
        </w:tc>
        <w:tc>
          <w:tcPr>
            <w:tcW w:w="0" w:type="dxa"/>
            <w:vAlign w:val="bottom"/>
          </w:tcPr>
          <w:p>
            <w:pPr>
              <w:spacing w:after="0"/>
              <w:rPr>
                <w:sz w:val="1"/>
                <w:szCs w:val="1"/>
                <w:color w:val="auto"/>
              </w:rPr>
            </w:pPr>
          </w:p>
        </w:tc>
      </w:tr>
      <w:tr>
        <w:trPr>
          <w:trHeight w:val="184"/>
        </w:trPr>
        <w:tc>
          <w:tcPr>
            <w:tcW w:w="212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i w:val="1"/>
                <w:iCs w:val="1"/>
                <w:color w:val="auto"/>
              </w:rPr>
              <w:t>Antibody to LAG-3</w:t>
            </w:r>
          </w:p>
        </w:tc>
        <w:tc>
          <w:tcPr>
            <w:tcW w:w="166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NSCLC</w:t>
            </w:r>
          </w:p>
        </w:tc>
        <w:tc>
          <w:tcPr>
            <w:tcW w:w="17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melanoma</w:t>
            </w:r>
            <w:r>
              <w:rPr>
                <w:rFonts w:ascii="Times New Roman" w:cs="Times New Roman" w:eastAsia="Times New Roman" w:hAnsi="Times New Roman"/>
                <w:sz w:val="21"/>
                <w:szCs w:val="21"/>
                <w:color w:val="auto"/>
                <w:vertAlign w:val="superscript"/>
              </w:rPr>
              <w:t>(e)</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advanced NSCLC did</w:t>
            </w:r>
          </w:p>
        </w:tc>
        <w:tc>
          <w:tcPr>
            <w:tcW w:w="210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3 study in combination with</w:t>
            </w: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not support advancement</w:t>
            </w:r>
          </w:p>
        </w:tc>
        <w:tc>
          <w:tcPr>
            <w:tcW w:w="2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Libtayo versus</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–Perioperative</w:t>
            </w:r>
          </w:p>
        </w:tc>
        <w:tc>
          <w:tcPr>
            <w:tcW w:w="17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–Adjuvant melanoma</w:t>
            </w: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to Phase 3</w:t>
            </w:r>
          </w:p>
        </w:tc>
        <w:tc>
          <w:tcPr>
            <w:tcW w:w="2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pembrolizumab in first-line</w:t>
            </w:r>
          </w:p>
        </w:tc>
        <w:tc>
          <w:tcPr>
            <w:tcW w:w="0" w:type="dxa"/>
            <w:vAlign w:val="bottom"/>
          </w:tcPr>
          <w:p>
            <w:pPr>
              <w:spacing w:after="0"/>
              <w:rPr>
                <w:sz w:val="1"/>
                <w:szCs w:val="1"/>
                <w:color w:val="auto"/>
              </w:rPr>
            </w:pPr>
          </w:p>
        </w:tc>
      </w:tr>
      <w:tr>
        <w:trPr>
          <w:trHeight w:val="59"/>
        </w:trPr>
        <w:tc>
          <w:tcPr>
            <w:tcW w:w="20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60" w:type="dxa"/>
            <w:vAlign w:val="bottom"/>
            <w:gridSpan w:val="2"/>
            <w:vMerge w:val="continue"/>
            <w:shd w:val="clear" w:color="auto" w:fill="CCEEFF"/>
          </w:tcPr>
          <w:p>
            <w:pPr>
              <w:spacing w:after="0"/>
              <w:rPr>
                <w:sz w:val="5"/>
                <w:szCs w:val="5"/>
                <w:color w:val="auto"/>
              </w:rPr>
            </w:pPr>
          </w:p>
        </w:tc>
        <w:tc>
          <w:tcPr>
            <w:tcW w:w="1740" w:type="dxa"/>
            <w:vAlign w:val="bottom"/>
            <w:gridSpan w:val="2"/>
            <w:vMerge w:val="continue"/>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100" w:type="dxa"/>
            <w:vAlign w:val="bottom"/>
            <w:vMerge w:val="restart"/>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metastatic melanoma</w:t>
            </w:r>
          </w:p>
        </w:tc>
        <w:tc>
          <w:tcPr>
            <w:tcW w:w="0" w:type="dxa"/>
            <w:vAlign w:val="bottom"/>
          </w:tcPr>
          <w:p>
            <w:pPr>
              <w:spacing w:after="0"/>
              <w:rPr>
                <w:sz w:val="1"/>
                <w:szCs w:val="1"/>
                <w:color w:val="auto"/>
              </w:rPr>
            </w:pPr>
          </w:p>
        </w:tc>
      </w:tr>
      <w:tr>
        <w:trPr>
          <w:trHeight w:val="137"/>
        </w:trPr>
        <w:tc>
          <w:tcPr>
            <w:tcW w:w="2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ind w:left="20"/>
              <w:spacing w:after="0" w:line="137" w:lineRule="exact"/>
              <w:rPr>
                <w:sz w:val="20"/>
                <w:szCs w:val="20"/>
                <w:color w:val="auto"/>
              </w:rPr>
            </w:pPr>
            <w:r>
              <w:rPr>
                <w:rFonts w:ascii="Times New Roman" w:cs="Times New Roman" w:eastAsia="Times New Roman" w:hAnsi="Times New Roman"/>
                <w:sz w:val="15"/>
                <w:szCs w:val="15"/>
                <w:color w:val="auto"/>
              </w:rPr>
              <w:t>melanoma</w:t>
            </w: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–Phase 3 adjuvant</w:t>
            </w:r>
          </w:p>
        </w:tc>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quarter 2026)</w:t>
            </w: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–First-line metastatic</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melanoma study passed</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60" w:type="dxa"/>
            <w:vAlign w:val="bottom"/>
            <w:gridSpan w:val="2"/>
            <w:vMerge w:val="continue"/>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960" w:type="dxa"/>
            <w:vAlign w:val="bottom"/>
            <w:gridSpan w:val="2"/>
            <w:vMerge w:val="restart"/>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first interim analysis</w:t>
            </w:r>
          </w:p>
        </w:tc>
        <w:tc>
          <w:tcPr>
            <w:tcW w:w="2100" w:type="dxa"/>
            <w:vAlign w:val="bottom"/>
            <w:vMerge w:val="restart"/>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–Report results from Phase</w:t>
            </w:r>
          </w:p>
        </w:tc>
        <w:tc>
          <w:tcPr>
            <w:tcW w:w="0" w:type="dxa"/>
            <w:vAlign w:val="bottom"/>
          </w:tcPr>
          <w:p>
            <w:pPr>
              <w:spacing w:after="0"/>
              <w:rPr>
                <w:sz w:val="1"/>
                <w:szCs w:val="1"/>
                <w:color w:val="auto"/>
              </w:rPr>
            </w:pPr>
          </w:p>
        </w:tc>
      </w:tr>
      <w:tr>
        <w:trPr>
          <w:trHeight w:val="117"/>
        </w:trPr>
        <w:tc>
          <w:tcPr>
            <w:tcW w:w="2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60" w:type="dxa"/>
            <w:vAlign w:val="bottom"/>
            <w:gridSpan w:val="2"/>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head and neck</w:t>
            </w:r>
          </w:p>
        </w:tc>
        <w:tc>
          <w:tcPr>
            <w:tcW w:w="1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960" w:type="dxa"/>
            <w:vAlign w:val="bottom"/>
            <w:gridSpan w:val="2"/>
            <w:vMerge w:val="continue"/>
            <w:shd w:val="clear" w:color="auto" w:fill="CCEEFF"/>
          </w:tcPr>
          <w:p>
            <w:pPr>
              <w:spacing w:after="0"/>
              <w:rPr>
                <w:sz w:val="10"/>
                <w:szCs w:val="10"/>
                <w:color w:val="auto"/>
              </w:rPr>
            </w:pPr>
          </w:p>
        </w:tc>
        <w:tc>
          <w:tcPr>
            <w:tcW w:w="21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0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60" w:type="dxa"/>
            <w:vAlign w:val="bottom"/>
            <w:gridSpan w:val="2"/>
            <w:vMerge w:val="continue"/>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conducted by</w:t>
            </w:r>
          </w:p>
        </w:tc>
        <w:tc>
          <w:tcPr>
            <w:tcW w:w="2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study in combination with</w:t>
            </w: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squamous cell</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vMerge w:val="continue"/>
            <w:shd w:val="clear" w:color="auto" w:fill="CCEEFF"/>
          </w:tcPr>
          <w:p>
            <w:pPr>
              <w:spacing w:after="0"/>
              <w:rPr>
                <w:sz w:val="15"/>
                <w:szCs w:val="15"/>
                <w:color w:val="auto"/>
              </w:rPr>
            </w:pPr>
          </w:p>
        </w:tc>
        <w:tc>
          <w:tcPr>
            <w:tcW w:w="2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carcinoma</w:t>
            </w:r>
          </w:p>
        </w:tc>
        <w:tc>
          <w:tcPr>
            <w:tcW w:w="1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Independent Data</w:t>
            </w:r>
          </w:p>
        </w:tc>
        <w:tc>
          <w:tcPr>
            <w:tcW w:w="21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Libtayo versus</w:t>
            </w:r>
          </w:p>
        </w:tc>
        <w:tc>
          <w:tcPr>
            <w:tcW w:w="0" w:type="dxa"/>
            <w:vAlign w:val="bottom"/>
          </w:tcPr>
          <w:p>
            <w:pPr>
              <w:spacing w:after="0"/>
              <w:rPr>
                <w:sz w:val="1"/>
                <w:szCs w:val="1"/>
                <w:color w:val="auto"/>
              </w:rPr>
            </w:pPr>
          </w:p>
        </w:tc>
      </w:tr>
      <w:tr>
        <w:trPr>
          <w:trHeight w:val="122"/>
        </w:trPr>
        <w:tc>
          <w:tcPr>
            <w:tcW w:w="2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60" w:type="dxa"/>
            <w:vAlign w:val="bottom"/>
            <w:gridSpan w:val="2"/>
            <w:vMerge w:val="continue"/>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960" w:type="dxa"/>
            <w:vAlign w:val="bottom"/>
            <w:gridSpan w:val="2"/>
            <w:vMerge w:val="restart"/>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Monitoring Committee;</w:t>
            </w:r>
          </w:p>
        </w:tc>
        <w:tc>
          <w:tcPr>
            <w:tcW w:w="2100" w:type="dxa"/>
            <w:vAlign w:val="bottom"/>
            <w:vMerge w:val="restart"/>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pembrolizumab in adjuvant</w:t>
            </w:r>
          </w:p>
        </w:tc>
        <w:tc>
          <w:tcPr>
            <w:tcW w:w="0" w:type="dxa"/>
            <w:vAlign w:val="bottom"/>
          </w:tcPr>
          <w:p>
            <w:pPr>
              <w:spacing w:after="0"/>
              <w:rPr>
                <w:sz w:val="1"/>
                <w:szCs w:val="1"/>
                <w:color w:val="auto"/>
              </w:rPr>
            </w:pPr>
          </w:p>
        </w:tc>
      </w:tr>
      <w:tr>
        <w:trPr>
          <w:trHeight w:val="63"/>
        </w:trPr>
        <w:tc>
          <w:tcPr>
            <w:tcW w:w="20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960" w:type="dxa"/>
            <w:vAlign w:val="bottom"/>
            <w:gridSpan w:val="2"/>
            <w:vMerge w:val="continue"/>
            <w:shd w:val="clear" w:color="auto" w:fill="CCEEFF"/>
          </w:tcPr>
          <w:p>
            <w:pPr>
              <w:spacing w:after="0"/>
              <w:rPr>
                <w:sz w:val="5"/>
                <w:szCs w:val="5"/>
                <w:color w:val="auto"/>
              </w:rPr>
            </w:pPr>
          </w:p>
        </w:tc>
        <w:tc>
          <w:tcPr>
            <w:tcW w:w="2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study will continue as</w:t>
            </w:r>
          </w:p>
        </w:tc>
        <w:tc>
          <w:tcPr>
            <w:tcW w:w="21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melanoma (second half</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planned</w:t>
            </w:r>
          </w:p>
        </w:tc>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182"/>
        </w:trPr>
        <w:tc>
          <w:tcPr>
            <w:tcW w:w="21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Vidutolimod</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Immune activator targeting</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TLR9</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1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Ubamatamab</w:t>
            </w:r>
            <w:r>
              <w:rPr>
                <w:rFonts w:ascii="Times New Roman" w:cs="Times New Roman" w:eastAsia="Times New Roman" w:hAnsi="Times New Roman"/>
                <w:sz w:val="20"/>
                <w:szCs w:val="20"/>
                <w:b w:val="1"/>
                <w:bCs w:val="1"/>
                <w:color w:val="auto"/>
                <w:vertAlign w:val="superscript"/>
              </w:rPr>
              <w:t>(f)</w:t>
            </w:r>
          </w:p>
        </w:tc>
        <w:tc>
          <w:tcPr>
            <w:tcW w:w="166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–Serous ovarian</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(REGN4018)</w:t>
            </w:r>
          </w:p>
        </w:tc>
        <w:tc>
          <w:tcPr>
            <w:tcW w:w="16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cancer</w:t>
            </w: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targeting MUC16 and CD3</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–Advanced</w:t>
            </w:r>
          </w:p>
        </w:tc>
        <w:tc>
          <w:tcPr>
            <w:tcW w:w="1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NSCLC</w:t>
            </w:r>
            <w:r>
              <w:rPr>
                <w:rFonts w:ascii="Times New Roman" w:cs="Times New Roman" w:eastAsia="Times New Roman" w:hAnsi="Times New Roman"/>
                <w:sz w:val="23"/>
                <w:szCs w:val="23"/>
                <w:color w:val="auto"/>
                <w:vertAlign w:val="superscript"/>
              </w:rPr>
              <w:t>(l)</w:t>
            </w: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12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REGN5668</w:t>
            </w:r>
            <w:r>
              <w:rPr>
                <w:rFonts w:ascii="Times New Roman" w:cs="Times New Roman" w:eastAsia="Times New Roman" w:hAnsi="Times New Roman"/>
                <w:sz w:val="21"/>
                <w:szCs w:val="21"/>
                <w:b w:val="1"/>
                <w:bCs w:val="1"/>
                <w:color w:val="auto"/>
                <w:vertAlign w:val="superscript"/>
              </w:rPr>
              <w:t>(p)</w:t>
            </w:r>
          </w:p>
        </w:tc>
        <w:tc>
          <w:tcPr>
            <w:tcW w:w="16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–Ovarian cancer</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targeting MUC16 and</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CD28</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12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Nezastomig (REGN5678)</w:t>
            </w:r>
          </w:p>
        </w:tc>
        <w:tc>
          <w:tcPr>
            <w:tcW w:w="16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–Prostate cancer</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2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targeting PSMA and CD28</w:t>
            </w: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1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Marlotamig (REGN7075)</w:t>
            </w:r>
          </w:p>
        </w:tc>
        <w:tc>
          <w:tcPr>
            <w:tcW w:w="16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–Solid tumors</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targeting EGFR and CD28</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12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Davutamig (REGN5093)</w:t>
            </w:r>
          </w:p>
        </w:tc>
        <w:tc>
          <w:tcPr>
            <w:tcW w:w="16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–MET-altered</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2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6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advanced NSCLC</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targeting two distinct MET</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epitopes</w:t>
            </w: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7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7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2026 Events to Date</w:t>
            </w:r>
          </w:p>
        </w:tc>
        <w:tc>
          <w:tcPr>
            <w:tcW w:w="21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40"/>
        </w:trPr>
        <w:tc>
          <w:tcPr>
            <w:tcW w:w="214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700" w:type="dxa"/>
            <w:vAlign w:val="bottom"/>
            <w:gridSpan w:val="2"/>
            <w:vMerge w:val="continue"/>
          </w:tcPr>
          <w:p>
            <w:pPr>
              <w:spacing w:after="0"/>
              <w:rPr>
                <w:sz w:val="20"/>
                <w:szCs w:val="20"/>
                <w:color w:val="auto"/>
              </w:rPr>
            </w:pPr>
          </w:p>
        </w:tc>
        <w:tc>
          <w:tcPr>
            <w:tcW w:w="1720" w:type="dxa"/>
            <w:vAlign w:val="bottom"/>
            <w:gridSpan w:val="2"/>
            <w:vMerge w:val="continue"/>
          </w:tcPr>
          <w:p>
            <w:pPr>
              <w:spacing w:after="0"/>
              <w:rPr>
                <w:sz w:val="20"/>
                <w:szCs w:val="20"/>
                <w:color w:val="auto"/>
              </w:rPr>
            </w:pPr>
          </w:p>
        </w:tc>
        <w:tc>
          <w:tcPr>
            <w:tcW w:w="1660" w:type="dxa"/>
            <w:vAlign w:val="bottom"/>
            <w:gridSpan w:val="2"/>
          </w:tcPr>
          <w:p>
            <w:pPr>
              <w:jc w:val="center"/>
              <w:ind w:right="80"/>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1920" w:type="dxa"/>
            <w:vAlign w:val="bottom"/>
            <w:gridSpan w:val="2"/>
            <w:vMerge w:val="continue"/>
          </w:tcPr>
          <w:p>
            <w:pPr>
              <w:spacing w:after="0"/>
              <w:rPr>
                <w:sz w:val="20"/>
                <w:szCs w:val="20"/>
                <w:color w:val="auto"/>
              </w:rPr>
            </w:pPr>
          </w:p>
        </w:tc>
        <w:tc>
          <w:tcPr>
            <w:tcW w:w="21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34"/>
        </w:trPr>
        <w:tc>
          <w:tcPr>
            <w:tcW w:w="20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6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6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3380" w:type="dxa"/>
            <w:vAlign w:val="bottom"/>
            <w:gridSpan w:val="4"/>
            <w:shd w:val="clear" w:color="auto" w:fill="ACACAC"/>
          </w:tcPr>
          <w:p>
            <w:pPr>
              <w:ind w:left="920"/>
              <w:spacing w:after="0"/>
              <w:rPr>
                <w:sz w:val="20"/>
                <w:szCs w:val="20"/>
                <w:color w:val="auto"/>
              </w:rPr>
            </w:pPr>
            <w:r>
              <w:rPr>
                <w:rFonts w:ascii="Times New Roman" w:cs="Times New Roman" w:eastAsia="Times New Roman" w:hAnsi="Times New Roman"/>
                <w:sz w:val="18"/>
                <w:szCs w:val="18"/>
                <w:b w:val="1"/>
                <w:bCs w:val="1"/>
                <w:color w:val="auto"/>
              </w:rPr>
              <w:t>Hematology-Oncology</w:t>
            </w:r>
          </w:p>
        </w:tc>
        <w:tc>
          <w:tcPr>
            <w:tcW w:w="184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210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Ordspono</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–B-cell non-Hodgkin</w:t>
            </w: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–Lymphoma</w:t>
            </w:r>
            <w:r>
              <w:rPr>
                <w:rFonts w:ascii="Times New Roman" w:cs="Times New Roman" w:eastAsia="Times New Roman" w:hAnsi="Times New Roman"/>
                <w:sz w:val="23"/>
                <w:szCs w:val="23"/>
                <w:color w:val="auto"/>
                <w:vertAlign w:val="superscript"/>
              </w:rPr>
              <w:t>(c)(e)</w:t>
            </w: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1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(odronextamab)</w:t>
            </w:r>
          </w:p>
        </w:tc>
        <w:tc>
          <w:tcPr>
            <w:tcW w:w="1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lymphoma</w:t>
            </w:r>
          </w:p>
        </w:tc>
        <w:tc>
          <w:tcPr>
            <w:tcW w:w="17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(multiple lines and</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70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("B-NHL") (pivotal</w:t>
            </w:r>
          </w:p>
        </w:tc>
        <w:tc>
          <w:tcPr>
            <w:tcW w:w="172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settings)</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targeting CD20 and CD3</w:t>
            </w:r>
          </w:p>
        </w:tc>
        <w:tc>
          <w:tcPr>
            <w:tcW w:w="17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study)</w:t>
            </w: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Lynozyfic (linvoseltamab)</w:t>
            </w:r>
          </w:p>
        </w:tc>
        <w:tc>
          <w:tcPr>
            <w:tcW w:w="17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–Multiple myeloma</w:t>
            </w:r>
          </w:p>
        </w:tc>
        <w:tc>
          <w:tcPr>
            <w:tcW w:w="172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2"/>
                <w:szCs w:val="12"/>
                <w:color w:val="auto"/>
              </w:rPr>
              <w:t>(c)</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–Initiate additional Phase 3</w:t>
            </w:r>
          </w:p>
        </w:tc>
        <w:tc>
          <w:tcPr>
            <w:tcW w:w="0" w:type="dxa"/>
            <w:vAlign w:val="bottom"/>
          </w:tcPr>
          <w:p>
            <w:pPr>
              <w:spacing w:after="0"/>
              <w:rPr>
                <w:sz w:val="1"/>
                <w:szCs w:val="1"/>
                <w:color w:val="auto"/>
              </w:rPr>
            </w:pPr>
          </w:p>
        </w:tc>
      </w:tr>
      <w:tr>
        <w:trPr>
          <w:trHeight w:val="56"/>
        </w:trPr>
        <w:tc>
          <w:tcPr>
            <w:tcW w:w="2140" w:type="dxa"/>
            <w:vAlign w:val="bottom"/>
            <w:gridSpan w:val="2"/>
            <w:shd w:val="clear" w:color="auto" w:fill="CCEEFF"/>
          </w:tcPr>
          <w:p>
            <w:pPr>
              <w:ind w:left="20"/>
              <w:spacing w:after="0" w:line="56" w:lineRule="exact"/>
              <w:rPr>
                <w:sz w:val="20"/>
                <w:szCs w:val="20"/>
                <w:color w:val="auto"/>
              </w:rPr>
            </w:pPr>
            <w:r>
              <w:rPr>
                <w:rFonts w:ascii="Times New Roman" w:cs="Times New Roman" w:eastAsia="Times New Roman" w:hAnsi="Times New Roman"/>
                <w:sz w:val="6"/>
                <w:szCs w:val="6"/>
                <w:b w:val="1"/>
                <w:bCs w:val="1"/>
                <w:color w:val="auto"/>
              </w:rPr>
              <w:t>(f)</w:t>
            </w:r>
          </w:p>
        </w:tc>
        <w:tc>
          <w:tcPr>
            <w:tcW w:w="1700" w:type="dxa"/>
            <w:vAlign w:val="bottom"/>
            <w:gridSpan w:val="2"/>
            <w:vMerge w:val="continue"/>
            <w:shd w:val="clear" w:color="auto" w:fill="CCEEFF"/>
          </w:tcPr>
          <w:p>
            <w:pPr>
              <w:spacing w:after="0"/>
              <w:rPr>
                <w:sz w:val="4"/>
                <w:szCs w:val="4"/>
                <w:color w:val="auto"/>
              </w:rPr>
            </w:pPr>
          </w:p>
        </w:tc>
        <w:tc>
          <w:tcPr>
            <w:tcW w:w="1720" w:type="dxa"/>
            <w:vAlign w:val="bottom"/>
            <w:gridSpan w:val="2"/>
            <w:shd w:val="clear" w:color="auto" w:fill="CCEEFF"/>
          </w:tcPr>
          <w:p>
            <w:pPr>
              <w:ind w:left="20"/>
              <w:spacing w:after="0" w:line="56" w:lineRule="exact"/>
              <w:rPr>
                <w:sz w:val="20"/>
                <w:szCs w:val="20"/>
                <w:color w:val="auto"/>
              </w:rPr>
            </w:pPr>
            <w:r>
              <w:rPr>
                <w:rFonts w:ascii="Times New Roman" w:cs="Times New Roman" w:eastAsia="Times New Roman" w:hAnsi="Times New Roman"/>
                <w:sz w:val="6"/>
                <w:szCs w:val="6"/>
                <w:color w:val="auto"/>
              </w:rPr>
              <w:t>–Multiple myeloma</w:t>
            </w:r>
          </w:p>
        </w:tc>
        <w:tc>
          <w:tcPr>
            <w:tcW w:w="15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8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1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1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Bispecific antibody</w:t>
            </w:r>
          </w:p>
        </w:tc>
        <w:tc>
          <w:tcPr>
            <w:tcW w:w="170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precursor and related</w:t>
            </w:r>
          </w:p>
        </w:tc>
        <w:tc>
          <w:tcPr>
            <w:tcW w:w="172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9"/>
                <w:szCs w:val="19"/>
                <w:color w:val="auto"/>
                <w:vertAlign w:val="superscript"/>
              </w:rPr>
              <w:t>(e)</w:t>
            </w:r>
            <w:r>
              <w:rPr>
                <w:rFonts w:ascii="Times New Roman" w:cs="Times New Roman" w:eastAsia="Times New Roman" w:hAnsi="Times New Roman"/>
                <w:sz w:val="15"/>
                <w:szCs w:val="15"/>
                <w:color w:val="auto"/>
              </w:rPr>
              <w:t xml:space="preserve"> (multiple lines and</w:t>
            </w: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10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studies in multiple myeloma</w:t>
            </w:r>
          </w:p>
        </w:tc>
        <w:tc>
          <w:tcPr>
            <w:tcW w:w="0" w:type="dxa"/>
            <w:vAlign w:val="bottom"/>
          </w:tcPr>
          <w:p>
            <w:pPr>
              <w:spacing w:after="0"/>
              <w:rPr>
                <w:sz w:val="1"/>
                <w:szCs w:val="1"/>
                <w:color w:val="auto"/>
              </w:rPr>
            </w:pPr>
          </w:p>
        </w:tc>
      </w:tr>
      <w:tr>
        <w:trPr>
          <w:trHeight w:val="79"/>
        </w:trPr>
        <w:tc>
          <w:tcPr>
            <w:tcW w:w="2140" w:type="dxa"/>
            <w:vAlign w:val="bottom"/>
            <w:gridSpan w:val="2"/>
            <w:vMerge w:val="continue"/>
            <w:shd w:val="clear" w:color="auto" w:fill="CCEEFF"/>
          </w:tcPr>
          <w:p>
            <w:pPr>
              <w:spacing w:after="0"/>
              <w:rPr>
                <w:sz w:val="6"/>
                <w:szCs w:val="6"/>
                <w:color w:val="auto"/>
              </w:rPr>
            </w:pPr>
          </w:p>
        </w:tc>
        <w:tc>
          <w:tcPr>
            <w:tcW w:w="1700" w:type="dxa"/>
            <w:vAlign w:val="bottom"/>
            <w:gridSpan w:val="2"/>
            <w:vMerge w:val="restart"/>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conditions</w:t>
            </w:r>
          </w:p>
        </w:tc>
        <w:tc>
          <w:tcPr>
            <w:tcW w:w="1720" w:type="dxa"/>
            <w:vAlign w:val="bottom"/>
            <w:gridSpan w:val="2"/>
            <w:vMerge w:val="restart"/>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settings)</w:t>
            </w:r>
          </w:p>
        </w:tc>
        <w:tc>
          <w:tcPr>
            <w:tcW w:w="15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100" w:type="dxa"/>
            <w:vAlign w:val="bottom"/>
            <w:vMerge w:val="restart"/>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and precursor conditions</w:t>
            </w:r>
          </w:p>
        </w:tc>
        <w:tc>
          <w:tcPr>
            <w:tcW w:w="0" w:type="dxa"/>
            <w:vAlign w:val="bottom"/>
          </w:tcPr>
          <w:p>
            <w:pPr>
              <w:spacing w:after="0"/>
              <w:rPr>
                <w:sz w:val="1"/>
                <w:szCs w:val="1"/>
                <w:color w:val="auto"/>
              </w:rPr>
            </w:pPr>
          </w:p>
        </w:tc>
      </w:tr>
      <w:tr>
        <w:trPr>
          <w:trHeight w:val="101"/>
        </w:trPr>
        <w:tc>
          <w:tcPr>
            <w:tcW w:w="21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targeting BCMA and CD3</w:t>
            </w:r>
          </w:p>
        </w:tc>
        <w:tc>
          <w:tcPr>
            <w:tcW w:w="1700" w:type="dxa"/>
            <w:vAlign w:val="bottom"/>
            <w:gridSpan w:val="2"/>
            <w:vMerge w:val="continue"/>
            <w:shd w:val="clear" w:color="auto" w:fill="CCEEFF"/>
          </w:tcPr>
          <w:p>
            <w:pPr>
              <w:spacing w:after="0"/>
              <w:rPr>
                <w:sz w:val="8"/>
                <w:szCs w:val="8"/>
                <w:color w:val="auto"/>
              </w:rPr>
            </w:pPr>
          </w:p>
        </w:tc>
        <w:tc>
          <w:tcPr>
            <w:tcW w:w="1720" w:type="dxa"/>
            <w:vAlign w:val="bottom"/>
            <w:gridSpan w:val="2"/>
            <w:vMerge w:val="continue"/>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140" w:type="dxa"/>
            <w:vAlign w:val="bottom"/>
            <w:gridSpan w:val="2"/>
            <w:vMerge w:val="continue"/>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94"/>
        </w:trPr>
        <w:tc>
          <w:tcPr>
            <w:tcW w:w="20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66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6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6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3380" w:type="dxa"/>
            <w:vAlign w:val="bottom"/>
            <w:gridSpan w:val="4"/>
            <w:shd w:val="clear" w:color="auto" w:fill="ACACAC"/>
          </w:tcPr>
          <w:p>
            <w:pPr>
              <w:ind w:left="420"/>
              <w:spacing w:after="0"/>
              <w:rPr>
                <w:sz w:val="20"/>
                <w:szCs w:val="20"/>
                <w:color w:val="auto"/>
              </w:rPr>
            </w:pPr>
            <w:r>
              <w:rPr>
                <w:rFonts w:ascii="Times New Roman" w:cs="Times New Roman" w:eastAsia="Times New Roman" w:hAnsi="Times New Roman"/>
                <w:sz w:val="18"/>
                <w:szCs w:val="18"/>
                <w:b w:val="1"/>
                <w:bCs w:val="1"/>
                <w:color w:val="auto"/>
              </w:rPr>
              <w:t>Cardiometabolic/Internal Medicine</w:t>
            </w:r>
          </w:p>
        </w:tc>
        <w:tc>
          <w:tcPr>
            <w:tcW w:w="184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210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REGN7508</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–Thrombosis</w:t>
            </w: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–Venous</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–Initiate additional Phase 3</w:t>
            </w:r>
          </w:p>
        </w:tc>
        <w:tc>
          <w:tcPr>
            <w:tcW w:w="0" w:type="dxa"/>
            <w:vAlign w:val="bottom"/>
          </w:tcPr>
          <w:p>
            <w:pPr>
              <w:spacing w:after="0"/>
              <w:rPr>
                <w:sz w:val="1"/>
                <w:szCs w:val="1"/>
                <w:color w:val="auto"/>
              </w:rPr>
            </w:pPr>
          </w:p>
        </w:tc>
      </w:tr>
      <w:tr>
        <w:trPr>
          <w:trHeight w:val="182"/>
        </w:trPr>
        <w:tc>
          <w:tcPr>
            <w:tcW w:w="21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Antibody to Factor XI</w:t>
            </w: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thromboembolism</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studies in anticoagulation</w:t>
            </w:r>
          </w:p>
        </w:tc>
        <w:tc>
          <w:tcPr>
            <w:tcW w:w="0" w:type="dxa"/>
            <w:vAlign w:val="bottom"/>
          </w:tcPr>
          <w:p>
            <w:pPr>
              <w:spacing w:after="0"/>
              <w:rPr>
                <w:sz w:val="1"/>
                <w:szCs w:val="1"/>
                <w:color w:val="auto"/>
              </w:rPr>
            </w:pPr>
          </w:p>
        </w:tc>
      </w:tr>
      <w:tr>
        <w:trPr>
          <w:trHeight w:val="176"/>
        </w:trPr>
        <w:tc>
          <w:tcPr>
            <w:tcW w:w="21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(catalytic domain)</w:t>
            </w: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("VTE") after total</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(mid-2026)</w:t>
            </w:r>
          </w:p>
        </w:tc>
        <w:tc>
          <w:tcPr>
            <w:tcW w:w="0" w:type="dxa"/>
            <w:vAlign w:val="bottom"/>
          </w:tcPr>
          <w:p>
            <w:pPr>
              <w:spacing w:after="0"/>
              <w:rPr>
                <w:sz w:val="1"/>
                <w:szCs w:val="1"/>
                <w:color w:val="auto"/>
              </w:rPr>
            </w:pPr>
          </w:p>
        </w:tc>
      </w:tr>
      <w:tr>
        <w:trPr>
          <w:trHeight w:val="184"/>
        </w:trPr>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knee replacement</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surgery</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–Cancer-associated</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VTE</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–Stroke prevention in</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atrial fibrillation</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("SPAF")</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REGN9933</w:t>
            </w: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–Thrombosis</w:t>
            </w: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–SPAF</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–Initiate additional Phase 3</w:t>
            </w:r>
          </w:p>
        </w:tc>
        <w:tc>
          <w:tcPr>
            <w:tcW w:w="0" w:type="dxa"/>
            <w:vAlign w:val="bottom"/>
          </w:tcPr>
          <w:p>
            <w:pPr>
              <w:spacing w:after="0"/>
              <w:rPr>
                <w:sz w:val="1"/>
                <w:szCs w:val="1"/>
                <w:color w:val="auto"/>
              </w:rPr>
            </w:pPr>
          </w:p>
        </w:tc>
      </w:tr>
      <w:tr>
        <w:trPr>
          <w:trHeight w:val="175"/>
        </w:trPr>
        <w:tc>
          <w:tcPr>
            <w:tcW w:w="21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Antibody to Factor XI (A2</w:t>
            </w: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studies in anticoagulation</w:t>
            </w:r>
          </w:p>
        </w:tc>
        <w:tc>
          <w:tcPr>
            <w:tcW w:w="0" w:type="dxa"/>
            <w:vAlign w:val="bottom"/>
          </w:tcPr>
          <w:p>
            <w:pPr>
              <w:spacing w:after="0"/>
              <w:rPr>
                <w:sz w:val="1"/>
                <w:szCs w:val="1"/>
                <w:color w:val="auto"/>
              </w:rPr>
            </w:pPr>
          </w:p>
        </w:tc>
      </w:tr>
      <w:tr>
        <w:trPr>
          <w:trHeight w:val="243"/>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domain)</w:t>
            </w:r>
          </w:p>
        </w:tc>
        <w:tc>
          <w:tcPr>
            <w:tcW w:w="1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(mid- 2026)</w:t>
            </w:r>
          </w:p>
        </w:tc>
        <w:tc>
          <w:tcPr>
            <w:tcW w:w="0" w:type="dxa"/>
            <w:vAlign w:val="bottom"/>
          </w:tcPr>
          <w:p>
            <w:pPr>
              <w:spacing w:after="0"/>
              <w:rPr>
                <w:sz w:val="1"/>
                <w:szCs w:val="1"/>
                <w:color w:val="auto"/>
              </w:rPr>
            </w:pPr>
          </w:p>
        </w:tc>
      </w:tr>
      <w:tr>
        <w:trPr>
          <w:trHeight w:val="180"/>
        </w:trPr>
        <w:tc>
          <w:tcPr>
            <w:tcW w:w="21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Mibavademab</w:t>
            </w:r>
            <w:r>
              <w:rPr>
                <w:rFonts w:ascii="Times New Roman" w:cs="Times New Roman" w:eastAsia="Times New Roman" w:hAnsi="Times New Roman"/>
                <w:sz w:val="20"/>
                <w:szCs w:val="20"/>
                <w:b w:val="1"/>
                <w:bCs w:val="1"/>
                <w:color w:val="auto"/>
                <w:vertAlign w:val="superscript"/>
              </w:rPr>
              <w:t>(f)(o)</w:t>
            </w:r>
          </w:p>
        </w:tc>
        <w:tc>
          <w:tcPr>
            <w:tcW w:w="170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color w:val="auto"/>
              </w:rPr>
              <w:t>–Functional</w:t>
            </w: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(REGN4461)</w:t>
            </w:r>
          </w:p>
        </w:tc>
        <w:tc>
          <w:tcPr>
            <w:tcW w:w="17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hypothalamic</w:t>
            </w: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Agonist antibody to leptin</w:t>
            </w:r>
          </w:p>
        </w:tc>
        <w:tc>
          <w:tcPr>
            <w:tcW w:w="1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amenorrhea</w:t>
            </w: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receptor ("LEPR")</w:t>
            </w: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Trevogrumab</w:t>
            </w:r>
            <w:r>
              <w:rPr>
                <w:rFonts w:ascii="Times New Roman" w:cs="Times New Roman" w:eastAsia="Times New Roman" w:hAnsi="Times New Roman"/>
                <w:sz w:val="23"/>
                <w:szCs w:val="23"/>
                <w:b w:val="1"/>
                <w:bCs w:val="1"/>
                <w:color w:val="auto"/>
                <w:vertAlign w:val="superscript"/>
              </w:rPr>
              <w:t>(f)</w:t>
            </w:r>
          </w:p>
        </w:tc>
        <w:tc>
          <w:tcPr>
            <w:tcW w:w="170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color w:val="auto"/>
              </w:rPr>
              <w:t>–Obesity</w:t>
            </w:r>
            <w:r>
              <w:rPr>
                <w:rFonts w:ascii="Times New Roman" w:cs="Times New Roman" w:eastAsia="Times New Roman" w:hAnsi="Times New Roman"/>
                <w:sz w:val="23"/>
                <w:szCs w:val="23"/>
                <w:color w:val="auto"/>
                <w:vertAlign w:val="superscript"/>
              </w:rPr>
              <w:t>(n)</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 additional data</w:t>
            </w:r>
          </w:p>
        </w:tc>
        <w:tc>
          <w:tcPr>
            <w:tcW w:w="0" w:type="dxa"/>
            <w:vAlign w:val="bottom"/>
          </w:tcPr>
          <w:p>
            <w:pPr>
              <w:spacing w:after="0"/>
              <w:rPr>
                <w:sz w:val="1"/>
                <w:szCs w:val="1"/>
                <w:color w:val="auto"/>
              </w:rPr>
            </w:pPr>
          </w:p>
        </w:tc>
      </w:tr>
      <w:tr>
        <w:trPr>
          <w:trHeight w:val="176"/>
        </w:trPr>
        <w:tc>
          <w:tcPr>
            <w:tcW w:w="21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(REGN1033)</w:t>
            </w: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from Phase 2 study in</w:t>
            </w:r>
          </w:p>
        </w:tc>
        <w:tc>
          <w:tcPr>
            <w:tcW w:w="0" w:type="dxa"/>
            <w:vAlign w:val="bottom"/>
          </w:tcPr>
          <w:p>
            <w:pPr>
              <w:spacing w:after="0"/>
              <w:rPr>
                <w:sz w:val="1"/>
                <w:szCs w:val="1"/>
                <w:color w:val="auto"/>
              </w:rPr>
            </w:pPr>
          </w:p>
        </w:tc>
      </w:tr>
      <w:tr>
        <w:trPr>
          <w:trHeight w:val="189"/>
        </w:trPr>
        <w:tc>
          <w:tcPr>
            <w:tcW w:w="21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Antibody to myostatin</w:t>
            </w: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obesity (2026)</w:t>
            </w:r>
          </w:p>
        </w:tc>
        <w:tc>
          <w:tcPr>
            <w:tcW w:w="0" w:type="dxa"/>
            <w:vAlign w:val="bottom"/>
          </w:tcPr>
          <w:p>
            <w:pPr>
              <w:spacing w:after="0"/>
              <w:rPr>
                <w:sz w:val="1"/>
                <w:szCs w:val="1"/>
                <w:color w:val="auto"/>
              </w:rPr>
            </w:pPr>
          </w:p>
        </w:tc>
      </w:tr>
      <w:tr>
        <w:trPr>
          <w:trHeight w:val="189"/>
        </w:trPr>
        <w:tc>
          <w:tcPr>
            <w:tcW w:w="21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(GDF8)</w:t>
            </w: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1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Olatorepatide</w:t>
            </w:r>
            <w:r>
              <w:rPr>
                <w:rFonts w:ascii="Times New Roman" w:cs="Times New Roman" w:eastAsia="Times New Roman" w:hAnsi="Times New Roman"/>
                <w:sz w:val="20"/>
                <w:szCs w:val="20"/>
                <w:b w:val="1"/>
                <w:bCs w:val="1"/>
                <w:color w:val="auto"/>
                <w:vertAlign w:val="superscript"/>
              </w:rPr>
              <w:t>(q)</w:t>
            </w:r>
            <w:r>
              <w:rPr>
                <w:rFonts w:ascii="Times New Roman" w:cs="Times New Roman" w:eastAsia="Times New Roman" w:hAnsi="Times New Roman"/>
                <w:sz w:val="16"/>
                <w:szCs w:val="16"/>
                <w:b w:val="1"/>
                <w:bCs w:val="1"/>
                <w:color w:val="auto"/>
              </w:rPr>
              <w:t xml:space="preserve"> (HS-</w:t>
            </w:r>
          </w:p>
        </w:tc>
        <w:tc>
          <w:tcPr>
            <w:tcW w:w="170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color w:val="auto"/>
              </w:rPr>
              <w:t>–Obesity</w:t>
            </w: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20094)</w:t>
            </w: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GLP-1/GIP receptor</w:t>
            </w: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agonist</w:t>
            </w: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14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REGN7544</w:t>
            </w:r>
          </w:p>
        </w:tc>
        <w:tc>
          <w:tcPr>
            <w:tcW w:w="170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–Postural orthostatic</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4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Antagonist antibody to</w:t>
            </w:r>
          </w:p>
        </w:tc>
        <w:tc>
          <w:tcPr>
            <w:tcW w:w="170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tachycardia syndrome</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NPR1</w:t>
            </w: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("POTS")</w:t>
            </w: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6"/>
        </w:trPr>
        <w:tc>
          <w:tcPr>
            <w:tcW w:w="20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–Sepsis-induced</w:t>
            </w:r>
          </w:p>
        </w:tc>
        <w:tc>
          <w:tcPr>
            <w:tcW w:w="1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hypotension</w:t>
            </w: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1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Rapirosiran (ALN-HSD)</w:t>
            </w:r>
          </w:p>
        </w:tc>
        <w:tc>
          <w:tcPr>
            <w:tcW w:w="1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–Metabolic</w:t>
            </w: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140" w:type="dxa"/>
            <w:vAlign w:val="bottom"/>
            <w:gridSpan w:val="2"/>
          </w:tcPr>
          <w:p>
            <w:pPr>
              <w:ind w:left="20"/>
              <w:spacing w:after="0" w:line="115" w:lineRule="exact"/>
              <w:rPr>
                <w:sz w:val="20"/>
                <w:szCs w:val="20"/>
                <w:color w:val="auto"/>
              </w:rPr>
            </w:pPr>
            <w:r>
              <w:rPr>
                <w:rFonts w:ascii="Times New Roman" w:cs="Times New Roman" w:eastAsia="Times New Roman" w:hAnsi="Times New Roman"/>
                <w:sz w:val="12"/>
                <w:szCs w:val="12"/>
                <w:b w:val="1"/>
                <w:bCs w:val="1"/>
                <w:color w:val="auto"/>
              </w:rPr>
              <w:t>(k)</w:t>
            </w:r>
          </w:p>
        </w:tc>
        <w:tc>
          <w:tcPr>
            <w:tcW w:w="1700" w:type="dxa"/>
            <w:vAlign w:val="bottom"/>
            <w:gridSpan w:val="2"/>
            <w:vMerge w:val="restart"/>
          </w:tcPr>
          <w:p>
            <w:pPr>
              <w:ind w:left="20"/>
              <w:spacing w:after="0" w:line="189" w:lineRule="exact"/>
              <w:rPr>
                <w:sz w:val="20"/>
                <w:szCs w:val="20"/>
                <w:color w:val="auto"/>
              </w:rPr>
            </w:pPr>
            <w:r>
              <w:rPr>
                <w:rFonts w:ascii="Times New Roman" w:cs="Times New Roman" w:eastAsia="Times New Roman" w:hAnsi="Times New Roman"/>
                <w:sz w:val="18"/>
                <w:szCs w:val="18"/>
                <w:color w:val="auto"/>
              </w:rPr>
              <w:t>dysfunction-</w:t>
            </w: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RNAi therapeutic targeting</w:t>
            </w:r>
          </w:p>
        </w:tc>
        <w:tc>
          <w:tcPr>
            <w:tcW w:w="1700" w:type="dxa"/>
            <w:vAlign w:val="bottom"/>
            <w:gridSpan w:val="2"/>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140" w:type="dxa"/>
            <w:vAlign w:val="bottom"/>
            <w:gridSpan w:val="2"/>
            <w:vMerge w:val="continue"/>
          </w:tcPr>
          <w:p>
            <w:pPr>
              <w:spacing w:after="0"/>
              <w:rPr>
                <w:sz w:val="15"/>
                <w:szCs w:val="15"/>
                <w:color w:val="auto"/>
              </w:rPr>
            </w:pPr>
          </w:p>
        </w:tc>
        <w:tc>
          <w:tcPr>
            <w:tcW w:w="1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associated</w:t>
            </w: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14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i w:val="1"/>
                <w:iCs w:val="1"/>
                <w:color w:val="auto"/>
              </w:rPr>
              <w:t>HSD17B13</w:t>
            </w:r>
          </w:p>
        </w:tc>
        <w:tc>
          <w:tcPr>
            <w:tcW w:w="170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color w:val="auto"/>
              </w:rPr>
              <w:t>steatohepatitis</w:t>
            </w: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160"/>
        <w:spacing w:after="0"/>
        <w:rPr>
          <w:sz w:val="20"/>
          <w:szCs w:val="20"/>
          <w:color w:val="auto"/>
        </w:rPr>
      </w:pPr>
      <w:r>
        <w:rPr>
          <w:rFonts w:ascii="Times New Roman" w:cs="Times New Roman" w:eastAsia="Times New Roman" w:hAnsi="Times New Roman"/>
          <w:sz w:val="18"/>
          <w:szCs w:val="18"/>
          <w:color w:val="auto"/>
        </w:rPr>
        <w:t>("MASH")</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6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7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2026 Events to Date</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Select Upcoming</w:t>
            </w:r>
          </w:p>
        </w:tc>
        <w:tc>
          <w:tcPr>
            <w:tcW w:w="0" w:type="dxa"/>
            <w:vAlign w:val="bottom"/>
          </w:tcPr>
          <w:p>
            <w:pPr>
              <w:spacing w:after="0"/>
              <w:rPr>
                <w:sz w:val="1"/>
                <w:szCs w:val="1"/>
                <w:color w:val="auto"/>
              </w:rPr>
            </w:pPr>
          </w:p>
        </w:tc>
      </w:tr>
      <w:tr>
        <w:trPr>
          <w:trHeight w:val="240"/>
        </w:trPr>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i w:val="1"/>
                <w:iCs w:val="1"/>
                <w:color w:val="auto"/>
                <w:w w:val="99"/>
              </w:rPr>
              <w:t>(continued)</w:t>
            </w:r>
          </w:p>
        </w:tc>
        <w:tc>
          <w:tcPr>
            <w:tcW w:w="1640" w:type="dxa"/>
            <w:vAlign w:val="bottom"/>
            <w:gridSpan w:val="2"/>
            <w:vMerge w:val="continue"/>
          </w:tcPr>
          <w:p>
            <w:pPr>
              <w:spacing w:after="0"/>
              <w:rPr>
                <w:sz w:val="20"/>
                <w:szCs w:val="20"/>
                <w:color w:val="auto"/>
              </w:rPr>
            </w:pPr>
          </w:p>
        </w:tc>
        <w:tc>
          <w:tcPr>
            <w:tcW w:w="1740" w:type="dxa"/>
            <w:vAlign w:val="bottom"/>
            <w:gridSpan w:val="2"/>
            <w:vMerge w:val="continue"/>
          </w:tcPr>
          <w:p>
            <w:pPr>
              <w:spacing w:after="0"/>
              <w:rPr>
                <w:sz w:val="20"/>
                <w:szCs w:val="20"/>
                <w:color w:val="auto"/>
              </w:rPr>
            </w:pPr>
          </w:p>
        </w:tc>
        <w:tc>
          <w:tcPr>
            <w:tcW w:w="1660" w:type="dxa"/>
            <w:vAlign w:val="bottom"/>
            <w:gridSpan w:val="2"/>
          </w:tcPr>
          <w:p>
            <w:pPr>
              <w:jc w:val="center"/>
              <w:ind w:right="80"/>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1960" w:type="dxa"/>
            <w:vAlign w:val="bottom"/>
            <w:gridSpan w:val="2"/>
            <w:vMerge w:val="continue"/>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Milestones</w:t>
            </w:r>
          </w:p>
        </w:tc>
        <w:tc>
          <w:tcPr>
            <w:tcW w:w="0" w:type="dxa"/>
            <w:vAlign w:val="bottom"/>
          </w:tcPr>
          <w:p>
            <w:pPr>
              <w:spacing w:after="0"/>
              <w:rPr>
                <w:sz w:val="1"/>
                <w:szCs w:val="1"/>
                <w:color w:val="auto"/>
              </w:rPr>
            </w:pPr>
          </w:p>
        </w:tc>
      </w:tr>
      <w:tr>
        <w:trPr>
          <w:trHeight w:val="176"/>
        </w:trPr>
        <w:tc>
          <w:tcPr>
            <w:tcW w:w="206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rPr>
              <w:t>ALN-ANG3</w:t>
            </w:r>
            <w:r>
              <w:rPr>
                <w:rFonts w:ascii="Times New Roman" w:cs="Times New Roman" w:eastAsia="Times New Roman" w:hAnsi="Times New Roman"/>
                <w:sz w:val="20"/>
                <w:szCs w:val="20"/>
                <w:b w:val="1"/>
                <w:bCs w:val="1"/>
                <w:color w:val="auto"/>
                <w:vertAlign w:val="superscript"/>
              </w:rPr>
              <w:t>(k)(r)</w:t>
            </w:r>
          </w:p>
        </w:tc>
        <w:tc>
          <w:tcPr>
            <w:tcW w:w="8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–Diabetic kidney</w:t>
            </w:r>
          </w:p>
        </w:tc>
        <w:tc>
          <w:tcPr>
            <w:tcW w:w="8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4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RNAi therapeutic targeting</w:t>
            </w:r>
          </w:p>
        </w:tc>
        <w:tc>
          <w:tcPr>
            <w:tcW w:w="164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disease</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ANGPTL3</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sectPr>
          <w:pgSz w:w="11900" w:h="16838" w:orient="portrait"/>
          <w:cols w:equalWidth="0" w:num="1">
            <w:col w:w="11240"/>
          </w:cols>
          <w:pgMar w:left="320" w:top="369" w:right="339" w:bottom="1440" w:gutter="0" w:footer="0" w:header="0"/>
        </w:sectPr>
      </w:pPr>
    </w:p>
    <w:tbl>
      <w:tblPr>
        <w:tblLayout w:type="fixed"/>
        <w:tblInd w:w="2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434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Neurology/Rare Diseases</w:t>
            </w:r>
          </w:p>
        </w:tc>
        <w:tc>
          <w:tcPr>
            <w:tcW w:w="0" w:type="dxa"/>
            <w:vAlign w:val="bottom"/>
          </w:tcPr>
          <w:p>
            <w:pPr>
              <w:spacing w:after="0"/>
              <w:rPr>
                <w:sz w:val="1"/>
                <w:szCs w:val="1"/>
                <w:color w:val="auto"/>
              </w:rPr>
            </w:pPr>
          </w:p>
        </w:tc>
      </w:tr>
      <w:tr>
        <w:trPr>
          <w:trHeight w:val="234"/>
        </w:trPr>
        <w:tc>
          <w:tcPr>
            <w:tcW w:w="2660" w:type="dxa"/>
            <w:vAlign w:val="bottom"/>
          </w:tcPr>
          <w:p>
            <w:pPr>
              <w:spacing w:after="0" w:line="234" w:lineRule="exact"/>
              <w:rPr>
                <w:sz w:val="20"/>
                <w:szCs w:val="20"/>
                <w:color w:val="auto"/>
              </w:rPr>
            </w:pPr>
            <w:r>
              <w:rPr>
                <w:rFonts w:ascii="Times New Roman" w:cs="Times New Roman" w:eastAsia="Times New Roman" w:hAnsi="Times New Roman"/>
                <w:sz w:val="18"/>
                <w:szCs w:val="18"/>
                <w:b w:val="1"/>
                <w:bCs w:val="1"/>
                <w:color w:val="auto"/>
              </w:rPr>
              <w:t>Garetosmab</w:t>
            </w:r>
            <w:r>
              <w:rPr>
                <w:rFonts w:ascii="Times New Roman" w:cs="Times New Roman" w:eastAsia="Times New Roman" w:hAnsi="Times New Roman"/>
                <w:sz w:val="23"/>
                <w:szCs w:val="23"/>
                <w:b w:val="1"/>
                <w:bCs w:val="1"/>
                <w:color w:val="auto"/>
                <w:vertAlign w:val="superscript"/>
              </w:rPr>
              <w:t>(f)</w:t>
            </w:r>
          </w:p>
        </w:tc>
        <w:tc>
          <w:tcPr>
            <w:tcW w:w="27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–Fibrodysplasia</w:t>
            </w:r>
          </w:p>
        </w:tc>
        <w:tc>
          <w:tcPr>
            <w:tcW w:w="1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7"/>
              </w:rPr>
              <w:t>–FOP (U.S. and EU)</w:t>
            </w:r>
          </w:p>
        </w:tc>
        <w:tc>
          <w:tcPr>
            <w:tcW w:w="0" w:type="dxa"/>
            <w:vAlign w:val="bottom"/>
          </w:tcPr>
          <w:p>
            <w:pPr>
              <w:spacing w:after="0"/>
              <w:rPr>
                <w:sz w:val="1"/>
                <w:szCs w:val="1"/>
                <w:color w:val="auto"/>
              </w:rPr>
            </w:pPr>
          </w:p>
        </w:tc>
      </w:tr>
      <w:tr>
        <w:trPr>
          <w:trHeight w:val="184"/>
        </w:trPr>
        <w:tc>
          <w:tcPr>
            <w:tcW w:w="266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(REGN2477)</w:t>
            </w:r>
          </w:p>
        </w:tc>
        <w:tc>
          <w:tcPr>
            <w:tcW w:w="2780" w:type="dxa"/>
            <w:vAlign w:val="bottom"/>
          </w:tcPr>
          <w:p>
            <w:pPr>
              <w:ind w:left="1120"/>
              <w:spacing w:after="0" w:line="184" w:lineRule="exact"/>
              <w:rPr>
                <w:sz w:val="20"/>
                <w:szCs w:val="20"/>
                <w:color w:val="auto"/>
              </w:rPr>
            </w:pPr>
            <w:r>
              <w:rPr>
                <w:rFonts w:ascii="Times New Roman" w:cs="Times New Roman" w:eastAsia="Times New Roman" w:hAnsi="Times New Roman"/>
                <w:sz w:val="18"/>
                <w:szCs w:val="18"/>
                <w:color w:val="auto"/>
              </w:rPr>
              <w:t>ossificans progressiva</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75"/>
        </w:trPr>
        <w:tc>
          <w:tcPr>
            <w:tcW w:w="2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Antibody to Activin A</w:t>
            </w:r>
          </w:p>
        </w:tc>
        <w:tc>
          <w:tcPr>
            <w:tcW w:w="2780" w:type="dxa"/>
            <w:vAlign w:val="bottom"/>
          </w:tcPr>
          <w:p>
            <w:pPr>
              <w:ind w:left="1120"/>
              <w:spacing w:after="0"/>
              <w:rPr>
                <w:sz w:val="20"/>
                <w:szCs w:val="20"/>
                <w:color w:val="auto"/>
              </w:rPr>
            </w:pPr>
            <w:r>
              <w:rPr>
                <w:rFonts w:ascii="Times New Roman" w:cs="Times New Roman" w:eastAsia="Times New Roman" w:hAnsi="Times New Roman"/>
                <w:sz w:val="35"/>
                <w:szCs w:val="35"/>
                <w:color w:val="auto"/>
                <w:vertAlign w:val="subscript"/>
              </w:rPr>
              <w:t>("FOP")</w:t>
            </w:r>
            <w:r>
              <w:rPr>
                <w:rFonts w:ascii="Times New Roman" w:cs="Times New Roman" w:eastAsia="Times New Roman" w:hAnsi="Times New Roman"/>
                <w:sz w:val="12"/>
                <w:szCs w:val="12"/>
                <w:color w:val="auto"/>
              </w:rPr>
              <w:t>(c)(d)(e)</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-712470</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–FDA decision on Biologics</w:t>
      </w:r>
    </w:p>
    <w:p>
      <w:pPr>
        <w:spacing w:after="0" w:line="219" w:lineRule="auto"/>
        <w:rPr>
          <w:sz w:val="20"/>
          <w:szCs w:val="20"/>
          <w:color w:val="auto"/>
        </w:rPr>
      </w:pPr>
      <w:r>
        <w:rPr>
          <w:rFonts w:ascii="Times New Roman" w:cs="Times New Roman" w:eastAsia="Times New Roman" w:hAnsi="Times New Roman"/>
          <w:sz w:val="18"/>
          <w:szCs w:val="18"/>
          <w:color w:val="auto"/>
        </w:rPr>
        <w:t>License Application</w:t>
      </w:r>
    </w:p>
    <w:p>
      <w:pPr>
        <w:spacing w:after="0" w:line="203" w:lineRule="auto"/>
        <w:rPr>
          <w:sz w:val="20"/>
          <w:szCs w:val="20"/>
          <w:color w:val="auto"/>
        </w:rPr>
      </w:pPr>
      <w:r>
        <w:rPr>
          <w:rFonts w:ascii="Times New Roman" w:cs="Times New Roman" w:eastAsia="Times New Roman" w:hAnsi="Times New Roman"/>
          <w:sz w:val="18"/>
          <w:szCs w:val="18"/>
          <w:color w:val="auto"/>
        </w:rPr>
        <w:t>("BLA") (August 2026) and</w:t>
      </w:r>
    </w:p>
    <w:p>
      <w:pPr>
        <w:spacing w:after="0" w:line="219" w:lineRule="auto"/>
        <w:rPr>
          <w:sz w:val="20"/>
          <w:szCs w:val="20"/>
          <w:color w:val="auto"/>
        </w:rPr>
      </w:pPr>
      <w:r>
        <w:rPr>
          <w:rFonts w:ascii="Times New Roman" w:cs="Times New Roman" w:eastAsia="Times New Roman" w:hAnsi="Times New Roman"/>
          <w:sz w:val="18"/>
          <w:szCs w:val="18"/>
          <w:color w:val="auto"/>
        </w:rPr>
        <w:t>EC decision on Marketing</w:t>
      </w:r>
    </w:p>
    <w:p>
      <w:pPr>
        <w:spacing w:after="0" w:line="204" w:lineRule="auto"/>
        <w:rPr>
          <w:sz w:val="20"/>
          <w:szCs w:val="20"/>
          <w:color w:val="auto"/>
        </w:rPr>
      </w:pPr>
      <w:r>
        <w:rPr>
          <w:rFonts w:ascii="Times New Roman" w:cs="Times New Roman" w:eastAsia="Times New Roman" w:hAnsi="Times New Roman"/>
          <w:sz w:val="18"/>
          <w:szCs w:val="18"/>
          <w:color w:val="auto"/>
        </w:rPr>
        <w:t>Authorization Application</w:t>
      </w:r>
    </w:p>
    <w:p>
      <w:pPr>
        <w:spacing w:after="0" w:line="203" w:lineRule="auto"/>
        <w:rPr>
          <w:sz w:val="20"/>
          <w:szCs w:val="20"/>
          <w:color w:val="auto"/>
        </w:rPr>
      </w:pPr>
      <w:r>
        <w:rPr>
          <w:rFonts w:ascii="Times New Roman" w:cs="Times New Roman" w:eastAsia="Times New Roman" w:hAnsi="Times New Roman"/>
          <w:sz w:val="18"/>
          <w:szCs w:val="18"/>
          <w:color w:val="auto"/>
        </w:rPr>
        <w:t>("MAA") (second half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for FOP</w:t>
      </w:r>
    </w:p>
    <w:p>
      <w:pPr>
        <w:spacing w:after="0" w:line="1" w:lineRule="exact"/>
        <w:rPr>
          <w:sz w:val="20"/>
          <w:szCs w:val="20"/>
          <w:color w:val="auto"/>
        </w:rPr>
      </w:pPr>
    </w:p>
    <w:p>
      <w:pPr>
        <w:sectPr>
          <w:pgSz w:w="11900" w:h="16838" w:orient="portrait"/>
          <w:cols w:equalWidth="0" w:num="2">
            <w:col w:w="8440" w:space="720"/>
            <w:col w:w="208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5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Cemdisiran</w:t>
            </w:r>
            <w:r>
              <w:rPr>
                <w:rFonts w:ascii="Times New Roman" w:cs="Times New Roman" w:eastAsia="Times New Roman" w:hAnsi="Times New Roman"/>
                <w:sz w:val="23"/>
                <w:szCs w:val="23"/>
                <w:b w:val="1"/>
                <w:bCs w:val="1"/>
                <w:color w:val="auto"/>
                <w:vertAlign w:val="superscript"/>
              </w:rPr>
              <w:t>(k)</w:t>
            </w:r>
          </w:p>
        </w:tc>
        <w:tc>
          <w:tcPr>
            <w:tcW w:w="4500" w:type="dxa"/>
            <w:vAlign w:val="bottom"/>
            <w:shd w:val="clear" w:color="auto" w:fill="CCEEFF"/>
          </w:tcPr>
          <w:p>
            <w:pPr>
              <w:ind w:left="1220"/>
              <w:spacing w:after="0" w:line="223" w:lineRule="exact"/>
              <w:rPr>
                <w:sz w:val="20"/>
                <w:szCs w:val="20"/>
                <w:color w:val="auto"/>
              </w:rPr>
            </w:pPr>
            <w:r>
              <w:rPr>
                <w:rFonts w:ascii="Times New Roman" w:cs="Times New Roman" w:eastAsia="Times New Roman" w:hAnsi="Times New Roman"/>
                <w:sz w:val="18"/>
                <w:szCs w:val="18"/>
                <w:color w:val="auto"/>
              </w:rPr>
              <w:t>–Myasthenia gravis</w:t>
            </w:r>
            <w:r>
              <w:rPr>
                <w:rFonts w:ascii="Times New Roman" w:cs="Times New Roman" w:eastAsia="Times New Roman" w:hAnsi="Times New Roman"/>
                <w:sz w:val="23"/>
                <w:szCs w:val="23"/>
                <w:color w:val="auto"/>
                <w:vertAlign w:val="superscript"/>
              </w:rPr>
              <w:t>(c)</w:t>
            </w:r>
            <w:r>
              <w:rPr>
                <w:rFonts w:ascii="Times New Roman" w:cs="Times New Roman" w:eastAsia="Times New Roman" w:hAnsi="Times New Roman"/>
                <w:sz w:val="18"/>
                <w:szCs w:val="18"/>
                <w:color w:val="auto"/>
              </w:rPr>
              <w:t xml:space="preserve">   –Myasthenia gravis</w:t>
            </w:r>
          </w:p>
        </w:tc>
        <w:tc>
          <w:tcPr>
            <w:tcW w:w="2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–Submitted New Drug</w:t>
            </w:r>
          </w:p>
        </w:tc>
        <w:tc>
          <w:tcPr>
            <w:tcW w:w="2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–FDA decision on NDA for</w:t>
            </w:r>
          </w:p>
        </w:tc>
        <w:tc>
          <w:tcPr>
            <w:tcW w:w="0" w:type="dxa"/>
            <w:vAlign w:val="bottom"/>
          </w:tcPr>
          <w:p>
            <w:pPr>
              <w:spacing w:after="0"/>
              <w:rPr>
                <w:sz w:val="1"/>
                <w:szCs w:val="1"/>
                <w:color w:val="auto"/>
              </w:rPr>
            </w:pPr>
          </w:p>
        </w:tc>
      </w:tr>
      <w:tr>
        <w:trPr>
          <w:trHeight w:val="176"/>
        </w:trPr>
        <w:tc>
          <w:tcPr>
            <w:tcW w:w="2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siRNA therapeutic</w:t>
            </w:r>
          </w:p>
        </w:tc>
        <w:tc>
          <w:tcPr>
            <w:tcW w:w="4500" w:type="dxa"/>
            <w:vAlign w:val="bottom"/>
            <w:shd w:val="clear" w:color="auto" w:fill="CCEEFF"/>
          </w:tcPr>
          <w:p>
            <w:pPr>
              <w:ind w:left="2960"/>
              <w:spacing w:after="0" w:line="176" w:lineRule="exact"/>
              <w:rPr>
                <w:sz w:val="20"/>
                <w:szCs w:val="20"/>
                <w:color w:val="auto"/>
              </w:rPr>
            </w:pPr>
            <w:r>
              <w:rPr>
                <w:rFonts w:ascii="Times New Roman" w:cs="Times New Roman" w:eastAsia="Times New Roman" w:hAnsi="Times New Roman"/>
                <w:sz w:val="18"/>
                <w:szCs w:val="18"/>
                <w:color w:val="auto"/>
              </w:rPr>
              <w:t>(U.S.)</w:t>
            </w:r>
          </w:p>
        </w:tc>
        <w:tc>
          <w:tcPr>
            <w:tcW w:w="202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Application ("NDA")</w:t>
            </w:r>
          </w:p>
        </w:tc>
        <w:tc>
          <w:tcPr>
            <w:tcW w:w="214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myasthenia gravis (fourth</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i w:val="1"/>
                <w:iCs w:val="1"/>
                <w:color w:val="auto"/>
              </w:rPr>
              <w:t>targeting C5</w:t>
            </w:r>
          </w:p>
        </w:tc>
        <w:tc>
          <w:tcPr>
            <w:tcW w:w="4500" w:type="dxa"/>
            <w:vAlign w:val="bottom"/>
            <w:shd w:val="clear" w:color="auto" w:fill="CCEEFF"/>
          </w:tcPr>
          <w:p>
            <w:pPr>
              <w:spacing w:after="0"/>
              <w:rPr>
                <w:sz w:val="12"/>
                <w:szCs w:val="12"/>
                <w:color w:val="auto"/>
              </w:rPr>
            </w:pPr>
          </w:p>
        </w:tc>
        <w:tc>
          <w:tcPr>
            <w:tcW w:w="20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7"/>
                <w:szCs w:val="17"/>
                <w:color w:val="auto"/>
              </w:rPr>
              <w:t>utilizing FDA Rare</w:t>
            </w:r>
          </w:p>
        </w:tc>
        <w:tc>
          <w:tcPr>
            <w:tcW w:w="21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quarter 2026)</w:t>
            </w:r>
          </w:p>
        </w:tc>
        <w:tc>
          <w:tcPr>
            <w:tcW w:w="0" w:type="dxa"/>
            <w:vAlign w:val="bottom"/>
          </w:tcPr>
          <w:p>
            <w:pPr>
              <w:spacing w:after="0"/>
              <w:rPr>
                <w:sz w:val="1"/>
                <w:szCs w:val="1"/>
                <w:color w:val="auto"/>
              </w:rPr>
            </w:pPr>
          </w:p>
        </w:tc>
      </w:tr>
      <w:tr>
        <w:trPr>
          <w:trHeight w:val="184"/>
        </w:trPr>
        <w:tc>
          <w:tcPr>
            <w:tcW w:w="2580" w:type="dxa"/>
            <w:vAlign w:val="bottom"/>
            <w:shd w:val="clear" w:color="auto" w:fill="CCEEFF"/>
          </w:tcPr>
          <w:p>
            <w:pPr>
              <w:spacing w:after="0"/>
              <w:rPr>
                <w:sz w:val="16"/>
                <w:szCs w:val="16"/>
                <w:color w:val="auto"/>
              </w:rPr>
            </w:pPr>
          </w:p>
        </w:tc>
        <w:tc>
          <w:tcPr>
            <w:tcW w:w="4500" w:type="dxa"/>
            <w:vAlign w:val="bottom"/>
            <w:shd w:val="clear" w:color="auto" w:fill="CCEEFF"/>
          </w:tcPr>
          <w:p>
            <w:pPr>
              <w:spacing w:after="0"/>
              <w:rPr>
                <w:sz w:val="16"/>
                <w:szCs w:val="16"/>
                <w:color w:val="auto"/>
              </w:rPr>
            </w:pPr>
          </w:p>
        </w:tc>
        <w:tc>
          <w:tcPr>
            <w:tcW w:w="2020" w:type="dxa"/>
            <w:vAlign w:val="bottom"/>
            <w:shd w:val="clear" w:color="auto" w:fill="CCEEFF"/>
          </w:tcPr>
          <w:p>
            <w:pPr>
              <w:ind w:left="120"/>
              <w:spacing w:after="0" w:line="184" w:lineRule="exact"/>
              <w:rPr>
                <w:sz w:val="20"/>
                <w:szCs w:val="20"/>
                <w:color w:val="auto"/>
              </w:rPr>
            </w:pPr>
            <w:r>
              <w:rPr>
                <w:rFonts w:ascii="Times New Roman" w:cs="Times New Roman" w:eastAsia="Times New Roman" w:hAnsi="Times New Roman"/>
                <w:sz w:val="18"/>
                <w:szCs w:val="18"/>
                <w:color w:val="auto"/>
              </w:rPr>
              <w:t>Pediatric Disease Priority</w:t>
            </w:r>
          </w:p>
        </w:tc>
        <w:tc>
          <w:tcPr>
            <w:tcW w:w="2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80" w:type="dxa"/>
            <w:vAlign w:val="bottom"/>
            <w:shd w:val="clear" w:color="auto" w:fill="CCEEFF"/>
          </w:tcPr>
          <w:p>
            <w:pPr>
              <w:spacing w:after="0"/>
              <w:rPr>
                <w:sz w:val="20"/>
                <w:szCs w:val="20"/>
                <w:color w:val="auto"/>
              </w:rPr>
            </w:pPr>
          </w:p>
        </w:tc>
        <w:tc>
          <w:tcPr>
            <w:tcW w:w="4500" w:type="dxa"/>
            <w:vAlign w:val="bottom"/>
            <w:shd w:val="clear" w:color="auto" w:fill="CCEEFF"/>
          </w:tcPr>
          <w:p>
            <w:pPr>
              <w:spacing w:after="0"/>
              <w:rPr>
                <w:sz w:val="20"/>
                <w:szCs w:val="20"/>
                <w:color w:val="auto"/>
              </w:rPr>
            </w:pPr>
          </w:p>
        </w:tc>
        <w:tc>
          <w:tcPr>
            <w:tcW w:w="2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Review Voucher</w:t>
            </w:r>
          </w:p>
        </w:tc>
        <w:tc>
          <w:tcPr>
            <w:tcW w:w="2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69" w:right="339" w:bottom="1440" w:gutter="0" w:footer="0" w:header="0"/>
          <w:type w:val="continuous"/>
        </w:sectPr>
      </w:pPr>
    </w:p>
    <w:p>
      <w:pPr>
        <w:ind w:left="20"/>
        <w:spacing w:after="0" w:line="185" w:lineRule="auto"/>
        <w:rPr>
          <w:sz w:val="20"/>
          <w:szCs w:val="20"/>
          <w:color w:val="auto"/>
        </w:rPr>
      </w:pPr>
      <w:r>
        <w:rPr>
          <w:rFonts w:ascii="Times New Roman" w:cs="Times New Roman" w:eastAsia="Times New Roman" w:hAnsi="Times New Roman"/>
          <w:sz w:val="18"/>
          <w:szCs w:val="18"/>
          <w:b w:val="1"/>
          <w:bCs w:val="1"/>
          <w:color w:val="auto"/>
        </w:rPr>
        <w:t>Cemdisiran</w:t>
      </w:r>
      <w:r>
        <w:rPr>
          <w:rFonts w:ascii="Times New Roman" w:cs="Times New Roman" w:eastAsia="Times New Roman" w:hAnsi="Times New Roman"/>
          <w:sz w:val="23"/>
          <w:szCs w:val="23"/>
          <w:b w:val="1"/>
          <w:bCs w:val="1"/>
          <w:color w:val="auto"/>
          <w:vertAlign w:val="superscript"/>
        </w:rPr>
        <w:t>(k)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(siRNA</w:t>
      </w:r>
    </w:p>
    <w:p>
      <w:pPr>
        <w:ind w:left="20" w:right="1060"/>
        <w:spacing w:after="0" w:line="199" w:lineRule="auto"/>
        <w:rPr>
          <w:sz w:val="20"/>
          <w:szCs w:val="20"/>
          <w:color w:val="auto"/>
        </w:rPr>
      </w:pPr>
      <w:r>
        <w:rPr>
          <w:rFonts w:ascii="Times New Roman" w:cs="Times New Roman" w:eastAsia="Times New Roman" w:hAnsi="Times New Roman"/>
          <w:sz w:val="18"/>
          <w:szCs w:val="18"/>
          <w:i w:val="1"/>
          <w:iCs w:val="1"/>
          <w:color w:val="auto"/>
        </w:rPr>
        <w:t xml:space="preserve">therapeutic targeting C5) + </w:t>
      </w:r>
      <w:r>
        <w:rPr>
          <w:rFonts w:ascii="Times New Roman" w:cs="Times New Roman" w:eastAsia="Times New Roman" w:hAnsi="Times New Roman"/>
          <w:sz w:val="18"/>
          <w:szCs w:val="18"/>
          <w:b w:val="1"/>
          <w:bCs w:val="1"/>
          <w:color w:val="auto"/>
        </w:rPr>
        <w:t>pozelimab</w:t>
      </w:r>
      <w:r>
        <w:rPr>
          <w:rFonts w:ascii="Times New Roman" w:cs="Times New Roman" w:eastAsia="Times New Roman" w:hAnsi="Times New Roman"/>
          <w:sz w:val="23"/>
          <w:szCs w:val="23"/>
          <w:b w:val="1"/>
          <w:bCs w:val="1"/>
          <w:color w:val="auto"/>
          <w:vertAlign w:val="superscript"/>
        </w:rPr>
        <w:t>(f)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(antibody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C5)</w:t>
      </w:r>
    </w:p>
    <w:p>
      <w:pPr>
        <w:ind w:left="20"/>
        <w:spacing w:after="0" w:line="224" w:lineRule="auto"/>
        <w:rPr>
          <w:sz w:val="20"/>
          <w:szCs w:val="20"/>
          <w:color w:val="auto"/>
        </w:rPr>
      </w:pPr>
      <w:r>
        <w:rPr>
          <w:rFonts w:ascii="Times New Roman" w:cs="Times New Roman" w:eastAsia="Times New Roman" w:hAnsi="Times New Roman"/>
          <w:sz w:val="18"/>
          <w:szCs w:val="18"/>
          <w:b w:val="1"/>
          <w:bCs w:val="1"/>
          <w:color w:val="auto"/>
        </w:rPr>
        <w:t>Mibavademab</w:t>
      </w:r>
      <w:r>
        <w:rPr>
          <w:rFonts w:ascii="Times New Roman" w:cs="Times New Roman" w:eastAsia="Times New Roman" w:hAnsi="Times New Roman"/>
          <w:sz w:val="23"/>
          <w:szCs w:val="23"/>
          <w:b w:val="1"/>
          <w:bCs w:val="1"/>
          <w:color w:val="auto"/>
          <w:vertAlign w:val="superscript"/>
        </w:rPr>
        <w:t>(f)</w:t>
      </w:r>
    </w:p>
    <w:p>
      <w:pPr>
        <w:ind w:left="20"/>
        <w:spacing w:after="0" w:line="204" w:lineRule="auto"/>
        <w:rPr>
          <w:sz w:val="20"/>
          <w:szCs w:val="20"/>
          <w:color w:val="auto"/>
        </w:rPr>
      </w:pPr>
      <w:r>
        <w:rPr>
          <w:rFonts w:ascii="Times New Roman" w:cs="Times New Roman" w:eastAsia="Times New Roman" w:hAnsi="Times New Roman"/>
          <w:sz w:val="18"/>
          <w:szCs w:val="18"/>
          <w:b w:val="1"/>
          <w:bCs w:val="1"/>
          <w:color w:val="auto"/>
        </w:rPr>
        <w:t>(REGN4461)</w:t>
      </w:r>
    </w:p>
    <w:p>
      <w:pPr>
        <w:ind w:left="20"/>
        <w:spacing w:after="0" w:line="203" w:lineRule="auto"/>
        <w:rPr>
          <w:sz w:val="20"/>
          <w:szCs w:val="20"/>
          <w:color w:val="auto"/>
        </w:rPr>
      </w:pPr>
      <w:r>
        <w:rPr>
          <w:rFonts w:ascii="Times New Roman" w:cs="Times New Roman" w:eastAsia="Times New Roman" w:hAnsi="Times New Roman"/>
          <w:sz w:val="18"/>
          <w:szCs w:val="18"/>
          <w:i w:val="1"/>
          <w:iCs w:val="1"/>
          <w:color w:val="auto"/>
        </w:rPr>
        <w:t>Agonist antibody to leptin</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receptor ("LEPR")</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Nexiguran ziclumeran</w:t>
      </w:r>
    </w:p>
    <w:p>
      <w:pPr>
        <w:ind w:left="20"/>
        <w:spacing w:after="0" w:line="185" w:lineRule="auto"/>
        <w:rPr>
          <w:sz w:val="20"/>
          <w:szCs w:val="20"/>
          <w:color w:val="auto"/>
        </w:rPr>
      </w:pPr>
      <w:r>
        <w:rPr>
          <w:rFonts w:ascii="Times New Roman" w:cs="Times New Roman" w:eastAsia="Times New Roman" w:hAnsi="Times New Roman"/>
          <w:sz w:val="17"/>
          <w:szCs w:val="17"/>
          <w:b w:val="1"/>
          <w:bCs w:val="1"/>
          <w:color w:val="auto"/>
        </w:rPr>
        <w:t>(nex-z)</w:t>
      </w:r>
      <w:r>
        <w:rPr>
          <w:rFonts w:ascii="Times New Roman" w:cs="Times New Roman" w:eastAsia="Times New Roman" w:hAnsi="Times New Roman"/>
          <w:sz w:val="21"/>
          <w:szCs w:val="21"/>
          <w:b w:val="1"/>
          <w:bCs w:val="1"/>
          <w:color w:val="auto"/>
          <w:vertAlign w:val="superscript"/>
        </w:rPr>
        <w:t>(j)</w:t>
      </w:r>
    </w:p>
    <w:p>
      <w:pPr>
        <w:ind w:left="20"/>
        <w:spacing w:after="0" w:line="204" w:lineRule="auto"/>
        <w:rPr>
          <w:sz w:val="20"/>
          <w:szCs w:val="20"/>
          <w:color w:val="auto"/>
        </w:rPr>
      </w:pPr>
      <w:r>
        <w:rPr>
          <w:rFonts w:ascii="Times New Roman" w:cs="Times New Roman" w:eastAsia="Times New Roman" w:hAnsi="Times New Roman"/>
          <w:sz w:val="18"/>
          <w:szCs w:val="18"/>
          <w:i w:val="1"/>
          <w:iCs w:val="1"/>
          <w:color w:val="auto"/>
        </w:rPr>
        <w:t>TTR gene knockout using</w:t>
      </w:r>
    </w:p>
    <w:p>
      <w:pPr>
        <w:ind w:left="20"/>
        <w:spacing w:after="0"/>
        <w:rPr>
          <w:sz w:val="20"/>
          <w:szCs w:val="20"/>
          <w:color w:val="auto"/>
        </w:rPr>
      </w:pPr>
      <w:r>
        <w:rPr>
          <w:rFonts w:ascii="Times New Roman" w:cs="Times New Roman" w:eastAsia="Times New Roman" w:hAnsi="Times New Roman"/>
          <w:sz w:val="18"/>
          <w:szCs w:val="18"/>
          <w:i w:val="1"/>
          <w:iCs w:val="1"/>
          <w:color w:val="auto"/>
        </w:rPr>
        <w:t>CRISPR/Cas9</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tabs>
          <w:tab w:leader="none" w:pos="5340" w:val="left"/>
        </w:tabs>
        <w:rPr>
          <w:sz w:val="20"/>
          <w:szCs w:val="20"/>
          <w:color w:val="auto"/>
        </w:rPr>
      </w:pPr>
      <w:r>
        <w:rPr>
          <w:rFonts w:ascii="Times New Roman" w:cs="Times New Roman" w:eastAsia="Times New Roman" w:hAnsi="Times New Roman"/>
          <w:sz w:val="17"/>
          <w:szCs w:val="17"/>
          <w:color w:val="auto"/>
        </w:rPr>
        <w:t>–Paroxysmal</w:t>
      </w:r>
      <w:r>
        <w:rPr>
          <w:sz w:val="20"/>
          <w:szCs w:val="20"/>
          <w:color w:val="auto"/>
        </w:rPr>
        <w:tab/>
      </w:r>
      <w:r>
        <w:rPr>
          <w:rFonts w:ascii="Times New Roman" w:cs="Times New Roman" w:eastAsia="Times New Roman" w:hAnsi="Times New Roman"/>
          <w:sz w:val="17"/>
          <w:szCs w:val="17"/>
          <w:color w:val="auto"/>
        </w:rPr>
        <w:t>–Report results from Phase</w:t>
      </w:r>
    </w:p>
    <w:p>
      <w:pPr>
        <w:spacing w:after="0" w:line="219" w:lineRule="auto"/>
        <w:tabs>
          <w:tab w:leader="none" w:pos="5340" w:val="left"/>
        </w:tabs>
        <w:rPr>
          <w:sz w:val="20"/>
          <w:szCs w:val="20"/>
          <w:color w:val="auto"/>
        </w:rPr>
      </w:pPr>
      <w:r>
        <w:rPr>
          <w:rFonts w:ascii="Times New Roman" w:cs="Times New Roman" w:eastAsia="Times New Roman" w:hAnsi="Times New Roman"/>
          <w:sz w:val="18"/>
          <w:szCs w:val="18"/>
          <w:color w:val="auto"/>
        </w:rPr>
        <w:t>nocturnal</w:t>
      </w:r>
      <w:r>
        <w:rPr>
          <w:sz w:val="20"/>
          <w:szCs w:val="20"/>
          <w:color w:val="auto"/>
        </w:rPr>
        <w:tab/>
      </w:r>
      <w:r>
        <w:rPr>
          <w:rFonts w:ascii="Times New Roman" w:cs="Times New Roman" w:eastAsia="Times New Roman" w:hAnsi="Times New Roman"/>
          <w:sz w:val="18"/>
          <w:szCs w:val="18"/>
          <w:color w:val="auto"/>
        </w:rPr>
        <w:t>3 study in PNH (fourth</w:t>
      </w:r>
    </w:p>
    <w:p>
      <w:pPr>
        <w:spacing w:after="0" w:line="190" w:lineRule="auto"/>
        <w:tabs>
          <w:tab w:leader="none" w:pos="5340" w:val="left"/>
        </w:tabs>
        <w:rPr>
          <w:sz w:val="20"/>
          <w:szCs w:val="20"/>
          <w:color w:val="auto"/>
        </w:rPr>
      </w:pPr>
      <w:r>
        <w:rPr>
          <w:rFonts w:ascii="Times New Roman" w:cs="Times New Roman" w:eastAsia="Times New Roman" w:hAnsi="Times New Roman"/>
          <w:sz w:val="18"/>
          <w:szCs w:val="18"/>
          <w:color w:val="auto"/>
        </w:rPr>
        <w:t>hemoglobinuria</w:t>
      </w:r>
      <w:r>
        <w:rPr>
          <w:sz w:val="20"/>
          <w:szCs w:val="20"/>
          <w:color w:val="auto"/>
        </w:rPr>
        <w:tab/>
      </w:r>
      <w:r>
        <w:rPr>
          <w:rFonts w:ascii="Times New Roman" w:cs="Times New Roman" w:eastAsia="Times New Roman" w:hAnsi="Times New Roman"/>
          <w:sz w:val="18"/>
          <w:szCs w:val="18"/>
          <w:color w:val="auto"/>
        </w:rPr>
        <w:t>quarter 2026)</w:t>
      </w:r>
    </w:p>
    <w:p>
      <w:pPr>
        <w:spacing w:after="0" w:line="218" w:lineRule="auto"/>
        <w:rPr>
          <w:sz w:val="20"/>
          <w:szCs w:val="20"/>
          <w:color w:val="auto"/>
        </w:rPr>
      </w:pPr>
      <w:r>
        <w:rPr>
          <w:rFonts w:ascii="Times New Roman" w:cs="Times New Roman" w:eastAsia="Times New Roman" w:hAnsi="Times New Roman"/>
          <w:sz w:val="18"/>
          <w:szCs w:val="18"/>
          <w:color w:val="auto"/>
        </w:rPr>
        <w:t>("PNH")</w:t>
      </w:r>
      <w:r>
        <w:rPr>
          <w:rFonts w:ascii="Times New Roman" w:cs="Times New Roman" w:eastAsia="Times New Roman" w:hAnsi="Times New Roman"/>
          <w:sz w:val="23"/>
          <w:szCs w:val="23"/>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-8255</wp:posOffset>
            </wp:positionV>
            <wp:extent cx="7132320" cy="531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207" w:lineRule="auto"/>
        <w:rPr>
          <w:sz w:val="20"/>
          <w:szCs w:val="20"/>
          <w:color w:val="auto"/>
        </w:rPr>
      </w:pPr>
      <w:r>
        <w:rPr>
          <w:rFonts w:ascii="Times New Roman" w:cs="Times New Roman" w:eastAsia="Times New Roman" w:hAnsi="Times New Roman"/>
          <w:sz w:val="18"/>
          <w:szCs w:val="18"/>
          <w:color w:val="auto"/>
        </w:rPr>
        <w:t>–Generalized</w:t>
      </w:r>
    </w:p>
    <w:p>
      <w:pPr>
        <w:spacing w:after="0"/>
        <w:rPr>
          <w:sz w:val="20"/>
          <w:szCs w:val="20"/>
          <w:color w:val="auto"/>
        </w:rPr>
      </w:pPr>
      <w:r>
        <w:rPr>
          <w:rFonts w:ascii="Times New Roman" w:cs="Times New Roman" w:eastAsia="Times New Roman" w:hAnsi="Times New Roman"/>
          <w:sz w:val="18"/>
          <w:szCs w:val="18"/>
          <w:color w:val="auto"/>
        </w:rPr>
        <w:t>lipodystrophy</w:t>
      </w:r>
      <w:r>
        <w:rPr>
          <w:rFonts w:ascii="Times New Roman" w:cs="Times New Roman" w:eastAsia="Times New Roman" w:hAnsi="Times New Roman"/>
          <w:sz w:val="23"/>
          <w:szCs w:val="23"/>
          <w:color w:val="auto"/>
          <w:vertAlign w:val="superscript"/>
        </w:rPr>
        <w:t>(c)(d)(e)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–Monogenic obesity</w:t>
      </w:r>
    </w:p>
    <w:p>
      <w:pPr>
        <w:spacing w:after="0" w:line="25" w:lineRule="exact"/>
        <w:rPr>
          <w:sz w:val="20"/>
          <w:szCs w:val="20"/>
          <w:color w:val="auto"/>
        </w:rPr>
      </w:pPr>
    </w:p>
    <w:p>
      <w:pPr>
        <w:spacing w:after="0"/>
        <w:tabs>
          <w:tab w:leader="none" w:pos="3380" w:val="left"/>
        </w:tabs>
        <w:rPr>
          <w:sz w:val="20"/>
          <w:szCs w:val="20"/>
          <w:color w:val="auto"/>
        </w:rPr>
      </w:pPr>
      <w:r>
        <w:rPr>
          <w:rFonts w:ascii="Times New Roman" w:cs="Times New Roman" w:eastAsia="Times New Roman" w:hAnsi="Times New Roman"/>
          <w:sz w:val="18"/>
          <w:szCs w:val="18"/>
          <w:color w:val="auto"/>
        </w:rPr>
        <w:t>–Transthyretin</w:t>
      </w:r>
      <w:r>
        <w:rPr>
          <w:sz w:val="20"/>
          <w:szCs w:val="20"/>
          <w:color w:val="auto"/>
        </w:rPr>
        <w:tab/>
      </w:r>
      <w:r>
        <w:rPr>
          <w:rFonts w:ascii="Times New Roman" w:cs="Times New Roman" w:eastAsia="Times New Roman" w:hAnsi="Times New Roman"/>
          <w:sz w:val="18"/>
          <w:szCs w:val="18"/>
          <w:color w:val="auto"/>
        </w:rPr>
        <w:t>–FDA removed clinical</w:t>
      </w:r>
    </w:p>
    <w:p>
      <w:pPr>
        <w:spacing w:after="0" w:line="215" w:lineRule="auto"/>
        <w:tabs>
          <w:tab w:leader="none" w:pos="3380" w:val="left"/>
        </w:tabs>
        <w:rPr>
          <w:sz w:val="20"/>
          <w:szCs w:val="20"/>
          <w:color w:val="auto"/>
        </w:rPr>
      </w:pPr>
      <w:r>
        <w:rPr>
          <w:rFonts w:ascii="Times New Roman" w:cs="Times New Roman" w:eastAsia="Times New Roman" w:hAnsi="Times New Roman"/>
          <w:sz w:val="18"/>
          <w:szCs w:val="18"/>
          <w:color w:val="auto"/>
        </w:rPr>
        <w:t>amyloidosis with</w:t>
      </w:r>
      <w:r>
        <w:rPr>
          <w:sz w:val="20"/>
          <w:szCs w:val="20"/>
          <w:color w:val="auto"/>
        </w:rPr>
        <w:tab/>
      </w:r>
      <w:r>
        <w:rPr>
          <w:rFonts w:ascii="Times New Roman" w:cs="Times New Roman" w:eastAsia="Times New Roman" w:hAnsi="Times New Roman"/>
          <w:sz w:val="17"/>
          <w:szCs w:val="17"/>
          <w:color w:val="auto"/>
        </w:rPr>
        <w:t>hold on Phase 3 trials in</w:t>
      </w:r>
    </w:p>
    <w:p>
      <w:pPr>
        <w:spacing w:after="0" w:line="203" w:lineRule="auto"/>
        <w:tabs>
          <w:tab w:leader="none" w:pos="3380" w:val="left"/>
        </w:tabs>
        <w:rPr>
          <w:sz w:val="20"/>
          <w:szCs w:val="20"/>
          <w:color w:val="auto"/>
        </w:rPr>
      </w:pPr>
      <w:r>
        <w:rPr>
          <w:rFonts w:ascii="Times New Roman" w:cs="Times New Roman" w:eastAsia="Times New Roman" w:hAnsi="Times New Roman"/>
          <w:sz w:val="18"/>
          <w:szCs w:val="18"/>
          <w:color w:val="auto"/>
        </w:rPr>
        <w:t>cardiomyopathy</w:t>
      </w:r>
      <w:r>
        <w:rPr>
          <w:sz w:val="20"/>
          <w:szCs w:val="20"/>
          <w:color w:val="auto"/>
        </w:rPr>
        <w:tab/>
      </w:r>
      <w:r>
        <w:rPr>
          <w:rFonts w:ascii="Times New Roman" w:cs="Times New Roman" w:eastAsia="Times New Roman" w:hAnsi="Times New Roman"/>
          <w:sz w:val="18"/>
          <w:szCs w:val="18"/>
          <w:color w:val="auto"/>
        </w:rPr>
        <w:t>ATTR-CM and ATTRv-</w:t>
      </w:r>
    </w:p>
    <w:p>
      <w:pPr>
        <w:spacing w:after="0" w:line="1" w:lineRule="exact"/>
        <w:rPr>
          <w:sz w:val="20"/>
          <w:szCs w:val="20"/>
          <w:color w:val="auto"/>
        </w:rPr>
      </w:pPr>
    </w:p>
    <w:p>
      <w:pPr>
        <w:spacing w:after="0"/>
        <w:tabs>
          <w:tab w:leader="none" w:pos="3380" w:val="left"/>
        </w:tabs>
        <w:rPr>
          <w:sz w:val="20"/>
          <w:szCs w:val="20"/>
          <w:color w:val="auto"/>
        </w:rPr>
      </w:pPr>
      <w:r>
        <w:rPr>
          <w:rFonts w:ascii="Times New Roman" w:cs="Times New Roman" w:eastAsia="Times New Roman" w:hAnsi="Times New Roman"/>
          <w:sz w:val="18"/>
          <w:szCs w:val="18"/>
          <w:color w:val="auto"/>
        </w:rPr>
        <w:t>("ATTR-CM")</w:t>
      </w:r>
      <w:r>
        <w:rPr>
          <w:rFonts w:ascii="Times New Roman" w:cs="Times New Roman" w:eastAsia="Times New Roman" w:hAnsi="Times New Roman"/>
          <w:sz w:val="23"/>
          <w:szCs w:val="23"/>
          <w:color w:val="auto"/>
          <w:vertAlign w:val="superscript"/>
        </w:rPr>
        <w:t>(c)(m)</w:t>
      </w:r>
      <w:r>
        <w:rPr>
          <w:sz w:val="20"/>
          <w:szCs w:val="20"/>
          <w:color w:val="auto"/>
        </w:rPr>
        <w:tab/>
      </w:r>
      <w:r>
        <w:rPr>
          <w:rFonts w:ascii="Times New Roman" w:cs="Times New Roman" w:eastAsia="Times New Roman" w:hAnsi="Times New Roman"/>
          <w:sz w:val="17"/>
          <w:szCs w:val="17"/>
          <w:color w:val="auto"/>
        </w:rPr>
        <w:t>PN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–Hereditary</w:t>
      </w:r>
    </w:p>
    <w:p>
      <w:pPr>
        <w:spacing w:after="0" w:line="203" w:lineRule="auto"/>
        <w:rPr>
          <w:sz w:val="20"/>
          <w:szCs w:val="20"/>
          <w:color w:val="auto"/>
        </w:rPr>
      </w:pPr>
      <w:r>
        <w:rPr>
          <w:rFonts w:ascii="Times New Roman" w:cs="Times New Roman" w:eastAsia="Times New Roman" w:hAnsi="Times New Roman"/>
          <w:sz w:val="18"/>
          <w:szCs w:val="18"/>
          <w:color w:val="auto"/>
        </w:rPr>
        <w:t>transthyretin</w:t>
      </w:r>
    </w:p>
    <w:p>
      <w:pPr>
        <w:spacing w:after="0" w:line="219" w:lineRule="auto"/>
        <w:rPr>
          <w:sz w:val="20"/>
          <w:szCs w:val="20"/>
          <w:color w:val="auto"/>
        </w:rPr>
      </w:pPr>
      <w:r>
        <w:rPr>
          <w:rFonts w:ascii="Times New Roman" w:cs="Times New Roman" w:eastAsia="Times New Roman" w:hAnsi="Times New Roman"/>
          <w:sz w:val="18"/>
          <w:szCs w:val="18"/>
          <w:color w:val="auto"/>
        </w:rPr>
        <w:t>amyloidosis with</w:t>
      </w:r>
    </w:p>
    <w:p>
      <w:pPr>
        <w:spacing w:after="0" w:line="191" w:lineRule="auto"/>
        <w:rPr>
          <w:sz w:val="20"/>
          <w:szCs w:val="20"/>
          <w:color w:val="auto"/>
        </w:rPr>
      </w:pPr>
      <w:r>
        <w:rPr>
          <w:rFonts w:ascii="Times New Roman" w:cs="Times New Roman" w:eastAsia="Times New Roman" w:hAnsi="Times New Roman"/>
          <w:sz w:val="18"/>
          <w:szCs w:val="18"/>
          <w:color w:val="auto"/>
        </w:rPr>
        <w:t>polyneuropathy</w:t>
      </w:r>
    </w:p>
    <w:p>
      <w:pPr>
        <w:spacing w:after="0" w:line="202" w:lineRule="auto"/>
        <w:rPr>
          <w:sz w:val="20"/>
          <w:szCs w:val="20"/>
          <w:color w:val="auto"/>
        </w:rPr>
      </w:pPr>
      <w:r>
        <w:rPr>
          <w:rFonts w:ascii="Times New Roman" w:cs="Times New Roman" w:eastAsia="Times New Roman" w:hAnsi="Times New Roman"/>
          <w:sz w:val="18"/>
          <w:szCs w:val="18"/>
          <w:color w:val="auto"/>
        </w:rPr>
        <w:t>("ATTRv-PN")</w:t>
      </w:r>
      <w:r>
        <w:rPr>
          <w:rFonts w:ascii="Times New Roman" w:cs="Times New Roman" w:eastAsia="Times New Roman" w:hAnsi="Times New Roman"/>
          <w:sz w:val="23"/>
          <w:szCs w:val="23"/>
          <w:color w:val="auto"/>
          <w:vertAlign w:val="superscript"/>
        </w:rPr>
        <w:t>(c)(m)</w:t>
      </w:r>
    </w:p>
    <w:p>
      <w:pPr>
        <w:spacing w:after="0" w:line="12" w:lineRule="exact"/>
        <w:rPr>
          <w:sz w:val="20"/>
          <w:szCs w:val="20"/>
          <w:color w:val="auto"/>
        </w:rPr>
      </w:pPr>
    </w:p>
    <w:p>
      <w:pPr>
        <w:sectPr>
          <w:pgSz w:w="11900" w:h="16838" w:orient="portrait"/>
          <w:cols w:equalWidth="0" w:num="2">
            <w:col w:w="3080" w:space="720"/>
            <w:col w:w="744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Otarmeni (lunsotogene</w:t>
            </w:r>
          </w:p>
        </w:tc>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–Hearing loss due to</w:t>
            </w:r>
          </w:p>
        </w:tc>
        <w:tc>
          <w:tcPr>
            <w:tcW w:w="666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–Approved by FDA for</w:t>
            </w:r>
          </w:p>
        </w:tc>
      </w:tr>
      <w:tr>
        <w:trPr>
          <w:trHeight w:val="175"/>
        </w:trPr>
        <w:tc>
          <w:tcPr>
            <w:tcW w:w="2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parvec, formerly known</w:t>
            </w:r>
          </w:p>
        </w:tc>
        <w:tc>
          <w:tcPr>
            <w:tcW w:w="25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variants of otoferlin</w:t>
            </w:r>
          </w:p>
        </w:tc>
        <w:tc>
          <w:tcPr>
            <w:tcW w:w="6660" w:type="dxa"/>
            <w:vAlign w:val="bottom"/>
            <w:shd w:val="clear" w:color="auto" w:fill="CCEEFF"/>
          </w:tcPr>
          <w:p>
            <w:pPr>
              <w:ind w:left="2620"/>
              <w:spacing w:after="0" w:line="176" w:lineRule="exact"/>
              <w:rPr>
                <w:sz w:val="20"/>
                <w:szCs w:val="20"/>
                <w:color w:val="auto"/>
              </w:rPr>
            </w:pPr>
            <w:r>
              <w:rPr>
                <w:rFonts w:ascii="Times New Roman" w:cs="Times New Roman" w:eastAsia="Times New Roman" w:hAnsi="Times New Roman"/>
                <w:sz w:val="18"/>
                <w:szCs w:val="18"/>
                <w:color w:val="auto"/>
              </w:rPr>
              <w:t>hearing loss associated</w:t>
            </w:r>
          </w:p>
        </w:tc>
      </w:tr>
      <w:tr>
        <w:trPr>
          <w:trHeight w:val="189"/>
        </w:trPr>
        <w:tc>
          <w:tcPr>
            <w:tcW w:w="2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as DB-OTO)</w:t>
            </w:r>
          </w:p>
        </w:tc>
        <w:tc>
          <w:tcPr>
            <w:tcW w:w="25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OTOF</w:t>
            </w:r>
            <w:r>
              <w:rPr>
                <w:rFonts w:ascii="Times New Roman" w:cs="Times New Roman" w:eastAsia="Times New Roman" w:hAnsi="Times New Roman"/>
                <w:sz w:val="17"/>
                <w:szCs w:val="17"/>
                <w:color w:val="auto"/>
              </w:rPr>
              <w:t>") gene</w:t>
            </w:r>
            <w:r>
              <w:rPr>
                <w:rFonts w:ascii="Times New Roman" w:cs="Times New Roman" w:eastAsia="Times New Roman" w:hAnsi="Times New Roman"/>
                <w:sz w:val="21"/>
                <w:szCs w:val="21"/>
                <w:color w:val="auto"/>
                <w:vertAlign w:val="superscript"/>
              </w:rPr>
              <w:t>(c)(e)</w:t>
            </w:r>
          </w:p>
        </w:tc>
        <w:tc>
          <w:tcPr>
            <w:tcW w:w="6660" w:type="dxa"/>
            <w:vAlign w:val="bottom"/>
            <w:shd w:val="clear" w:color="auto" w:fill="CCEEFF"/>
          </w:tcPr>
          <w:p>
            <w:pPr>
              <w:ind w:left="2620"/>
              <w:spacing w:after="0" w:line="189" w:lineRule="exact"/>
              <w:rPr>
                <w:sz w:val="20"/>
                <w:szCs w:val="20"/>
                <w:color w:val="auto"/>
              </w:rPr>
            </w:pPr>
            <w:r>
              <w:rPr>
                <w:rFonts w:ascii="Times New Roman" w:cs="Times New Roman" w:eastAsia="Times New Roman" w:hAnsi="Times New Roman"/>
                <w:sz w:val="18"/>
                <w:szCs w:val="18"/>
                <w:color w:val="auto"/>
              </w:rPr>
              <w:t xml:space="preserve">with variants in </w:t>
            </w:r>
            <w:r>
              <w:rPr>
                <w:rFonts w:ascii="Times New Roman" w:cs="Times New Roman" w:eastAsia="Times New Roman" w:hAnsi="Times New Roman"/>
                <w:sz w:val="18"/>
                <w:szCs w:val="18"/>
                <w:i w:val="1"/>
                <w:iCs w:val="1"/>
                <w:color w:val="auto"/>
              </w:rPr>
              <w:t>OTOF</w:t>
            </w:r>
          </w:p>
        </w:tc>
      </w:tr>
      <w:tr>
        <w:trPr>
          <w:trHeight w:val="175"/>
        </w:trPr>
        <w:tc>
          <w:tcPr>
            <w:tcW w:w="2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AAV-based gene therapy</w:t>
            </w:r>
          </w:p>
        </w:tc>
        <w:tc>
          <w:tcPr>
            <w:tcW w:w="25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20"/>
                <w:szCs w:val="20"/>
                <w:color w:val="auto"/>
                <w:vertAlign w:val="superscript"/>
              </w:rPr>
              <w:t>(m)</w:t>
            </w:r>
            <w:r>
              <w:rPr>
                <w:rFonts w:ascii="Times New Roman" w:cs="Times New Roman" w:eastAsia="Times New Roman" w:hAnsi="Times New Roman"/>
                <w:sz w:val="16"/>
                <w:szCs w:val="16"/>
                <w:color w:val="auto"/>
              </w:rPr>
              <w:t xml:space="preserve"> (Phase 1/2)</w:t>
            </w:r>
          </w:p>
        </w:tc>
        <w:tc>
          <w:tcPr>
            <w:tcW w:w="6660" w:type="dxa"/>
            <w:vAlign w:val="bottom"/>
            <w:shd w:val="clear" w:color="auto" w:fill="CCEEFF"/>
          </w:tcPr>
          <w:p>
            <w:pPr>
              <w:ind w:left="2620"/>
              <w:spacing w:after="0" w:line="176" w:lineRule="exact"/>
              <w:rPr>
                <w:sz w:val="20"/>
                <w:szCs w:val="20"/>
                <w:color w:val="auto"/>
              </w:rPr>
            </w:pPr>
            <w:r>
              <w:rPr>
                <w:rFonts w:ascii="Times New Roman" w:cs="Times New Roman" w:eastAsia="Times New Roman" w:hAnsi="Times New Roman"/>
                <w:sz w:val="18"/>
                <w:szCs w:val="18"/>
                <w:color w:val="auto"/>
              </w:rPr>
              <w:t>gene</w:t>
            </w:r>
          </w:p>
        </w:tc>
      </w:tr>
      <w:tr>
        <w:trPr>
          <w:trHeight w:val="203"/>
        </w:trPr>
        <w:tc>
          <w:tcPr>
            <w:tcW w:w="2020" w:type="dxa"/>
            <w:vAlign w:val="bottom"/>
            <w:shd w:val="clear" w:color="auto" w:fill="CCEEFF"/>
          </w:tcPr>
          <w:p>
            <w:pPr>
              <w:spacing w:after="0"/>
              <w:rPr>
                <w:sz w:val="17"/>
                <w:szCs w:val="17"/>
                <w:color w:val="auto"/>
              </w:rPr>
            </w:pPr>
          </w:p>
        </w:tc>
        <w:tc>
          <w:tcPr>
            <w:tcW w:w="256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(pivotal study)</w:t>
            </w:r>
          </w:p>
        </w:tc>
        <w:tc>
          <w:tcPr>
            <w:tcW w:w="6660" w:type="dxa"/>
            <w:vAlign w:val="bottom"/>
            <w:shd w:val="clear" w:color="auto" w:fill="CCEEFF"/>
          </w:tcPr>
          <w:p>
            <w:pPr>
              <w:spacing w:after="0"/>
              <w:rPr>
                <w:sz w:val="17"/>
                <w:szCs w:val="17"/>
                <w:color w:val="auto"/>
              </w:rPr>
            </w:pPr>
          </w:p>
        </w:tc>
      </w:tr>
      <w:tr>
        <w:trPr>
          <w:trHeight w:val="182"/>
        </w:trPr>
        <w:tc>
          <w:tcPr>
            <w:tcW w:w="20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REGN7999</w:t>
            </w:r>
          </w:p>
        </w:tc>
        <w:tc>
          <w:tcPr>
            <w:tcW w:w="256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color w:val="auto"/>
              </w:rPr>
              <w:t>–Iron overload in</w:t>
            </w:r>
          </w:p>
        </w:tc>
        <w:tc>
          <w:tcPr>
            <w:tcW w:w="6660" w:type="dxa"/>
            <w:vAlign w:val="bottom"/>
          </w:tcPr>
          <w:p>
            <w:pPr>
              <w:spacing w:after="0"/>
              <w:rPr>
                <w:sz w:val="15"/>
                <w:szCs w:val="15"/>
                <w:color w:val="auto"/>
              </w:rPr>
            </w:pPr>
          </w:p>
        </w:tc>
      </w:tr>
      <w:tr>
        <w:trPr>
          <w:trHeight w:val="236"/>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TMPRSS6</w:t>
            </w:r>
          </w:p>
        </w:tc>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beta-thalassemia</w:t>
            </w:r>
          </w:p>
        </w:tc>
        <w:tc>
          <w:tcPr>
            <w:tcW w:w="6660" w:type="dxa"/>
            <w:vAlign w:val="bottom"/>
          </w:tcPr>
          <w:p>
            <w:pPr>
              <w:spacing w:after="0"/>
              <w:rPr>
                <w:sz w:val="20"/>
                <w:szCs w:val="20"/>
                <w:color w:val="auto"/>
              </w:rPr>
            </w:pPr>
          </w:p>
        </w:tc>
      </w:tr>
      <w:tr>
        <w:trPr>
          <w:trHeight w:val="182"/>
        </w:trPr>
        <w:tc>
          <w:tcPr>
            <w:tcW w:w="20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REGN7257</w:t>
            </w:r>
          </w:p>
        </w:tc>
        <w:tc>
          <w:tcPr>
            <w:tcW w:w="2560" w:type="dxa"/>
            <w:vAlign w:val="bottom"/>
            <w:shd w:val="clear" w:color="auto" w:fill="CCEEFF"/>
          </w:tcPr>
          <w:p>
            <w:pPr>
              <w:spacing w:after="0"/>
              <w:rPr>
                <w:sz w:val="15"/>
                <w:szCs w:val="15"/>
                <w:color w:val="auto"/>
              </w:rPr>
            </w:pPr>
          </w:p>
        </w:tc>
        <w:tc>
          <w:tcPr>
            <w:tcW w:w="6660" w:type="dxa"/>
            <w:vAlign w:val="bottom"/>
            <w:shd w:val="clear" w:color="auto" w:fill="CCEEFF"/>
          </w:tcPr>
          <w:p>
            <w:pPr>
              <w:spacing w:after="0"/>
              <w:rPr>
                <w:sz w:val="15"/>
                <w:szCs w:val="15"/>
                <w:color w:val="auto"/>
              </w:rPr>
            </w:pPr>
          </w:p>
        </w:tc>
      </w:tr>
      <w:tr>
        <w:trPr>
          <w:trHeight w:val="236"/>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IL2Rg</w:t>
            </w:r>
          </w:p>
        </w:tc>
        <w:tc>
          <w:tcPr>
            <w:tcW w:w="2560" w:type="dxa"/>
            <w:vAlign w:val="bottom"/>
            <w:shd w:val="clear" w:color="auto" w:fill="CCEEFF"/>
          </w:tcPr>
          <w:p>
            <w:pPr>
              <w:spacing w:after="0"/>
              <w:rPr>
                <w:sz w:val="20"/>
                <w:szCs w:val="20"/>
                <w:color w:val="auto"/>
              </w:rPr>
            </w:pPr>
          </w:p>
        </w:tc>
        <w:tc>
          <w:tcPr>
            <w:tcW w:w="6660" w:type="dxa"/>
            <w:vAlign w:val="bottom"/>
            <w:shd w:val="clear" w:color="auto" w:fill="CCEEFF"/>
          </w:tcPr>
          <w:p>
            <w:pPr>
              <w:spacing w:after="0"/>
              <w:rPr>
                <w:sz w:val="20"/>
                <w:szCs w:val="20"/>
                <w:color w:val="auto"/>
              </w:rPr>
            </w:pPr>
          </w:p>
        </w:tc>
      </w:tr>
      <w:tr>
        <w:trPr>
          <w:trHeight w:val="716"/>
        </w:trPr>
        <w:tc>
          <w:tcPr>
            <w:tcW w:w="20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28</w:t>
            </w:r>
          </w:p>
        </w:tc>
      </w:tr>
      <w:tr>
        <w:trPr>
          <w:trHeight w:val="358"/>
        </w:trPr>
        <w:tc>
          <w:tcPr>
            <w:tcW w:w="20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6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400" w:hanging="165"/>
        <w:spacing w:after="0"/>
        <w:tabs>
          <w:tab w:leader="none" w:pos="40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Bayer outside the United States</w:t>
      </w:r>
    </w:p>
    <w:p>
      <w:pPr>
        <w:spacing w:after="0" w:line="6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Sanofi</w:t>
      </w:r>
    </w:p>
    <w:p>
      <w:pPr>
        <w:spacing w:after="0" w:line="64" w:lineRule="exact"/>
        <w:rPr>
          <w:rFonts w:ascii="Times New Roman" w:cs="Times New Roman" w:eastAsia="Times New Roman" w:hAnsi="Times New Roman"/>
          <w:sz w:val="22"/>
          <w:szCs w:val="22"/>
          <w:color w:val="auto"/>
          <w:vertAlign w:val="superscript"/>
        </w:rPr>
      </w:pPr>
    </w:p>
    <w:p>
      <w:pPr>
        <w:ind w:left="400" w:hanging="165"/>
        <w:spacing w:after="0" w:line="182" w:lineRule="auto"/>
        <w:tabs>
          <w:tab w:leader="none" w:pos="40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FDA granted Orphan Drug designation for one or more indications</w:t>
      </w:r>
    </w:p>
    <w:p>
      <w:pPr>
        <w:spacing w:after="0" w:line="6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FDA granted Breakthrough Therapy designation for one or more indications</w:t>
      </w:r>
    </w:p>
    <w:p>
      <w:pPr>
        <w:spacing w:after="0" w:line="64" w:lineRule="exact"/>
        <w:rPr>
          <w:rFonts w:ascii="Times New Roman" w:cs="Times New Roman" w:eastAsia="Times New Roman" w:hAnsi="Times New Roman"/>
          <w:sz w:val="22"/>
          <w:szCs w:val="22"/>
          <w:color w:val="auto"/>
          <w:vertAlign w:val="superscript"/>
        </w:rPr>
      </w:pPr>
    </w:p>
    <w:p>
      <w:pPr>
        <w:ind w:left="400" w:hanging="165"/>
        <w:spacing w:after="0" w:line="182" w:lineRule="auto"/>
        <w:tabs>
          <w:tab w:leader="none" w:pos="40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FDA granted Fast Track designation for one or more indications</w:t>
      </w:r>
    </w:p>
    <w:p>
      <w:pPr>
        <w:spacing w:after="0" w:line="64" w:lineRule="exact"/>
        <w:rPr>
          <w:rFonts w:ascii="Times New Roman" w:cs="Times New Roman" w:eastAsia="Times New Roman" w:hAnsi="Times New Roman"/>
          <w:sz w:val="22"/>
          <w:szCs w:val="22"/>
          <w:color w:val="auto"/>
          <w:vertAlign w:val="superscript"/>
        </w:rPr>
      </w:pPr>
    </w:p>
    <w:p>
      <w:pPr>
        <w:ind w:left="400" w:hanging="165"/>
        <w:spacing w:after="0" w:line="182" w:lineRule="auto"/>
        <w:tabs>
          <w:tab w:leader="none" w:pos="40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Sanofi is entitled to receive royalties on sales of the product</w:t>
      </w:r>
    </w:p>
    <w:p>
      <w:pPr>
        <w:spacing w:after="0" w:line="75" w:lineRule="exact"/>
        <w:rPr>
          <w:rFonts w:ascii="Times New Roman" w:cs="Times New Roman" w:eastAsia="Times New Roman" w:hAnsi="Times New Roman"/>
          <w:sz w:val="22"/>
          <w:szCs w:val="22"/>
          <w:color w:val="auto"/>
          <w:vertAlign w:val="superscript"/>
        </w:rPr>
      </w:pPr>
    </w:p>
    <w:p>
      <w:pPr>
        <w:ind w:left="420" w:hanging="185"/>
        <w:spacing w:after="0" w:line="185" w:lineRule="auto"/>
        <w:tabs>
          <w:tab w:leader="none" w:pos="42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Studied as monotherapy and in combination with other antibodies and treatments</w:t>
      </w:r>
    </w:p>
    <w:p>
      <w:pPr>
        <w:spacing w:after="0" w:line="6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Information in this column captures submissions to U.S., EU, and/or Japan regulatory authorities</w:t>
      </w:r>
    </w:p>
    <w:p>
      <w:pPr>
        <w:spacing w:after="0" w:line="64" w:lineRule="exact"/>
        <w:rPr>
          <w:rFonts w:ascii="Times New Roman" w:cs="Times New Roman" w:eastAsia="Times New Roman" w:hAnsi="Times New Roman"/>
          <w:sz w:val="22"/>
          <w:szCs w:val="22"/>
          <w:color w:val="auto"/>
          <w:vertAlign w:val="superscript"/>
        </w:rPr>
      </w:pPr>
    </w:p>
    <w:p>
      <w:pPr>
        <w:ind w:left="380" w:hanging="145"/>
        <w:spacing w:after="0" w:line="182" w:lineRule="auto"/>
        <w:tabs>
          <w:tab w:leader="none" w:pos="3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BioNTech's BNT116 is an mRNA cancer vaccine</w:t>
      </w:r>
    </w:p>
    <w:p>
      <w:pPr>
        <w:spacing w:after="0" w:line="24" w:lineRule="exact"/>
        <w:rPr>
          <w:rFonts w:ascii="Times New Roman" w:cs="Times New Roman" w:eastAsia="Times New Roman" w:hAnsi="Times New Roman"/>
          <w:sz w:val="22"/>
          <w:szCs w:val="22"/>
          <w:color w:val="auto"/>
          <w:vertAlign w:val="superscript"/>
        </w:rPr>
      </w:pPr>
    </w:p>
    <w:p>
      <w:pPr>
        <w:ind w:left="380" w:hanging="145"/>
        <w:spacing w:after="0" w:line="182" w:lineRule="auto"/>
        <w:tabs>
          <w:tab w:leader="none" w:pos="3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Intellia</w:t>
      </w:r>
    </w:p>
    <w:p>
      <w:pPr>
        <w:spacing w:after="0" w:line="2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In-licensed from Alnylam</w:t>
      </w:r>
    </w:p>
    <w:p>
      <w:pPr>
        <w:spacing w:after="0" w:line="64" w:lineRule="exact"/>
        <w:rPr>
          <w:rFonts w:ascii="Times New Roman" w:cs="Times New Roman" w:eastAsia="Times New Roman" w:hAnsi="Times New Roman"/>
          <w:sz w:val="22"/>
          <w:szCs w:val="22"/>
          <w:color w:val="auto"/>
          <w:vertAlign w:val="superscript"/>
        </w:rPr>
      </w:pPr>
    </w:p>
    <w:p>
      <w:pPr>
        <w:ind w:left="380" w:hanging="145"/>
        <w:spacing w:after="0" w:line="182" w:lineRule="auto"/>
        <w:tabs>
          <w:tab w:leader="none" w:pos="3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Also studied in combination with marlotamig</w:t>
      </w:r>
    </w:p>
    <w:p>
      <w:pPr>
        <w:spacing w:after="0" w:line="24" w:lineRule="exact"/>
        <w:rPr>
          <w:rFonts w:ascii="Times New Roman" w:cs="Times New Roman" w:eastAsia="Times New Roman" w:hAnsi="Times New Roman"/>
          <w:sz w:val="22"/>
          <w:szCs w:val="22"/>
          <w:color w:val="auto"/>
          <w:vertAlign w:val="superscript"/>
        </w:rPr>
      </w:pPr>
    </w:p>
    <w:p>
      <w:pPr>
        <w:ind w:left="440" w:hanging="205"/>
        <w:spacing w:after="0" w:line="191" w:lineRule="auto"/>
        <w:tabs>
          <w:tab w:leader="none" w:pos="44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FDA granted Regenerative Medicine Advanced Therapy ("RMAT") designation for one or more indications</w:t>
      </w:r>
    </w:p>
    <w:p>
      <w:pPr>
        <w:spacing w:after="0" w:line="64" w:lineRule="exact"/>
        <w:rPr>
          <w:rFonts w:ascii="Times New Roman" w:cs="Times New Roman" w:eastAsia="Times New Roman" w:hAnsi="Times New Roman"/>
          <w:sz w:val="21"/>
          <w:szCs w:val="21"/>
          <w:color w:val="auto"/>
          <w:vertAlign w:val="superscript"/>
        </w:rPr>
      </w:pPr>
    </w:p>
    <w:p>
      <w:pPr>
        <w:ind w:left="420" w:hanging="185"/>
        <w:spacing w:after="0" w:line="182" w:lineRule="auto"/>
        <w:tabs>
          <w:tab w:leader="none" w:pos="42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Studied in combination with semaglutide with and without garetosmab</w:t>
      </w:r>
    </w:p>
    <w:p>
      <w:pPr>
        <w:spacing w:after="0" w:line="24" w:lineRule="exact"/>
        <w:rPr>
          <w:rFonts w:ascii="Times New Roman" w:cs="Times New Roman" w:eastAsia="Times New Roman" w:hAnsi="Times New Roman"/>
          <w:sz w:val="22"/>
          <w:szCs w:val="22"/>
          <w:color w:val="auto"/>
          <w:vertAlign w:val="superscript"/>
        </w:rPr>
      </w:pPr>
    </w:p>
    <w:p>
      <w:pPr>
        <w:ind w:left="240" w:hanging="5"/>
        <w:spacing w:after="0" w:line="189" w:lineRule="auto"/>
        <w:tabs>
          <w:tab w:leader="none" w:pos="417"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A Phase 2 study, sponsored by Eli Lilly, is also ongoing and testing the combination of tirzepatide and mibavademab compared with tirzepatide alone in patients with obesity</w:t>
      </w:r>
    </w:p>
    <w:p>
      <w:pPr>
        <w:spacing w:after="0" w:line="1" w:lineRule="exact"/>
        <w:rPr>
          <w:rFonts w:ascii="Times New Roman" w:cs="Times New Roman" w:eastAsia="Times New Roman" w:hAnsi="Times New Roman"/>
          <w:sz w:val="23"/>
          <w:szCs w:val="23"/>
          <w:color w:val="auto"/>
          <w:vertAlign w:val="superscript"/>
        </w:rPr>
      </w:pPr>
    </w:p>
    <w:p>
      <w:pPr>
        <w:ind w:left="420" w:hanging="185"/>
        <w:spacing w:after="0" w:line="196" w:lineRule="auto"/>
        <w:tabs>
          <w:tab w:leader="none" w:pos="42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Studied in combination with ubamatamab or fianlimab</w:t>
      </w:r>
    </w:p>
    <w:p>
      <w:pPr>
        <w:spacing w:after="0" w:line="23" w:lineRule="exact"/>
        <w:rPr>
          <w:rFonts w:ascii="Times New Roman" w:cs="Times New Roman" w:eastAsia="Times New Roman" w:hAnsi="Times New Roman"/>
          <w:sz w:val="23"/>
          <w:szCs w:val="23"/>
          <w:color w:val="auto"/>
          <w:vertAlign w:val="superscript"/>
        </w:rPr>
      </w:pPr>
    </w:p>
    <w:p>
      <w:pPr>
        <w:ind w:left="400" w:hanging="165"/>
        <w:spacing w:after="0" w:line="191" w:lineRule="auto"/>
        <w:tabs>
          <w:tab w:leader="none" w:pos="40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In-licensed from Hansoh</w:t>
      </w:r>
    </w:p>
    <w:p>
      <w:pPr>
        <w:spacing w:after="0" w:line="23" w:lineRule="exact"/>
        <w:rPr>
          <w:rFonts w:ascii="Times New Roman" w:cs="Times New Roman" w:eastAsia="Times New Roman" w:hAnsi="Times New Roman"/>
          <w:sz w:val="21"/>
          <w:szCs w:val="21"/>
          <w:color w:val="auto"/>
          <w:vertAlign w:val="superscript"/>
        </w:rPr>
      </w:pPr>
    </w:p>
    <w:p>
      <w:pPr>
        <w:ind w:left="400" w:hanging="165"/>
        <w:spacing w:after="0" w:line="182" w:lineRule="auto"/>
        <w:tabs>
          <w:tab w:leader="none" w:pos="40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Studied as monotherapy and in combination with Evkeeza (evinacumab)</w:t>
      </w:r>
    </w:p>
    <w:p>
      <w:pPr>
        <w:spacing w:after="0" w:line="200" w:lineRule="exact"/>
        <w:rPr>
          <w:sz w:val="20"/>
          <w:szCs w:val="20"/>
          <w:color w:val="auto"/>
        </w:rPr>
      </w:pPr>
    </w:p>
    <w:p>
      <w:pPr>
        <w:spacing w:after="0" w:line="3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9"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 Clinical Development Programs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EYLEA HD</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resubmitted its application seeking FDA approval for filling of the EYLEA HD pre-filled syringe ("PFS") at Catalent Indiana, where the FDA has recently conducted a site re-inspection. In addition, the FDA did not act by the April 2026 PDUFA date on the Company's regulatory application for a second contract manufacturer for the PFS; therefore, this application remains pending. The Company and both third-party filling manufacturers are working closely with the FDA to resolve all outstanding issues, and the Company anticipates a regulatory decision on one or both applications during the second quarter of 2026.</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 U.S. Government Agreements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2026, we announced agreements with the U.S. government (the "U.S. Government Agreements") pursuant to which we have agreed, among other matters, to provide certain of our products that we wholly own in the United States to the Medicaid program at or below prices benchmarked against a defined group of other developed countries ("Most-Favored-Nation Pricing"). We have also agreed to price certain future medicines in the United States at or below Most-Favored-Nation Pricing; to participate in a direct purchasing platform, TrumpRx.gov, that will allow eligible patients to purchase Praluent directly; and to provide our recently FDA-approved gene therapy Otarmeni™ for free in the United States. The U.S. Government Agreements further provide that Regeneron's products will not face tariffs as a result of the U.S. Department of Commerce's recent investigation under Section 232 of the Trade Expansion Act of 1962, as amended, through January 2029 so long as the Company continues its commitments to invest in manufacturing and research and development infrastructure in the United States.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License, and Other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collaborating with Sanofi on the global development and commercialization of Dupixent, Kevzara, and itepekimab. Under the terms of the collaboration, Sanofi is generally responsible for funding 80% to 100% of agreed-upon development expenses as incurred. We are obligated to reimburse Sanofi for 30% to 50% of development expenses that were funded by Sanofi (i.e., "development balance") based on our share of collaboration profits; however, we are only required to apply 20% of our share of profits from the collaboration each calendar quarter to reimburse Sanofi for these development expenses. As of March 31, 2026, the total amount of our contingent reimbursement obligation to Sanofi in connection with such development expenses was approximately $278 million.</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our collaboration agreement, Sanofi records product sales for commercialized products, and we have the right to co-commercialize such products on a country-by-country basis. We co-commercialize Dupixent in the United States and in certain countries outside the United States. We supply certain commercial bulk product to Sanofi. We and Sanofi equally share profits from sales within the United States, and share profits outside the United States on a sliding scale based on sales starting at 65% (Sanofi)/35% (us) and ending at 55% (Sanofi)/45% (us).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Bayer</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Bayer are parties to a license and collaboration agreement for the global development and commercialization of EYLEA 8 mg and EYLEA outside the United States. Agreed-upon development expenses incurred by the Company and Bayer are generally shared equally. Bayer is responsible for commercialization activities outside the United States, and the companies share equally in profits from such sales.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obligated to reimburse Bayer for 50% of the development expenses that it has incurred under the agreement from our share of the collaboration profits. The reimbursement payment in any quarter will equal 5% of the then outstanding repayment obligation, but never more than our share of the collaboration profits in the quarter unless we elect to reimburse Bayer at a faster rate.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United States, we retain exclusive commercialization rights and are entitled to all profits from such sales.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Alnylam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Alnylam Pharmaceuticals, Inc. are parties to a collaboration to discover, develop, and commercialize RNAi therapeutics for a broad range of diseases by addressing therapeutic disease targets expressed in the eye and central nervous system, in addition to a select number of targets expressed in the liver.</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each target nominated, we provide Alnylam with a specified amount of funding at program initiation and at lead candidate designation. Under the terms of the collaboration, the parties perform discovery research until designation of lead candidates. Following designation of a lead candidate, the parties may further advance such lead candidate under either a co-development and co-commercialization collaboration agreement ("Co-Co Collaboration Agreement") or a license agreement. The target nomination period of the collaboration agreement ends in May 2026.</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CNS programs and liver programs, under a Co-Co Collaboration Agreement, the party designated as the lead party will lead development and commercialization of the program and the parties will split profits and share costs equally, subject to certain co-funding opt-outs at specified clinical trial phases or under other conditions.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also entered into various license agreements with Alnylam, with us as the licensee, including for cemdisiran as a monotherapy and for a combination consisting of cemdisiran and pozelimab. Under a license agreement, the lead party is designated as the licensee and has the right to develop and commercialize the product under such program. The licensee will be responsible for its own expenses incurred. The licensee will pay to the licensor certain development and/or commercialization milestone payments, as well as tiered royalty payments to the licensor based on the aggregate annual sales of the product.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Intellia</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Intellia Therapeutics, Inc. are parties to a license and collaboration agreement to advance CRISPR/Cas9 gene-editing technology for in vivo therapeutic development, including therapies focused on neurological and muscular diseases. We had the right to select targets under the license and collaboration agreement until April 2026.</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Intellia leads the design of the editing methodology, we lead the design of the targeted viral vector delivery approach, and the parties share costs. Each company has the opportunity to lead potential development and commercialization of product candidates for a target, and the company that is not leading development and commercialization will have the option to enter into a co-development and co-commercialization agreement for the target.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Nex-z, which is in clinical development, is subject to a co-development and co-commercialization arrangement pursuant to which Intellia leads development activities and the parties share development expenses 75% (Intellia)/25% (us). If nex-z is commercialized, Intellia will lead commercialization activities and we will share in 25% of any profits or losses.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Hansoh</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licensed from Hansoh Pharmaceuticals Group Company Limited the development and commercial rights for olatorepatide (a dual GLP-1/GIP receptor agonist) outside of mainland China, Hong Kong, and Macau. Under the terms of the agreement, we made an $80.0 million up-front payment in July 2025. In addition, we are obligated to make additional payments upon achievement of development, regulatory, and sales milestones, as well as a low double-digit royalty on sales.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Tessera</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2026, our collaboration agreement with Tessera Therapeutics, Inc. to develop and commercialize TSRA-196 (Tessera's investigational program for the treatment of alpha-1 antitrypsin deficiency ("AATD")) became effective. Tessera will lead the initial first-in-human trial, while we will lead subsequent global development and commercialization. The parties will share worldwide development expenses and, if commercialized, any future profits or losses equally. Under the terms of the agreement, the Company made aggregate payments of $150.0 million in the first quarter of 2026, consisting of an up-front payment and the purchase of Tessera preferred stock. In addition, we are obligated to make additional payments upon achievement of certain development milestones.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generate profits and to generate positive cash flow from operations over the next several years depends significantly on the success in commercializing our products, including EYLEA HD and Dupixent. We expect to continue to incur substantial expenses related to our research and development activities, and our research and development activities and related costs are expected to expand and require additional resources. We also expect to incur substantial costs related to the commercialization of our marketed products. Our financial results may fluctuate from quarter to quarter and will depend on, among other factors, the net sales of our products; the scope and progress of our research and development efforts; the timing of certain expenses; the continuation of our collaborations, in particular with Sanofi and Bayer, including our share of collaboration profits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There is uncertainty surrounding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40" w:type="dxa"/>
            <w:vAlign w:val="bottom"/>
            <w:gridSpan w:val="9"/>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38"/>
        </w:trPr>
        <w:tc>
          <w:tcPr>
            <w:tcW w:w="2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r>
      <w:tr>
        <w:trPr>
          <w:trHeight w:val="228"/>
        </w:trPr>
        <w:tc>
          <w:tcPr>
            <w:tcW w:w="2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4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2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3,605.4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3,028.7</w:t>
            </w:r>
          </w:p>
        </w:tc>
        <w:tc>
          <w:tcPr>
            <w:tcW w:w="460" w:type="dxa"/>
            <w:vAlign w:val="bottom"/>
          </w:tcPr>
          <w:p>
            <w:pPr>
              <w:spacing w:after="0"/>
              <w:rPr>
                <w:sz w:val="19"/>
                <w:szCs w:val="19"/>
                <w:color w:val="auto"/>
              </w:rPr>
            </w:pPr>
          </w:p>
        </w:tc>
      </w:tr>
      <w:tr>
        <w:trPr>
          <w:trHeight w:val="229"/>
        </w:trPr>
        <w:tc>
          <w:tcPr>
            <w:tcW w:w="2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2,962.5</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2,437.0</w:t>
            </w:r>
          </w:p>
        </w:tc>
        <w:tc>
          <w:tcPr>
            <w:tcW w:w="460" w:type="dxa"/>
            <w:vAlign w:val="bottom"/>
          </w:tcPr>
          <w:p>
            <w:pPr>
              <w:spacing w:after="0"/>
              <w:rPr>
                <w:sz w:val="19"/>
                <w:szCs w:val="19"/>
                <w:color w:val="auto"/>
              </w:rPr>
            </w:pPr>
          </w:p>
        </w:tc>
      </w:tr>
      <w:tr>
        <w:trPr>
          <w:trHeight w:val="223"/>
        </w:trPr>
        <w:tc>
          <w:tcPr>
            <w:tcW w:w="2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8"/>
              </w:rPr>
              <w:t>642.9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460" w:type="dxa"/>
            <w:vAlign w:val="bottom"/>
          </w:tcPr>
          <w:p>
            <w:pPr>
              <w:spacing w:after="0"/>
              <w:rPr>
                <w:sz w:val="19"/>
                <w:szCs w:val="19"/>
                <w:color w:val="auto"/>
              </w:rPr>
            </w:pPr>
          </w:p>
        </w:tc>
      </w:tr>
      <w:tr>
        <w:trPr>
          <w:trHeight w:val="229"/>
        </w:trPr>
        <w:tc>
          <w:tcPr>
            <w:tcW w:w="2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w w:val="98"/>
              </w:rPr>
              <w:t>188.3</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460" w:type="dxa"/>
            <w:vAlign w:val="bottom"/>
          </w:tcPr>
          <w:p>
            <w:pPr>
              <w:spacing w:after="0"/>
              <w:rPr>
                <w:sz w:val="19"/>
                <w:szCs w:val="19"/>
                <w:color w:val="auto"/>
              </w:rPr>
            </w:pPr>
          </w:p>
        </w:tc>
      </w:tr>
      <w:tr>
        <w:trPr>
          <w:trHeight w:val="223"/>
        </w:trPr>
        <w:tc>
          <w:tcPr>
            <w:tcW w:w="2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8"/>
              </w:rPr>
              <w:t>831.2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w:t>
            </w:r>
          </w:p>
        </w:tc>
        <w:tc>
          <w:tcPr>
            <w:tcW w:w="460" w:type="dxa"/>
            <w:vAlign w:val="bottom"/>
          </w:tcPr>
          <w:p>
            <w:pPr>
              <w:spacing w:after="0"/>
              <w:rPr>
                <w:sz w:val="19"/>
                <w:szCs w:val="19"/>
                <w:color w:val="auto"/>
              </w:rPr>
            </w:pPr>
          </w:p>
        </w:tc>
      </w:tr>
      <w:tr>
        <w:trPr>
          <w:trHeight w:val="229"/>
        </w:trPr>
        <w:tc>
          <w:tcPr>
            <w:tcW w:w="2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w w:val="98"/>
              </w:rPr>
              <w:t>104.0</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460" w:type="dxa"/>
            <w:vAlign w:val="bottom"/>
          </w:tcPr>
          <w:p>
            <w:pPr>
              <w:spacing w:after="0"/>
              <w:rPr>
                <w:sz w:val="19"/>
                <w:szCs w:val="19"/>
                <w:color w:val="auto"/>
              </w:rPr>
            </w:pPr>
          </w:p>
        </w:tc>
      </w:tr>
      <w:tr>
        <w:trPr>
          <w:trHeight w:val="248"/>
        </w:trPr>
        <w:tc>
          <w:tcPr>
            <w:tcW w:w="2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8"/>
              </w:rPr>
              <w:t>727.2</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460" w:type="dxa"/>
            <w:vAlign w:val="bottom"/>
          </w:tcPr>
          <w:p>
            <w:pPr>
              <w:spacing w:after="0"/>
              <w:rPr>
                <w:sz w:val="21"/>
                <w:szCs w:val="21"/>
                <w:color w:val="auto"/>
              </w:rPr>
            </w:pPr>
          </w:p>
        </w:tc>
      </w:tr>
      <w:tr>
        <w:trPr>
          <w:trHeight w:val="20"/>
        </w:trPr>
        <w:tc>
          <w:tcPr>
            <w:tcW w:w="2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7"/>
        </w:trPr>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29"/>
        </w:trPr>
        <w:tc>
          <w:tcPr>
            <w:tcW w:w="2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56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460" w:type="dxa"/>
            <w:vAlign w:val="bottom"/>
          </w:tcPr>
          <w:p>
            <w:pPr>
              <w:spacing w:after="0"/>
              <w:rPr>
                <w:sz w:val="19"/>
                <w:szCs w:val="19"/>
                <w:color w:val="auto"/>
              </w:rPr>
            </w:pPr>
          </w:p>
        </w:tc>
      </w:tr>
      <w:tr>
        <w:trPr>
          <w:trHeight w:val="446"/>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51"/>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7"/>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8"/>
        </w:trPr>
        <w:tc>
          <w:tcPr>
            <w:tcW w:w="2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28"/>
        </w:trPr>
        <w:tc>
          <w:tcPr>
            <w:tcW w:w="2040" w:type="dxa"/>
            <w:vAlign w:val="bottom"/>
          </w:tcPr>
          <w:p>
            <w:pPr>
              <w:spacing w:after="0"/>
              <w:rPr>
                <w:sz w:val="19"/>
                <w:szCs w:val="19"/>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Pr>
          <w:p>
            <w:pPr>
              <w:spacing w:after="0"/>
              <w:rPr>
                <w:sz w:val="19"/>
                <w:szCs w:val="19"/>
                <w:color w:val="auto"/>
              </w:rPr>
            </w:pPr>
          </w:p>
        </w:tc>
        <w:tc>
          <w:tcPr>
            <w:tcW w:w="8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20" w:type="dxa"/>
            <w:vAlign w:val="bottom"/>
            <w:gridSpan w:val="5"/>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2040" w:type="dxa"/>
            <w:vAlign w:val="bottom"/>
          </w:tcPr>
          <w:p>
            <w:pPr>
              <w:spacing w:after="0"/>
              <w:rPr>
                <w:sz w:val="18"/>
                <w:szCs w:val="18"/>
                <w:color w:val="auto"/>
              </w:rPr>
            </w:pPr>
          </w:p>
        </w:tc>
        <w:tc>
          <w:tcPr>
            <w:tcW w:w="3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r>
      <w:tr>
        <w:trPr>
          <w:trHeight w:val="229"/>
        </w:trPr>
        <w:tc>
          <w:tcPr>
            <w:tcW w:w="2040" w:type="dxa"/>
            <w:vAlign w:val="bottom"/>
          </w:tcPr>
          <w:p>
            <w:pPr>
              <w:spacing w:after="0"/>
              <w:rPr>
                <w:sz w:val="19"/>
                <w:szCs w:val="19"/>
                <w:color w:val="auto"/>
              </w:rPr>
            </w:pP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EYLEA HD - U.S.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4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161.6</w:t>
            </w:r>
          </w:p>
        </w:tc>
      </w:tr>
      <w:tr>
        <w:trPr>
          <w:trHeight w:val="230"/>
        </w:trPr>
        <w:tc>
          <w:tcPr>
            <w:tcW w:w="2040" w:type="dxa"/>
            <w:vAlign w:val="bottom"/>
          </w:tcPr>
          <w:p>
            <w:pPr>
              <w:spacing w:after="0"/>
              <w:rPr>
                <w:sz w:val="19"/>
                <w:szCs w:val="19"/>
                <w:color w:val="auto"/>
              </w:rPr>
            </w:pPr>
          </w:p>
        </w:tc>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EYLEA - U.S.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(262.9)</w:t>
            </w:r>
          </w:p>
        </w:tc>
      </w:tr>
      <w:tr>
        <w:trPr>
          <w:trHeight w:val="223"/>
        </w:trPr>
        <w:tc>
          <w:tcPr>
            <w:tcW w:w="2040" w:type="dxa"/>
            <w:vAlign w:val="bottom"/>
          </w:tcPr>
          <w:p>
            <w:pPr>
              <w:spacing w:after="0"/>
              <w:rPr>
                <w:sz w:val="19"/>
                <w:szCs w:val="19"/>
                <w:color w:val="auto"/>
              </w:rPr>
            </w:pPr>
          </w:p>
        </w:tc>
        <w:tc>
          <w:tcPr>
            <w:tcW w:w="3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EYLEA HD and EYLEA - U.S.</w:t>
            </w: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941.5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1,042.8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(101.3)</w:t>
            </w:r>
          </w:p>
        </w:tc>
      </w:tr>
      <w:tr>
        <w:trPr>
          <w:trHeight w:val="230"/>
        </w:trPr>
        <w:tc>
          <w:tcPr>
            <w:tcW w:w="2040" w:type="dxa"/>
            <w:vAlign w:val="bottom"/>
          </w:tcPr>
          <w:p>
            <w:pPr>
              <w:spacing w:after="0"/>
              <w:rPr>
                <w:sz w:val="19"/>
                <w:szCs w:val="19"/>
                <w:color w:val="auto"/>
              </w:rPr>
            </w:pPr>
          </w:p>
        </w:tc>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Libtayo - U.S.</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93.6</w:t>
            </w:r>
          </w:p>
        </w:tc>
      </w:tr>
      <w:tr>
        <w:trPr>
          <w:trHeight w:val="230"/>
        </w:trPr>
        <w:tc>
          <w:tcPr>
            <w:tcW w:w="2040" w:type="dxa"/>
            <w:vAlign w:val="bottom"/>
          </w:tcPr>
          <w:p>
            <w:pPr>
              <w:spacing w:after="0"/>
              <w:rPr>
                <w:sz w:val="19"/>
                <w:szCs w:val="19"/>
                <w:color w:val="auto"/>
              </w:rPr>
            </w:pPr>
          </w:p>
        </w:tc>
        <w:tc>
          <w:tcPr>
            <w:tcW w:w="3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Libtayo - ROW</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59.5</w:t>
            </w:r>
          </w:p>
        </w:tc>
      </w:tr>
      <w:tr>
        <w:trPr>
          <w:trHeight w:val="223"/>
        </w:trPr>
        <w:tc>
          <w:tcPr>
            <w:tcW w:w="2040" w:type="dxa"/>
            <w:vAlign w:val="bottom"/>
          </w:tcPr>
          <w:p>
            <w:pPr>
              <w:spacing w:after="0"/>
              <w:rPr>
                <w:sz w:val="19"/>
                <w:szCs w:val="19"/>
                <w:color w:val="auto"/>
              </w:rPr>
            </w:pPr>
          </w:p>
        </w:tc>
        <w:tc>
          <w:tcPr>
            <w:tcW w:w="3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Libtayo - Global</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153.1</w:t>
            </w:r>
          </w:p>
        </w:tc>
      </w:tr>
      <w:tr>
        <w:trPr>
          <w:trHeight w:val="230"/>
        </w:trPr>
        <w:tc>
          <w:tcPr>
            <w:tcW w:w="2040" w:type="dxa"/>
            <w:vAlign w:val="bottom"/>
          </w:tcPr>
          <w:p>
            <w:pPr>
              <w:spacing w:after="0"/>
              <w:rPr>
                <w:sz w:val="19"/>
                <w:szCs w:val="19"/>
                <w:color w:val="auto"/>
              </w:rPr>
            </w:pP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Praluent - U.S.</w:t>
            </w: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2040" w:type="dxa"/>
            <w:vAlign w:val="bottom"/>
          </w:tcPr>
          <w:p>
            <w:pPr>
              <w:spacing w:after="0"/>
              <w:rPr>
                <w:sz w:val="19"/>
                <w:szCs w:val="19"/>
                <w:color w:val="auto"/>
              </w:rPr>
            </w:pPr>
          </w:p>
        </w:tc>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Evkeeza - U.S.</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2040" w:type="dxa"/>
            <w:vAlign w:val="bottom"/>
          </w:tcPr>
          <w:p>
            <w:pPr>
              <w:spacing w:after="0"/>
              <w:rPr>
                <w:sz w:val="19"/>
                <w:szCs w:val="19"/>
                <w:color w:val="auto"/>
              </w:rPr>
            </w:pP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Lynozyfic - Global</w:t>
            </w: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2040" w:type="dxa"/>
            <w:vAlign w:val="bottom"/>
          </w:tcPr>
          <w:p>
            <w:pPr>
              <w:spacing w:after="0"/>
              <w:rPr>
                <w:sz w:val="19"/>
                <w:szCs w:val="19"/>
                <w:color w:val="auto"/>
              </w:rPr>
            </w:pPr>
          </w:p>
        </w:tc>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products - Global</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31.3</w:t>
            </w:r>
          </w:p>
        </w:tc>
      </w:tr>
      <w:tr>
        <w:trPr>
          <w:trHeight w:val="223"/>
        </w:trPr>
        <w:tc>
          <w:tcPr>
            <w:tcW w:w="2040" w:type="dxa"/>
            <w:vAlign w:val="bottom"/>
          </w:tcPr>
          <w:p>
            <w:pPr>
              <w:spacing w:after="0"/>
              <w:rPr>
                <w:sz w:val="19"/>
                <w:szCs w:val="19"/>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net product sales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1,534.5</w:t>
            </w:r>
          </w:p>
        </w:tc>
        <w:tc>
          <w:tcPr>
            <w:tcW w:w="12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1,415.6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118.9</w:t>
            </w:r>
          </w:p>
        </w:tc>
      </w:tr>
      <w:tr>
        <w:trPr>
          <w:trHeight w:val="270"/>
        </w:trPr>
        <w:tc>
          <w:tcPr>
            <w:tcW w:w="2040" w:type="dxa"/>
            <w:vAlign w:val="bottom"/>
          </w:tcPr>
          <w:p>
            <w:pPr>
              <w:spacing w:after="0"/>
              <w:rPr>
                <w:sz w:val="23"/>
                <w:szCs w:val="23"/>
                <w:color w:val="auto"/>
              </w:rPr>
            </w:pPr>
          </w:p>
        </w:tc>
        <w:tc>
          <w:tcPr>
            <w:tcW w:w="3740" w:type="dxa"/>
            <w:vAlign w:val="bottom"/>
            <w:gridSpan w:val="2"/>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r>
      <w:tr>
        <w:trPr>
          <w:trHeight w:val="230"/>
        </w:trPr>
        <w:tc>
          <w:tcPr>
            <w:tcW w:w="2040" w:type="dxa"/>
            <w:vAlign w:val="bottom"/>
          </w:tcPr>
          <w:p>
            <w:pPr>
              <w:spacing w:after="0"/>
              <w:rPr>
                <w:sz w:val="19"/>
                <w:szCs w:val="19"/>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9"/>
        </w:trPr>
        <w:tc>
          <w:tcPr>
            <w:tcW w:w="2040" w:type="dxa"/>
            <w:vAlign w:val="bottom"/>
          </w:tcPr>
          <w:p>
            <w:pPr>
              <w:spacing w:after="0"/>
              <w:rPr>
                <w:sz w:val="19"/>
                <w:szCs w:val="19"/>
                <w:color w:val="auto"/>
              </w:rPr>
            </w:pPr>
          </w:p>
        </w:tc>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Sanofi</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1,605.1</w:t>
            </w:r>
          </w:p>
        </w:tc>
        <w:tc>
          <w:tcPr>
            <w:tcW w:w="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1,183.2</w:t>
            </w:r>
          </w:p>
        </w:tc>
        <w:tc>
          <w:tcPr>
            <w:tcW w:w="46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421.9</w:t>
            </w:r>
          </w:p>
        </w:tc>
      </w:tr>
      <w:tr>
        <w:trPr>
          <w:trHeight w:val="230"/>
        </w:trPr>
        <w:tc>
          <w:tcPr>
            <w:tcW w:w="2040" w:type="dxa"/>
            <w:vAlign w:val="bottom"/>
          </w:tcPr>
          <w:p>
            <w:pPr>
              <w:spacing w:after="0"/>
              <w:rPr>
                <w:sz w:val="19"/>
                <w:szCs w:val="19"/>
                <w:color w:val="auto"/>
              </w:rPr>
            </w:pP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Bayer</w:t>
            </w: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(56.6)</w:t>
            </w:r>
          </w:p>
        </w:tc>
      </w:tr>
      <w:tr>
        <w:trPr>
          <w:trHeight w:val="230"/>
        </w:trPr>
        <w:tc>
          <w:tcPr>
            <w:tcW w:w="2040" w:type="dxa"/>
            <w:vAlign w:val="bottom"/>
          </w:tcPr>
          <w:p>
            <w:pPr>
              <w:spacing w:after="0"/>
              <w:rPr>
                <w:sz w:val="19"/>
                <w:szCs w:val="19"/>
                <w:color w:val="auto"/>
              </w:rPr>
            </w:pPr>
          </w:p>
        </w:tc>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2040" w:type="dxa"/>
            <w:vAlign w:val="bottom"/>
          </w:tcPr>
          <w:p>
            <w:pPr>
              <w:spacing w:after="0"/>
              <w:rPr>
                <w:sz w:val="19"/>
                <w:szCs w:val="19"/>
                <w:color w:val="auto"/>
              </w:rPr>
            </w:pPr>
          </w:p>
        </w:tc>
        <w:tc>
          <w:tcPr>
            <w:tcW w:w="3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89.3</w:t>
            </w:r>
          </w:p>
        </w:tc>
      </w:tr>
      <w:tr>
        <w:trPr>
          <w:trHeight w:val="248"/>
        </w:trPr>
        <w:tc>
          <w:tcPr>
            <w:tcW w:w="2040" w:type="dxa"/>
            <w:vAlign w:val="bottom"/>
          </w:tcPr>
          <w:p>
            <w:pPr>
              <w:spacing w:after="0"/>
              <w:rPr>
                <w:sz w:val="21"/>
                <w:szCs w:val="21"/>
                <w:color w:val="auto"/>
              </w:rPr>
            </w:pPr>
          </w:p>
        </w:tc>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w:t>
            </w:r>
            <w:r>
              <w:rPr>
                <w:rFonts w:ascii="Times New Roman" w:cs="Times New Roman" w:eastAsia="Times New Roman" w:hAnsi="Times New Roman"/>
                <w:sz w:val="18"/>
                <w:szCs w:val="18"/>
                <w:u w:val="single" w:color="auto"/>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3,028.7</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576.7</w:t>
            </w:r>
          </w:p>
        </w:tc>
      </w:tr>
      <w:tr>
        <w:trPr>
          <w:trHeight w:val="20"/>
        </w:trPr>
        <w:tc>
          <w:tcPr>
            <w:tcW w:w="2040" w:type="dxa"/>
            <w:vAlign w:val="bottom"/>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Product Sales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product sales of EYLEA HD increased for the three months ended March 31, 2026, compared to the same period in 2025, due to higher sales volumes, partly offset by a lower net selling price. In addition, EYLEA HD net product sales were negatively impacted by lower wholesaler inventory levels at the end of the first quarter of 2026 compared to the end of the fourth quarter of 2025.</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product sales of EYLEA decreased for the three months ended March 31, 2026, compared to the same period in 2025, due to (i) lower sales volumes as a result of continued competitive pressures (as described below) and the continued transition of patients to EYLEA HD, and (ii) a lower net selling price.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EYLEA net product sales have been, and are likely to continue to be, negatively impacted by increased competition from other anti-VEGF products, including biosimilars, as well as the transition of patients from EYLEA to EYLEA HD. The magnitude and duration of such impact is presently unknown. For more information, see Part II, Item 1A. "Risk Factors -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We are substantially dependent on revenues derived from net product sales of EYLEA HD, EYLEA, and Dupixent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commercial success of our products and product candidates is subject to significant competition -</w:t>
      </w:r>
      <w:r>
        <w:rPr>
          <w:rFonts w:ascii="Times New Roman" w:cs="Times New Roman" w:eastAsia="Times New Roman" w:hAnsi="Times New Roman"/>
          <w:sz w:val="18"/>
          <w:szCs w:val="18"/>
          <w:color w:val="auto"/>
        </w:rPr>
        <w:t xml:space="preserve"> Marketed Products."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4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10"/>
        </w:trPr>
        <w:tc>
          <w:tcPr>
            <w:tcW w:w="74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72"/>
        </w:trPr>
        <w:tc>
          <w:tcPr>
            <w:tcW w:w="15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1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r>
      <w:tr>
        <w:trPr>
          <w:trHeight w:val="228"/>
        </w:trPr>
        <w:tc>
          <w:tcPr>
            <w:tcW w:w="1560" w:type="dxa"/>
            <w:vAlign w:val="bottom"/>
          </w:tcPr>
          <w:p>
            <w:pPr>
              <w:spacing w:after="0"/>
              <w:rPr>
                <w:sz w:val="19"/>
                <w:szCs w:val="19"/>
                <w:color w:val="auto"/>
              </w:rPr>
            </w:pPr>
          </w:p>
        </w:tc>
        <w:tc>
          <w:tcPr>
            <w:tcW w:w="5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2025</w:t>
            </w:r>
          </w:p>
        </w:tc>
      </w:tr>
      <w:tr>
        <w:trPr>
          <w:trHeight w:val="223"/>
        </w:trPr>
        <w:tc>
          <w:tcPr>
            <w:tcW w:w="1560" w:type="dxa"/>
            <w:vAlign w:val="bottom"/>
          </w:tcPr>
          <w:p>
            <w:pPr>
              <w:spacing w:after="0"/>
              <w:rPr>
                <w:sz w:val="19"/>
                <w:szCs w:val="19"/>
                <w:color w:val="auto"/>
              </w:rPr>
            </w:pP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1,018.2</w:t>
            </w:r>
          </w:p>
        </w:tc>
      </w:tr>
      <w:tr>
        <w:trPr>
          <w:trHeight w:val="230"/>
        </w:trPr>
        <w:tc>
          <w:tcPr>
            <w:tcW w:w="1560" w:type="dxa"/>
            <w:vAlign w:val="bottom"/>
          </w:tcPr>
          <w:p>
            <w:pPr>
              <w:spacing w:after="0"/>
              <w:rPr>
                <w:sz w:val="19"/>
                <w:szCs w:val="19"/>
                <w:color w:val="auto"/>
              </w:rPr>
            </w:pPr>
          </w:p>
        </w:tc>
        <w:tc>
          <w:tcPr>
            <w:tcW w:w="590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Reimbursement for manufacturing of commercial supplies</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w:t>
            </w:r>
          </w:p>
        </w:tc>
      </w:tr>
      <w:tr>
        <w:trPr>
          <w:trHeight w:val="248"/>
        </w:trPr>
        <w:tc>
          <w:tcPr>
            <w:tcW w:w="1560" w:type="dxa"/>
            <w:vAlign w:val="bottom"/>
          </w:tcPr>
          <w:p>
            <w:pPr>
              <w:spacing w:after="0"/>
              <w:rPr>
                <w:sz w:val="21"/>
                <w:szCs w:val="21"/>
                <w:color w:val="auto"/>
              </w:rPr>
            </w:pPr>
          </w:p>
        </w:tc>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1,183.2</w:t>
            </w:r>
          </w:p>
        </w:tc>
      </w:tr>
      <w:tr>
        <w:trPr>
          <w:trHeight w:val="20"/>
        </w:trPr>
        <w:tc>
          <w:tcPr>
            <w:tcW w:w="1560" w:type="dxa"/>
            <w:vAlign w:val="bottom"/>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ind w:left="1740" w:right="2020" w:hanging="6"/>
        <w:spacing w:after="0" w:line="199" w:lineRule="auto"/>
        <w:tabs>
          <w:tab w:leader="none" w:pos="191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Corresponding costs incurred by the Company in connection with such manufacturing is recorded within Cost of collaboration and contract manufacturing</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net product sales of Dupixent and Kevzara are recorded by Sanofi, and we and Sanofi share profits on such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Regeneron's share of profits in connection with the commercialization of Dupixent and Kevzara is summarized below:</w:t>
      </w:r>
    </w:p>
    <w:p>
      <w:pPr>
        <w:spacing w:after="0" w:line="257" w:lineRule="exact"/>
        <w:rPr>
          <w:sz w:val="20"/>
          <w:szCs w:val="20"/>
          <w:color w:val="auto"/>
        </w:rPr>
      </w:pPr>
    </w:p>
    <w:tbl>
      <w:tblPr>
        <w:tblLayout w:type="fixed"/>
        <w:tblInd w:w="1560" w:type="dxa"/>
        <w:tblCellMar>
          <w:top w:w="0" w:type="dxa"/>
          <w:left w:w="0" w:type="dxa"/>
          <w:bottom w:w="0" w:type="dxa"/>
          <w:right w:w="0" w:type="dxa"/>
        </w:tblCellMar>
      </w:tblPr>
      <w:tr>
        <w:trPr>
          <w:trHeight w:val="207"/>
        </w:trPr>
        <w:tc>
          <w:tcPr>
            <w:tcW w:w="5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5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Dupixent and Kevzara net product sales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3,782.0</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line="171" w:lineRule="exact"/>
              <w:rPr>
                <w:sz w:val="20"/>
                <w:szCs w:val="20"/>
                <w:color w:val="auto"/>
              </w:rPr>
            </w:pPr>
            <w:r>
              <w:rPr>
                <w:rFonts w:ascii="Times New Roman" w:cs="Times New Roman" w:eastAsia="Times New Roman" w:hAnsi="Times New Roman"/>
                <w:sz w:val="18"/>
                <w:szCs w:val="18"/>
                <w:color w:val="auto"/>
              </w:rPr>
              <w:t>Regeneron's share of collaboration profits in connection with</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9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commercialization of antibodies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1,727.8</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1,180.3</w:t>
            </w:r>
          </w:p>
        </w:tc>
        <w:tc>
          <w:tcPr>
            <w:tcW w:w="0" w:type="dxa"/>
            <w:vAlign w:val="bottom"/>
          </w:tcPr>
          <w:p>
            <w:pPr>
              <w:spacing w:after="0"/>
              <w:rPr>
                <w:sz w:val="1"/>
                <w:szCs w:val="1"/>
                <w:color w:val="auto"/>
              </w:rPr>
            </w:pPr>
          </w:p>
        </w:tc>
      </w:tr>
      <w:tr>
        <w:trPr>
          <w:trHeight w:val="181"/>
        </w:trPr>
        <w:tc>
          <w:tcPr>
            <w:tcW w:w="59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Reimbursement of development expenses incurred by Sanofi in accordance</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900" w:type="dxa"/>
            <w:vAlign w:val="bottom"/>
            <w:shd w:val="clear" w:color="auto" w:fill="CCEEFF"/>
          </w:tcPr>
          <w:p>
            <w:pPr>
              <w:ind w:left="180"/>
              <w:spacing w:after="0" w:line="237" w:lineRule="exact"/>
              <w:rPr>
                <w:sz w:val="20"/>
                <w:szCs w:val="20"/>
                <w:color w:val="auto"/>
              </w:rPr>
            </w:pPr>
            <w:r>
              <w:rPr>
                <w:rFonts w:ascii="Times New Roman" w:cs="Times New Roman" w:eastAsia="Times New Roman" w:hAnsi="Times New Roman"/>
                <w:sz w:val="18"/>
                <w:szCs w:val="18"/>
                <w:color w:val="auto"/>
              </w:rPr>
              <w:t>with Regeneron's payment obligation</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1,018.2</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9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Regeneron's share of profits as a percentage of Dupixent and Kevzara net</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sales</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740" w:right="1620" w:hanging="6"/>
        <w:spacing w:after="0" w:line="202" w:lineRule="auto"/>
        <w:tabs>
          <w:tab w:leader="none" w:pos="191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See "Collaboration, License, and Other Agreements - Sanofi" above for additional details on our contingent reimbursement obligation. We expect our contingent reimbursement obligation to be fully repaid by the end of the second quarter of 2026.</w:t>
      </w:r>
    </w:p>
    <w:p>
      <w:pPr>
        <w:spacing w:after="0" w:line="23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increase in our share of profits for the three months ended March 31, 2026, compared to the same period in 2025, was driven by higher profits primarily associated with an increase in Dupixent sales.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Bayer Collaboration Revenue</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363"/>
        </w:trPr>
        <w:tc>
          <w:tcPr>
            <w:tcW w:w="15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1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r>
      <w:tr>
        <w:trPr>
          <w:trHeight w:val="223"/>
        </w:trPr>
        <w:tc>
          <w:tcPr>
            <w:tcW w:w="1560" w:type="dxa"/>
            <w:vAlign w:val="bottom"/>
          </w:tcPr>
          <w:p>
            <w:pPr>
              <w:spacing w:after="0"/>
              <w:rPr>
                <w:sz w:val="19"/>
                <w:szCs w:val="19"/>
                <w:color w:val="auto"/>
              </w:rPr>
            </w:pPr>
          </w:p>
        </w:tc>
        <w:tc>
          <w:tcPr>
            <w:tcW w:w="5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2025</w:t>
            </w:r>
          </w:p>
        </w:tc>
      </w:tr>
      <w:tr>
        <w:trPr>
          <w:trHeight w:val="223"/>
        </w:trPr>
        <w:tc>
          <w:tcPr>
            <w:tcW w:w="1560" w:type="dxa"/>
            <w:vAlign w:val="bottom"/>
          </w:tcPr>
          <w:p>
            <w:pPr>
              <w:spacing w:after="0"/>
              <w:rPr>
                <w:sz w:val="19"/>
                <w:szCs w:val="19"/>
                <w:color w:val="auto"/>
              </w:rPr>
            </w:pP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r>
      <w:tr>
        <w:trPr>
          <w:trHeight w:val="230"/>
        </w:trPr>
        <w:tc>
          <w:tcPr>
            <w:tcW w:w="1560" w:type="dxa"/>
            <w:vAlign w:val="bottom"/>
          </w:tcPr>
          <w:p>
            <w:pPr>
              <w:spacing w:after="0"/>
              <w:rPr>
                <w:sz w:val="19"/>
                <w:szCs w:val="19"/>
                <w:color w:val="auto"/>
              </w:rPr>
            </w:pPr>
          </w:p>
        </w:tc>
        <w:tc>
          <w:tcPr>
            <w:tcW w:w="590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Reimbursement for manufacturing of commercial supplies</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48"/>
        </w:trPr>
        <w:tc>
          <w:tcPr>
            <w:tcW w:w="1560" w:type="dxa"/>
            <w:vAlign w:val="bottom"/>
          </w:tcPr>
          <w:p>
            <w:pPr>
              <w:spacing w:after="0"/>
              <w:rPr>
                <w:sz w:val="21"/>
                <w:szCs w:val="21"/>
                <w:color w:val="auto"/>
              </w:rPr>
            </w:pPr>
          </w:p>
        </w:tc>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Bayer collaboration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r>
      <w:tr>
        <w:trPr>
          <w:trHeight w:val="20"/>
        </w:trPr>
        <w:tc>
          <w:tcPr>
            <w:tcW w:w="1560" w:type="dxa"/>
            <w:vAlign w:val="bottom"/>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ind w:left="1740" w:right="2020" w:hanging="6"/>
        <w:spacing w:after="0" w:line="199" w:lineRule="auto"/>
        <w:tabs>
          <w:tab w:leader="none" w:pos="191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Corresponding costs incurred by the Company in connection with such manufacturing is recorded within Cost of collaboration and contract manufacturing</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Bayer records net product sales of EYLEA 8 mg and EYLEA outside the United States, and we and Bayer share profits on such sales.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Regeneron's share of profits in connection with commercialization of EYLEA 8 mg and EYLEA outside the United States is summarized below:</w:t>
      </w:r>
    </w:p>
    <w:p>
      <w:pPr>
        <w:spacing w:after="0" w:line="266" w:lineRule="exact"/>
        <w:rPr>
          <w:sz w:val="20"/>
          <w:szCs w:val="20"/>
          <w:color w:val="auto"/>
        </w:rPr>
      </w:pPr>
    </w:p>
    <w:tbl>
      <w:tblPr>
        <w:tblLayout w:type="fixed"/>
        <w:tblInd w:w="1560" w:type="dxa"/>
        <w:tblCellMar>
          <w:top w:w="0" w:type="dxa"/>
          <w:left w:w="0" w:type="dxa"/>
          <w:bottom w:w="0" w:type="dxa"/>
          <w:right w:w="0" w:type="dxa"/>
        </w:tblCellMar>
      </w:tblPr>
      <w:tr>
        <w:trPr>
          <w:trHeight w:val="207"/>
        </w:trPr>
        <w:tc>
          <w:tcPr>
            <w:tcW w:w="5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5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EYLEA 8 mg and EYLEA net product sales outside the United States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Regeneron's share of collaboration profit from sales outside the United States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vMerge w:val="continue"/>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255.4</w:t>
            </w:r>
          </w:p>
        </w:tc>
        <w:tc>
          <w:tcPr>
            <w:tcW w:w="120" w:type="dxa"/>
            <w:vAlign w:val="bottom"/>
          </w:tcPr>
          <w:p>
            <w:pPr>
              <w:spacing w:after="0"/>
              <w:rPr>
                <w:sz w:val="17"/>
                <w:szCs w:val="17"/>
                <w:color w:val="auto"/>
              </w:rPr>
            </w:pPr>
          </w:p>
        </w:tc>
        <w:tc>
          <w:tcPr>
            <w:tcW w:w="34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333.6</w:t>
            </w:r>
          </w:p>
        </w:tc>
        <w:tc>
          <w:tcPr>
            <w:tcW w:w="0" w:type="dxa"/>
            <w:vAlign w:val="bottom"/>
          </w:tcPr>
          <w:p>
            <w:pPr>
              <w:spacing w:after="0"/>
              <w:rPr>
                <w:sz w:val="1"/>
                <w:szCs w:val="1"/>
                <w:color w:val="auto"/>
              </w:rPr>
            </w:pPr>
          </w:p>
        </w:tc>
      </w:tr>
      <w:tr>
        <w:trPr>
          <w:trHeight w:val="175"/>
        </w:trPr>
        <w:tc>
          <w:tcPr>
            <w:tcW w:w="59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development expenses incurred by Bayer in accordance with</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0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Regeneron's payment obligation</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5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Regeneron's share of profits as a percentage of EYLEA 8 mg and EYLEA net</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sales outside the United States</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740" w:right="2400" w:hanging="6"/>
        <w:spacing w:after="0" w:line="199" w:lineRule="auto"/>
        <w:tabs>
          <w:tab w:leader="none" w:pos="191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See "Collaboration, License, and Other Agreements - Bayer" above for additional details on our contingent reimbursement obligation</w:t>
      </w:r>
    </w:p>
    <w:p>
      <w:pPr>
        <w:spacing w:after="0" w:line="2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decrease in our share of profits for the three months ended March 31, 2026, compared to the same period in 2025, was driven by lower profits primarily associated with a decrease in EYLEA sales outside the United States.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65" w:lineRule="exact"/>
        <w:rPr>
          <w:sz w:val="20"/>
          <w:szCs w:val="20"/>
          <w:color w:val="auto"/>
        </w:rPr>
      </w:pPr>
    </w:p>
    <w:tbl>
      <w:tblPr>
        <w:tblLayout w:type="fixed"/>
        <w:tblInd w:w="1660" w:type="dxa"/>
        <w:tblCellMar>
          <w:top w:w="0" w:type="dxa"/>
          <w:left w:w="0" w:type="dxa"/>
          <w:bottom w:w="0" w:type="dxa"/>
          <w:right w:w="0" w:type="dxa"/>
        </w:tblCellMar>
      </w:tblPr>
      <w:tr>
        <w:trPr>
          <w:trHeight w:val="207"/>
        </w:trPr>
        <w:tc>
          <w:tcPr>
            <w:tcW w:w="5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5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40" w:type="dxa"/>
            <w:vAlign w:val="bottom"/>
            <w:tcBorders>
              <w:bottom w:val="single" w:sz="8" w:color="auto"/>
            </w:tcBorders>
          </w:tcPr>
          <w:p>
            <w:pPr>
              <w:spacing w:after="0"/>
              <w:rPr>
                <w:sz w:val="20"/>
                <w:szCs w:val="20"/>
                <w:color w:val="auto"/>
              </w:rPr>
            </w:pPr>
          </w:p>
        </w:tc>
      </w:tr>
      <w:tr>
        <w:trPr>
          <w:trHeight w:val="223"/>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164"/>
        </w:trPr>
        <w:tc>
          <w:tcPr>
            <w:tcW w:w="568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Share of profits and royalties in connection with license and other</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234"/>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agreements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29"/>
        </w:trPr>
        <w:tc>
          <w:tcPr>
            <w:tcW w:w="56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48"/>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840" w:right="1720" w:hanging="5"/>
        <w:spacing w:after="0" w:line="202" w:lineRule="auto"/>
        <w:tabs>
          <w:tab w:leader="none" w:pos="201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Consists primarily of amounts earned in connection with manufacturing product for others; corresponding costs incurred by the Company in connection with such manufacturing is recorded within Cost of collaboration and contract manufacturing</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7" w:lineRule="exact"/>
        <w:rPr>
          <w:sz w:val="20"/>
          <w:szCs w:val="20"/>
          <w:color w:val="auto"/>
        </w:rPr>
      </w:pPr>
    </w:p>
    <w:tbl>
      <w:tblPr>
        <w:tblLayout w:type="fixed"/>
        <w:tblInd w:w="1740"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8"/>
        </w:trPr>
        <w:tc>
          <w:tcPr>
            <w:tcW w:w="4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3"/>
        </w:trPr>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 except headcount data)</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43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(a)</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r>
      <w:tr>
        <w:trPr>
          <w:trHeight w:val="22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229"/>
        </w:trPr>
        <w:tc>
          <w:tcPr>
            <w:tcW w:w="436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229"/>
        </w:trPr>
        <w:tc>
          <w:tcPr>
            <w:tcW w:w="436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Cost of collaboration and contract manufacturing</w:t>
            </w:r>
            <w:r>
              <w:rPr>
                <w:rFonts w:ascii="Times New Roman" w:cs="Times New Roman" w:eastAsia="Times New Roman" w:hAnsi="Times New Roman"/>
                <w:sz w:val="23"/>
                <w:szCs w:val="23"/>
                <w:color w:val="auto"/>
                <w:vertAlign w:val="superscript"/>
              </w:rPr>
              <w:t>(b)</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525.5</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4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Average headcount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bl>
    <w:p>
      <w:pPr>
        <w:ind w:left="2080" w:hanging="171"/>
        <w:spacing w:after="0" w:line="235" w:lineRule="auto"/>
        <w:tabs>
          <w:tab w:leader="none" w:pos="208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Includes costs incurred net of any cost reimbursements from collaborators</w:t>
      </w:r>
    </w:p>
    <w:p>
      <w:pPr>
        <w:spacing w:after="0" w:line="64" w:lineRule="exact"/>
        <w:rPr>
          <w:rFonts w:ascii="Times New Roman" w:cs="Times New Roman" w:eastAsia="Times New Roman" w:hAnsi="Times New Roman"/>
          <w:sz w:val="23"/>
          <w:szCs w:val="23"/>
          <w:color w:val="auto"/>
          <w:vertAlign w:val="superscript"/>
        </w:rPr>
      </w:pPr>
    </w:p>
    <w:p>
      <w:pPr>
        <w:ind w:left="2080" w:hanging="171"/>
        <w:spacing w:after="0" w:line="191" w:lineRule="auto"/>
        <w:tabs>
          <w:tab w:leader="none" w:pos="208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Includes costs incurred in connection with manufacturing drug supplies for collaborators and others</w:t>
      </w:r>
    </w:p>
    <w:p>
      <w:pPr>
        <w:spacing w:after="0" w:line="1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included stock-based compensation expense of $257.4 million and $255.7 million for the three months ended March 31, 2026 and 2025, respectively.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table summarizes our direct research and development expenses by clinical development program and other significant categories of research and development expenses. Direct research and development expenses are comprised primarily of costs paid to third parties for clinical development activities, including costs related to preclinical research activities, clinical trials,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and other costs related to activities that benefit multiple projects. Clinical manufacturing costs primarily consist of costs to manufacture bulk drug product for clinical development purposes as well as related drug filling, packaging, and labeling costs. Clinical manufacturing costs also include pre-launch commercial supplies which did not meet the criteria to be capitalized as inventory. The table below also includes reimbursements of research and development expenses by collaborators, as when we are entitled to reimbursement of all or a portion of such expenses that we incur under a collaboration, we record those reimbursable amounts in the period in which such costs are incurred.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8"/>
        </w:trPr>
        <w:tc>
          <w:tcPr>
            <w:tcW w:w="4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8"/>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line="228" w:lineRule="exact"/>
              <w:rPr>
                <w:sz w:val="20"/>
                <w:szCs w:val="20"/>
                <w:color w:val="auto"/>
              </w:rPr>
            </w:pPr>
            <w:r>
              <w:rPr>
                <w:rFonts w:ascii="Times New Roman" w:cs="Times New Roman" w:eastAsia="Times New Roman" w:hAnsi="Times New Roman"/>
                <w:sz w:val="18"/>
                <w:szCs w:val="18"/>
                <w:b w:val="1"/>
                <w:bCs w:val="1"/>
                <w:color w:val="auto"/>
              </w:rPr>
              <w:t>2025</w:t>
            </w:r>
            <w:r>
              <w:rPr>
                <w:rFonts w:ascii="Times New Roman" w:cs="Times New Roman" w:eastAsia="Times New Roman" w:hAnsi="Times New Roman"/>
                <w:sz w:val="23"/>
                <w:szCs w:val="23"/>
                <w:b w:val="1"/>
                <w:bCs w:val="1"/>
                <w:color w:val="auto"/>
                <w:vertAlign w:val="superscript"/>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Lynozyfic (linvoseltamab)</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29"/>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Ordspono (odronextamab)</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30"/>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Fianlimab</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REGN7508 &amp; REGN9933</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9"/>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Dupixent (dupilumab)</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Itepekimab</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Libtayo (cemiplimab)</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Pozelimab/cemdisiran</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Trevogrumab</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175"/>
        </w:trPr>
        <w:tc>
          <w:tcPr>
            <w:tcW w:w="46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Other product candidates in clinical development and</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4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research programs</w:t>
            </w:r>
          </w:p>
        </w:tc>
        <w:tc>
          <w:tcPr>
            <w:tcW w:w="2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23"/>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r>
      <w:tr>
        <w:trPr>
          <w:trHeight w:val="250"/>
        </w:trPr>
        <w:tc>
          <w:tcPr>
            <w:tcW w:w="4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Indirect research and development expenses: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Payroll and benefits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30"/>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Lab supplies and other research and development costs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3"/>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50"/>
        </w:trPr>
        <w:tc>
          <w:tcPr>
            <w:tcW w:w="4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manufacturing costs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70"/>
        </w:trPr>
        <w:tc>
          <w:tcPr>
            <w:tcW w:w="46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175"/>
        </w:trPr>
        <w:tc>
          <w:tcPr>
            <w:tcW w:w="4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research and development expenses by</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collaborators</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0"/>
        </w:trPr>
        <w:tc>
          <w:tcPr>
            <w:tcW w:w="46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w:t>
            </w:r>
          </w:p>
        </w:tc>
      </w:tr>
      <w:tr>
        <w:trPr>
          <w:trHeight w:val="21"/>
        </w:trPr>
        <w:tc>
          <w:tcPr>
            <w:tcW w:w="4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ind w:left="1900" w:hanging="99"/>
        <w:spacing w:after="0" w:line="215" w:lineRule="auto"/>
        <w:tabs>
          <w:tab w:leader="none" w:pos="190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Certain prior year amounts have been reclassified to conform to the current year's presentation</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included stock-based compensation expense of $135.1 million and $141.0 million for the three months ended March 31, 2026 and 2025, respectively.</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There is also variability in the duration and costs necessary to develop a product candidate, potential opportunities and/or uncertainties related to future indications to be studied, and the estimated cost and scope of the projects. The lengthy process of seeking FDA and other applicable approvals, and subsequent compliance with applicable statutes and regulations, require the expenditure of substantial resources. Any failure by us to obtain, or delay in obtaining, regulatory approvals could materially adversely affect our business. We are unable to reasonably estimate if our product candidates in clinical development will generate material product revenues and net cash inflows.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 ("IPR&amp;D") Expenses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Acquired IPR&amp;D expenses for the three months ended March 31, 2026 primarily related to the premium on equity securities purchased, as well as development milestone and up-front payments, in connection with collaboration and licensing agreements.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for the three months ended March 31, 2026, compared to the same period in 2025, primarily due to an increase in commercialization-related expenses for EYLEA HD and Libtayo and higher headcount and headcount-related costs, partly offset by lower charitable contributions to an independent non-profit patient assistance organization. Selling, general, and administrative expenses included stock-based compensation expense of $89.2 million and $95.2 million for the three months ended March 31, 2026 and 2025, respectively.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65" w:lineRule="exact"/>
        <w:rPr>
          <w:sz w:val="20"/>
          <w:szCs w:val="20"/>
          <w:color w:val="auto"/>
        </w:rPr>
      </w:pPr>
    </w:p>
    <w:tbl>
      <w:tblPr>
        <w:tblLayout w:type="fixed"/>
        <w:tblInd w:w="2420" w:type="dxa"/>
        <w:tblCellMar>
          <w:top w:w="0" w:type="dxa"/>
          <w:left w:w="0" w:type="dxa"/>
          <w:bottom w:w="0" w:type="dxa"/>
          <w:right w:w="0" w:type="dxa"/>
        </w:tblCellMar>
      </w:tblPr>
      <w:tr>
        <w:trPr>
          <w:trHeight w:val="207"/>
        </w:trPr>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4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60" w:type="dxa"/>
            <w:vAlign w:val="bottom"/>
            <w:tcBorders>
              <w:bottom w:val="single" w:sz="8" w:color="auto"/>
            </w:tcBorders>
          </w:tcPr>
          <w:p>
            <w:pPr>
              <w:spacing w:after="0"/>
              <w:rPr>
                <w:sz w:val="20"/>
                <w:szCs w:val="20"/>
                <w:color w:val="auto"/>
              </w:rPr>
            </w:pPr>
          </w:p>
        </w:tc>
      </w:tr>
      <w:tr>
        <w:trPr>
          <w:trHeight w:val="223"/>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 except gross margin on net product sales)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2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265.5</w:t>
            </w:r>
          </w:p>
        </w:tc>
      </w:tr>
      <w:tr>
        <w:trPr>
          <w:trHeight w:val="301"/>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on net product sales</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r>
    </w:tbl>
    <w:p>
      <w:pPr>
        <w:jc w:val="both"/>
        <w:ind w:left="2600" w:right="2540" w:hanging="9"/>
        <w:spacing w:after="0" w:line="206" w:lineRule="auto"/>
        <w:tabs>
          <w:tab w:leader="none" w:pos="2774"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Gross margin on net product sales represents gross profit expressed as a percentage of total net product sales recorded by the Company. Gross profit is calculated as net product sales (see "Net Product Sales" section above) less cost of goods sold.</w:t>
      </w:r>
    </w:p>
    <w:p>
      <w:pPr>
        <w:spacing w:after="0" w:line="2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Gross margin on net product sales decreased for the three months ended March 31, 2026, compared to the same period in 2025, primarily due to unabsorbed manufacturing costs and higher inventory write-offs and reserves as a result of a temporary interruption of bulk manufacturing production at our facility in Limerick, Ireland, due to unanticipated facility repairs that commenced during the first quarter of 2026. We resumed initial production at the facility in the second quarter of 2026; however, gross margin will continue to be negatively impacted until production returns to normal levels, which is expected by the end of the second quarter of 2026. The interruption has not impacted, nor is it expected to impact, the availability of any of our products. See Part II, Item 1A. "Risk Factors - Risks Related to Manufacturing and Supply - </w:t>
      </w:r>
      <w:r>
        <w:rPr>
          <w:rFonts w:ascii="Times New Roman" w:cs="Times New Roman" w:eastAsia="Times New Roman" w:hAnsi="Times New Roman"/>
          <w:sz w:val="18"/>
          <w:szCs w:val="18"/>
          <w:i w:val="1"/>
          <w:iCs w:val="1"/>
          <w:color w:val="auto"/>
        </w:rPr>
        <w:t>Third-party service or supply failures, or other failures,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interruptions, or other disasters affecting our manufacturing facilities in Rensselaer, New York and Limerick, Ireland, the manufacturing facilities of our collaborators or contract manufacturers, or the facilities of any other party participating in the supply chain, could adversely affect our ability to supply our products.</w:t>
      </w:r>
      <w:r>
        <w:rPr>
          <w:rFonts w:ascii="Times New Roman" w:cs="Times New Roman" w:eastAsia="Times New Roman" w:hAnsi="Times New Roman"/>
          <w:sz w:val="18"/>
          <w:szCs w:val="18"/>
          <w:color w:val="auto"/>
        </w:rPr>
        <w: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21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40" w:type="dxa"/>
            <w:vAlign w:val="bottom"/>
            <w:tcBorders>
              <w:bottom w:val="single" w:sz="8" w:color="auto"/>
            </w:tcBorders>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160" w:type="dxa"/>
            <w:vAlign w:val="bottom"/>
          </w:tcPr>
          <w:p>
            <w:pPr>
              <w:spacing w:after="0"/>
              <w:rPr>
                <w:sz w:val="19"/>
                <w:szCs w:val="19"/>
                <w:color w:val="auto"/>
              </w:rPr>
            </w:pPr>
          </w:p>
        </w:tc>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3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on marketable and other securities, net</w:t>
            </w: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60" w:type="dxa"/>
            <w:vAlign w:val="bottom"/>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60" w:type="dxa"/>
            <w:vAlign w:val="bottom"/>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3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3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60" w:type="dxa"/>
            <w:vAlign w:val="bottom"/>
            <w:vMerge w:val="restart"/>
          </w:tcPr>
          <w:p>
            <w:pPr>
              <w:jc w:val="right"/>
              <w:ind w:right="103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2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16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7" w:lineRule="exact"/>
        <w:rPr>
          <w:sz w:val="20"/>
          <w:szCs w:val="20"/>
          <w:color w:val="auto"/>
        </w:rPr>
      </w:pPr>
    </w:p>
    <w:tbl>
      <w:tblPr>
        <w:tblLayout w:type="fixed"/>
        <w:tblInd w:w="260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3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r>
      <w:tr>
        <w:trPr>
          <w:trHeight w:val="223"/>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effective tax rate)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96.3</w:t>
            </w: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bl>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for the three months ended March 31, 2026 and 2025 was positively impacted, compared to the U.S. federal statutory rate, primarily by income earned in foreign jurisdictions with tax rates lower than the U.S. federal statutory rate and, to a lesser extent, federal tax credits for research activities, partly offset by changes in unrecognized tax benefits. In addition, our effective tax rate increased for the three months ended March 31, 2026, compared to the same period in 2025, primarily due to lower tax benefits from cross-border tax laws and federal tax credits for research activities.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p>
      <w:pPr>
        <w:spacing w:after="0" w:line="275"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3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8"/>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2,962.6</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r>
      <w:tr>
        <w:trPr>
          <w:trHeight w:val="229"/>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r>
      <w:tr>
        <w:trPr>
          <w:trHeight w:val="230"/>
        </w:trPr>
        <w:tc>
          <w:tcPr>
            <w:tcW w:w="3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9,786.0</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(474.6)</w:t>
            </w:r>
          </w:p>
        </w:tc>
      </w:tr>
      <w:tr>
        <w:trPr>
          <w:trHeight w:val="223"/>
        </w:trPr>
        <w:tc>
          <w:tcPr>
            <w:tcW w:w="38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18,539.7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w:t>
            </w:r>
          </w:p>
        </w:tc>
      </w:tr>
      <w:tr>
        <w:trPr>
          <w:trHeight w:val="270"/>
        </w:trPr>
        <w:tc>
          <w:tcPr>
            <w:tcW w:w="3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18,209.2</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18,021.9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r>
      <w:tr>
        <w:trPr>
          <w:trHeight w:val="229"/>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w:t>
            </w:r>
          </w:p>
        </w:tc>
      </w:tr>
      <w:tr>
        <w:trPr>
          <w:trHeight w:val="223"/>
        </w:trPr>
        <w:tc>
          <w:tcPr>
            <w:tcW w:w="38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13,101.5</w:t>
            </w: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13,653.5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(552.0)</w:t>
            </w: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3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and finance lease liabilities: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1,986.2</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4"/>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ind w:left="1660" w:hanging="95"/>
        <w:spacing w:after="0" w:line="235" w:lineRule="auto"/>
        <w:tabs>
          <w:tab w:leader="none" w:pos="166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$720.0 million related to finance lease liabilities is classified within current liabilities as of March 31, 2026</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we also had borrowing availability of $750.0 million under a revolving credit facility.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51"/>
        </w:trPr>
        <w:tc>
          <w:tcPr>
            <w:tcW w:w="7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8"/>
        </w:trPr>
        <w:tc>
          <w:tcPr>
            <w:tcW w:w="7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28"/>
        </w:trPr>
        <w:tc>
          <w:tcPr>
            <w:tcW w:w="700" w:type="dxa"/>
            <w:vAlign w:val="bottom"/>
          </w:tcPr>
          <w:p>
            <w:pPr>
              <w:spacing w:after="0"/>
              <w:rPr>
                <w:sz w:val="19"/>
                <w:szCs w:val="19"/>
                <w:color w:val="auto"/>
              </w:rPr>
            </w:pPr>
          </w:p>
        </w:tc>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700" w:type="dxa"/>
            <w:vAlign w:val="bottom"/>
          </w:tcPr>
          <w:p>
            <w:pPr>
              <w:spacing w:after="0"/>
              <w:rPr>
                <w:sz w:val="18"/>
                <w:szCs w:val="18"/>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700" w:type="dxa"/>
            <w:vAlign w:val="bottom"/>
          </w:tcPr>
          <w:p>
            <w:pPr>
              <w:spacing w:after="0"/>
              <w:rPr>
                <w:sz w:val="19"/>
                <w:szCs w:val="19"/>
                <w:color w:val="auto"/>
              </w:rPr>
            </w:pPr>
          </w:p>
        </w:tc>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1,078.9</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29"/>
        </w:trPr>
        <w:tc>
          <w:tcPr>
            <w:tcW w:w="700" w:type="dxa"/>
            <w:vAlign w:val="bottom"/>
          </w:tcPr>
          <w:p>
            <w:pPr>
              <w:spacing w:after="0"/>
              <w:rPr>
                <w:sz w:val="19"/>
                <w:szCs w:val="19"/>
                <w:color w:val="auto"/>
              </w:rPr>
            </w:pPr>
          </w:p>
        </w:tc>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(1,076.4)</w:t>
            </w:r>
          </w:p>
        </w:tc>
      </w:tr>
      <w:tr>
        <w:trPr>
          <w:trHeight w:val="234"/>
        </w:trPr>
        <w:tc>
          <w:tcPr>
            <w:tcW w:w="700" w:type="dxa"/>
            <w:vAlign w:val="bottom"/>
          </w:tcPr>
          <w:p>
            <w:pPr>
              <w:spacing w:after="0"/>
              <w:rPr>
                <w:sz w:val="20"/>
                <w:szCs w:val="20"/>
                <w:color w:val="auto"/>
              </w:rPr>
            </w:pPr>
          </w:p>
        </w:tc>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1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expenditures for the three months ended March 31, 2026 included costs incurred in connection with the expansion of our research and support facilities at our Tarrytown, New York corporate headquarters, as well as costs associated with the expansion of our manufacturing facilities. We expect to incur capital expenditures of $1.100 billion to $1.200 billion for the full</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year of 2026, including in connection with the continued expansion of our facilities in Tarrytown, New York, and the continued expansion of our manufacturing facilities, including in connection with developing our property in Saratoga Springs, New York for production support activities and additional manufacturing capacity.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Repurchase Programs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authorized share repurchase programs, including a share repurchase program for up to $3.0 billion of our Common Stock which was authorized in February 2025. The programs have no time limit and can be discontinued at any time. As of March 31, 2026, $688.2 million remained available for share repurchases under the programs.</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2026, our board of directors authorized a share repurchase program to repurchase up to an additional $3.0 billion of our Common Stock. The share repurchase program was approved under terms substantially similar to the share repurchase programs described above.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15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January 2026, our board of directors declared a quarterly cash dividend of $0.94 per share on our Common Stock and Class A Stock, which was paid to our shareholders in March 2026.</w:t>
      </w:r>
    </w:p>
    <w:p>
      <w:pPr>
        <w:spacing w:after="0" w:line="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in April 2026, our board of directors declared a cash dividend of $0.94 per share on our Common Stock and Class A Stock. The dividend will be payable on June 4, 2026 to our shareholders of record as of May 20, 2026.</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summary of critical accounting estimates is presented in Part II, Item 7. "Management's Discussion and Analysis of Financial Condition and Results of Operations" of our Annual Report on Form 10-K for the fiscal year ended December 31, 2025 (filed February 4, 2026). There have been no material changes to critical accounting estimates during the three months ended March 31,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Impact of Recently Issued Accounting Standards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to our Condensed Consolidated Financial Statements included in this report for a description of recently issued accounting standards.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 risks, and the way we manage them, are summarized in Part II, Item 7A, "Quantitative and Qualitative Disclosures About Market Risk" of our Annual Report on Form 10-K for the fiscal year ended December 31, 2025 (filed February 4, 2026). There have been no material changes to our market risks or to our management of such risks as of March 31,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or 15d-15(e) under the Securities Exchange Act of 1934, as amended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such term is defined in Rules 13a-15(f) or 15d-15(f) under the Exchange Act) during the quarter ended March 31, 2026 that has materially affected, or is reasonably likely to materially affect, our internal control over financial reporting.</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to the information set forth in Note 12 to our Condensed Consolidated Financial Statements included in this report.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References to past events are provided as examples only and are not intended to be a complete listing or representation as to whether or not such factors have occurred in the past or their likelihood of occurring in the future.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 For purposes of this section (as well as this report in general), references to our products encompass products marketed or otherwise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 In this section, we first provide a summary of the more significant risks and uncertainties we face and then provide a full set of risk factors and discuss them in greater detail.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noted above, we are subject to a number of risks that if realized could materially harm our business, prospects, operating results, and financial condition. Some of the more significant risks and uncertainties we face include those summarized below. The summary below is not exhaustive and is qualified by reference to the full set of risk factors set forth in this "Risk Factors" section. Please carefully consider all of the information in this Form 10-Q, including the full set of risks set forth in this "Risk Factors" section, and in our other filings with the Securities and Exchange Commission ("SEC") before making an investment decision regarding Regeneron.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 Risks</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revenues derived from net product sales of EYLEA HD, EYLEA, and Dupixent.</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products are dependent on the availability and extent of coverage and reimbursement or copay assistance from third-party payors and other third parties, including private payors and government programs such as Medicare and Medicaid.</w:t>
      </w:r>
    </w:p>
    <w:p>
      <w:pPr>
        <w:jc w:val="both"/>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reimbursement and coverage policies and practices, pricing regulations and requirements, and our pricing strategy could change due to various factors beyond our control, such as drug price control measures that have been or may be enacted or introduced in the United States by various federal and state authorities.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products is subject to significant competition from products or product candidates that may be superior to, or more established or cost effective than, our products or product candidates, including biosimilars.</w:t>
      </w:r>
    </w:p>
    <w:p>
      <w:pPr>
        <w:ind w:left="660" w:hanging="328"/>
        <w:spacing w:after="0" w:line="26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collaborators on which we rely to commercialize some of our marketed products may be unable to continue to successfully commercialize or co-commercialize our products, both in and outside the United States.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Development Risks</w:t>
      </w:r>
    </w:p>
    <w:p>
      <w:pPr>
        <w:spacing w:after="0" w:line="148" w:lineRule="exact"/>
        <w:rPr>
          <w:sz w:val="20"/>
          <w:szCs w:val="20"/>
          <w:color w:val="auto"/>
        </w:rPr>
      </w:pPr>
    </w:p>
    <w:p>
      <w:pPr>
        <w:ind w:left="6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and obtaining and maintaining regulatory approval for drug and biological products is costly, time-consuming, and highly uncertain.</w:t>
      </w:r>
    </w:p>
    <w:p>
      <w:pPr>
        <w:jc w:val="both"/>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complications or side effects in connection with the use or development of our products or product candidates could cause our regulatory approvals to be revoked or limited or lead to delay or discontinuation of development of our product candidates or new indications for our marketed products.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formulate or manufacture our product candidates in a way that is suitable for clinical or commercial use, which would delay or prevent continued development of such candidates and/or receipt of regulatory approval or commercial sale.</w:t>
      </w:r>
    </w:p>
    <w:p>
      <w:pPr>
        <w:ind w:left="660" w:hanging="328"/>
        <w:spacing w:after="0" w:line="26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products are intended to be used in combination with drug-delivery devices, which may result in additional regulatory, commercialization, and other risks.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Market Exclusivity Risks</w:t>
      </w:r>
    </w:p>
    <w:p>
      <w:pPr>
        <w:spacing w:after="0" w:line="148" w:lineRule="exact"/>
        <w:rPr>
          <w:sz w:val="20"/>
          <w:szCs w:val="20"/>
          <w:color w:val="auto"/>
        </w:rPr>
      </w:pPr>
    </w:p>
    <w:p>
      <w:pPr>
        <w:ind w:left="66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the confidentiality of our trade secrets, and our patents or other means of defending our intellectual property may be insufficient to protect our proprietary rights.</w:t>
      </w:r>
    </w:p>
    <w:p>
      <w:pPr>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or proprietary rights of others may restrict our development, manufacturing, and/or commercialization efforts and subject us to patent litigation and other proceedings that could find us liable for damages.</w:t>
      </w:r>
    </w:p>
    <w:p>
      <w:pPr>
        <w:ind w:left="660" w:hanging="328"/>
        <w:spacing w:after="0" w:line="26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limitation of patent rights, and regulatory pathways for biosimilar competition, have in the past reduced and could reduce in the future the duration of market exclusivity for our products.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Risks</w:t>
      </w:r>
    </w:p>
    <w:p>
      <w:pPr>
        <w:spacing w:after="0" w:line="162" w:lineRule="exact"/>
        <w:rPr>
          <w:sz w:val="20"/>
          <w:szCs w:val="20"/>
          <w:color w:val="auto"/>
        </w:rPr>
      </w:pPr>
    </w:p>
    <w:p>
      <w:pPr>
        <w:jc w:val="both"/>
        <w:ind w:left="660" w:hanging="328"/>
        <w:spacing w:after="0" w:line="255"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limited internal and contracted manufacturing and supply chain capacity, which could adversely affect our ability to commercialize our products and to advance our clinical pipeline. As we increase our production in response to higher product demand or in anticipation of potential regulatory approvals, our current manufacturing capacity will likely not be sufficient, and our dependence on our collaborators and/or contract manufacturers may increase, to produce adequate quantities of drug material for both commercial and clinical purposes.</w:t>
      </w:r>
    </w:p>
    <w:p>
      <w:pPr>
        <w:spacing w:after="0" w:line="2"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manufacturing capacity and establishing fill/finish capabilities has been and will continue to be costly and we may be unsuccessful in doing so in a timely manner, which could delay or prevent the launch and successful commercialization of our products approved for marketing and could jeopardize our clinical development programs.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products may be impaired if any of our or our collaborators' manufacturing activities, or the activities of other third parties involved in our manufacture and supply chain, are found to infringe patents of others.</w:t>
      </w:r>
    </w:p>
    <w:p>
      <w:pPr>
        <w:jc w:val="both"/>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service or supply failures, failures at our manufacturing facilities in Rensselaer, New York and Limerick, Ireland, or failures at the facilities of any other party participating in the supply chain could adversely affect our ability to supply our products.</w:t>
      </w:r>
    </w:p>
    <w:p>
      <w:pPr>
        <w:jc w:val="both"/>
        <w:ind w:left="660" w:hanging="328"/>
        <w:spacing w:after="0" w:line="253"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collaborators' or contract manufacturers'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Regulatory and Litigation Risks</w:t>
      </w:r>
    </w:p>
    <w:p>
      <w:pPr>
        <w:spacing w:after="0" w:line="162" w:lineRule="exact"/>
        <w:rPr>
          <w:sz w:val="20"/>
          <w:szCs w:val="20"/>
          <w:color w:val="auto"/>
        </w:rPr>
      </w:pPr>
    </w:p>
    <w:p>
      <w:pPr>
        <w:ind w:left="66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testing or use of our products harms people, or is perceived to harm them even when such harm is unrelated to our products, we could be subject to costly and damaging product liability claims.</w:t>
      </w: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activities have been, and may in the future be, challenged under U.S. federal or state and foreign healthcare laws, which may subject us to civil or criminal proceedings, investigations, or penalties.</w:t>
      </w: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w:t>
      </w: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from the improper conduct of our employees, agents, contractors, or collaborators, including those relating to potential non-compliance with relevant laws and regulations such as the Foreign Corrupt Practices Act and the U.K. Bribery Act.</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environmental, health, and safety laws and regulations, including those governing the use of hazardous materials.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policies affecting the healthcare industry could adversely affect our business.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liabilities, tariffs and other trade restrictions, and other risks associated with our operations outside the United States could adversely affect our business.</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the personal data we collect, process, and share.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or Transactions with Third Parties</w:t>
      </w:r>
    </w:p>
    <w:p>
      <w:pPr>
        <w:spacing w:after="0" w:line="148" w:lineRule="exact"/>
        <w:rPr>
          <w:sz w:val="20"/>
          <w:szCs w:val="20"/>
          <w:color w:val="auto"/>
        </w:rPr>
      </w:pPr>
    </w:p>
    <w:p>
      <w:pPr>
        <w:ind w:left="66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collaborations with Sanofi or Bayer or other third parties are terminated or breached, our ability to develop, manufacture, and commercialize certain of our products and product candidates in the time expected, or at all, may be materially harmed.</w:t>
      </w:r>
    </w:p>
    <w:p>
      <w:pPr>
        <w:ind w:left="6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and service providers may fail to perform adequately in their efforts to support the development, manufacture, and commercialization of our drug candidates and current and future products.</w:t>
      </w:r>
    </w:p>
    <w:p>
      <w:pPr>
        <w:ind w:left="660" w:hanging="328"/>
        <w:spacing w:after="0" w:line="26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undertaken and may in the future undertake strategic acquisitions, and any difficulties from integrating such acquisitions or failure to realize the expected benefits from such acquisitions could adversely affect our business, operating results, and financial condition.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 and Our Common Stock</w:t>
      </w:r>
    </w:p>
    <w:p>
      <w:pPr>
        <w:spacing w:after="0" w:line="162" w:lineRule="exact"/>
        <w:rPr>
          <w:sz w:val="20"/>
          <w:szCs w:val="20"/>
          <w:color w:val="auto"/>
        </w:rPr>
      </w:pPr>
    </w:p>
    <w:p>
      <w:pPr>
        <w:ind w:left="660" w:right="20" w:hanging="328"/>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our key personnel and will be harmed if we cannot recruit or retain key members of our senior management team, including leaders in our research, development, manufacturing, and commercial organizations.</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or breaches of data security could adversely affect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outbreaks, epidemics, or pandemics have adversely affected and may in the future adversely affect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impact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extremely volatile.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shareholders may be able to exert substantial influence over matters requiring shareholder approval and over our management.</w:t>
      </w:r>
    </w:p>
    <w:p>
      <w:pPr>
        <w:spacing w:after="0" w:line="125"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154" w:lineRule="exact"/>
        <w:rPr>
          <w:sz w:val="20"/>
          <w:szCs w:val="20"/>
          <w:color w:val="auto"/>
        </w:rPr>
      </w:pPr>
    </w:p>
    <w:p>
      <w:pPr>
        <w:ind w:right="90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Risks Related to Commercialization of Our Marketed Products, Product Candidates, and New Indications for Our Marketed Products </w:t>
      </w:r>
      <w:r>
        <w:rPr>
          <w:rFonts w:ascii="Times New Roman" w:cs="Times New Roman" w:eastAsia="Times New Roman" w:hAnsi="Times New Roman"/>
          <w:sz w:val="18"/>
          <w:szCs w:val="18"/>
          <w:b w:val="1"/>
          <w:bCs w:val="1"/>
          <w:i w:val="1"/>
          <w:iCs w:val="1"/>
          <w:color w:val="auto"/>
        </w:rPr>
        <w:t>We are substantially dependent on revenues derived from net product sales of EYLEA HD, EYLEA, and Dupixent.</w:t>
      </w: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substantially dependent on revenues derived from net product sales of EYLEA HD and EYLEA. Net product sales of these products have historically represented a substantial portion of our revenues, and we expect net sales of these products to continue to be a significant contributor to our revenues and operating results, with an increasing dependence on EYLEA HD relative to our historical dependence on EYLEA. For the three months ended March 31, 2026 and 2025, our aggregate EYLEA HD and EYLEA net product sales in the United States represented 26% and 34% of our total revenues, respectively. For the three months ended March 31, 2026, EYLEA HD U.S. net product sales represented 50% of our aggregate EYLEA HD and EYLEA U.S. net product sales. If we experience difficulty with the commercialization of EYLEA HD or EYLEA in the United States or if Bayer experiences any difficulty with the commercialization of EYLEA HD or EYLEA outside the United States, if EYLEA HD net product sales do not sufficiently offset any sustained decline of EYLEA net product sales in or outside the United States, or if we and Bayer are unable to maintain or obtain marketing approvals of these products (as applicable), we may experience a reduction in revenue and may not be able to stay profitable at the levels we previously achieved or at all, and our business, prospects, operating results, and financial condition may be materially harmed.</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Commercialization of EYLEA HD and EYLEA in the United States and elsewhere is subject to significant competition (as described further below under "</w:t>
      </w:r>
      <w:r>
        <w:rPr>
          <w:rFonts w:ascii="Times New Roman" w:cs="Times New Roman" w:eastAsia="Times New Roman" w:hAnsi="Times New Roman"/>
          <w:sz w:val="18"/>
          <w:szCs w:val="18"/>
          <w:i w:val="1"/>
          <w:iCs w:val="1"/>
          <w:color w:val="auto"/>
        </w:rPr>
        <w:t>The commercial success of our products and product candidates is subject to significant competition</w:t>
      </w:r>
      <w:r>
        <w:rPr>
          <w:rFonts w:ascii="Times New Roman" w:cs="Times New Roman" w:eastAsia="Times New Roman" w:hAnsi="Times New Roman"/>
          <w:sz w:val="18"/>
          <w:szCs w:val="18"/>
          <w:color w:val="auto"/>
        </w:rPr>
        <w:t>"), which we expect to continue to increase in the future. For the three months ended March 31, 2026, EYLEA U.S. net product sales declined by 36% compared to the corresponding period in 2025 as a result of competitive pressures and other factors described under Part I, Item 2. "Management's Discussion and Analysis of Financial Condition and Results of Operations – Results of Operations." Following the expiration of the U.S. regulatory exclusivity period for EYLEA in May 2024, several biosimilar versions of EYLEA have been approved by the FDA, and one such product has launched in the United States. EYLEA and/or EYLEA HD net product sales recorded by us are likely to continue to be negatively impacted by biosimilar competition in the United States, including competition from additional biosimilar versions of EYLEA expected to launch in the United States in the second half of 2026, which may have a material adverse impact on our results of operations. In addition, we expect that competition for EYLEA and/or EYLEA HD outside the United States will continue to increase as biosimilar versions of EYLEA (including those already approved but not yet launched) are brought to market in additional countries, which may negatively impact the amount of collaboration revenue we earn from Bayer. While in the last six months the FDA approved EYLEA HD for the treatment of RVO and for additional dosing regimens and we continue to work toward FDA approval of the EYLEA HD pre-filled syringe as discussed under Part I, Item 1. "Business - Programs in Clinical Development - Additional Information - Clinical Development Programs - EYLEA HD," there can be no assurance that these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enhancements (including potential FDA approval of the EYLEA HD pre-filled syringe) will help accelerate any potential future growth of EYLEA HD net product sales. The degree to which EYLEA HD net product sales may offset further potential decreases in EYLEA net product sales, resulting from the factors discussed above or otherwise, is uncertain.</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are substantially dependent on our share of profits from the commercialization of Dupixent under our collaboration with Sanofi (the "Antibody Collaboration"). For the three months ended March 31, 2026 and 2025, Sanofi collaboration revenue (most of which is attributable to our share of profits from the commercialization of Dupixent) represented 45% and 39% of our total revenues, respectively. If we or Sanofi were to experience any difficulty with the commercialization of Dupixent or if we or Sanofi are unable to maintain current marketing approvals of Dupixent, we may experience a reduction in revenue and our business, prospects, operating results, and financial condition may be materially harmed.</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continue to successfully commercialize our products, our business, prospects, operating results, and financial condition will be materially harmed.</w:t>
      </w:r>
    </w:p>
    <w:p>
      <w:pPr>
        <w:spacing w:after="0" w:line="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the degree of commercial success of our marketed products will continue to depend on many factors, including the following (as applicable):</w:t>
      </w:r>
    </w:p>
    <w:p>
      <w:pPr>
        <w:spacing w:after="0" w:line="81"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the commercial strategy in and outside the United States for the marketing of our products, including pricing strategy;</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coverage of, and reimbursement or copay assistance for, our marketed products by third-party payors and other third parties, including Medicare and Medicaid in the United States and other government and private payors in the United States and foreign jurisdictions, as well as U.S. and foreign payor restrictions on eligible patient populations and the reimbursement process (including drug price control measures that have been or may be enacted or introduced in the United States by various federal and state authorities);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our collaborators' ability to maintain sales of our marketed products in the face of competitive products and to differentiate our marketed products from competitive products, including as applicable product candidates currently in clinical development; and, in the case of EYLEA HD and EYLEA, the existing and potential new branded and biosimilar competition (discussed further under "</w:t>
      </w:r>
      <w:r>
        <w:rPr>
          <w:rFonts w:ascii="Times New Roman" w:cs="Times New Roman" w:eastAsia="Times New Roman" w:hAnsi="Times New Roman"/>
          <w:sz w:val="18"/>
          <w:szCs w:val="18"/>
          <w:i w:val="1"/>
          <w:iCs w:val="1"/>
          <w:color w:val="auto"/>
        </w:rPr>
        <w:t>The commercial success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our products and product candidates is subject to significant competition - </w:t>
      </w:r>
      <w:r>
        <w:rPr>
          <w:rFonts w:ascii="Times New Roman" w:cs="Times New Roman" w:eastAsia="Times New Roman" w:hAnsi="Times New Roman"/>
          <w:sz w:val="18"/>
          <w:szCs w:val="18"/>
          <w:color w:val="auto"/>
        </w:rPr>
        <w:t>Marketed Products" below) and the willingness of retinal specialists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patients to start or continue treatment with such products or to switch from a competitive product to one of our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marketed products seen in a broader patient group (i.e., real-world use);</w:t>
      </w:r>
    </w:p>
    <w:p>
      <w:pPr>
        <w:spacing w:after="0" w:line="9"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existing and new healthcare laws and regulations, pricing mandates, and agreements with government entities (including the U.S. Government Agreements) currently being considered or implemented in the United States and globally, including measures requiring the U.S. government in the future to negotiate the prices of certain drugs and price reporting and other disclosure requirements and the potential impact of such requirements on physician prescribing practices and payor coverage;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serious complications or side effects in connection with the use of our marketed products, as discussed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Serious complications or side effects in connection with the use or development of our products or product candidates could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Times New Roman" w:cs="Times New Roman" w:eastAsia="Times New Roman" w:hAnsi="Times New Roman"/>
          <w:sz w:val="18"/>
          <w:szCs w:val="18"/>
          <w:color w:val="auto"/>
        </w:rPr>
        <w:t>" below;</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successfully monitoring commercial manufacturing arrangements for our marketed products with third parties who perform fill/finish and bulk product manufacturing or other steps in the manufacture of such products to ensure that they meet our standards and those of regulatory authorities, including the FDA, which extensively regulate and monitor, and have been increasing their focus on, pharmaceutical manufacturing facilities;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demand for commercial supplies of our marketed products;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proceedings relating to EYLEA (described further in Note 12 to our Condensed Consolidated Financial Statements included in this report), as well as other risks relating to our marketed products and product candidates associated with intellectual property of other parties and pending or future litigation relating thereto (as discussed under "Risks Related to Intellectual Property and Market Exclusivity" below);</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government proceedings and investigations and other matters described in Note 12 to our Condensed Consolidated Financial Statements included in this report (including the civil proceedings initiated or joined by the U.S. Department of Justice and the U.S. Attorney's Office for the District of Massachusetts); and</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9" w:lineRule="exact"/>
        <w:rPr>
          <w:sz w:val="20"/>
          <w:szCs w:val="20"/>
          <w:color w:val="auto"/>
        </w:rPr>
      </w:pPr>
    </w:p>
    <w:p>
      <w:pPr>
        <w:ind w:left="660" w:right="2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post-approval studies, whether conducted by us or by others and whether mandated by regulatory agencies or voluntary, and studies of other products that could implicate an entire class of products or are perceived to do so.</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detailed information about the risks related to the commercialization of our marketed products is provided in the risk factors below.</w:t>
      </w:r>
    </w:p>
    <w:p>
      <w:pPr>
        <w:spacing w:after="0" w:line="14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are subject to significant ongoing regulatory obligations and oversight with respect to the products we or our collaborators commercialize. If we or our collaborators fail to maintain regulatory compliance for any of such products, the applicable marketing approval may be withdrawn, which would materially harm our business, prospects, operating results, and financial condition.</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and our collaborators are subject to significant ongoing regulatory obligations and oversight with respect to the products we or they commercialize for the products' currently approved indications in the United States, EU, Japan, and other countries. If we or our collaborators fail to maintain regulatory compliance or satisfy other obligations for such products' currently approved indications (including because the product does not meet the relevant endpoints of any required post-approval studies (such as those required under an accelerated approval by the FDA or other similar type of approval), or for any of the reasons discussed below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 approval for drug and biological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 is costly, time-consuming, and highly uncertain. If we or our collaborators do not maintain regulatory approval for our marketed products, or obtain regulatory approval for our product candidates, we will not be able to market or sell them; and if we do not obtain approvals for new indications for our marketed products, we may not be able to realize the full commercial potential of such products. Any of the foregoing may materially and negatively impact our business, prospects, operating results, and financial condition.</w:t>
      </w:r>
      <w:r>
        <w:rPr>
          <w:rFonts w:ascii="Times New Roman" w:cs="Times New Roman" w:eastAsia="Times New Roman" w:hAnsi="Times New Roman"/>
          <w:sz w:val="18"/>
          <w:szCs w:val="18"/>
          <w:color w:val="auto"/>
        </w:rPr>
        <w:t>"), the applicable marketing approval may be withdrawn, which would materially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harm our business, prospects, operating results, and financial condition. Failure to comply may also subject us to sanctions, product recalls, or withdrawals of previously approved marketing applications. See also "Risks Related to Manufacturing and Supply - </w:t>
      </w:r>
      <w:r>
        <w:rPr>
          <w:rFonts w:ascii="Times New Roman" w:cs="Times New Roman" w:eastAsia="Times New Roman" w:hAnsi="Times New Roman"/>
          <w:sz w:val="18"/>
          <w:szCs w:val="18"/>
          <w:i w:val="1"/>
          <w:iCs w:val="1"/>
          <w:color w:val="auto"/>
        </w:rPr>
        <w:t>Our or our collaborators' or contract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manufacturers'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 below.</w:t>
      </w:r>
    </w:p>
    <w:p>
      <w:pPr>
        <w:spacing w:after="0" w:line="12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marketed products are dependent on the availability and extent of coverage and reimbursement and copay assistance from third-party payors and other third parties.</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Sales of our marketed products in the United States are dependent, in large part, on the availability and extent of coverage and reimbursement from third-party payors, including private payor healthcare and insurance programs, health maintenance organizations, pharmacy benefit management companies ("PBMs"), and government programs such as Medicare and Medicaid. Such sales are also impacted by the ability of patients to afford copays and the availability and extent of copay assistance, including copay assistance provided by other third parties (such as not-for-profit patient assistance funds). Sales of our marketed products in other countries are also dependent, in large part, on complex coverage and reimbursement mechanisms and programs in those countries.</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revenues and profitability will be materially adversely affected if such third-party payors and other third parties do not adequately defray or reimburse the cost of our marketed products. If third-party payors do not provide coverage and reimbursement with respect to our marketed products or provide an insufficient level of coverage and reimbursement, such products may be too costly for many patients to afford them, and physicians may not prescribe them. Many third-party payors cover only selected drugs, or may prefer selected drugs, making drugs that are not covered or preferred by such payors more expensive for patients. Third-party payors may also require prior authorization for reimbursement, require failure on another type of treatment, or impose other utilization management restrictions before covering a particular drug, particularly with respect to higher-priced drugs. Further, sales of our marketed products (such as EYLEA HD and EYLEA) in the United States may be adversely impacted by the lack of sufficient copay assistance from not-for-profit patient assistance funds. For example, a loss in market share to compounded bevacizumab due to patient affordability constraints impacted U.S. net product sales of EYLEA for the year ended December 31, 2025, as further described under Part II, Item 7. "Management's Discussion and Analysis of Financial Condition and Results of Operations – Results of Operations" of our Annual Report on Form 10-K for the fiscal year ended December 31, 2025 (filed February 4, 2026). If independent not-for-profit patient assistance funds that provide patient copay assistance are unable to support eligible patients, this will likely have a continued negative impact on patient affordability resulting in lower utilization of higher-cost anti-VEGF agents.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our currently marketed products and most of our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healthcare systems, our currently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marketed products and product candidates are likely to be subject to continued pricing pressures, which may have an adverse impact on our business, prospects, operating results, and financial condition.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in order for private insurance and governmental payors (such as Medicare and Medicaid in the United States) to reimburse the cost of our marketed products, we must maintain, among other things, our FDA registration and our National Drug Code, formulary approval by PBMs, and recognition by insurance companies and Centers for Medicare &amp; Medicaid Services ("CMS"). There is no certainty that we will be able to obtain or maintain the applicable requirements for reimbursement (including relevant formulary coverage, as discussed further below) of our current and future marketed products, which may have a material adverse effect on our business.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PBMs and other managed-care organizations often develop formularies to reduce their cost for medications. The breadth of the products covered by formularies varies considerably from one PBM to another. Failure to be included in such formularies or to achieve favorable formulary status may negatively impact the utilization and market share of our marketed products. If our marketed products are not included within an adequate number of formularies, adequate reimbursement levels are not provided, the eligible insured patient population for our products is limited, or a key payor refuses to provide reimbursement for our products in a particular jurisdiction altogether, this could have a material adverse effect on our and our collaborators' ability to commercialize the applicable product.</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many countries outside the United States,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marketed products in those countries. In some of these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limitations on the profitability of the medicinal product placed on the market. In addition, in many countries outside the United States, we or our collaborators must participate in a tender process for public procurement of our products, and any failure to obtain acceptable pricing in the tender process could adversely affect our business. Our results of operations may suffer if we or our collaborators are unable to market our products in countries outside the United States or if coverage and reimbursement for our marketed products in such countries is limited or delayed. As discussed below under "</w:t>
      </w:r>
      <w:r>
        <w:rPr>
          <w:rFonts w:ascii="Times New Roman" w:cs="Times New Roman" w:eastAsia="Times New Roman" w:hAnsi="Times New Roman"/>
          <w:sz w:val="18"/>
          <w:szCs w:val="18"/>
          <w:i w:val="1"/>
          <w:iCs w:val="1"/>
          <w:color w:val="auto"/>
        </w:rPr>
        <w:t>If we are unable to establish sufficient commercial capabilities outside the United States for products we intend to commercialize 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we will need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 these and other commercialization-related risks in order for us to successfully maintain and/or further develop sufficient commercial capabilities outside the United States.</w:t>
      </w:r>
    </w:p>
    <w:p>
      <w:pPr>
        <w:spacing w:after="0" w:line="1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reimbursement and coverage policies and practices, pricing regulations and requirements, and our pricing strategy could change due to various factors beyond our control, which may adversely impact our business, prospects, operating results, and financial condition.</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Government and other third-party payors (including PBMs)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such as step therapy (i.e., requiring the use of less costly medications before more costly medications are approved for coverage). Private payor healthcare and insurance providers, health maintenance organizations, and PBMs are increasingly requiring significant discounts and rebates from manufacturers as a condition to including products on formulary with favorable coverage and copayment/coinsurance. In addition, many payors continue to adopt benefit plan changes that shift a greater portion of prescription costs to patients, including more limited benefit plan designs, higher patient copay or coinsurance obligations, and limitations on patients' use of commercial manufacturer copay payment assistance programs (including through copay accumulator adjustment or maximization programs). Some states have also enacted or are considering legislation to control the prices and reimbursement of prescription drugs, including by establishing Prescription Drug Affordability Boards (or similar entities) to review high-cost drugs, setting upper payment limits, and/or implementing marketing cost disclosure and transparency measures. Additionally, state Medicaid programs have been increasingly requesting that manufacturers, including Regeneron, pay supplemental rebates and requiring prior authorization by the state program for use of any prescription drug for which supplemental rebates are not being paid. It is likely that federal and state legislatures and health agencies will continue to focus on additional healthcare reform measures in the future that will impose additional constraints on prices and reimbursements for our marketed products.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there have been several recent U.S. Congressional inquiries, executive orders, and recently approved or proposed federal and state legislation, regulations, and policies (in addition to those already in effect) designed to, among other things, bring more transparency to drug pricing, review the relationship between pricing and manufacturer patient programs, reduce the out-of-pocket cost of prescription drugs, and reform government program reimbursement methodologies for drugs. Notably, in 2022 the U.S. Congress passed the Inflation Reduction Act ("IRA"), which includes, among other items, provisions regarding the following:</w:t>
      </w:r>
    </w:p>
    <w:p>
      <w:pPr>
        <w:spacing w:after="0" w:line="100" w:lineRule="exact"/>
        <w:rPr>
          <w:sz w:val="20"/>
          <w:szCs w:val="20"/>
          <w:color w:val="auto"/>
        </w:rPr>
      </w:pPr>
    </w:p>
    <w:p>
      <w:pPr>
        <w:jc w:val="both"/>
        <w:ind w:left="660" w:hanging="328"/>
        <w:spacing w:after="0" w:line="255"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Implementation of a Medicare Drug Price Negotiation Program </w:t>
      </w:r>
      <w:r>
        <w:rPr>
          <w:rFonts w:ascii="Times New Roman" w:cs="Times New Roman" w:eastAsia="Times New Roman" w:hAnsi="Times New Roman"/>
          <w:sz w:val="18"/>
          <w:szCs w:val="18"/>
          <w:color w:val="auto"/>
        </w:rPr>
        <w:t>(the "Medicare Drug Price Negotiation Program"). The Medicare Drug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Negotiation Program requires the government to set prices for select high-expenditure drugs covered under Medicare Parts B and D. Starting in 2023 and 2026, the government is authorized to select Part D and Part B drugs, respectively, for inclusion in the Medicare Drug Price Negotiation Program, with established prices to go into effect for selected Part D drugs in 2026 and for selected Part B drugs in 2028, in each case absent certain disqualifying events.</w:t>
      </w:r>
    </w:p>
    <w:p>
      <w:pPr>
        <w:ind w:left="66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Medicare Inflation Based Rebates</w:t>
      </w:r>
      <w:r>
        <w:rPr>
          <w:rFonts w:ascii="Times New Roman" w:cs="Times New Roman" w:eastAsia="Times New Roman" w:hAnsi="Times New Roman"/>
          <w:sz w:val="18"/>
          <w:szCs w:val="18"/>
          <w:color w:val="auto"/>
        </w:rPr>
        <w:t>. The IRA includes measures requiring manufacturers to pay rebates where increases to the average sales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average manufacturer price of drugs covered under Medicare Parts B and D, respectively, exceed the rate of inflation.</w:t>
      </w:r>
    </w:p>
    <w:p>
      <w:pPr>
        <w:ind w:left="660" w:right="20" w:hanging="328"/>
        <w:spacing w:after="0" w:line="26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Medicare Part D Program Redesign</w:t>
      </w:r>
      <w:r>
        <w:rPr>
          <w:rFonts w:ascii="Times New Roman" w:cs="Times New Roman" w:eastAsia="Times New Roman" w:hAnsi="Times New Roman"/>
          <w:sz w:val="18"/>
          <w:szCs w:val="18"/>
          <w:color w:val="auto"/>
        </w:rPr>
        <w:t>. The IRA implements changes to the Medicare Part D benefits to limit patient out-of-pocket drug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shift program liabilities from patients to other stakeholders, including health plans, manufacturers, and the government.</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full extent to which the policy changes described above will ultimately impact reimbursement levels of our marketed products, including those covered under Medicare Part B (such as EYLEA HD and EYLEA), or our product candidates that may be covered under Medicare Part B or Medicare Part D in the future, is currently unclear. In addition, the current U.S. administration is pursuing other measures to reduce the cost of drugs in the United States. For example, in May 2025, an executive order directed the U.S. Department of Health and Human Services ("HHS") and other federal agencies to take certain steps intended to, among other things, reduce the prices of drugs sold in the United States to match the lowest price available for the same drugs in comparably developed nations. In addition, a prior executive order from April 2025 directed the HHS to take appropriate steps to, among other things, modify certain provisions of the Medicare Drug Price Negotiation Program, develop and implement a payment model to reduce the price of high-cost prescription drugs and biological products covered by Medicare, accelerate approval of generic and biosimilar products, and facilitate the ability of states to import pharmaceuticals from other countries. In response to these executive orders, in December 2025, the Center for Medicare and Medicaid Innovation proposed two mandatory Medicare payment models that, if finalized, would apply to certain drugs covered under Medicare Parts B and D and test whether alternative methodologies for calculating inflationary rebates based on international reference pricing would reduce Medicare spending. It is currently unclear how and to what extent the measures described in this paragraph may be implemented and what impact any such implementation would have on our Company.</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April 2026, in response to the May 2025 executive order described above and a related letter that we and certain other pharmaceutical companies received from President Trump, we entered into the U.S. Government Agreements, pursuant to which we have agreed, among other matters, to provide certain of our products that we wholly own in the United States to the Medicaid program, and to price certain future medicines in the United States, at or below Most-Favored-Nation Pricing. The U.S. Government Agreements further provide that Regeneron's products will not face tariffs as a result of the investigation under Section 232 of the Trade Expansion Act of 1962, as amended ("Section 232"), through January 2029 so long as the Company continues its commitments to invest in manufacturing and research and development infrastructure in the United States. The U.S. Government Agreements will likely result, and any potential future agreements with government entities could also result, in reduced prices and reimbursement for certain of our current and future marketed products and may impact our results of operations. See Part I, Item 2. "Management's Discussion and Analysis of Financial Condition and Results of Operations – Overview – </w:t>
      </w:r>
      <w:r>
        <w:rPr>
          <w:rFonts w:ascii="Times New Roman" w:cs="Times New Roman" w:eastAsia="Times New Roman" w:hAnsi="Times New Roman"/>
          <w:sz w:val="18"/>
          <w:szCs w:val="18"/>
          <w:i w:val="1"/>
          <w:iCs w:val="1"/>
          <w:color w:val="auto"/>
        </w:rPr>
        <w:t>Recent Developments – Agreement with the U.S. Government</w:t>
      </w:r>
      <w:r>
        <w:rPr>
          <w:rFonts w:ascii="Times New Roman" w:cs="Times New Roman" w:eastAsia="Times New Roman" w:hAnsi="Times New Roman"/>
          <w:sz w:val="18"/>
          <w:szCs w:val="18"/>
          <w:color w:val="auto"/>
        </w:rPr>
        <w:t>." We also remain subject to any current or future pricing mandates implemented outside the United States, and it is possible that current or future pricing regulations may have a material impact on our business and results of operations.</w:t>
      </w:r>
    </w:p>
    <w:p>
      <w:pPr>
        <w:spacing w:after="0" w:line="1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At the state level, legislatures are becoming increasingly aggressive in passing legislation and implementing regulations designed to control pharmaceutical and biological product pricing, including price or patient reimbursement constraints, discounts, restrictions on certain product access, price and marketing cost disclosure and transparency measures, and measures that could expand the applicability of the ceiling price under the federal government's 340B program (see also "Other Regulatory and Litigation Risks - </w:t>
      </w:r>
      <w:r>
        <w:rPr>
          <w:rFonts w:ascii="Times New Roman" w:cs="Times New Roman" w:eastAsia="Times New Roman" w:hAnsi="Times New Roman"/>
          <w:sz w:val="18"/>
          <w:szCs w:val="18"/>
          <w:i w:val="1"/>
          <w:iCs w:val="1"/>
          <w:color w:val="auto"/>
        </w:rPr>
        <w:t>If we fail to comply with our reporting and payment obligations under the Medicaid 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Rebate program or other governmental pricing programs, we could be subject to additional reimbursement requirements, penalties, sanctions, and fines, which could have a material adverse effect on our business, financial condition, results of operations, and future prospects</w:t>
      </w:r>
      <w:r>
        <w:rPr>
          <w:rFonts w:ascii="Times New Roman" w:cs="Times New Roman" w:eastAsia="Times New Roman" w:hAnsi="Times New Roman"/>
          <w:sz w:val="18"/>
          <w:szCs w:val="18"/>
          <w:color w:val="auto"/>
        </w:rPr>
        <w:t>."). In some cases,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are designed to encourage importation from other countries and bulk purchasing. A reduction in the availability or extent of reimbursement from U.S. government programs (including as a</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result of the legislation, proposals, initiatives, and developments described above) could have a material adverse effect on the sales of our marketed products. Economic pressure on state budgets may also have a similar impact.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commercial success of our products and product candidates is subject to significant competition.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Marketed Products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substantial competition from pharmaceutical and biotechnology companies. Many of our competitors have substantially greater research, preclinical and clinical product development, and manufacturing capabilities, as well as financial, marketing, and human resources, than we do. Our competitors, regardless of their size, may also enhance their competitive position if they acquire or discover patentable inventions, form collaborative arrangements, or merge with other pharmaceutical or biotechnology companies. There is significant actual and potential future competition for each of our marketed products.</w:t>
      </w:r>
    </w:p>
    <w:p>
      <w:pPr>
        <w:spacing w:after="0" w:line="10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EYLEA HD and EYLEA. </w:t>
      </w:r>
      <w:r>
        <w:rPr>
          <w:rFonts w:ascii="Times New Roman" w:cs="Times New Roman" w:eastAsia="Times New Roman" w:hAnsi="Times New Roman"/>
          <w:sz w:val="18"/>
          <w:szCs w:val="18"/>
          <w:color w:val="auto"/>
        </w:rPr>
        <w:t>EYLEA HD and EYLEA face significant competition in the marketplace. For example, each of EYLEA HD and EYLEA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competes in one or more of its approved indications with other VEGF inhibitors. These include Genentech/Roche's Vabysmo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(faricimab-svoa) and Susvimo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(ranibizumab ocular implant); Novartis and Genentech/Roche's Lucentis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(ranibizumab); Novartis' Beovu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(brolucizumab); and a biosimilar version of Lucentis commercialized in the United States by Biogen Inc. In addition, biosimilar versions of EYLEA have been approved and/or launched both in and outside the United States, including Amgen's Pavblu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(aflibercept-ayyh) in the United States. We are aware of several other companies developing biosimilar versions of EYLEA, EYLEA HD, and/or other approved anti-VEGF treatments. We expect that biosimilar competition for EYLEA will continue to increase as additional biosimilar versions of EYLEA are launched in the United States and other countries, the timing of which will depend on, among other factors, the outcome of the pending patent litigation proceedings and the settlement terms of the previously pending litigation proceedings described in Note 12 to our Condensed Consolidated Financial Statements included in this report and the expiration of the patents protecting EYLEA (including those set forth under Part I - Item 1. "Business - Patents, Trademarks, and Trade Secrets" of our Annual Report on Form 10-K for the fiscal year ended December 31, 2025 (filed February 4, 2026)). Ophthalmologists are also using off-label, third-party repackaged versions of Genentech/Roche's approved VEGF antagonist, bevacizumab, for the treatment of certain of EYLEA HD's and EYLEA's respective indications, and we are aware of another company developing an ophthalmic formulation of such product that has been approved in the EU. In DME and RVO, EYLEA HD and EYLEA also compete with intravitreal implants of corticosteroids. We are also aware of a number of companies working on the development of product candidates and extended delivery devices for the potential treatment of one or more of EYLEA HD's and EYLEA's respective indications, including those that act by blocking VEGF and VEGF receptors (including therapies designed to extend the treatment interval) and/or other targets. Other potentially competitive products in development include products for use in combination with EYLEA and/or other anti-VEGF treatments, small-molecule tyrosine kinase inhibitors, gene therapies, and other eye-drop formulations, devices, and oral therapies. There also is a risk that third parties repackage ZALTRAP for off-label use and sale for the treatment of diseases of the eye, even though ZALTRAP has not been manufactured and formulated for use in intravitreal injections. We are aware of claims by third parties, including those based on published clinical data, alleging that ZALTRAP may be safely administered to the eye.</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EYLEA HD was launched in 2023 and entered the highly competitive environment described above. Our success in commercializing EYLEA HD will continue to depend on a number of factors, including the degree of success of our uptake efforts as compared to those of relevant competition, the extent to which we and our collaborators are able to differentiate EYLEA HD from competitive products (such as on the basis of dosing frequency, the method of administration, or the breadth of indications in which the product is approved), the safety and efficacy of EYLEA HD seen in a broader patient group (i.e., real-world use), the extent of payor coverage, reimbursement, and copay assistance, and the applicability of any restrictions imposed by payors, such as step therapy.</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Dupixent</w:t>
      </w:r>
      <w:r>
        <w:rPr>
          <w:rFonts w:ascii="Times New Roman" w:cs="Times New Roman" w:eastAsia="Times New Roman" w:hAnsi="Times New Roman"/>
          <w:sz w:val="18"/>
          <w:szCs w:val="18"/>
          <w:color w:val="auto"/>
        </w:rPr>
        <w:t>. The market for Dupixent's current and potential future indications is also increasingly competitive. There are systemic JAK inhibitors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antibodies against IL-13 and IL-4Ra approved or in development for atopic dermatitis. There is also an antibody against IL-31R approved for atopic dermatitis and prurigo nodularis. In addition, a number of companies are developing antibodies against other targets, including OX40(L), that may compete with Dupixent in atopic dermatitis. In asthma, competitors to Dupixent include antibodies against the IL-5 ligand or the IL-5 receptor, immunoglobulin E, or thymic stromal lymphopoietin ("TSLP"); and some of these antibodies are either approved or in development for indications that also compete or may compete in the future with Dupixent in CRSwNP, EoE, COPD, and CSU where approved. There are several other potentially competitive products in development that may compete with Dupixent in atopic dermatitis, asthma, COPD, and potential future indications, including STAT6 oral small molecules, and multispecific antibodies against IL-13 and TSLP, with and without IL-4. Dupixent also faces competition from a Bruton tyrosine kinase inhibitor in CSU and may in the future face competition from inhaled products in asthma, COPD, and potential future indications.</w:t>
      </w:r>
    </w:p>
    <w:p>
      <w:pPr>
        <w:spacing w:after="0" w:line="10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Libtayo. </w:t>
      </w:r>
      <w:r>
        <w:rPr>
          <w:rFonts w:ascii="Times New Roman" w:cs="Times New Roman" w:eastAsia="Times New Roman" w:hAnsi="Times New Roman"/>
          <w:sz w:val="18"/>
          <w:szCs w:val="18"/>
          <w:color w:val="auto"/>
        </w:rPr>
        <w:t>Libtayo also faces significant competition. There are several competitors that are marketing and/or developing antibodies against PD-1 and/or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PDL-1 (some of which were approved in the relevant indications and commercialized before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Libtayo), including Merck's Keytruda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(pembrolizumab), Bristol-Myers Squibb's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(nivolumab), Roche's Tecentriq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(atezolizumab), AstraZeneca's Imfinzi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(durvalumab), and Sun Pharma's Unloxcyt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(cosibelimab). While Libtayo is currently approved for intravenous administration only, certain of these products are also approved or in development for subcutaneous use.</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marketed products. </w:t>
      </w:r>
      <w:r>
        <w:rPr>
          <w:rFonts w:ascii="Times New Roman" w:cs="Times New Roman" w:eastAsia="Times New Roman" w:hAnsi="Times New Roman"/>
          <w:sz w:val="18"/>
          <w:szCs w:val="18"/>
          <w:color w:val="auto"/>
        </w:rPr>
        <w:t>There is also significant actual and potential future competition for other products marketed or otherwise commercialized by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our collaborators under our collaboration agreements with them. For example, Lynozyfic faces significant actual and potential future competition from other bispecific antibodies and CAR-T cell therapies targeting BCMA, GPRC5D, and/or other targets that are currently approved or in development for the treatment of relapsed/refractory multiple myeloma. In addition, there are several companies that are marketing and/or developing antibodies or other molecules (such as small interfering RNA molecules, or siRNAs, and oral small molecules) against PCSK9, ANGPTL3 and IL-6 and/or IL-6R, which currently (or, for product candidates in development, may in the future if approved) treat the same conditions as Praluent, Evkeeza, and Kevzara,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Candidates</w:t>
      </w:r>
    </w:p>
    <w:p>
      <w:pPr>
        <w:spacing w:after="0" w:line="1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technology, other antibody generation technologies, and late-stage and earlier-stage clinical candidates face competition from many pharmaceutical and biotechnology companies using various technologies, including antibody generation technologies and other approaches such as RNAi, CAR-T cell, and gene therapy technologies. For example, we are aware of other pharmaceutical and biotechnology companies actively engaged in the research and development of antibody-based products (including bispecific antibodies, multispecific antibodies, and/or antibody-drug conjugates) and gene therapy-based products against targets that are also the targets of our early- and late-stage product candidates. We are also aware of other companies developing or marketing small molecules or other treatments that may compete with our antibody-based product candidates in various indications, if such product candidates obtain regulatory approval in those indications.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pharmaceutical products, we may not be the first to obtain marketing approval for a product against any particular target, which may have a material adverse effect on our business or future prospects. While we evaluate market opportunities for our product candidates, there can be no assurance that our estimates will accurately reflect the market opportunity at the time of launch or that our product candidates will meet internal or external expectations and be successful commercially due to existing or potential future competition or otherwise.</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increasing competition from Chinese biotechnology and pharmaceutical companies, including Chinese state-owned or state-backed enterprises, with respect to both our marketed products and product candidates. China has become one of the world's leading developers of new drugs, and Chinese companies benefit from a regulatory regime that enables rapid, low-cost clinical trials that facilitate innovation. Furthermore, we compete with other large pharmaceutical companies, many of which have invested significantly in China, in acquiring or licensing Chinese product candidates, and we may not be as successful as our competitors in identifying or accessing such assets.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collaborations with Bayer and Sanofi for commercializing some of our marketed products.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established our own sales and marketing organization for EYLEA HD and EYLEA in the United States for its currently approved indications, we have no sales, marketing, commercial, or distribution capabilities for EYLEA HD or EYLEA outside the United States. Under the terms of our license and collaboration agreement with Bayer (which is terminable by Bayer at any time upon six or twelve months' advance notice, depending on the circumstances giving rise to termination), we rely on Bayer (and, in Japan, Santen pursuant to a Co-Promotion and Distribution Agreement with Bayer's Japanese affiliate) for sales, marketing, and distribution of EYLEA HD and EYLEA outside the United States.</w:t>
      </w:r>
    </w:p>
    <w:p>
      <w:pPr>
        <w:spacing w:after="0" w:line="1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under the terms of our Antibody Collaboration, we and Sanofi co-commercialize Dupixent in the United States and, as further discussed below, certain jurisdictions outside the United States. As a result, we rely in part on Sanofi's sales and marketing organization for Dupixent. If we and Sanofi fail to coordinate our sales and marketing efforts effectively, sales of Dupixent may be materially adversely affected. Sanofi also maintains other important responsibilities relating to Dupixent. For example, Sanofi records product sales for Dupixent in the United States and leads negotiations with payors relating to this product. We also rely on Sanofi for sales, marketing, and distribution of Dupixent in many countries outside the United States. While we exercised our option under the Antibody Collaboration to co-commercialize Dupixent in certain jurisdictions outside the United States, we continue to rely in considerable part on Sanofi's sales and marketing organization in such jurisdictions. As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described in Note 12 to our Condensed Consolidated Financial Statements included in this report, we have sued Sanofi and certain of its affiliated entities (the "Antibody Collaboration Litigation") alleging that the defendants breached certain provisions of the agreement governing the Antibody Collaboration (the "Collaboration Agreement"). These provisions concern Sanofi's obligation to provide Regeneron with full access to material information relating to the commercialization of Dupixent or other products commercialized pursuant to the Collaboration Agreement and Regeneron's audit rights under the Collaboration Agreement. It is not possible to determine what impact (if any) the Antibody Collaboration Litigation may have on the Antibody Collaboration and our business relationship with Sanofi, or whether we will be successful in the Antibody Collaboration Litigation.</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If we and our collaborators are unsuccessful in continuing to commercialize the marketed products subject to such collaborations, or if Bayer or Sanofi terminate their respective collaborations with us, our business, prospects, operating results, and financial condition would be materially impaired. While we have some commercial presence outside the United States, our commercial capabilities outside the United States are still limited and would need to be further developed or outsourced. Therefore, termination of the Bayer collaboration agreement or our Antibody Collaboration with Sanofi would create substantial new and additional risks to the successful commercialization of the applicable products, particularly outside the United States. For additional information regarding our collaborations with Bayer and Sanofi, see "Risks Related to Our Reliance on or Transactions with Third Parties - </w:t>
      </w:r>
      <w:r>
        <w:rPr>
          <w:rFonts w:ascii="Times New Roman" w:cs="Times New Roman" w:eastAsia="Times New Roman" w:hAnsi="Times New Roman"/>
          <w:sz w:val="18"/>
          <w:szCs w:val="18"/>
          <w:i w:val="1"/>
          <w:iCs w:val="1"/>
          <w:color w:val="auto"/>
        </w:rPr>
        <w:t>If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collaboration with Bayer for EYLEA HD and EYLEA is terminated, or Bayer materially breaches its obligations thereunder, our business, prospects, operating results, and financial condition, and our ability to continue to commercialize EYLEA HD and EYLEA outside the United States would be materially harmed</w:t>
      </w:r>
      <w:r>
        <w:rPr>
          <w:rFonts w:ascii="Times New Roman" w:cs="Times New Roman" w:eastAsia="Times New Roman" w:hAnsi="Times New Roman"/>
          <w:sz w:val="18"/>
          <w:szCs w:val="18"/>
          <w:color w:val="auto"/>
        </w:rPr>
        <w:t>" below and "Risks Related to Our Reliance on or Transactions with Third Parties -</w:t>
      </w:r>
      <w:r>
        <w:rPr>
          <w:rFonts w:ascii="Times New Roman" w:cs="Times New Roman" w:eastAsia="Times New Roman" w:hAnsi="Times New Roman"/>
          <w:sz w:val="18"/>
          <w:szCs w:val="18"/>
          <w:i w:val="1"/>
          <w:iCs w:val="1"/>
          <w:color w:val="auto"/>
        </w:rPr>
        <w:t xml:space="preserve"> If our Antibody Collaboration with Sanofi is terminated, or Sanofi materially breaches its obligations thereunder, our business, prospects, operating results, and financial condition, and our ability to develop, manufacture, and commercialize certain of our products and product candidates in the time expected, or at all, may be materially harmed</w:t>
      </w:r>
      <w:r>
        <w:rPr>
          <w:rFonts w:ascii="Times New Roman" w:cs="Times New Roman" w:eastAsia="Times New Roman" w:hAnsi="Times New Roman"/>
          <w:sz w:val="18"/>
          <w:szCs w:val="18"/>
          <w:color w:val="auto"/>
        </w:rPr>
        <w:t>" below.</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marketed products recorded by us and our collaborators could be reduced by imports from countries where such products may be available at lower prices.</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sales of products we commercialize in the United States and our collaborators' sales of products they commercialize or co-commercialize with us under our collaboration agreements with them in the United States and other countries (which impact our share of any profits from the commercialization of these products under the relevant collaboration agreements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tax rates, or national regulation of prices. Under our arrangement with Bayer, pricing and reimbursement for EYLEA HD and EYLEA outside the United States are the responsibility of Bayer. Similarly, under our Antibody Collaboration with Sanofi, pricing and reimbursement for the products commercialized or co-commercialized thereunder outside the United States are the responsibility of Sanofi. Prices for our marketed products in jurisdictions outside the United States are based on local market economics and competition and are likely to differ from country to country. In the United States, prices for pharmaceuticals are generally higher than in the bordering nations of Canada and Mexico and sales of our marketed products in the United States may be reduced if the applicable product marketed in those bordering nations is imported into the United States. In addition, there are proposals to legalize the import of pharmaceuticals from outside the United States into the United States and, as discussed above under "</w:t>
      </w:r>
      <w:r>
        <w:rPr>
          <w:rFonts w:ascii="Times New Roman" w:cs="Times New Roman" w:eastAsia="Times New Roman" w:hAnsi="Times New Roman"/>
          <w:sz w:val="18"/>
          <w:szCs w:val="18"/>
          <w:i w:val="1"/>
          <w:iCs w:val="1"/>
          <w:color w:val="auto"/>
        </w:rPr>
        <w:t>Product reimbursement and coverage policies and practices, pricing regulations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and our pricing strategy could change due to various factors beyond our control, which may adversely impact our business, prospects, operating results, and financial condition,</w:t>
      </w:r>
      <w:r>
        <w:rPr>
          <w:rFonts w:ascii="Times New Roman" w:cs="Times New Roman" w:eastAsia="Times New Roman" w:hAnsi="Times New Roman"/>
          <w:sz w:val="18"/>
          <w:szCs w:val="18"/>
          <w:color w:val="auto"/>
        </w:rPr>
        <w:t>" an executive order from April 2025 directed the Secretary of the HHS to take appropriate steps to facilitate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importation at the state level. If such or other similar proposals were to be implemented, our future revenues derived from sales of our marketed products could be reduced. Parallel-trading practices also are of particular relevance to the EU, where they have been encouraged by the current regulatory framework. These types of imports may exert pressure on the pricing of our marketed products in a particular market or reduce sales recorded by us or our collaborators, thereby adversely affecting our results of operations.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payors and on the ability of our Company, our collaborators, or other third parties on which we rely (as applicable)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In addition, we may need to further develop or acquire these capabilities as we and/or our collaborators continue to pursue the development of drugs generated by means other than our established "Trap" or </w:t>
      </w:r>
      <w:r>
        <w:rPr>
          <w:rFonts w:ascii="Times New Roman" w:cs="Times New Roman" w:eastAsia="Times New Roman" w:hAnsi="Times New Roman"/>
          <w:sz w:val="18"/>
          <w:szCs w:val="18"/>
          <w:i w:val="1"/>
          <w:iCs w:val="1"/>
          <w:color w:val="auto"/>
        </w:rPr>
        <w:t xml:space="preserve">VelociSuite </w:t>
      </w:r>
      <w:r>
        <w:rPr>
          <w:rFonts w:ascii="Times New Roman" w:cs="Times New Roman" w:eastAsia="Times New Roman" w:hAnsi="Times New Roman"/>
          <w:sz w:val="18"/>
          <w:szCs w:val="18"/>
          <w:color w:val="auto"/>
        </w:rPr>
        <w:t>technologies, such as siRNA gene silencing, genome editing, and targeted viral-based gene delivery and expression. Even if we obtain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commercial success of our products may also be adversely affected by guidelines or recommendations to healthcare providers, administrators, payors,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marketed products and product candidates are typically delivered either by intravenous infusion or by intravitreal or subcutaneous injections. These methods of administration are generally disfavored by patients when compared to tablet or capsule delivery, which could adversely affect the commercial success of such marketed products or, if they receive marketing approval, product candidates.</w:t>
      </w:r>
    </w:p>
    <w:p>
      <w:pPr>
        <w:spacing w:after="0" w:line="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sell our marketed products for which we record net product sales in the United States to several distributors and specialty pharmacies, as applicable (collectively, "distributor customers"), which generally sell the product directly to healthcare providers or other pharmacies (as applicable). For the three months ended March 31, 2026 and 2025, our product sales to two distributor customers accounted on a combined basis for 75% and 76% of our total gross product revenue, respectively. We expect significant distributor customer concentration to continue for the foreseeable future. Our ability to generate and grow sales of our products will depend, in part, on the extent to which our distributor customers are able to provide adequate distribution of our products to healthcare providers. Although we believe we can find additional distributors, if necessary, our revenue during any period of disruption could suffer and we might incur additional costs. In addition, these distributor customers are responsible for a significant portion of our net trade accounts receivable balances. The loss of any large distributor customer, a significant reduction in sales we make to them, any cancellation of orders they have made with us, or any failure to pay for the products we have shipped to them could adversely affect our results of operations. Commercialization of any of our marketed products may also be adversely impacted by vertical integration of private payor healthcare and insurance programs, health maintenance organizations, and PBMs, or further consolidation among the healthcare providers served or operated by our distributor customers if, for example, one or more consolidated groups of healthcare providers determines not to use (or decides to switch from) such marketed product in favor of a competing product. See also "</w:t>
      </w:r>
      <w:r>
        <w:rPr>
          <w:rFonts w:ascii="Times New Roman" w:cs="Times New Roman" w:eastAsia="Times New Roman" w:hAnsi="Times New Roman"/>
          <w:sz w:val="18"/>
          <w:szCs w:val="18"/>
          <w:i w:val="1"/>
          <w:iCs w:val="1"/>
          <w:color w:val="auto"/>
        </w:rPr>
        <w:t>The commercial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success of our products and product candidates is subject to significant competition - </w:t>
      </w:r>
      <w:r>
        <w:rPr>
          <w:rFonts w:ascii="Times New Roman" w:cs="Times New Roman" w:eastAsia="Times New Roman" w:hAnsi="Times New Roman"/>
          <w:sz w:val="18"/>
          <w:szCs w:val="18"/>
          <w:color w:val="auto"/>
        </w:rPr>
        <w:t>Marketed Products" above.</w:t>
      </w:r>
    </w:p>
    <w:p>
      <w:pPr>
        <w:spacing w:after="0" w:line="11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sufficient commercial capabilities outside the United States for products we intend to commercialize or co-commercialize outside the United States, our business, prospects, operating results, and financial condition may be adversely affected.</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have made progress with establishing commercial capabilities in certain jurisdictions outside the United States in recent years (primarily in connection with our acquisition of the worldwide rights to Libtayo in 2022 and the exercise of our option under the Antibody Collaboration to co-commercialize Dupixent in certain jurisdictions outside the United States), our commercial capabilities and experience with commercializing products outside the United States (as well as obtaining and/or maintaining regulatory approvals and securing pricing and reimbursement for our products outside the United States) are still somewhat limited. There may be other circumstances in which we need to establish further commercial capabilities outside the United States, including because we decide to commercialize other products independently (such as Lynozyfic and Ordspono, which we recently launched in the EU); we are unable to find an appropriate collaborator; or an existing collaborator decides to opt out or breaches its obligations to us with respect to a particular product.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commercialize or co-commercialize any products outside the United States beyond what we have done so far, we must build or enhance our sales, marketing, distribution, regulatory, managerial, and other capabilities in the relevant markets or make arrangements with third parties to perform these services, any of which will likely be expensive and time consuming and could delay product launch or the co-commercialization of a product in one or more markets outside the United States. We cannot be certain that we will be able to successfully develop requisite commercial capabilities outside the United States within an acceptable time frame, without incurring substantial expenses, or at all. These and other difficulties relating to commercializing our products outside the United States may harm our business, prospects, operating results, and financial condition.</w:t>
      </w:r>
    </w:p>
    <w:p>
      <w:pPr>
        <w:spacing w:after="0" w:line="1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for drug and biological products is costly, time-consuming, and highly uncertain. If we or our collaborators do not maintain regulatory approval for our marketed products, or obtain regulatory approval for our product candidates, we will not be able to market or sell them; and if we do not obtain approvals for new indications for our marketed products, we may not be able to realize the full commercial potential of such products. Any of the foregoing may materially and negatively impact our business, prospects, operating results, and financial condition.</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sell or market products without regulatory approval or other authorization. If we or our collaborators do not maintain regulatory approval for our marketed products, or obtain regulatory approval for our product candidates or new indications of our marketed products (or are materially delayed in doing so), the value of our Company and our business, prospects, operating results, and financial condition may be materially harmed.</w:t>
      </w:r>
    </w:p>
    <w:p>
      <w:pPr>
        <w:spacing w:after="0" w:line="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United States, we (which, for purposes of this risk factor, includes our collaborators, unless otherwise stated or required by the context) must obtain and maintain approval from the FDA for each drug and biologic we intend to sell. We must obtain and maintain similar regulatory approvals from comparable foreign regulatory authorities in order to sell drugs and biologics outside the United States. Obtaining FDA or comparable foreign regulatory authority approval for a new drug or biologic or indication is typically a lengthy and expensive process, and approval is highly uncertain. We cannot predict with certainty if or when we might submit for regulatory approval for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Additionally, in the United States, the FDA may determine that a Risk Evaluation and Mitigation Strategy ("REMS") is necessary to ensure that the benefits of a new product outweigh its risks, and the product can therefore be approved. A REMS may include various elements, ranging from a medication guide or patient package insert to limitations on who may prescribe or dispense the drug or biologic, depending on what the FDA considers necessary for the safe use of the drug or biologic.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from us an application for review or approve our application, it may require that we conduct additional clinical, preclinical, or manufacturing validation studies or additional analyses of data from existing studies and submit the data before it will reconsider our application. Depending on the extent of these or any other studies or analyses that might be required, approval of any applications that we submit may be delayed significantly, or we may be required to expend considerably more resources. Any such additional studies or analyses, if performed and completed, may not be considered sufficient by the FDA to make our applications approvable. If any of these outcomes occur, we may be forced to delay or abandon applications for approval. For example, in October 2023, the FDA issued a Complete Response Letter ("CRL") for the sBLA for Dupixent in CSU stating that additional efficacy data were required to support an approval, which delayed by nearly 18 months the FDA's April 2025 approval of Dupixent in this indication.</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certain instances (such as when we use a biomarker-based test to identify and enroll specific patients in a clinical trial), regulatory approval of a companion diagnostic to our therapeutic product candidate may be required as a condition for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or product labeling updates for such companion diagnostics, which could negatively impact regulatory approval of our product candidates or may result in increased development costs or delays.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may also require us to conduct additional clinical trials after granting approval of a product. The FDA has the explicit authority to require post-marketing studies (also referred to as post-approval studies), labeling changes based on new safety information, and compliance with FDA-approved REMS. Post-approval studies, whether conducted by us or by others and whether mandated by regulatory agencies or voluntary, and other data about our marketed products (or data about products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similar to our marketed products that implicate an entire class of products or are perceived to do so) may result in changes in product labeling, restrictions on use, product withdrawal or recall, loss of approval, or lower sales of our products. Obligations equivalent in scope, but which can vary widely in application, apply in jurisdictions outside the United States.</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 to the FDA policies under the Prescription Drug User Fee Act, the FDA system of review times for new drugs and biologics includes standard review and priority review. While the FDA has performance goals that provide for action on NDA and BLA submissions by certain deadlines, the FDA's review goals are subject to change and the duration of the FDA's review depends on a number of factors, including the number and types of other applications that are submitted to the FDA around the same time period or are pending. The FDA's review of our regulatory submissions has in the past been delayed, and may be delayed in the future, due to the FDA's request for additional information or for other reasons, including those beyond our control (such as the 2025 reduction and any future reductions of staffing or other resources at the FDA, as discussed further below).</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functioning of the FDA is affected by a variety of factors, such as shifting government priorities, budgets and funding levels, authorization and payment of user fees, the ability to hire and retain key personnel, as well as other statutory, regulatory, and policy changes impacting HHS, the FDA, or other HHS agencies. U.S. policy changes have recently been implemented at a rapid pace, and additional changes may occur. For example, efforts implemented or commenced in 2025 to reduce the size and budgets of U.S. government agencies, downsize the federal workforce, and restructure parts of the executive branch of the federal government have directly or indirectly impacted agencies that support research and development activities or are otherwise important to our business, including the HHS and the FDA. If legislation, administrative action, or changes in policy prevent the FDA or other regulatory authorities from conducting routine inspections, reviews, or other regulatory activities, it could significantly impact the ability of the FDA to provide feedback on our clinical programs, meet with or engage in other informal interactions with us, and review and process our regulatory submissions (including our pending regulatory submissions) in a timely manner. These developments may also reduce the FDA's capacity to engage in pre-approval or guidance meetings or meetings to negotiate labeling or post-marketing commitments. Furthermore, changes in FDA personnel and policy (such as the 2025 reductions in communication and policymaking roles) may negatively impact the transparency of agency actions, lead to modifications in FDA approval requirements, and alter the FDA's existing guidance pertinent to the development strategy for our products and product candidates. In addition, the U.S. government has shut down multiple times in the recent past and certain regulatory agencies, such as the FDA, have had to furlough employees and stop some of their activities. A prolonged government shutdown or a widespread freeze on federal funding could significantly impact the ability of the FDA to timely review and process our regulatory submissions or cause other agencies that support the FDA to slow their work. Any such factors could have a material adverse effect on our business.</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believe we meet eligibility requirements, we may apply for various regulatory incentives in the United States, such as breakthrough therapy designation, fast track designation, accelerated approval, priority review, or the Commissioner's National Priority Voucher (CNPV) program, where potentially available, that serve to expedite drug development and/or review, and we may also seek similar designations elsewhere in the world. Often, regulatory agencies have broad discretion in determining whether or not product candidates qualify for such regulatory incentives and benefits, and we may fail to obtain beneficial regulatory designations from the FDA or other regulatory agencies. Even if obtained, such designations may not result in faster development processes, reviews, or approvals compared to drugs or biologics considered for approval under conventional FDA procedures. In addition, the FDA may later decide that any of our development programs no longer meets the conditions for a beneficial regulatory designation (including due to factors beyond our control, such as intervening competitive developments) or decide that the time period for FDA review or approval will not be shortened. FDA guidance relating to accelerated approval of oncology therapeutics indicates that a confirmatory trial for a particular oncology product candidate should be underway when the related marketing application is submitted to the FDA and also states that the FDA may require that a confirmatory trial for a particular oncology product candidate be well underway, if not fully enrolled, by the time of the accelerated approval action. Application of this guidance and related rules to our product candidates may result in a delay of the FDA review and approval process despite any earlier beneficial regulatory designation such product candidates may have received. For example, in March 2024, the FDA issued CRLs concerning our BLA for odronextamab for the treatment of relapsed/refractory FL and DLBCL due to the enrollment status of confirmatory Phase 3 trials, which, along with the July 2025 CRL discussed below, has delayed any potential FDA approval of odronextamab.</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and comparable foreign regulatory authorities enforce Good Clinical Practice requirements ("GCPs") and other regulations and legal requirements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and similar instances of non-compliance with GCPs could result in non-approval of our product candidates by the FDA or foreign regulatory authorities such as the EC, or we or the FDA or such other regulatory authorities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1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Before approving a new drug or biological product, the FDA and such comparable foreign regulatory authorities require that the facilities at which the product will be manufactured or advanced through the supply chain be in compliance with current Good Manufacturing Practices, or cGMP, requirements and regulations governing the manufacture, shipment, and storage of the product. Additionally, manufacturers of drugs and biological products and their facilities are subject to payment of substantial user fees and continual review and periodic inspections by the FDA and other regulatory authorities for compliance with cGMP regulations and adherence to any commitments made in the applicable NDA or BLA. These cGMP requirements and regulations are not prescriptive instructions on how to manufacture products, but rather a series of principles that must be observed during manufacturing; as a result, the manner in which such principles are implemented may not be specifically delineated, which can be challenging as the FDA and comparable foreign regulatory authorities increasingly scrutinize compliance with these requirements and regulations. As a result, manufacturing product candidates in compliance with these regulatory requirements is complex, time-consuming, and expensive. To be successful, our products must be manufactured in compliance with regulatory requirements, and at competitive costs. If we or any of our third-party manufacturers, product packagers, labelers, or other parties performing steps in the supply chain are unable to maintain regulatory compliance with cGMP, the FDA and comparable foreign regulatory authorities can impose monetary penalties or other civil or criminal sanctions, including, among other things, refusal to approve a pending application for a new drug or biological product, or revocation of a pre-existing approval. We have recently received several CRLs from the FDA for regulatory submissions concerning our products or product candidates due to the FDA's findings from inspections at third-party manufacturers responsible for filling drug product. These include the July 2025 CRL concerning the BLA for odronextamab in relapsed/refractory FL, which has delayed further any potential FDA approval of odronextamab in this indication; and the October 2025 CRL concerning our regulatory application seeking approval of the EYLEA HD pre-filled syringe, which has delayed further any potential FDA approval of the EYLEA HD pre-filled syringe. For additional information, see "Risks Related to Manufacturing and Supply - </w:t>
      </w:r>
      <w:r>
        <w:rPr>
          <w:rFonts w:ascii="Times New Roman" w:cs="Times New Roman" w:eastAsia="Times New Roman" w:hAnsi="Times New Roman"/>
          <w:sz w:val="18"/>
          <w:szCs w:val="18"/>
          <w:i w:val="1"/>
          <w:iCs w:val="1"/>
          <w:color w:val="auto"/>
        </w:rPr>
        <w:t>Our or our collaborators' or contract manufacturers' failure to meet the stringent requirements of governmental regulation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 Our business, prospects, operating results, and financial condition may be materially harmed as a result of noncompliance with the requirements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described in this paragraph.</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subject to ongoing requirements imposed by the FDA and comparable foreign regulatory authorities governing the labeling, packaging, storage, distribution, safety surveillance, advertising, promotion, record-keeping, and reporting of safety and other post-marketing information. The holder of an approved NDA, BLA, or foreign equivalent is obligated to monitor and report adverse events and any failure of a product to meet the specifications in the application. The holder of an approved NDA, BLA, or foreign equivalent must also submit new or supplemental applications and obtain FDA or other regulatory approval for certain changes to the approved product, product labeling, or manufacturing process. Advertising and promotional materials must comply with FDA regulations and those of foreign regulatory authorities and may be subject to other potentially applicable federal and state laws. The applicable regulations in jurisdictions outside the U.S. grant similar powers to the competent authorities and impose similar obligations on companies.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FDA and other regulatory agency regulations in the United States, we are subject to a variety of foreign regulatory requirements governing human clinical trials, manufacturing, marketing and approval, and commercial sale and distribution of drugs and biologics in jurisdictions outside the United States. The foreign regulatory approval process is similarly a lengthy and expensive process, the result of which is highly uncertain, and foreign regulatory requirements generally include the risks associated with FDA approval as well as jurisdiction-specific regulations. We and our collaborators must maintain regulatory compliance for the products we or they commercialize in jurisdictions outside the United States. From time to time, we may hold a product's marketing approval in a jurisdiction outside the United States where we have less experience and where our regulatory capabilities are more limited; for example, this is now the case for Libtayo in many jurisdictions outside the United States (including Europe and Japan) due to the transition under the Amended and Restated Immuno-oncology License and Collaboration Agreement with Sanofi. In addition, actions by a regulatory agency in a country or region with respect to a product candidate may have an impact on the approval process for that product candidate in another country or</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region. Foreign regulatory authorities may ask for additional data in order to begin a clinical study, including Phase 3 clinical trials required to submit an MAA in the EU. In addition, such authorities often have the authority to require post-approval studies, such as a post-authorization safety study ("PASS") and/or a post-authorization efficacy study ("PAES"), which involve various risks similar to those described above. Whether or not we obtain FDA approval for a product in the United States, we must obtain approval of the product by the comparable regulatory authorities in jurisdictions outside the United States before we can market that product or any other product in those jurisdictions.</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we are subject to extensive pharmacovigilance reporting and other pharmacovigilance requirements, which may differ in the numerous jurisdictions in which we conduct clinical trials or commercialize a product. Failure to comply with any such requirements may result in the premature closure of the clinical trials and other enforcement actions by the relevant regulatory authorities. For example, if we do not manage to retain a Qualified Person Responsible for Pharmacovigilance ("QPPV"), to maintain a Pharmacovigilance System Master File ("PSMF"), or to comply with other pharmacovigilance obligations in the European Economic Area ("EEA"), our clinical trials may be closed prematurely, our marketing authorization may be suspended, and we may be subject to other enforcement actions by the national competent authorities of the EEA or the EC.</w:t>
      </w:r>
    </w:p>
    <w:p>
      <w:pPr>
        <w:spacing w:after="0" w:line="1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clinical trial design that may make it impossible to enroll or retain a sufficient number of patients to achieve a statistically significant result or the desired level of statistical significance for the endpoint in question; lack of sufficient supplies of the product candidate or comparator drug; and the failure of clinical investigators, trial monitors, contractors, consultants, or trial subjects to comply with the trial plan, protocol, or applicable regulations related to Good Laboratory Practice requirements ("GLPs") or GCPs. Certain of these risks may be exacerbated as we pursue development of drugs generated by means other than our established "Trap" or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technologies, such as siRNA gene silencing, genome editing, and targeted viral-based gene delivery and expression. A clinical trial may also fail because the dose(s) of the investigational drug included in the trial were either too low or too high to determine the optimal effect of the investigational drug in the disease setting.</w:t>
      </w:r>
    </w:p>
    <w:p>
      <w:pPr>
        <w:spacing w:after="0" w:line="1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conducting clinical trials in countries outside the United States presents additional risks, including political and economic risks such as armed conflict and economic embargoes or boycotts. For example, we and our collaborators are currently conducting and may in the future conduct or initiate clinical trials with sites in Russia, Ukraine, and/or Israel. While we currently do not expect the Russia-Ukraine war, Israel's armed conflicts with Iran, Lebanon, or Hamas, or related developments to have a significant impact on our ability to obtain results from clinical trials conducted by us or our collaborators, further escalation (whether in these countries or surrounding areas) may adversely affect our ability to adequately conduct certain clinical trials and maintain compliance with relevant protocols due to, among other reasons, the prioritization of hospital resources away from clinical trials, reallocation or evacuation of site staff and subjects, or as a result of government-imposed curfews, warfare, violence, or other governmental action or other events that restrict movement. These developments may also result in our inability to access sites for monitoring or to obtain data or samples from affected sites or patients going forward. We could also experience disruptions in our supply chain or limits to our ability to provide sufficient investigational materials in such countries and surrounding regions. Clinical trial sites may suspend or terminate the trials being conducted and patients could be forced to evacuate or choose to relocate, making them unavailable for initial or further participation in such trials. Alternative sites in these areas may not be available and we may need to find other countries to conduct the relevant trials. Furthermore, military action may prevent the FDA or other regulatory agencies from inspecting clinical sites in these countries. Such interruptions may delay our plans for clinical development and approvals for our product candidates.</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an increasing number of our products and product candidates (including Libtayo) are being studied in combination with agents and treatments developed by us or our collaborators. There may be additional risks and unforeseen safety issues resulting from such combined administration, any of which may materially adversely impact clinical development of these product candidates and our ability to obtain regulatory approval.</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some jurisdictions such as the EU, initiating Phase 3 clinical trials and clinical trials in the pediatric population is subject to a requirement to obtain approval or a waiver from the competent authorities of the EU Member States and/or the European Medicines Agency ("EMA"). If we do not obtain such approval, our ability to conduct clinical trials and obtain marketing authorizations or approvals may be severely impaired and our business may be adversely impacted.</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research and development activities are conducted at our existing facilities primarily located in Tarrytown, New York. As we continue to expand, we may lease, operate, purchase, or construct additional facilities, which may require significant time and resources. Further, we may be unable to pursue our research and development efforts if the relevant facility were to be impacted by fire, climate change, natural disasters, acts of war or terrorism, or other disruptions. Any related delays may interfere with our research and development efforts and our business may be adversely impacted.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Successful development of our current and future product candidates is uncertain.</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Only a small minority of all research and development programs ultimately result in commercially successful products. Clinical trials may not demonstrate statistically sufficient effectiveness and safety to obtain the requisite regulatory approvals for particular product candidates in particular indications. Many companies in the biopharmaceutical industry, including our Company, have suffered significant setbacks in clinical trials, even after promising results had been obtained in earlier trials. For example, in May 2025, we and Sanofi announced that one of two Phase 3 trials evaluating itepekimab in adults who were former smokers with inadequately controlled COPD did not meet its primary endpoint. In a number of instances, we have terminated the development of product candidates due to a lack of or only modest effectiveness and/or safety concerns, and clinical trials evaluating our product candidates have failed to meet the relevant endpoints. Moreover, even if we obtain positive results from preclinical testing or clinical trials, we may not achieve the same success in future trials, or the FDA and/or analogous foreign regulatory authorities may deem the results insufficient for an approval. If concerns arise about the safety of a product candidate or non-compliance with the protocol or applicable regulatory requirements, the FDA or other regulatory authorities can delay or suspend a clinical trial by placing it on a full or partial "clinical hold" pending receipt of additional data or the satisfaction of other conditions. A clinical hold may require us to spend significant resources to address the underlying causes of the clinical hold and may result in a delay in the clinical program, which may be significant. In addition, if we are not able to successfully address such underlying causes or our response is not deemed adequate to lift the clinical hold, the clinical program may have to be terminated. Furthermore, changes in FDA personnel may alter the FDA's advice with respect to our development strategy and lead to delays or rejections of our clinical trial protocols or data. Any such clinical program delays or terminations may adversely affect our business.</w:t>
      </w:r>
    </w:p>
    <w:p>
      <w:pPr>
        <w:spacing w:after="0" w:line="1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The recommended termination or material modification of any of our ongoing late-stage clinical trials by an IDMC could negatively impact the future development of our product candidate(s), and our business, prospects, operating results, and financial condition may be materially harmed.</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studying our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Serious complications or side effects in connection with the use or development of our products or product candidates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indications in larger, longer, and more extensive or complex clinical programs (including those evaluating combination therapies),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example, with respect to EYLEA HD and EYLEA, there are many potential safety concerns associated with significant blockade of VEGF, as well as risks inherent in their intravitreal administration. While the safety of EYLEA HD was similar to EYLEA in clinical trials, it is possible that the use of EYLEA HD outside the clinical trial setting in a broader patient group (i.e., real-world use) may yield different outcomes or patient experiences. In addition, there are risks inherent in subcutaneous injections (which are used for administering most of our antibody-based products and product candidates, such as Dupixent) and intravenous administration (which is used for some of our other antibody-based products and product candidates, such as Libtayo). Some of our marketed products, such as Dupixent and Libtayo, are being studied in additional indications, as shown in the table under Part I, Item 2. "Management's Discussion and Analysis of Financial Condition and Results of Operations - Overview - Programs in Clinical Development." There is no guarantee that the safety data from these trials will be consistent with the known safety profiles of these products or that regulatory approval of any of these additional indications will be successfully obtained. Commercialization of our other products and potential future commercialization of our product candidates may also be impacted by actions of third parties on which we rely, such as manufacturers of syringes or other devices used in the administration of our products. These and other complications or issues or side effects could harm further development and/or commercialization of our products and product candidates.</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continue to develop suitable product formulations or manufacturing processes to support large-scale clinical testing of our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products are intended to be used and, if approved, our product candidates may be used in combination with drug-delivery devices, which may result in additional regulatory, commercialization, and other risks.</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Many of our products are used and some of our products and product candidates may be used, if approved, in combination with a drug-delivery device, including a pre-filled syringe, patch pump, auto-injector, or other delivery system. For example, in the United States and the EU, EYLEA is approved in the 2 mg pre-filled syringe; and in the EU, EYLEA HD is approved in the 8 mg pre-filled syringe. The success of our products and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are not well established, which could also lead to delays in the approval process. The FDA has substantial discretion in the approval process and may either refuse to accept an application for substantive review or may form the opinion after review of an application that the application is insufficient to allow approval of a drug-delivery device. For example, in October 2025, the FDA issued a CRL for the regulatory application seeking approval of the EYLEA HD pre-filled syringe, which has delayed further any potential FDA approval of the EYLEA HD pre-filled syringe. There can be no assurance that FDA approval of the EYLEA HD pre-filled syringe will be obtained in the currently anticipated time frame or at all. See Part I, Item 2. "Management's Discussion and Analysis of Financial Condition and Results of Operations - Overview - Additional Information - Clinical Development Programs - EYLEA HD" for more information.</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some of these drug-delivery devices may be provided by single-source, third-party providers or our collaborators. In any such case, we may be dependent on the sustained cooperation of those third-party providers or collaborators to supply and manufacture the devices; to conduct the studies and prepare related documentation required for approval or clearance by the applicable regulatory agencies; and to continue to meet the applicable regulatory and other requirements to maintain approval or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clearance once it has been received. In addition, other parties may allege that our drug-delivery devices infringe patents or other intellectual property rights.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or product candidate reaching the market. Loss of regulatory approval or clearance of a device that is used with our product may also result in the removal of our product from the market. Further, failure to successfully develop or supply and manufacture these devices, or to gain or maintain their approval, could adversely affect sales of the related products.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each component of a combination product is subject to the requirements established by the FDA for that type of component, whether a drug, biologic, or device. The determination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and Market Exclusivity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this subsection, references to our intellectual property (including patents, trademarks, copyrights, and trade secrets) include that of our collaborators and licensees, unless otherwise stated or required by the context.</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protect the confidentiality of our trade secrets, or our patents or other means of defending our intellectual property are insufficient to protect our proprietary rights, our business and competitive position will be harmed.</w:t>
      </w:r>
    </w:p>
    <w:p>
      <w:pPr>
        <w:spacing w:after="0" w:line="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Our business requires using sensitive and proprietary technology and other information that we protect as trade secrets. We seek to prevent improper disclosure of these trade secrets through confidentiality agreements and other means. If our trade secrets are improperly disclosed, by our current or former employees, our collaborators, or otherwise, it could help our competitors and adversely affect our business. Our ability to protect our trade secrets may be impaired by a number of risks and uncertainties, including those discussed under "Other Regulatory and Litigation Risks - </w:t>
      </w:r>
      <w:r>
        <w:rPr>
          <w:rFonts w:ascii="Times New Roman" w:cs="Times New Roman" w:eastAsia="Times New Roman" w:hAnsi="Times New Roman"/>
          <w:sz w:val="18"/>
          <w:szCs w:val="18"/>
          <w:i w:val="1"/>
          <w:iCs w:val="1"/>
          <w:color w:val="auto"/>
        </w:rPr>
        <w:t>The use of social media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platforms could give rise to liability, breaches of data security and privacy laws, or reputational damage</w:t>
      </w:r>
      <w:r>
        <w:rPr>
          <w:rFonts w:ascii="Times New Roman" w:cs="Times New Roman" w:eastAsia="Times New Roman" w:hAnsi="Times New Roman"/>
          <w:sz w:val="18"/>
          <w:szCs w:val="18"/>
          <w:color w:val="auto"/>
        </w:rPr>
        <w:t>," "Other Regulatory and Litigation Risks -</w:t>
      </w:r>
      <w:r>
        <w:rPr>
          <w:rFonts w:ascii="Times New Roman" w:cs="Times New Roman" w:eastAsia="Times New Roman" w:hAnsi="Times New Roman"/>
          <w:sz w:val="18"/>
          <w:szCs w:val="18"/>
          <w:i w:val="1"/>
          <w:iCs w:val="1"/>
          <w:color w:val="auto"/>
        </w:rPr>
        <w:t xml:space="preserve"> There are inherent risks related to our increasing use of artificial intelligence-based solutions</w:t>
      </w:r>
      <w:r>
        <w:rPr>
          <w:rFonts w:ascii="Times New Roman" w:cs="Times New Roman" w:eastAsia="Times New Roman" w:hAnsi="Times New Roman"/>
          <w:sz w:val="18"/>
          <w:szCs w:val="18"/>
          <w:color w:val="auto"/>
        </w:rPr>
        <w:t>," and "Other Risks Related to Our Business -</w:t>
      </w:r>
      <w:r>
        <w:rPr>
          <w:rFonts w:ascii="Times New Roman" w:cs="Times New Roman" w:eastAsia="Times New Roman" w:hAnsi="Times New Roman"/>
          <w:sz w:val="18"/>
          <w:szCs w:val="18"/>
          <w:i w:val="1"/>
          <w:iCs w:val="1"/>
          <w:color w:val="auto"/>
        </w:rPr>
        <w:t xml:space="preserve"> Significant disruptions of information technology systems or breaches of data security could adversely affect our business</w:t>
      </w:r>
      <w:r>
        <w:rPr>
          <w:rFonts w:ascii="Times New Roman" w:cs="Times New Roman" w:eastAsia="Times New Roman" w:hAnsi="Times New Roman"/>
          <w:sz w:val="18"/>
          <w:szCs w:val="18"/>
          <w:color w:val="auto"/>
        </w:rPr>
        <w:t>" below. We will be able to protect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Certain of our U.S. patents (including those pertaining to our key products, such as EYLEA HD and EYLEA) have been and may in the future be challenged by parties who file a request for post-grant review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under the America Invents Act of 2011 or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For example, in March 2026, the Patent Trial and Appeal Board of the United States Patent and Trademark Office (the "USPTO") instituted a post-grant review of U.S. Patent No. 12,168,036 relating to EYLEA HD. Post-grant proceedings are increasingly common in the United States and are costly to defend. In addition, patent applications filed outside the United States may be challenged by other parties, for example, by filing pre-grant third-party observations that argue against patentability or a post-grant opposition. Similarly, such opposition proceedings are increasingly common in Europe and are costly to defend. For example, certain of our European patents, including those pertaining to EYLEA and Dupixent, are subject to opposition proceedings before the European Patent Office (the "EPO") and/or patent offices of various European countries (see Note 12 to our Condensed Consolidated Financial Statements included in this report for additional information). We have pending patent applications in the USPTO, the EPO, and the patent offices of other foreign jurisdictions, and it is likely that we will need to defend patents from challenges by others from time to time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or our ability to obtain, maintain, and enforce our intellectual property rights. Any such changes could also affect the value of our intellectual property or narrow the scope of our patents. We cannot be certain that our intellectual property rights related to any current or future product or product candidate or technology would not be eliminated, narrowed, or weakened by any such change or other rulemaking.</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United States' and other government actions related to Russia's invasion of Ukraine may limit or prevent filing, prosecution, and maintenance of patent applications in Russia. These actions could result in abandonment or lapse of our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patents or patent applications, resulting in partial or complete loss of patent rights in Russia. Further, a decree was adopted by the Russian government in 2022, allowing Russian companies and individuals to exploit inventions owned by patent holders from the United States without consent or compensation. Consequently, we are not able to prevent third parties from practicing our inventions in Russia or from selling or importing products made using our inventions in and into Russia.</w:t>
      </w:r>
    </w:p>
    <w:p>
      <w:pPr>
        <w:spacing w:after="0" w:line="9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also currently hold issued trademark registrations and have trademark applications pending in the United States and other jurisdictions, any of which may be the subject of a governmental or third-party objection, which could prevent the maintenance or issuance of the trademark. As our products mature, our reliance on our trademarks to differentiate us from our competitors increases. As a result, if we are unable to prevent third parties from adopting, registering, or using trademarks that infringe, dilute or otherwise violate our trademark rights, our business could be adversely affected.</w:t>
      </w:r>
    </w:p>
    <w:p>
      <w:pPr>
        <w:spacing w:after="0" w:line="10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restricted in our development, manufacturing, and/or commercialization activities by patents or other proprietary rights of others, and could be subject to awards of damages if we are found to have infringed such patents or rights.</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commercial success depends significantly on our ability to operate without infringing the patents and other proprietary rights of others (including those relating to trademarks, copyrights, and trade secrets).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or any other of our technologies, either because of the way the antibodies are discovered or produced or because of a proprietary composition covering an antibody or the antibody's target.</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been in the past, are currently, and may in the future be involved in patent litigation and other proceedings involving patents and other intellectual property. For example, we are currently party to patent infringement and other proceedings relating to EYLEA, as described in Note 12 to our Condensed Consolidated Financial Statements included in this report.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aware of patents and pending patent applications owned by others that claim compositions and methods of treatment relating to targets and conditions that we are also pursuing with our products and/or product candidates. Although we do not believe that any of our products or our late-stage product candidates infringe any valid claim in these patents or patent applications, these other parties could initiate lawsuits for patent infringement and assert that their patents are valid and cover our products or our late-stage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products or product candidates infringe such patents.</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seek to obtain licenses to patents when, in our judgment, such licenses are needed or advisable. For example, in 2018, we and Sanofi entered into a license agreement with Bristol-Myers Squibb, E. R. Squibb &amp; Sons, and Ono Pharmaceutical to obtain a license under certain patents owned and/or exclusively licensed by one or more of these parties that includes the right to develop and sell Libtayo.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other parties may have regulatory exclusivity in the United States or foreign jurisdictions for products relating to targets or conditions we are also pursuing, which could prevent or delay our ability to apply for or obtain regulatory approval for our product candidates in such jurisdictions. For example, under the Orphan Drug Act in the United States, if a product candidate with an orphan drug designation subsequently receives FDA approval for indication(s) within the scope of such designation, the product will be entitled to orphan drug exclusivity for such indication(s), barring the FDA from approving for seven years in such approved indication(s) another sponsor's application for a product candidate considered under the FDA regulations to be the same drug as the previously-approved drug with orphan drug exclusivity. This orphan drug exclusivity does not block approval of competing products intended for the orphan exclusivity-protected indication but containing a different active moiety or principal molecular structure, or containing the same active moiety or principal molecular structure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but intended for a different indication. Similarly, in the EU, a designated orphan drug is provided up to 10 years of market exclusivity in the orphan indication, during which time the EMA is generally precluded from accepting a MAA for a similar medicinal product. In both the United States and the EU, if a sponsor can demonstrate that a new product is safer, more effective, or otherwise clinically superior to the original orphan product, orphan exclusivity will not bar approval of the new product.</w:t>
      </w:r>
    </w:p>
    <w:p>
      <w:pPr>
        <w:spacing w:after="0" w:line="9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or limitation of patent rights, and regulatory pathways for biosimilar competition, have in the past reduced and could reduce in the future the duration of market exclusivity for our products.</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or biosimilar versions of a product are approved and marketed, there usually are very substantial and rapid declines in the product's sales.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Times New Roman" w:cs="Times New Roman" w:eastAsia="Times New Roman" w:hAnsi="Times New Roman"/>
          <w:sz w:val="18"/>
          <w:szCs w:val="18"/>
          <w:i w:val="1"/>
          <w:iCs w:val="1"/>
          <w:color w:val="auto"/>
        </w:rPr>
        <w:t>If we cannot protect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confidentiality of our trade secrets, or our patents or other means of defending our intellectual property are insufficient to protect our proprietary rights, our business and competitive position will be harmed,</w:t>
      </w:r>
      <w:r>
        <w:rPr>
          <w:rFonts w:ascii="Times New Roman" w:cs="Times New Roman" w:eastAsia="Times New Roman" w:hAnsi="Times New Roman"/>
          <w:sz w:val="18"/>
          <w:szCs w:val="18"/>
          <w:color w:val="auto"/>
        </w:rPr>
        <w:t>" the scope and enforceability of our patent rights may vary from country to country. The failure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 patent and other intellectual property rights, or limitations on the use, or the loss, of such rights could materially harm us. Absent patent protection or regulatory exclusivity for our products, it is possible, both in the United States and elsewhere, that generic, biosimilar, and/or interchangeable versions of those products may be approved and marketed, which would likely result in substantial and rapid reductions in revenues from sales of those products.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Patient Protection and Affordable Care Act ("PPACA"), there is an abbreviated path in the United States for regulatory approval of products that are demonstrated to be "biosimilar" or "interchangeable" with an FDA-approved biological product. The PPACA provides a regulatory mechanism that allows for FDA approval of biologics that are similar to innovative biologics on the basis of less extensive data than is required by a full BLA. Under this regulation, an application for approval of a biosimilar may be filed four years after approval of the innovator product. However, qualified innovative biological products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if, for example, the PPACA is amended. A number of jurisdictions outside the United States (such as the EU) have also established abbreviated pathways for regulatory approval of biological products that are biosimilar to earlier versions of biological products.</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increased likelihood of generic and biosimilar competition has exacerbated the risk of loss of innovators' market exclusivity. It is also not possible to predict changes in United States regulatory law that might reduce drug or biological product regulatory exclusivity. Due to this risk, and uncertainties regarding patent protection, the length of market exclusivity for any particular product we currently or may in the future commercialize is inherently uncertain. Biosimilar versions of EYLEA have been recently approved and/or launched in the United States, EU, and other jurisdictions, with additional biosimilar versions of EYLEA and/or EYLEA HD in development, as discussed further under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The commercial success of our products and product candidates is 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significant competition - </w:t>
      </w:r>
      <w:r>
        <w:rPr>
          <w:rFonts w:ascii="Times New Roman" w:cs="Times New Roman" w:eastAsia="Times New Roman" w:hAnsi="Times New Roman"/>
          <w:sz w:val="18"/>
          <w:szCs w:val="18"/>
          <w:color w:val="auto"/>
        </w:rPr>
        <w:t>Marketed Products" above. As an EYLEA biosimilar has been launched in the United States following the expiration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regulatory exclusivity period for EYLEA (i.e., the period during which no biosimilar product could be approved by the FDA) in May 2024, EYLEA no longer has U.S. market exclusivity. Similarly, as EYLEA biosimilars have also been recently launched in certain jurisdictions outside the United States, EYLEA no longer has market exclusivity in those jurisdictions. In addition, as EYLEA HD does not benefit from regulatory exclusivity in the United States, market exclusivity for EYLEA HD in the United States is based solely on our patent rights pertaining to this product (which are subject to the risks and uncertainties discussed above under "</w:t>
      </w:r>
      <w:r>
        <w:rPr>
          <w:rFonts w:ascii="Times New Roman" w:cs="Times New Roman" w:eastAsia="Times New Roman" w:hAnsi="Times New Roman"/>
          <w:sz w:val="18"/>
          <w:szCs w:val="18"/>
          <w:i w:val="1"/>
          <w:iCs w:val="1"/>
          <w:color w:val="auto"/>
        </w:rPr>
        <w:t>If we cannot protect the confidentiality of our trade secrets, or our patents or other means of defending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intellectual property are insufficient to protect our proprietary rights, our business and competitive position will be harmed.</w:t>
      </w:r>
      <w:r>
        <w:rPr>
          <w:rFonts w:ascii="Times New Roman" w:cs="Times New Roman" w:eastAsia="Times New Roman" w:hAnsi="Times New Roman"/>
          <w:sz w:val="18"/>
          <w:szCs w:val="18"/>
          <w:color w:val="auto"/>
        </w:rPr>
        <w:t>"). Any future loss of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exclusivity for a product would likely negatively affect revenues from product sales of that product and thus our financial results and condition and could have a material negative impact on our business.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 and Supply</w:t>
      </w:r>
    </w:p>
    <w:p>
      <w:pPr>
        <w:spacing w:after="0" w:line="14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limited internal and contracted manufacturing and supply chain capacity, which could adversely affect our ability to commercialize our marketed products and, if approved, our product candidates and to advance our clinical pipeline.</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large-scale manufacturing operations in Rensselaer, New York and Limerick, Ireland. Manufacturing facilities operated by us and by third-party contract manufacturers engaged by us would be inadequate to produce the active pharmaceutical ingredients of our current marketed products and our product candidates in sufficient clinical quantities if our clinical pipeline advances as planned or if there is greater demand than currently expected for our marketed products. In addition to expanding our internal capacity, we intend to continue to rely on our collaborators and/or contract manufacturers to produce commercial quantities of drug material needed for commercialization of our products. As we increase our production in anticipation of potential regulatory approval for our product candidates, our current manufacturing capacity will likely not be sufficient, and our dependence on our collaborators and/or contract manufacturers may increase, to produce adequate quantities of drug material for both commercial and clinical purposes. The COVID-19 pandemic exacerbated, and this or other public health outbreaks, epidemics, or pandemics may in the future further exacerbate, certain of these risks. For example, the impact of having to prioritize certain manufacturing-related resources for our COVID-19 monoclonal antibodies included, among other things, drawing down inventory safety stock levels for certain of our other products (including Dupixent and EYLEA). Depending on the demand for our products and other relevant factors, we may not be able to replenish our inventory safety stock to the levels we deem prudent or supply our products and product candidates in sufficient quantities to satisfy our commercial and development needs. We also currently rely entirely on other parties (such as contract manufacturers) and our collaborators for filling and finishing services, and expect to increase our reliance on other parties and/or our collaborators for bulk product manufacturing in the future. Generally, in order for other parties to perform any step in the manufacturing and supply chain, we must transfer technology to the other party, which can be time consuming and may not be successfully accomplished without considerable cost and expense, or at all. We depend on the parties we have engaged for these purposes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with our collaborators, contract manufacturers, warehouses, shipping, testing laboratories, or other parties involved in our supply chain which adversely affect the timely manufacture and supply of our products or product candidates, our business, prospects, operating results, and financial condition may be materially harmed.</w:t>
      </w:r>
    </w:p>
    <w:p>
      <w:pPr>
        <w:spacing w:after="0" w:line="1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Expanding our manufacturing capacity and establishing fill/finish capabilities has been and will continue to be costly and we may be unsuccessful in doing so in a timely manner, which could delay or prevent the launch and successful commercialization of our marketed products and product candidates or other indications for our marketed products if they are approved for marketing and could jeopardize our current and future clinical development programs.</w:t>
      </w:r>
    </w:p>
    <w:p>
      <w:pPr>
        <w:spacing w:after="0" w:line="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addition to our existing manufacturing facilities in Rensselaer, New York and Limerick, Ireland, we may lease, operate, purchase, or construct additional facilities to conduct expanded manufacturing or other related activities in the future. Expanding our manufacturing capacity to supply commercial quantities of the active pharmaceutical ingredients for our marketed products and our product candidates if they are approved for marketing, and to supply clinical drug material to support the continued growth of our clinical programs, will require substantial additional expenditures, time, and various regulatory approvals and permits. This also holds true for establishing fill/finish capabilities in the future, for which we have constructed a fill/finish facility in Rensselaer, New York that is currently undergoing process validation and has yet to be approved for commercial production. In addition, we may need to develop or acquire additional manufacturing capabilities as we and/or our collaborators continue to pursue the development of drugs generated by means other than our established "Trap" or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technologies, such as siRNA gene silencing, genome editing, and targeted viral-based gene delivery and expression. Further, we will need to hire and train significant numbers of employees and managerial personnel to staff our expanding manufacturing and supply chain operations, as well as any future fill/finish activities.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any existing and expanded manufacturing facilities and any fill/finish activities conducted by us, our collaborators, or our contract manufacturers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or any future fill/finish capabilities or manufacture our products in a cost-effective manner or in compliance with cGMPs and other regulatory requirements, and we and our collaborators or contract manufacturers may not be able to build or procure additional capacity in the required timeframe to meet commercial demand for our products (or product candidates if they receive regulatory approval) and to continue to meet the requirements of</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clinical programs. This would interfere with our efforts to successfully commercialize our marketed products, and it could also delay or require us to discontinue one or more of our clinical development programs. As a result, our business, prospects, operating results, and financial condition could be materially harmed.</w:t>
      </w:r>
    </w:p>
    <w:p>
      <w:pPr>
        <w:spacing w:after="0" w:line="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manufacture products may be impaired if any of our or our collaborators' manufacturing activities, or the activities of other third parties involved in our manufacture and supply chain, are found to infringe patents of others.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continue to manufacture products in our Rensselaer, New York and Limerick, Ireland facilities and at additional facilities (if any) in the future (including our ability to conduct any fill/finish activities in the future), the ability of our collaborators or contract manufacturers to manufacture products at their facilities, and our ability to utilize other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or our collaborators' manufacturing activities, or the activities of contract manufacturers or other third parties involved in our manufacture and supply chain (which may be located in jurisdictions outside the United States), infringe patents or other intellectual property rights.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or otherwise authorized for use.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related overhead costs and inefficiencies, as well as similar costs of third-party contract manufacturers that currently, or may in the future, perform services for us. In addition, if we or our collaborators carry excess inventory, it may be necessary to write down or write off such excess inventory or incur an impairment charge with respect to the facility where such product is manufactured, which could adversely affect our operating results. For example, during each of the years ended December 31, 2022 and 2021, we recorded a substantial charge to write down inventory related to REGEN-COV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Third-party service or supply failures, or other failures, business interruptions, or other disasters affecting our manufacturing facilities in Rensselaer, New York and Limerick, Ireland, the manufacturing facilities of our collaborators or contract manufacturers, or the facilities of any other party participating in the supply chain, could adversely affect our ability to supply our products.</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Bulk drug materials are currently manufactured at our manufacturing facilities in Rensselaer, New York and Limerick, Ireland, as well as at our collaborators' and contract manufacturers' facilities. We and our collaborators and contract manufacturers would be unable to manufacture these materials if the relevant facility were to cease production due to regulatory requirements or actions, business interruptions, labor shortages or disputes, supply chain interruptions or constraints (including with respect to natural gas and other raw materials), contaminations, fire, climate change, natural disasters, acts of war or terrorism, or other problems. For example, during the first quarter of 2026, bulk manufacturing production at our facility in Limerick, Ireland was temporarily interrupted due to unanticipated facility repairs that commenced during the quarter. See Part I, Item 2. "Management's Discussion and Analysis of Financial Condition and Results of Operations – Results of Operations – Operating Expenses" for more information, including the interruption's impact on our reported and future financial results. To date, this issue has not adversely impacted our product supply; however, there can be no assurance that this issue will be remediated fully in the currently anticipated time frame or that it will not adversely affect the supply of our products in the future.</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our products and product candidates are very difficult to manufacture. As our products and most of our product candidates are biologics, they require processing steps that are more difficult than those required for many other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or our collaborators in a timely manner), have led in the past and could lead in the future to product defects or manufacturing failures, resulting in lot failures, product recalls, product liability claims, and/or insufficient inventory. Also, the complexity of our manufacturing process may make it difficult, time-consuming, and expensive to transfer our technology to our collaborators or contract manufacturers.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each case, including as a result of public health outbreaks, epidemics, or pandemics or other geopolitical developments, such as the armed conflict between Russia and Ukraine). Regional or single-source dependencies may in some cases accentuate these risks. For example, the pharmaceutical industry generally, and in some instances our Company or our collaborators or other third parties on which we rely, depend on China-based suppliers or service providers for certain raw materials, products and services, or other activities. Our ability or the ability of our collaborators or such other third parties to continue to engage these China-based suppliers or service providers for certain preclinical research programs and clinical development programs could be restricted due to geopolitical developments between the United States and China, including as a result of the escalation of tariffs or other trade restrictions or the recently enacted BIOSECURE Act. See also "Other Regulatory and Litigation Risks - </w:t>
      </w:r>
      <w:r>
        <w:rPr>
          <w:rFonts w:ascii="Times New Roman" w:cs="Times New Roman" w:eastAsia="Times New Roman" w:hAnsi="Times New Roman"/>
          <w:sz w:val="18"/>
          <w:szCs w:val="18"/>
          <w:i w:val="1"/>
          <w:iCs w:val="1"/>
          <w:color w:val="auto"/>
        </w:rPr>
        <w:t>We face risks associated with tariffs and other trade restrictions, which may have a material adverse impact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results of operations and financial condition</w:t>
      </w:r>
      <w:r>
        <w:rPr>
          <w:rFonts w:ascii="Times New Roman" w:cs="Times New Roman" w:eastAsia="Times New Roman" w:hAnsi="Times New Roman"/>
          <w:sz w:val="18"/>
          <w:szCs w:val="18"/>
          <w:color w:val="auto"/>
        </w:rPr>
        <w:t>" below. In any such circumstances, we may not be able to engage a backup or alternative supplier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provider in a timely manner or at all. This, in turn, could materially and adversely affect our or our collaborators' ability to manufacture or supply marketed products and product candidates or advance our or our collaborators' preclinical research or clinical development programs, which could materially and adversely affect our business and future prospects.</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raw materials required in the manufacture and testing of our products and product candidates may be derived from biological sources, including mammalian tissues, bovine serum, and human serum albumin. There are certain regulatory restrictions on using these biological source materials. If we or our collaborators or contract manufacturers are required to substitute for these sources to comply with such regulatory requirements, our clinical development or commercial activities may be delayed or interrupted.</w:t>
      </w:r>
    </w:p>
    <w:p>
      <w:pPr>
        <w:spacing w:after="0" w:line="10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or our collaborators' or contract manufacturers'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and our collaborators, contract manufacturers, and other third-party providers are required to maintain compliance with cGMPs, and are subject to inspections by the FDA or comparable agencies in other jurisdictions to confirm such compliance. Changes of suppliers or modifications of methods of manufacturing may require amending the relevant application(s) relating to our products or product candidates to the FDA or such comparable foreign agencies and acceptance of the change by the FDA or such comparable foreign agencies prior to release of product(s). Because we produce multiple products and product candidates at our facilities in Rensselaer, New York and Limerick, Ireland, there are increased risks associated with cGMP compliance. In recent years, the FDA issued CRLs to multiple companies (including us, as further discussed in this report or previously disclosed) citing unresolved inspection findings at third-party manufacturers, which prevented the timely approval of such companies' marketing applications. Our inability, or the inability of our collaborators, contract manufacturers, and third-party fill/finish or other service providers, to demonstrate ongoing cGMP compliance has in the past required us, and could in the future require us, to engage in lengthy and expensive remediation efforts, identify and onboard new service providers, withdraw or recall product, halt or interrupt clinical trials, and/or interrupt commercial supply of any marketed products, and could also delay or prevent our obtaining regulatory approval for our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our collaborators, contract manufacturers, or other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 We recently received several CRLs from the FDA for regulatory submissions concerning our products or product candidates due to the FDA's findings from inspections at third-party manufacturers responsible for filling drug product, as discussed above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 approval for drug</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and biological products is costly, time-consuming, and highly uncertain. If we or our collaborators do not maintain regulatory approval for our marketed products, or obtain regulatory approval for our product candidates, we will not be able to market or sell them; and if we do not obtain approvals for new indications for our marketed products, we may not be able to realize the full commercial potential of such products. Any of the foregoing may materially and negatively impact our business, prospects, operating results, and financial condition.</w:t>
      </w:r>
      <w:r>
        <w:rPr>
          <w:rFonts w:ascii="Times New Roman" w:cs="Times New Roman" w:eastAsia="Times New Roman" w:hAnsi="Times New Roman"/>
          <w:sz w:val="18"/>
          <w:szCs w:val="18"/>
          <w:color w:val="auto"/>
        </w:rPr>
        <w:t>" Significant noncompliance with the requirements discussed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paragraph could also result in the imposition of monetary penalties or other civil or criminal sanctions and damage our reputation.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Regulatory and Litigation Risks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testing, manufacturing, marketing, and sale of drugs for use in people expose us to product liability risk. Any informed consent or waivers obtained from people who enroll in our clinical trials may not protect us from liability or the cost of litigation. From time to time, we are subject to claims by patients that they have been injured by a side effect associated (or alleged to be associated) with one of our products or product candidates. For example, we are currently subject to product liability lawsuits relating to Dupixent, as described in Note 12 to our Condensed Consolidated Financial Statements included in this report. Any such product liability claim, regardless of merit, may be costly and time consuming to investigate and defend and may have a negative impact on our reputation or business, including the degree to which we or our collaborators are able to successfully commercialize the applicable product or, if regulatory approval is obtained, product candidate.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or our collaborators are unable to continue to successfully commercialize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 our business, prospects, operating results, and financial condition will be materially harmed</w:t>
      </w:r>
      <w:r>
        <w:rPr>
          <w:rFonts w:ascii="Times New Roman" w:cs="Times New Roman" w:eastAsia="Times New Roman" w:hAnsi="Times New Roman"/>
          <w:sz w:val="18"/>
          <w:szCs w:val="18"/>
          <w:color w:val="auto"/>
        </w:rPr>
        <w:t>" above. We may face product liability claims and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10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have been, and may in the future be, challenged under U.S. federal or state and foreign healthcare laws, which may subject us to civil or criminal proceedings, investigations, or penalties.</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("DTC") advertising, certain communications regarding unapproved uses, industry-sponsored scientific and educational activities, and sales representatives' communications. The current U.S. administration, HHS, and FDA have recently announced an initiative intended to ensure transparency and accuracy in DTC prescription drug advertisements through a series of reforms that have included and are expected to continue to include FDA rulemaking, additional enforcement action, and expanded regulatory oversight of social media promotional activities. Failure to comply with applicable FDA requirements for advertising and promotional activities (including those that currently apply or may apply in the future to DTC advertising) may subject a company to adverse enforcement action by the FDA, the Department of Justice, or the Office of the Inspector General of HHS, as well as state authorities. This could subject a company to a range of penalties or other consequences that could have a significant commercial impact, including warning letters, civil and criminal fines, and agreements that materially restrict the manner in which a company promotes or distributes a drug. Any such failures could also cause significant reputational harm. The applicable regulations in countries outside the U.S. grant similar powers to the competent authorities and impose similar obligations on companies.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healthcare "fraud and abuse" laws, such as the federal civil False Claims Act, the anti-kickback provisions of the federal Social Security Act, and other state and federal laws and regulations. The U.S. federal healthcare program anti-kickback statute (the "AKS") prohibits, among other things, knowingly and willfully offering, paying, soliciting, or receiving payments or other remuneration, directly or indirectly, to induce or reward someone to purchase, prescribe, endorse, arrange for, or recommend a product or service that is reimbursed under federal healthcare programs such as Medicare or Medicaid. If we provide payments or other remuneration to a healthcare professional to induce the prescribing of our products, we could face liability under state and federal anti-kickback laws.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federal civil False Claims Act prohibits any person from, among other things, knowingly presenting, or causing to be presented, a false claim for payment to the federal government, or knowingly making, or causing to be made, a false statement to get a false claim paid. The False Claims Act also permits a private individual acting as a "whistleblower" to bring actions on behalf of the federal government alleging violations of the statute and to share in any monetary recovery. Pharmaceutical companies have been investigated and/or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programs to set reimbursement rates; engaging in promotion for uses that the FDA has not approved, known as off-label uses, that caused claims to be submitted to Medicaid for non-covered off-label uses; and submitting inflated best price information to the Medicaid Rebate program. Pharmaceutical and other healthcare companies also are subject to other federal false claims laws, including, among others, federal criminal fraud and false statement statutes that extend to non-government health benefit programs. The majority of states also have statutes or regulations similar to the federal anti-kickback law and false claims laws, which apply to items and services reimbursed under Medicaid and other state programs, or, in several states, apply regardless of the payor.</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Sanctions under these federal and state laws may include civil monetary penalties, administrative fines and penalties, damages, exclusion of a manufacturer's products from reimbursement under government programs, criminal fines, and imprisonment for individuals and the curtailment or restructuring of operations.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 As described further in Note 12 to our Condensed Consolidated Financial Statements included in this report, we are party to civil proceedings initiated or joined by the U.S. Department of Justice and the U.S. Attorney's Office for the District of Massachusetts concerning certain business activities. Any adverse decision, finding, allegation, or exercise of enforcement or regulatory discretion in any such proceedings or investigations could harm our business, prospects, operating results, and financial condition.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dedicate significant resources to comply with these requirements. In addition, a number of states have legislation requiring pharmaceutical companies to establish marketing compliance programs, file periodic reports with the state, or make periodic public disclosures on sales, marketing, pricing, clinical trials, and other activities; restrict when pharmaceutical companies may provide meals or gifts to prescribers or engage in other marketing-related activities; require identification or licensing of sales representatives; and restrict the ability of manufacturers to offer copay support to patients for certain prescription drugs.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1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future prospects.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participate in the Medicaid Drug Rebate program, the Public Health Service's 340B program (which is administered by the Health Resources and Services Administration ("HRSA")), the U.S. Department of Veteran Affairs ("VA") Federal Supply Schedule ("FSS") pricing program, the Tricare Retail Pharmacy Program, and other federal and state government pricing programs. Such programs often require us to provide discounts and/or pay rebates to certain government payors and/or private purchasers. See Part I, Item 1, "Business - Government Regulation - Pricing and Reimbursement" of Regeneron's Annual Report on Form 10-K for the fiscal year ended December 31, 2025 (filed February 4, 2026) for additional information on these programs.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Such interpretation can change and evolve over time. For example,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Civil monetary penalties can be applied if we fail to pay the required rebate,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knowingly and intentionally charged 340B covered entities more than the statutorily mandated ceiling price. CMS could also decide to terminate our Medicaid drug rebate agreement, or HRSA could decide to terminate our 340B program participation agreement, in which case federal payments may not be available under Medicaid or Medicare Part B for our covered outpatient drugs.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failure to comply with our reporting and payment obligations under the Medicaid Drug Rebate program and other governmental programs could negatively impact our operating results. In September 2024, CMS modified the regulations governing the Medicaid Drug Rebate program, which could further increase our costs and the complexity of compliance, impact rebate liabilities, and be time-consuming to implement. Other regulations and coverage expansion by various governmental agencies relating to the Medicaid Drug Rebate program may have a similar impact.</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final regulation issued by HRSA regarding the calculation of the 340B ceiling price and the imposition of civil monetary penalties on manufacturers that knowingly and intentionally overcharge covered entities has affected our obligations and potential liability under the 340B program. We are also required to report the 340B ceiling prices for our covered outpatient drugs to HRSA, which then publishes them to 340B covered entities. There is ongoing litigation involving other parties that may change the number of third-party contract pharmacies that can dispense drugs that manufacturers sell to 340B covered entities. The outcome of this litigation may change the scope of the 340B program in the coming years. Any charge by HRSA that we have violated the requirements of the program or the regulation could negatively impact our operating results. Moreover, HRSA established an administrative dispute resolution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subject us to onerous procedural requirements and could result in additional liability. Further, any future changes to the definition of average manufacturer price and the Medicaid rebate amount under the PPACA or otherwise could affect our 340B ceiling price calculations and negatively impact our results of operations.</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obligations to report the average sales price for certain of our drugs to the Medicare program. Statutory or regulatory changes or CMS guidance, including provisions included in the recent CMS calendar year 2026 Medicare Physician Fee Schedule final rule, could affect the average sales price calculations for our products and the resulting Medicare payment rate, and could negatively impact our results of operations.</w:t>
      </w:r>
    </w:p>
    <w:p>
      <w:pPr>
        <w:spacing w:after="0" w:line="68"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Pursuant to applicable law, knowing provision of false information in connection with price reporting or contract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requirements under the VA FSS and/or Tricare programs can subject a manufacturer to civil monetary penalties. These program and contract-based obligations also contain extensive disclosure and certification requirements. If we overcharge the government in connection with our arrangements with FSS or Tricare, we are required to refund the difference to the government. Failure to make necessary disclosures or to identify contract overcharges can result in allegations against us under the False Claims Act and other laws and regulations. Unexpected refunds to the government, and/or response to a government investigation or enforcement action, could be expensive and time-consuming, and could have a material adverse effect on our business, financial condition, results of operations, and future prospects.</w:t>
      </w:r>
    </w:p>
    <w:p>
      <w:pPr>
        <w:spacing w:after="0" w:line="11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privacy laws and regulations. Such improper actions could subject us to civil or criminal investigations, and monetary and injunctive penalties, and could adversely impact our ability to conduct business, operating results, and reputation.</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particular, our business activities outside the United States (which have recently expanded and continue to expand due to, in part, our efforts to establish further commercialization and co-commercialization capabilities in certain jurisdictions outside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prescribe pharmaceuticals are employed by their government, and the purchasers of pharmaceuticals are government entities; therefore, our dealings with these prescribers and purchasers are subject to regulation under the FCPA.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prohibitions on the conduct of our business. Any such violations could include prohibitions on our ability to offer our products in one or more countries and could materially damage our reputation, our brand, our ability to expand internationally, our ability to attract and retain employees, and our business, prospects, operating results, and financial condition.</w:t>
      </w:r>
    </w:p>
    <w:p>
      <w:pPr>
        <w:spacing w:after="0" w:line="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environmental, health, and safety laws and regulations, including those governing the use of hazardous materials. Compliance with these laws and regulations is costly, and we may incur substantial liability arising from our activities involving the use of hazardous materials.</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fully integrated biotechnology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(including the imposition of monetary penalties), which could exceed our resources or insurance coverage. In addition, if we fail to obtain or maintain required permits and registrations, we may be subject to administrative fines and penalties or other regulatory actions, which could adversely affect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regulations, and policies affecting the healthcare industry could adversely affect our business.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aspects of our business, including research and development, manufacturing, marketing, pricing, sales, intellectual property rights, and the framework for dispute resolution and asserting our rights against others, are subject to extensive legislation and regulation. Changes in applicable U.S. federal, state, and foreign laws and agency regulations and policies could have a materially negative impact on our business.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 In addition, in 2023, the European Commission published a proposal to replace the current pharmaceutical legislative framework in the EU. While it is uncertain whether such proposal will be adopted in its current form, there may ultimately be a number of changes to the current regulatory framework in the EU, including a reduction of the data protection and market exclusivity periods provided thereby.</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U.S. federal or state governments could carry out other significant changes in legislation, regulation, or government policy, including with respect to government reimbursement changes or drug price control measures or the PPACA or other healthcare reform laws. As discussed above under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Product reimbursement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coverage policies and practices, pricing regulations and requirements, and our pricing strategy could change due to various factors beyond our control, which may adversely impact our business, prospects, operating results, and financial condition</w:t>
      </w:r>
      <w:r>
        <w:rPr>
          <w:rFonts w:ascii="Times New Roman" w:cs="Times New Roman" w:eastAsia="Times New Roman" w:hAnsi="Times New Roman"/>
          <w:sz w:val="18"/>
          <w:szCs w:val="18"/>
          <w:color w:val="auto"/>
        </w:rPr>
        <w:t>," the current U.S. administration is pursuing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various measures to reduce the cost of drugs in the United States, and different or additional measures may be pursued in the future. While it is not possible to predict whether and when any such changes will occur, changes in the laws, regulations, and policies governing the development and approval of our product candidates and the commercialization, importation, and reimbursement of our products could adversely affect our business. In addition, our development and commercialization activities could be harmed or delayed by a shutdown of the U.S. government, including the FDA. For example, a prolonged shutdown may significantly delay the FDA's ability to timely review and process any submissions we have filed or may file or cause other regulatory delays, which could materially and adversely affect our business. The FDA's ability to timely review and process any submissions we have filed or may file in the future may also be affected by the recent efforts to reduce the size and budgets of U.S. government agencies, downsize the federal workforce, and implement other U.S. policy changes, as discussed above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approval for drug and biological products is costly, time-consuming, and highly uncertain. If we or our collaborators do not maintain regulatory approval for our marketed products, or obtain regulatory approval for our product candidates, we will not be able to market or sell them; and if we do not obtain approvals for new indications for our marketed products, we may not be able to realize the full commercial potential of such products. Any of the foregoing may materially and negatively impact our business, prospects, operating results, and financial condition.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operations outside the United States could adversely affect our business.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operations and conduct business in many countries outside the United States and have been significantly expanding the scope of these activities in existing and/or additional countries, including EU countries and Japan. For example, as discussed above, we now have commercial presence in many jurisdictions outside the United States in connection with our commercialization of Libtayo and co-commercialization of Dupixent, and we expect this commercial presence to continue to increase as we expand our commercialization activities for other products outside the United States (including Lynozyfic and Ordspono, which recently launched in the EU). Consequently, we are, and will continue to be, subject to risks related to operating in countries outside the United States, particularly those in which we have not previously established operations, and many of these risks will increase as we expand our activities in such jurisdictions. These risks include:</w:t>
      </w:r>
    </w:p>
    <w:p>
      <w:pPr>
        <w:spacing w:after="0" w:line="121" w:lineRule="exact"/>
        <w:rPr>
          <w:sz w:val="20"/>
          <w:szCs w:val="20"/>
          <w:color w:val="auto"/>
        </w:rPr>
      </w:pPr>
    </w:p>
    <w:p>
      <w:pPr>
        <w:jc w:val="both"/>
        <w:ind w:left="660" w:hanging="328"/>
        <w:spacing w:after="0" w:line="257"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unfamiliar foreign laws or regulatory requirements or unexpected changes to those laws or requirements, including those with which we and/or our collaborators must comply in order to maintain our marketing authorizations outside the United States, and the cost of compliance with such foreign laws and regulatory requirements;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laws and regulatory and industry trade association requirements to which our business activities abroad are subject, such as the FCPA and the U.K. Bribery Act (discussed in greater detail above under "</w:t>
      </w:r>
      <w:r>
        <w:rPr>
          <w:rFonts w:ascii="Times New Roman" w:cs="Times New Roman" w:eastAsia="Times New Roman" w:hAnsi="Times New Roman"/>
          <w:sz w:val="18"/>
          <w:szCs w:val="18"/>
          <w:i w:val="1"/>
          <w:iCs w:val="1"/>
          <w:color w:val="auto"/>
        </w:rPr>
        <w:t>Risks from the improper conduct of employees, agents, contractors,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collaborators could adversely affect our reputation and our business, prospects, operating results, and financial condition</w:t>
      </w:r>
      <w:r>
        <w:rPr>
          <w:rFonts w:ascii="Times New Roman" w:cs="Times New Roman" w:eastAsia="Times New Roman" w:hAnsi="Times New Roman"/>
          <w:sz w:val="18"/>
          <w:szCs w:val="18"/>
          <w:color w:val="auto"/>
        </w:rPr>
        <w:t>"), as well as labor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laws and regulations;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or economic condition of a specific country or region, including as a result of the Russia-Ukraine war, or Israel's armed conflicts with Iran, Lebanon, or Hamas;</w:t>
      </w: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currency versus the U.S. dollar;</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protection measures, import or export licensing requirements, trade embargoes, sanctions (including those administered by the Office of Foreign Assets Control of the U.S. Department of the Treasury), other trade barriers (including further legislation or actions taken by the United States or other countries that restrict trade), and protectionist or retaliatory measures taken by the United States or other countries (discussed in greater detail below under "</w:t>
      </w:r>
      <w:r>
        <w:rPr>
          <w:rFonts w:ascii="Times New Roman" w:cs="Times New Roman" w:eastAsia="Times New Roman" w:hAnsi="Times New Roman"/>
          <w:sz w:val="18"/>
          <w:szCs w:val="18"/>
          <w:i w:val="1"/>
          <w:iCs w:val="1"/>
          <w:color w:val="auto"/>
        </w:rPr>
        <w:t>We face risks associated with tariffs and other trade restrictions, which may have a material adverse impact on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of operations and financial condition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the conduct of business.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large-scale manufacturing operations in Limerick, Ireland and have also established offices in the United Kingdom, Germany, Japan, and other countries outside the United States. Changes impacting our ability to conduct business in the those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tariffs and other trade restrictions, which may have a material adverse impact on our results of operations and financial condition.</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Company faces risks associated with tariffs and other trade protection measures (including tariffs that have been or may in the future be imposed by the United States or other countries), import or export licensing requirements, trade embargoes, sanctions (including those administered by the Office of Foreign Assets Control of the U.S. Department of the Treasury), other trade barriers (including further legislation or actions taken by the United States or other countries that restrict trade), and protectionist or retaliatory measures taken by the United States or other countries.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2025, the U.S. administration imposed an array of tariffs under the International Emergency Economic Powers Act ("IEEPA"). In July 2025, the United States and the EU announced the framework of a trade agreement that generally imposes a 15% tariff on imports from the EU. Under this agreement, pharmaceutical products would not be subject to any future duties under Section 232 in excess of this 15% rate. Such tariffs have prompted retaliatory measures from several countries, which may further escalate.</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20, 2026, the U.S. Supreme Court ruled that IEEPA does not confer the authority to impose tariffs. In response, the U.S. administration ceased collecting these duties and, on February 24, 2026, imposed a 10% tariff on imports from all trading partners under Section 122 of the Trade Act of 1974 ("Section 122"). The United States has signaled an intention to raise the Section 122 tariff rate to the statutory maximum of 15%, but this has not materialized as of the date of this report. Additionally, pharmaceuticals and pharmaceutical ingredients have thus far been exempted from these tariffs.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on April 2, 2026, the United States imposed new tariffs on imports of patented pharmaceuticals and associated pharmaceutical ingredients under Section 232, which are set to become effective on July 31, 2026. The Section 232 tariffs create a tiered structure with multiple rates depending on the country of origin, the importing company's status concerning onshoring and pricing agreements, and the nature of the product. The Section 232 tariffs implement all pharmaceutical-related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commitments in existing U.S. trade deals. As discussed under Part I, Item 2. "Management's Discussion and Analysis of Financial Condition and Results of Operations – Recent Developments – U.S. Government Agreements," we have entered into the U.S. Government Agreements and thus have exemptions from the Section 232 tariffs through January 2029, subject to certain conditions.</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Office of the U.S. Trade Representative ("USTR") has initiated two new investigations under Section 301 of the Trade Act of 1974 ("Section 301"), one focused on industrial overcapacity and another on forced labor in supply chains. These investigations collectively target nearly eighty countries. The U.S. administration has signaled that duties imposed as a result of these investigations would replace the Section 122 tariffs when they expire in July 2026. It remains unclear if exemptions and carve-outs from Section 122 duties that currently exist for products, including pharmaceutical products, will be replicated in their entirety with respect to any future set of Section 301 tariffs.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face significant risks from the existing tariffs imposed by the United States (such as those discussed above) and potential new tariffs as well as their secondary effects, including other countries' imposition of retaliatory tariffs and non-tariff barriers. Depending on how the existing tariffs are applied and whether additional tariffs are imposed, our products that are manufactured partly or entirely outside of the United States could be subject to tariff duties when they are imported to the United States for further manufacturing, packaging, and/or sale to customers. In addition, like all U.S. importers, our Company could pay more for foreign-sourced inputs, which could adversely affect our operating costs in the United States. Our results of operations and financial condition may be materially adversely affected due to the impact of the foregoing.</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additional tax liabilities related to our operations.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income tax in the United States and foreign jurisdictions in which we operate. Significant judgment is required in determining our worldwide tax liabilities, and our effective tax rate is derived from the applicable statutory tax rates and relative earnings in each taxing jurisdiction. We record liabilities for uncertain tax positions that involve significant management judgment as to the application of law. Domestic or foreign taxing authorities have previously disagreed, and may in the future disagree, with our interpretation of tax law as applied to the operations of Regeneron and its subsidiaries or with the positions we may take with respect to particular tax issues on our tax returns. Consequently, tax assessments or judgments in excess of accrued amounts that we have estimated in preparing our financial statements may materially and adversely affect our reported effective tax rate or our cash flows. Further, other factors may adversely affect our effective tax rate, including changes in the mix of our profitability from country to country, tax effects of stock-based compensation (which depend in part on the price of our stock and, therefore, are beyond our control), and changes in tax laws or regulations. For example, the OECD Pillar Two framework has influenced tax laws in countries in which we operate, including the implementation of minimum taxes. Changes to these or other laws and regulations or their interpretations, including those resulting from the "One Big Beautiful Bill Act" signed into law in July 2025 (as discussed further in Note 8 to our Condensed Consolidated Financial Statements included in this report), could materially adversely impact our effective tax rate or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the personal data we collect, process, and share.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conduct our business is significantly dependent on the data that we collect, process, and share in discovering, developing, and commercializing drug products. These data are often considered personal data and are therefore regulated by privacy and data protection laws in and outside the United States, including health privacy laws, data breach notification laws, consumer protection laws, data localization laws, biometric privacy laws, and genetic privacy laws. Such laws may apply to our operations and/or those of our collaborators and business partners and may impose restrictions on our collection, use, and dissemination of individuals' health and other personal data, including data that we may receive throughout the clinical trial process, in the course of our research collaborations, from individuals who enroll in our patient assistance programs, from healthcare professionals that interact with us, or from our own employees. Laws and regulations in this area are constantly evolving and are often not interpreted consistently by regulatory authorities, institutional review boards/ethics committees, or clinical trial sites.</w:t>
      </w:r>
    </w:p>
    <w:p>
      <w:pPr>
        <w:spacing w:after="0" w:line="1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there are numerous federal and state laws and regulations governing data privacy of personal data and the collection, use, disclosure, and protection of health data, genetic data, consumer data, and children's data. At the federal level, most U.S. healthcare providers, including research institutions from which we or our collaborators obtain clinical trial data, are subject to privacy and security regulations promulgated under the Health Insurance Portability and Accountability Act of 1996 ("HIPAA"). While Regeneron is not directly subject to HIPAA, other than potentially with respect to providing certain employee benefits, we could be subject to criminal penalties if we, our affiliates, or our agents knowingly receive protected health information in a manner that is not permitted under HIPAA. The FTC also sets expectations for taking appropriate steps to safeguard consumers' personal information and for providing a level of privacy or security commensurate to promises made to individuals. Failure to meet these FTC standards may constitute unfair or deceptive acts or practices in violation of Section 5 of the FTC Act. The FTC also has the power to enforce the Health Breach Notification Rule, which imposes notification obligations on companies for breaches of certain health information contained in personal health records. Enforcement by the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FTC under the FTC Act and Health Breach Notification Rule can result in civil penalties or enforcement actions. In addition, at the state level, many state consumer privacy laws recently went into effect and many other consumer privacy laws are expected to go into effect in the near future. These laws include certain transparency and other requirements to protect personal data and grant residents with certain rights regarding their personal data. These laws and regulations are constantly evolving and may impose limitations on our business activities.</w:t>
      </w:r>
    </w:p>
    <w:p>
      <w:pPr>
        <w:spacing w:after="0" w:line="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Outside the United States, we have operations and conduct business in several countries and have been significantly expanding the scope of these activities in those and/or additional countries, as discussed above under "</w:t>
      </w:r>
      <w:r>
        <w:rPr>
          <w:rFonts w:ascii="Times New Roman" w:cs="Times New Roman" w:eastAsia="Times New Roman" w:hAnsi="Times New Roman"/>
          <w:sz w:val="18"/>
          <w:szCs w:val="18"/>
          <w:i w:val="1"/>
          <w:iCs w:val="1"/>
          <w:color w:val="auto"/>
        </w:rPr>
        <w:t>Risks associated with our operations outside the United States could adversely affect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We also conduct clinical trials in these and many other countries around the world. These activities subject us to additional data protection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oversight and require us to comply with stringent local and regional data privacy laws. Such laws include the EU's General Data Protection Regulations ("GDPR"), which has a wide range of compliance obligations relating to the processing and protection of personal data. Violations of the GDPR carry significant financial penalties for noncompliance. The GDPR also confers a private right of action on data subjects and consumer associations to file complaints with data protection authorities, seek judicial remedies, and obtain compensation for damages resulting from violations of the GDPR. Many other jurisdictions outside the United States have adopted and continue to adopt varying privacy and data protection legislation, the continued emergence of which has increased the costs and complexity of compliance.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or any of our collaborators fail to comply with applicable federal, state, local, or foreign regulatory requirements, we could be subject to a range of regulatory actions that could result in fines or other penalties or otherwise affect our or any such collaborators' ability to commercialize our products. Any threatened or actual government enforcement action could also generate adverse publicity and could result in additional regulatory oversight.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social media platforms could give rise to liability, breaches of data security and privacy laws, or reputational damage.</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social media to communicate about our products and our business. The misuse of social media platforms by our employees or third parties on which we rely in contravention of our social media policy or other legal or contractual requirements may give rise to liability, lead to the loss of trade secrets or other intellectual property, or result in public exposure of sensitive data. Furthermore, negative posts or comments about us or our products in social media could seriously damage our reputation, brand image, and goodwill.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inherent risks related to our increasing use of artificial intelligence-based solutions.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increasingly utilizing artificial intelligence ("AI")-based solutions in various facets of our operations and continue to explore further use cases for AI. The use of AI solutions by our employees or third parties on which we rely may lead to the impermissible use or public disclosure of sensitive data. In the United States and in many jurisdictions outside the United States, new regulations have recently passed or have been proposed to ensure the ethical use, privacy, and security of AI solutions and the data processed thereby. The misuse of AI solutions in contravention of our internal policies, data protection laws, other applicable laws, or contractual requirements may give rise to liability, lead to the loss of trade secrets or other intellectual property, result in reputational harm, or lead to outcomes with unintended biases or other consequences. The misuse of AI solutions could also result in unauthorized access and use of personal data of our employees, clinical trial participants, collaborators, or other third parties. Any of these events could have a material adverse effect on our business, prospects, operating results, and financial condition and could adversely affect the price of our Common Stock.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or Transactions with Third Parties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Antibody Collaboration with Sanofi is terminated, or Sanofi materially breaches its obligations thereunder, our business, prospects, operating results, and financial condition, and our ability to develop, manufacture, and commercialize certain of our products and product candidates in the time expected, or at all, may be materially harmed.</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support from Sanofi to develop, manufacture, and commercialize certain of our products and product candidates. With respect to the products and product candidates that we are co-developing with Sanofi under our Antibody Collaboration (currently consisting of Dupixent, Kevzara, and itepekimab), Sanofi initially funds a significant portion of development expenses incurred in connection with the development of these products and product candidates. In addition, we rely on Sanofi to lead much of the clinical development efforts, assist with or lead efforts to obtain and maintain regulatory approvals, and lead the commercialization efforts for these products and product candidates.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If Sanofi terminates the Antibody Collaboration or fails to comply with its obligations thereunder, our business, prospects, operating results, and financial condition may be materially harmed. We would be required to either expend substantially more resources than we have anticipated to support our development efforts or cut back on such activities. If Sanofi does not perform its obligations with respect to the products and product candidates it is co-developing and/or co-commercializing with us, our ability to develop, manufacture, and commercialize these products and product candidates may be adversely affected. As described in Note 12 to our Condensed Consolidated Financial Statements included in this report, we have commenced the Antibody Collaboration Litigation against Sanofi and certain of its affiliated entities. It is not possible to determine what impact (if any) the Antibody Collaboration Litigation may have on the Antibody Collaboration and our business relationship with Sanofi, or whether we will be successful in the Antibody Collaboration Litigation. While we have some commercial presence outside the United States, our commercial capabilities outside the United States are still limited and would need to be further developed or outsourced for products commercialized under our Antibody Collaboration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are unable to establish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sufficient commercial capabilities outside the United States for products we intend to commercialize 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above). Termination of the Antibody Collaboration may create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new and additional risks to the successful development and commercialization of the products and product candidates subject to such collaborations, particularly outside the United States.</w:t>
      </w:r>
    </w:p>
    <w:p>
      <w:pPr>
        <w:spacing w:after="0" w:line="1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 with Bayer for EYLEA HD and EYLEA is terminated, or Bayer materially breaches its obligations thereunder, our business, prospects, operating results, and financial condition, and our ability to continue to commercialize EYLEA HD and EYLEA outside the United States would be materially harmed.</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rely on Bayer with respect to the commercialization of EYLEA HD and EYLEA outside the United States. Bayer is responsible for obtaining and maintaining regulatory approval outside the United States, as well as providing all sales, marketing, and commercial support for the product outside the United States. In particular, Bayer has responsibility for selling EYLEA HD and EYLEA outside the United States using its sales force and, in Japan, in cooperation with Santen pursuant to a Co-Promotion and Distribution Agreement with Bayer's Japanese affiliate. If Bayer and, in Japan, Santen do not perform their obligations in a timely manner, or at all, our ability to commercialize EYLEA HD and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may not have the resources or skills to replace those of our collaborator, which could require us to seek another collaboration that might not be available on favorable terms or at all, and could cause significant issues for the commercialization of EYLEA HD and EYLEA outside the United States and result in substantial additional costs and/or lower revenues to us. We have limited commercial capabilities outside the United States and would have to develop or outsource these capabilities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are unable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establish sufficient commercial capabilities outside the United States for products we intend to commercialize 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above). Termination of the Bayer collaboration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would create substantial new and additional risks to the successful commercialization of EYLEA HD and EYLEA.</w:t>
      </w:r>
    </w:p>
    <w:p>
      <w:pPr>
        <w:spacing w:after="0" w:line="1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depend upon third-party collaborators, including Sanofi and Bayer, and service providers such as CROs, outside testing laboratories, clinical investigator sites, third-party manufacturers, fill/finish providers, and product packagers and labelers, to assist us in the manufacture and preclinical and clinical development of our product candidates. We also depend, or will depend, on some of these or other third parties in connection with the commercialization of our marketed products and our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(including as a result of its inability to perform due to financial or other relevant constraints) or in compliance with applicable GMPs, GLPs, or GCP standards, we could experience additional costs, delays, and difficulties in the manufacture or development of, or in obtaining approval by regulatory authorities for, or successfully commercializing our product candidates. See also "Risks Related to Manufacturing and Supply - </w:t>
      </w:r>
      <w:r>
        <w:rPr>
          <w:rFonts w:ascii="Times New Roman" w:cs="Times New Roman" w:eastAsia="Times New Roman" w:hAnsi="Times New Roman"/>
          <w:sz w:val="18"/>
          <w:szCs w:val="18"/>
          <w:i w:val="1"/>
          <w:iCs w:val="1"/>
          <w:color w:val="auto"/>
        </w:rPr>
        <w:t>Our or our collaborators' or contract manufacturers' failure to meet the stringent requirements of governmental regulation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and our collaborators rely on third-party service providers to support the distribution of our marketed products and for many other related activities in connection with the commercialization of these marketed products. Despite our or our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collaborators' arrangements with them, these third parties may not perform adequately. If these service providers do not perform their services adequately, sales of our marketed products will suffer.</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undertaken and may in the future undertake strategic acquisitions, and any difficulties from integrating such acquisitions could adversely affect our business, operating results, and financial condition.</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acquire companies, businesses, products, or product candidates that complement or augment our existing business. For example, in May 2022 and September 2023, we completed our acquisition of Checkmate Pharmaceuticals, Inc. and Decibel Therapeutics, Inc., respectively; and in April 2024, we acquired full development and commercialization rights to 2seventy bio, Inc.'s oncology and autoimmune preclinical and clinical stage cell therapy pipeline. The process of proposing, negotiating, completing, and integrating any such acquisition is lengthy and complex. Other companies may compete with us for such acquisitions. In addition, we may not be able to integrate any acquired business successfully or operate any acquired business profitably. Integrating any newly acquired business could be expensive and time consuming. Integration efforts often take a significant amount of time, place a significant strain on managerial, operational, and financial resources, result in a loss of key personnel of the acquired business, and could prove to be more difficult or expensive than we predict. The diversion of our management's attention and any delay or difficulties encountered in connection with any acquisitions we may consummate could result in the disruption of our ongoing business or inconsistencies in standards, controls, systems, practices, policies, and procedures of our Company and the acquired business that could negatively affect our ability to maintain third-party relationships. Moreover, we may need to raise additional funds through public or private debt or equity financing to acquire any businesses, products, or product candidates, which may result in dilution for shareholders or the incurrence of indebtedness.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efforts to acquire companies, businesses, products, or product candidates or to enter into other significant transactions, we will conduct business, legal, research and development, regulatory, and financial due diligence with the goal of identifying and evaluating material risks involved in the transaction. Despite our efforts, we ultimately may be unsuccessful in ascertaining or evaluating all such risks and, as a result, might not realize the intended advantages of the transaction. If we fail to realize the expected benefits from acquisitions we have consummated or may consummate in the future, whether as a result of unidentified risks or liabilities, integration difficulties, product development or regulatory setbacks (including those relating to issues that may have arisen before we completed the transaction in question), litigation with current or former employees and other events, our business, operating results, and financial condition could be adversely affected. For any acquired product candidates, we will also need to make certain assumptions about, among other things, development costs, the likelihood of receiving regulatory approval, and the market for any such product candidates. Our assumptions may prove to be incorrect, which could cause us to fail to realize the anticipated benefits of these transactions.</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may experience significant charges to earnings in connection with our efforts to consummate acquisitions. For transactions that are ultimately not consummated, these charges may include fees and expenses for investment bankers, attorneys, accountants, and other advisors in connection with our efforts. Even if our efforts to consummate a particular transaction are successful, we may incur substantial charges for closure costs associated with elimination of duplicate operations and facilities, acquired in-process research and development charges, or intangible asset impairment charges. In either case, the incurrence of these charges could adversely affect our operating results for particular periods.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personnel and if we cannot recruit or retain leaders in our research, development, manufacturing, and commercial organizations, our business will be harmed.</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highly dependent on certain of our executive officers and other key members of our senior management team. If we are not able to retain (or for any other reason lose the services of) any of these persons, our business may suffer. In particular, we depend on the services of Leonard S. Schleifer, M.D., Ph.D., our Board co-Chair, President and Chief Executive Officer, and George D. Yancopoulos, M.D., Ph.D., our Board co-Chair, President and Chief Scientific Officer. We are also highly dependent on the expertise and services of other senior management members leading our research, development, manufacturing, and commercialization efforts. There is intense competition in the biotechnology industry for qualified scientists and managerial personnel in the research, development, manufacturing, and commercialization of drugs. We may not be able to continue to attract and retain the qualified personnel necessary to continue to advance our business and achieve our strategic objectives.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breaches of data security could adversely affect our business.</w:t>
      </w:r>
    </w:p>
    <w:p>
      <w:pPr>
        <w:spacing w:after="0" w:line="1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could give rise to unidentified or unremedied systems weaknesses or breakdowns and malicious intrusions, which could impact key business processes, including those related to drug manufacturing. We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 We may also be exposed to vulnerabilities due to end-of-life issues impacting hardware or software utilized in our operations.</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extortion,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or extortion) and expertise, including by organized criminal groups, "hacktivists," nation states, and others. Recent developments in the threat landscape, including the use of adversarial AI techniques and machine learning to rapidly identify vulnerabilities, amplify these risks. As a company with an increasingly global presence, our systems are subject to frequent attacks and incidents. For example, in the past we have experienced, and may experience in the future, various types of cybersecurity incidents, including unauthorized access to our IT systems, data security breaches, malware incursions, denial-of-service attacks, phishing campaigns, and other similar disruptions. Similar incidents have been experienced and may in the future be experienced by certain third parties on which we rely. Although we believe, based on an assessment of the relevant facts available to us, that none of these incidents has had a material adverse impact on our operations to date, there can be no assurance that a future incident would not result in material harm to our business, prospects, operating results, and financial condition. There is also the potential that our systems may be directly or indirectly affected as nation-states conduct global cyberwarfare.</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nature of some of these attacks, there is a risk that an intrusion may remain undetected for a period of time. While we continue to make investments to improve the protection and resilience of data and information technology, and to oversee and monitor the security measures of our suppliers and/or service providers, there can be no assurance that our efforts will prevent service interruptions or security breaches or that our business continuity and disaster recovery plans will effectively remedy any such issues or other adverse developments in a timely manner or at all. In addition, we depend in part on third-party security measures over which we do not have full control to protect against data security breaches.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or our suppliers and/or service providers fail to maintain or protect our information technology systems and data security effectively and in compliance with U.S. and foreign laws, or fail to anticipate, detect, plan for, or manage disruptions to these systems, we or our suppliers and/or service providers could have difficulty preventing, detecting, or mitigating the impact of such disruptions or security breaches, which could result in disruptions to our operations, legal proceedings, liability under U.S. and foreign laws (including those that protect the privacy of personal information), government investigations, breach of contract claims, and damage to our reputation (in each case in the U.S. or globally), which could have a material adverse effect on our business, prospects, operating results, and financial condition.</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foregoing risks may be exacerbated as we periodically upgrade or enhance our information technology systems. For example, we are in the early stages of a multi-year project to implement a new enterprise resource planning ("ERP") system. Upgrading or implementing new business processes and information technology systems, including our new ERP system, requires the commitment of significant personnel, training, and financial resources, and includes risks to our business operations. If we do not successfully implement our new ERP system or other information technology systems improvements, or if there are delays or difficulties in implementing these systems, we may not realize anticipated productivity improvements or cost efficiencies, and we may experience operational difficulties and challenges in effectively managing our business, any of which could have a material adverse effect on our business, prospects, operating results, and financial condition.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health outbreaks, epidemics, or pandemics have adversely affected and may in the future adversely affect our business.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COVID-19 pandemic previously adversely affected, and actual or threatened public health outbreaks, epidemics, or pandemics may in the future adversely affect, among other things, the economic and financial markets and labor resources of the countries in which we operate; our manufacturing and supply chain operations, research and development efforts, commercial operations and sales force, administrative personnel, third-party service providers, and business partners and customers; and the demand for our marketed products.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disruptions in our operations could materially adversely impact our business, prospects, operating results, and financial condition. To the extent a public health outbreak, epidemic, or pandemic adversely affects our business, prospects, operating results, or financial condition, it may also have the effect of heightening many of the other risks described in this "Risk Factors" section.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impact our business.</w:t>
      </w:r>
    </w:p>
    <w:p>
      <w:pPr>
        <w:spacing w:after="0" w:line="14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certain indebtedness and contingent liabilities, including milestone and royalty payment obligations. As of March 31, 2026, we had an aggregate of $2.706 billion of outstanding indebtedness under our senior unsecured notes and the lease financing facility. We may also incur additional debt in the future. Any such indebtedness could:</w:t>
      </w:r>
    </w:p>
    <w:p>
      <w:pPr>
        <w:spacing w:after="0" w:line="108"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Times New Roman" w:cs="Times New Roman" w:eastAsia="Times New Roman" w:hAnsi="Times New Roman"/>
          <w:sz w:val="18"/>
          <w:szCs w:val="18"/>
          <w:color w:val="auto"/>
        </w:rPr>
        <w:t>limit our ability to access capital markets and incur additional debt in the future;</w:t>
      </w:r>
    </w:p>
    <w:p>
      <w:pPr>
        <w:spacing w:after="0" w:line="28"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34"/>
        </w:numPr>
        <w:rPr>
          <w:rFonts w:ascii="Arial" w:cs="Arial" w:eastAsia="Arial" w:hAnsi="Arial"/>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thereby reducing the availability of our cash flow for other purposes, including business development efforts, research and development, and mergers and acquisitions; and</w:t>
      </w:r>
    </w:p>
    <w:p>
      <w:pPr>
        <w:ind w:left="660" w:hanging="328"/>
        <w:spacing w:after="0" w:line="26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 thereby placing us at a competitive disadvantage compared to competitors that have less debt.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foreign currency exchange rates could have a material adverse effect on our operating results.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revenue from outside the United States will increase as our products, whether marketed or otherwise commercialized by us or our collaborators, gain marketing approval in such jurisdictions. Our primary foreign currency exposure relates to movements in the Japanese yen, euro, British pound sterling, Canadian dollar, Chinese yuan, and Australian dollar. If the U.S. dollar weakens against a specific foreign currency, assuming all other variables remained constant, our revenues will increase, having a positive impact on net income, but our overall expenses will increase, having a negative impact. Conversely, if the U.S. dollar strengthens against a specific foreign currency, assuming all other variables remained constant,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subject to risks and other external factors that may result in losses or affect the liquidity of these investments.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2026, we had $2.963 billion in cash and cash equivalents and $16.319 billion in marketable and other securities (including $790.2 million in equity securities). Our investments consist primarily of debt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by the applicable issuer. If any of our investments suffer market price declines, such declines may have an adverse effect on our financial condition and operating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extremely volatile.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81" w:lineRule="exact"/>
        <w:rPr>
          <w:sz w:val="20"/>
          <w:szCs w:val="20"/>
          <w:color w:val="auto"/>
        </w:rPr>
      </w:pPr>
    </w:p>
    <w:p>
      <w:pPr>
        <w:jc w:val="both"/>
        <w:ind w:left="66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product sales of our marketed products (as recorded by us or our collaborators), in particular EYLEA HD, EYLEA, Dupixent, and Libtayo, our ability and our collaborators' ability to maintain sales of our marketed products in the face of competitive products and to differentiate our marketed products from competitive products, and our overall operating results;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9" w:lineRule="exact"/>
        <w:rPr>
          <w:sz w:val="20"/>
          <w:szCs w:val="20"/>
          <w:color w:val="auto"/>
        </w:rPr>
      </w:pPr>
    </w:p>
    <w:p>
      <w:pPr>
        <w:ind w:left="660" w:right="20" w:hanging="328"/>
        <w:spacing w:after="0" w:line="261"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and the market share for, our marketed products, especially EYLEA HD, EYLEA, Dupixent, and Libtayo;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net product sales and net profits underperform, meet, or exceed the expectations of investors or analysts;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or other major market launch of a biosimilar version of one of our key marketed products (such as EYLEA or EYLEA HD);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delays, or results in clinical trials of our or our competitors' product candidates or new indications for marketed products;</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technological innovations or product candidates by us or competitors;</w:t>
      </w: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others that our products or technologies infringe their patents;</w:t>
      </w:r>
    </w:p>
    <w:p>
      <w:pPr>
        <w:spacing w:after="0" w:line="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by others to our patents in the EPO and in the USPTO and developments relating to patent litigation and other proceedings and government investigations relating to our Company and operations;</w:t>
      </w:r>
    </w:p>
    <w:p>
      <w:pPr>
        <w:ind w:left="660" w:hanging="328"/>
        <w:spacing w:after="0" w:line="25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or effectiveness of any of our marketed products or product candidates or new indications for our marketed products;</w:t>
      </w:r>
    </w:p>
    <w:p>
      <w:pPr>
        <w:jc w:val="both"/>
        <w:ind w:left="660" w:hanging="328"/>
        <w:spacing w:after="0" w:line="25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or reimbursement actions, decisions, or recommendations by government authorities, insurers, or other organizations (such as health maintenance organizations and PBMs) and pricing agreements with government entities (including the U.S. Government Agreements) affecting the coverage, reimbursement, copay assistance, or use of any of our marketed products or competitors'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relationships with collaborators or key customers;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biotechnology industry or in government regulation of healthcare, including those relating to compounding (i.e., a practice in which a pharmacist, a physician, or, in the case of an outsourcing facility, a person under the supervision of a pharmacist, combines, mixes, or alters ingredients of a drug to create a medication tailored to the needs of an individual patient);</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sales of our Common Stock by our executive officers or other employees, directors, or significant shareholders (or the expectation of any such sales);</w:t>
      </w: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laws, or interpretation of tax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arrivals and departures of key personnel;</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trade, economic, and other policies of the United States or other countries, such as the imposition or threat of tariffs (including tariffs that have been or may in the future be imposed by the United States or other countries), other trade barriers, or protectionist or retaliatory measures taken by the United States or other countries;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market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public health outbreaks, epidemics, or pandemics on our business;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repurchase our Common Stock under any share repurchase program on favorable terms or at all and our ability to continue to declare cash dividends on our Common Stock and Class A Stock;</w:t>
      </w:r>
    </w:p>
    <w:p>
      <w:pPr>
        <w:ind w:left="660" w:right="20" w:hanging="328"/>
        <w:spacing w:after="0" w:line="25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activity that results from the rebalancing of stock indices in which our Common Stock is included, or the inclusion or exclusion of our Common Stock from such indices;</w:t>
      </w: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identified in these "Risk Factors";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the investment community or our shareholders of any of the foregoing factors.</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Times New Roman" w:cs="Times New Roman" w:eastAsia="Times New Roman" w:hAnsi="Times New Roman"/>
          <w:sz w:val="18"/>
          <w:szCs w:val="18"/>
          <w:i w:val="1"/>
          <w:iCs w:val="1"/>
          <w:color w:val="auto"/>
        </w:rPr>
        <w:t>Future sales of our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our significant shareholders or us may depress our stock price and impair our ability to raise funds in new share offerings</w:t>
      </w:r>
      <w:r>
        <w:rPr>
          <w:rFonts w:ascii="Times New Roman" w:cs="Times New Roman" w:eastAsia="Times New Roman" w:hAnsi="Times New Roman"/>
          <w:sz w:val="18"/>
          <w:szCs w:val="18"/>
          <w:color w:val="auto"/>
        </w:rPr>
        <w:t>" below, a large percentage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Common Stock is owned by a small number of our principal shareholders. As a result, the public float of our Common Stock (i.e., the portion of our Common Stock held by public investors, as opposed to the Common Stock held by our directors, officers, and principal shareholders) may be lower than the public float of other large public companies with broader public ownership. Therefore, the trading price of our Common Stock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Securities class action litigation is often initiated against companies following periods of volatility in their stock price. For example, in January 2025, a putative class action civil complaint was filed against the Company and certain current and former executive officers of the Company asserting violations of federal securities laws, as further described in Note 12 to our Condensed Consolidated Financial Statements included in this report. This type of litigation could result in</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small number of our shareholders beneficially own a substantial amount of our Common Stock. As of April 14, 2026, our five largest shareholders plus Dr. Schleifer, our Chief Executive Officer, beneficially owned approximately 32.0% of our outstanding shares of Common Stock, assuming, in the case of our Chief Executive Officer, the conversion of his Class A Stock into Common Stock and the exercise of all options held by him which are exercisable within 60 days of April 14, 2026. If our significant shareholders or we sell substantial amounts of our Common Stock in the public market, or there is a perception that such sales may occur, the market price of our Common Stock could fall. Sales of Common Stock by our significant shareholders also might make it more difficult for us to raise funds by selling equity or equity-related securities in the future at a time and price that we deem appropriate.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continue to repurchase shares of our Common Stock or continue to declare cash dividends.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2025, our board of directors authorized a share repurchase program to repurchase up to $3.0 billion of our Common Stock (of which $688.2 million remained available as of March 31, 2026); and, in April 2026, the board authorized an additional $3.0 billion for share repurchases. In 2025, our board of directors also initiated a quarterly cash dividend program. Any future share repurchases, share repurchase program authorizations, or dividend declarations will depend upon, among other factors, our cash balances and potential future capital requirements, our results of operations and financial condition, the price of our Common Stock on the NASDAQ Global Select Market, and other factors that we may deem relevant. Our share repurchases and dividend payments may change from time to time, and we can provide no assurance that we will repurchase shares of our Common Stock at favorable prices, in particular amounts, or at all, or that we will maintain or increase our quarterly cash dividend payments or declare future cash dividends. A reduction in our share repurchases or reduction in, or elimination of, our quarterly cash dividend payments could have an adverse effect on our stock price.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shareholders may be able to exert substantial influence over matters requiring shareholder approval and over our management.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Holders of Class A Stock, who are generally the shareholders who purchased their stock from us before our initial public offering, are entitled to ten votes per share, while holders of Common Stock are entitled to one vote per share. As of April 14, 2026, holders of Class A Stock held 15.0% of the combined voting power of all shares of Common Stock and Class A Stock then outstanding. These shareholders, if acting together, would be in a position to substantially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April 14, 2026:</w:t>
      </w:r>
    </w:p>
    <w:p>
      <w:pPr>
        <w:spacing w:after="0" w:line="106" w:lineRule="exact"/>
        <w:rPr>
          <w:sz w:val="20"/>
          <w:szCs w:val="20"/>
          <w:color w:val="auto"/>
        </w:rPr>
      </w:pPr>
    </w:p>
    <w:p>
      <w:pPr>
        <w:jc w:val="both"/>
        <w:ind w:left="660" w:hanging="328"/>
        <w:spacing w:after="0" w:line="254"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executive officers and directors beneficially owned 5.2% of our outstanding shares of Common Stock, assuming conversion of their Class A Stock into Common Stock and the exercise of all options and release of all restricted stock units held by such persons which are exercisable or releasable within 60 days of April 14, 2026, and 17.5% of the combined voting power of our outstanding shares of Common Stock and Class A Stock, assuming the exercise of all options and release of all restricted stock units held by such persons which are exercisable or releasable within 60 days of April 14, 2026; and</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five largest shareholders plus Dr. Schleifer, our Chief Executive Officer, beneficially owned approximately 32.0% of our outstanding shares of Common Stock, assuming, in the case of our Chief Executive Officer, the conversion of his Class A Stock into Common Stock and the exercise of all options held by him which are exercisable within 60 days of April 14, 2026. In addition, these five shareholders plus our Chief Executive Officer held approximately 40.4% of the combined voting power of our outstanding shares of Common Stock and Class A Stock, assuming the exercise of all options held by our Chief Executive Officer which are exercisable within 60 days of April 14, 2026.</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112" w:lineRule="exact"/>
        <w:rPr>
          <w:sz w:val="20"/>
          <w:szCs w:val="20"/>
          <w:color w:val="auto"/>
        </w:rPr>
      </w:pPr>
    </w:p>
    <w:p>
      <w:pPr>
        <w:ind w:left="660" w:hanging="328"/>
        <w:spacing w:after="0" w:line="261"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ind w:left="660" w:hanging="328"/>
        <w:spacing w:after="0" w:line="25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staggered board of directors (which, pursuant to an amendment to our certificate of incorporation approved by shareholders in 2025, will be phased out beginning in 2026 and result in the annual election of all of our directors commencing with the 2028 annual meeting of shareholders);</w:t>
      </w:r>
    </w:p>
    <w:p>
      <w:pPr>
        <w:jc w:val="both"/>
        <w:ind w:left="660" w:hanging="328"/>
        <w:spacing w:after="0" w:line="25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5" w:lineRule="auto"/>
        <w:tabs>
          <w:tab w:leader="none" w:pos="65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ind w:left="660" w:right="20" w:hanging="328"/>
        <w:spacing w:after="0" w:line="25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3"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Times New Roman" w:cs="Times New Roman" w:eastAsia="Times New Roman" w:hAnsi="Times New Roman"/>
          <w:sz w:val="18"/>
          <w:szCs w:val="18"/>
          <w:i w:val="1"/>
          <w:iCs w:val="1"/>
          <w:color w:val="auto"/>
        </w:rPr>
        <w:t>Our existing shareholders may be able to exert substantial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influence over matters requiring shareholder approval and over our management.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certain of our current or former collaborators are currently bound by "standstill" provisions under their respective agreements with us. These include the January 2014 amended and restated investor agreement between us and Sanofi, as amended, which contractually prohibits Sanofi from seeking to directly or indirectly exert control of our Company or acquiring more than 30% of our Class A Stock and Common Stock, taken together.</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Change in Control Severance Plan and the employment agreement with our Chief Executive Officer, each as amended and restated, provide for severance benefits in the event of termination as a result of a change in control of our Company. Also, equity awards issued under our long-term incentive plans may become fully vested in connection with a "change in control" of our Company, as defined in the plans. These contractual provisions may also have the effect of deterring, delaying, or preventing an acquisition or other change in control.</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reflects shares of Common Stock we repurchased under our share repurchase programs, as well as Common Stock withheld by us for employees to satisfy their tax withholding obligations arising upon the vesting of restricted stock granted under one of our long-term incentive plans, during the three months ended March 31, 2026. Refer to Part I, Item 2. "Management's Discussion and Analysis of Financial Condition and Results of Operations – Liquidity and Capital Resources" for further details of our share repurchase programs.</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00" w:type="dxa"/>
            <w:vAlign w:val="bottom"/>
          </w:tcPr>
          <w:p>
            <w:pPr>
              <w:spacing w:after="0"/>
              <w:rPr>
                <w:sz w:val="17"/>
                <w:szCs w:val="17"/>
                <w:color w:val="auto"/>
              </w:rPr>
            </w:pP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of Shares that May Yet Be</w:t>
            </w:r>
          </w:p>
        </w:tc>
        <w:tc>
          <w:tcPr>
            <w:tcW w:w="0" w:type="dxa"/>
            <w:vAlign w:val="bottom"/>
          </w:tcPr>
          <w:p>
            <w:pPr>
              <w:spacing w:after="0"/>
              <w:rPr>
                <w:sz w:val="1"/>
                <w:szCs w:val="1"/>
                <w:color w:val="auto"/>
              </w:rPr>
            </w:pPr>
          </w:p>
        </w:tc>
      </w:tr>
      <w:tr>
        <w:trPr>
          <w:trHeight w:val="175"/>
        </w:trPr>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20" w:type="dxa"/>
            <w:vAlign w:val="bottom"/>
          </w:tcPr>
          <w:p>
            <w:pPr>
              <w:spacing w:after="0"/>
              <w:rPr>
                <w:sz w:val="15"/>
                <w:szCs w:val="15"/>
                <w:color w:val="auto"/>
              </w:rPr>
            </w:pPr>
          </w:p>
        </w:tc>
        <w:tc>
          <w:tcPr>
            <w:tcW w:w="20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 Price Paid per</w:t>
            </w:r>
          </w:p>
        </w:tc>
        <w:tc>
          <w:tcPr>
            <w:tcW w:w="1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jc w:val="center"/>
              <w:ind w:right="132"/>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176"/>
        </w:trPr>
        <w:tc>
          <w:tcPr>
            <w:tcW w:w="19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3"/>
            <w:vMerge w:val="continue"/>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jc w:val="center"/>
              <w:ind w:right="132"/>
              <w:spacing w:after="0" w:line="176" w:lineRule="exact"/>
              <w:rPr>
                <w:sz w:val="20"/>
                <w:szCs w:val="20"/>
                <w:color w:val="auto"/>
              </w:rPr>
            </w:pPr>
            <w:r>
              <w:rPr>
                <w:rFonts w:ascii="Times New Roman" w:cs="Times New Roman" w:eastAsia="Times New Roman" w:hAnsi="Times New Roman"/>
                <w:sz w:val="16"/>
                <w:szCs w:val="16"/>
                <w:b w:val="1"/>
                <w:bCs w:val="1"/>
                <w:color w:val="auto"/>
              </w:rPr>
              <w:t>Programs</w:t>
            </w:r>
            <w:r>
              <w:rPr>
                <w:rFonts w:ascii="Times New Roman" w:cs="Times New Roman" w:eastAsia="Times New Roman" w:hAnsi="Times New Roman"/>
                <w:sz w:val="20"/>
                <w:szCs w:val="20"/>
                <w:b w:val="1"/>
                <w:bCs w:val="1"/>
                <w:color w:val="auto"/>
                <w:vertAlign w:val="superscript"/>
              </w:rPr>
              <w:t>(b)</w:t>
            </w:r>
          </w:p>
        </w:tc>
        <w:tc>
          <w:tcPr>
            <w:tcW w:w="0" w:type="dxa"/>
            <w:vAlign w:val="bottom"/>
          </w:tcPr>
          <w:p>
            <w:pPr>
              <w:spacing w:after="0"/>
              <w:rPr>
                <w:sz w:val="1"/>
                <w:szCs w:val="1"/>
                <w:color w:val="auto"/>
              </w:rPr>
            </w:pPr>
          </w:p>
        </w:tc>
      </w:tr>
      <w:tr>
        <w:trPr>
          <w:trHeight w:val="243"/>
        </w:trPr>
        <w:tc>
          <w:tcPr>
            <w:tcW w:w="1960" w:type="dxa"/>
            <w:vAlign w:val="bottom"/>
            <w:gridSpan w:val="2"/>
            <w:vMerge w:val="continue"/>
          </w:tcPr>
          <w:p>
            <w:pPr>
              <w:spacing w:after="0"/>
              <w:rPr>
                <w:sz w:val="21"/>
                <w:szCs w:val="21"/>
                <w:color w:val="auto"/>
              </w:rPr>
            </w:pPr>
          </w:p>
        </w:tc>
        <w:tc>
          <w:tcPr>
            <w:tcW w:w="1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tcPr>
          <w:p>
            <w:pPr>
              <w:jc w:val="center"/>
              <w:ind w:right="132"/>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0" w:type="dxa"/>
            <w:vAlign w:val="bottom"/>
          </w:tcPr>
          <w:p>
            <w:pPr>
              <w:spacing w:after="0"/>
              <w:rPr>
                <w:sz w:val="1"/>
                <w:szCs w:val="1"/>
                <w:color w:val="auto"/>
              </w:rPr>
            </w:pPr>
          </w:p>
        </w:tc>
      </w:tr>
      <w:tr>
        <w:trPr>
          <w:trHeight w:val="223"/>
        </w:trPr>
        <w:tc>
          <w:tcPr>
            <w:tcW w:w="1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1/1/2026–1/31/2026</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220,042</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763.60</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214,424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2/1/2026–2/28/2026</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354,193</w:t>
            </w:r>
          </w:p>
        </w:tc>
        <w:tc>
          <w:tcPr>
            <w:tcW w:w="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776.58</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354,118</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1,047.2</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3/1/2026–3/31/2026</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474,851</w:t>
            </w:r>
          </w:p>
        </w:tc>
        <w:tc>
          <w:tcPr>
            <w:tcW w:w="5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756.21</w:t>
            </w:r>
          </w:p>
        </w:tc>
        <w:tc>
          <w:tcPr>
            <w:tcW w:w="10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474,851</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w:t>
            </w:r>
          </w:p>
        </w:tc>
        <w:tc>
          <w:tcPr>
            <w:tcW w:w="0" w:type="dxa"/>
            <w:vAlign w:val="bottom"/>
          </w:tcPr>
          <w:p>
            <w:pPr>
              <w:spacing w:after="0"/>
              <w:rPr>
                <w:sz w:val="1"/>
                <w:szCs w:val="1"/>
                <w:color w:val="auto"/>
              </w:rPr>
            </w:pPr>
          </w:p>
        </w:tc>
      </w:tr>
      <w:tr>
        <w:trPr>
          <w:trHeight w:val="281"/>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(a)</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1,049,086</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1,043,393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both"/>
        <w:ind w:left="640" w:right="480"/>
        <w:spacing w:after="0" w:line="202" w:lineRule="auto"/>
        <w:tabs>
          <w:tab w:leader="none" w:pos="814"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difference between the total number of shares purchased and the total number of shares purchased as part of publicly announced programs relates to Common Stock withheld by us for employees to satisfy their tax withholding obligations arising upon the vesting of restricted stock granted under one of our long-term incentive plans</w:t>
      </w:r>
    </w:p>
    <w:p>
      <w:pPr>
        <w:spacing w:after="0" w:line="2" w:lineRule="exact"/>
        <w:rPr>
          <w:rFonts w:ascii="Times New Roman" w:cs="Times New Roman" w:eastAsia="Times New Roman" w:hAnsi="Times New Roman"/>
          <w:sz w:val="23"/>
          <w:szCs w:val="23"/>
          <w:color w:val="auto"/>
          <w:vertAlign w:val="superscript"/>
        </w:rPr>
      </w:pPr>
    </w:p>
    <w:p>
      <w:pPr>
        <w:ind w:left="820" w:hanging="180"/>
        <w:spacing w:after="0" w:line="232" w:lineRule="auto"/>
        <w:tabs>
          <w:tab w:leader="none" w:pos="820"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 April 2026, our board of directors authorized a share repurchase program to repurchase up to an additional $3.0 billion of our Common Stock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disclosed in the table below, during the three months ended March 31, 2026, certain of our directors and/or executive officers adopted plans for trading arrangements intended to satisfy the affirmative defense conditions of Rule 10b5-1(c) of the Exchange Act.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Date of Plan</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Scheduled End Date</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0" w:type="dxa"/>
            <w:vAlign w:val="bottom"/>
          </w:tcPr>
          <w:p>
            <w:pPr>
              <w:spacing w:after="0"/>
              <w:rPr>
                <w:sz w:val="1"/>
                <w:szCs w:val="1"/>
                <w:color w:val="auto"/>
              </w:rPr>
            </w:pPr>
          </w:p>
        </w:tc>
      </w:tr>
      <w:tr>
        <w:trPr>
          <w:trHeight w:val="184"/>
        </w:trPr>
        <w:tc>
          <w:tcPr>
            <w:tcW w:w="254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560" w:type="dxa"/>
            <w:vAlign w:val="bottom"/>
            <w:gridSpan w:val="2"/>
            <w:vMerge w:val="restart"/>
          </w:tcPr>
          <w:p>
            <w:pPr>
              <w:ind w:left="14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380" w:type="dxa"/>
            <w:vAlign w:val="bottom"/>
            <w:gridSpan w:val="2"/>
            <w:vMerge w:val="continue"/>
          </w:tcPr>
          <w:p>
            <w:pPr>
              <w:spacing w:after="0"/>
              <w:rPr>
                <w:sz w:val="16"/>
                <w:szCs w:val="16"/>
                <w:color w:val="auto"/>
              </w:rPr>
            </w:pPr>
          </w:p>
        </w:tc>
        <w:tc>
          <w:tcPr>
            <w:tcW w:w="174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6"/>
              </w:rPr>
              <w:t>of Trading</w:t>
            </w:r>
          </w:p>
        </w:tc>
        <w:tc>
          <w:tcPr>
            <w:tcW w:w="20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Securities to Be Sold</w:t>
            </w:r>
          </w:p>
        </w:tc>
        <w:tc>
          <w:tcPr>
            <w:tcW w:w="0" w:type="dxa"/>
            <w:vAlign w:val="bottom"/>
          </w:tcPr>
          <w:p>
            <w:pPr>
              <w:spacing w:after="0"/>
              <w:rPr>
                <w:sz w:val="1"/>
                <w:szCs w:val="1"/>
                <w:color w:val="auto"/>
              </w:rPr>
            </w:pPr>
          </w:p>
        </w:tc>
      </w:tr>
      <w:tr>
        <w:trPr>
          <w:trHeight w:val="229"/>
        </w:trPr>
        <w:tc>
          <w:tcPr>
            <w:tcW w:w="2540" w:type="dxa"/>
            <w:vAlign w:val="bottom"/>
            <w:gridSpan w:val="2"/>
            <w:vMerge w:val="continue"/>
          </w:tcPr>
          <w:p>
            <w:pPr>
              <w:spacing w:after="0"/>
              <w:rPr>
                <w:sz w:val="19"/>
                <w:szCs w:val="19"/>
                <w:color w:val="auto"/>
              </w:rPr>
            </w:pPr>
          </w:p>
        </w:tc>
        <w:tc>
          <w:tcPr>
            <w:tcW w:w="3560" w:type="dxa"/>
            <w:vAlign w:val="bottom"/>
            <w:gridSpan w:val="2"/>
            <w:vMerge w:val="continue"/>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Adoption</w:t>
            </w:r>
          </w:p>
        </w:tc>
        <w:tc>
          <w:tcPr>
            <w:tcW w:w="1740" w:type="dxa"/>
            <w:vAlign w:val="bottom"/>
            <w:gridSpan w:val="2"/>
          </w:tcPr>
          <w:p>
            <w:pPr>
              <w:jc w:val="center"/>
              <w:ind w:right="80"/>
              <w:spacing w:after="0" w:line="230" w:lineRule="exact"/>
              <w:rPr>
                <w:sz w:val="20"/>
                <w:szCs w:val="20"/>
                <w:color w:val="auto"/>
              </w:rPr>
            </w:pPr>
            <w:r>
              <w:rPr>
                <w:rFonts w:ascii="Times New Roman" w:cs="Times New Roman" w:eastAsia="Times New Roman" w:hAnsi="Times New Roman"/>
                <w:sz w:val="18"/>
                <w:szCs w:val="18"/>
                <w:b w:val="1"/>
                <w:bCs w:val="1"/>
                <w:color w:val="auto"/>
                <w:w w:val="96"/>
              </w:rPr>
              <w:t>Arrangement</w:t>
            </w:r>
            <w:r>
              <w:rPr>
                <w:rFonts w:ascii="Times New Roman" w:cs="Times New Roman" w:eastAsia="Times New Roman" w:hAnsi="Times New Roman"/>
                <w:sz w:val="23"/>
                <w:szCs w:val="23"/>
                <w:b w:val="1"/>
                <w:bCs w:val="1"/>
                <w:color w:val="auto"/>
                <w:w w:val="96"/>
                <w:vertAlign w:val="superscript"/>
              </w:rPr>
              <w:t>(a)</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 the Plan</w:t>
            </w:r>
          </w:p>
        </w:tc>
        <w:tc>
          <w:tcPr>
            <w:tcW w:w="0" w:type="dxa"/>
            <w:vAlign w:val="bottom"/>
          </w:tcPr>
          <w:p>
            <w:pPr>
              <w:spacing w:after="0"/>
              <w:rPr>
                <w:sz w:val="1"/>
                <w:szCs w:val="1"/>
                <w:color w:val="auto"/>
              </w:rPr>
            </w:pPr>
          </w:p>
        </w:tc>
      </w:tr>
      <w:tr>
        <w:trPr>
          <w:trHeight w:val="223"/>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S. Brown, M.D.</w:t>
            </w:r>
          </w:p>
        </w:tc>
        <w:tc>
          <w:tcPr>
            <w:tcW w:w="120" w:type="dxa"/>
            <w:vAlign w:val="bottom"/>
            <w:tcBorders>
              <w:top w:val="single" w:sz="8" w:color="CCEEFF"/>
            </w:tcBorders>
            <w:shd w:val="clear" w:color="auto" w:fill="CCEEFF"/>
          </w:tcPr>
          <w:p>
            <w:pPr>
              <w:spacing w:after="0"/>
              <w:rPr>
                <w:sz w:val="19"/>
                <w:szCs w:val="19"/>
                <w:color w:val="auto"/>
              </w:rPr>
            </w:pPr>
          </w:p>
        </w:tc>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2/25/2026</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12/30/2026</w:t>
            </w:r>
          </w:p>
        </w:tc>
        <w:tc>
          <w:tcPr>
            <w:tcW w:w="10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0" w:type="dxa"/>
            <w:vAlign w:val="bottom"/>
          </w:tcPr>
          <w:p>
            <w:pPr>
              <w:spacing w:after="0"/>
              <w:rPr>
                <w:sz w:val="1"/>
                <w:szCs w:val="1"/>
                <w:color w:val="auto"/>
              </w:rPr>
            </w:pPr>
          </w:p>
        </w:tc>
      </w:tr>
      <w:tr>
        <w:trPr>
          <w:trHeight w:val="230"/>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Joseph L. Goldstein, M.D.</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2/5/2026</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11/30/2026</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Kathryn Guarini, Ph.D.</w:t>
            </w: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2/13/2026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2/5/2027</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3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Marion McCourt</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Commercial</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2/17/2026</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5/5/2027</w:t>
            </w:r>
          </w:p>
        </w:tc>
        <w:tc>
          <w:tcPr>
            <w:tcW w:w="1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60" w:hanging="172"/>
        <w:spacing w:after="0"/>
        <w:tabs>
          <w:tab w:leader="none" w:pos="360"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trading arrangement may expire on an earlier date if and when all transactions under the arrangement are completed</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22"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88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Exhibits</w:t>
            </w:r>
          </w:p>
        </w:tc>
        <w:tc>
          <w:tcPr>
            <w:tcW w:w="88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4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5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5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6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85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0" w:type="dxa"/>
            <w:vAlign w:val="bottom"/>
          </w:tcPr>
          <w:p>
            <w:pPr>
              <w:spacing w:after="0"/>
              <w:rPr>
                <w:sz w:val="19"/>
                <w:szCs w:val="19"/>
                <w:color w:val="auto"/>
              </w:rPr>
            </w:pPr>
          </w:p>
        </w:tc>
        <w:tc>
          <w:tcPr>
            <w:tcW w:w="580" w:type="dxa"/>
            <w:vAlign w:val="bottom"/>
            <w:tcBorders>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31.1</w:t>
            </w: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280" w:type="dxa"/>
            <w:vAlign w:val="bottom"/>
            <w:tcBorders>
              <w:bottom w:val="single" w:sz="8" w:color="0000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 13a-14(a) under the Securities Exchange Act of 1934.</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5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5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 13a-14(a) under the Securities Exchange Act of 1934.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1920" w:hanging="1071"/>
        <w:spacing w:after="0"/>
        <w:tabs>
          <w:tab w:leader="none" w:pos="19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Principal Executive Officer and Principal Financial Officer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-127635</wp:posOffset>
            </wp:positionV>
            <wp:extent cx="6086475"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86475" cy="146050"/>
                    </a:xfrm>
                    <a:prstGeom prst="rect">
                      <a:avLst/>
                    </a:prstGeom>
                    <a:noFill/>
                  </pic:spPr>
                </pic:pic>
              </a:graphicData>
            </a:graphic>
          </wp:anchor>
        </w:drawing>
      </w:r>
    </w:p>
    <w:p>
      <w:pPr>
        <w:spacing w:after="0" w:line="7" w:lineRule="exact"/>
        <w:rPr>
          <w:sz w:val="20"/>
          <w:szCs w:val="20"/>
          <w:color w:val="auto"/>
        </w:rPr>
      </w:pPr>
    </w:p>
    <w:p>
      <w:pPr>
        <w:ind w:left="1920" w:right="40" w:hanging="1071"/>
        <w:spacing w:after="0" w:line="216" w:lineRule="auto"/>
        <w:tabs>
          <w:tab w:leader="none" w:pos="1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 pursuant to Rule 405 of Regulation S-T formatted in Inline Extensible Business Reporting Language ("Inline XBRL"): (i) the registrant's Condensed Consolidated Balance Sheets as of March 31, 2026 and December 31, 2025; (ii) the registrant's Condensed Consolidated Statements of Operations and Comprehensive Income for the three months ended March 31, 2026 and 2025; (iii) the registrant's Condensed Consolidated Statements of Stockholders’ Equity for the three months ended March 31, 2026 and 2025; (iv) the registrant's Condensed Consolidated Statements of Cash Flows for the three months ended March 31, 2026 and 2025; and (v) the notes to the registrant's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3175</wp:posOffset>
            </wp:positionV>
            <wp:extent cx="6086475" cy="145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86475" cy="145415"/>
                    </a:xfrm>
                    <a:prstGeom prst="rect">
                      <a:avLst/>
                    </a:prstGeom>
                    <a:noFill/>
                  </pic:spPr>
                </pic:pic>
              </a:graphicData>
            </a:graphic>
          </wp:anchor>
        </w:drawing>
      </w:r>
    </w:p>
    <w:p>
      <w:pPr>
        <w:ind w:left="5540" w:right="1920" w:hanging="4691"/>
        <w:spacing w:after="0" w:line="902" w:lineRule="auto"/>
        <w:tabs>
          <w:tab w:leader="none" w:pos="192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369" w:right="11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93" w:lineRule="exact"/>
        <w:rPr>
          <w:sz w:val="20"/>
          <w:szCs w:val="20"/>
          <w:color w:val="auto"/>
        </w:rPr>
      </w:pPr>
    </w:p>
    <w:p>
      <w:pPr>
        <w:ind w:left="20"/>
        <w:spacing w:after="0"/>
        <w:tabs>
          <w:tab w:leader="none" w:pos="760" w:val="left"/>
          <w:tab w:leader="none" w:pos="4240" w:val="left"/>
          <w:tab w:leader="none" w:pos="4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Christopher Fenimore</w:t>
      </w:r>
    </w:p>
    <w:p>
      <w:pPr>
        <w:spacing w:after="0" w:line="7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Christopher Fenimore</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Executive Vice President, Finance and</w:t>
      </w:r>
    </w:p>
    <w:p>
      <w:pPr>
        <w:spacing w:after="0" w:line="2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369"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Leonard S. Schleifer, certify that:</w:t>
      </w:r>
    </w:p>
    <w:p>
      <w:pPr>
        <w:spacing w:after="0" w:line="104"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90"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0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Date: April 29, 2026</w:t>
            </w:r>
          </w:p>
        </w:tc>
        <w:tc>
          <w:tcPr>
            <w:tcW w:w="12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Leonard S. Schleifer</w:t>
            </w:r>
          </w:p>
        </w:tc>
        <w:tc>
          <w:tcPr>
            <w:tcW w:w="0" w:type="dxa"/>
            <w:vAlign w:val="bottom"/>
          </w:tcPr>
          <w:p>
            <w:pPr>
              <w:spacing w:after="0"/>
              <w:rPr>
                <w:sz w:val="1"/>
                <w:szCs w:val="1"/>
                <w:color w:val="auto"/>
              </w:rPr>
            </w:pPr>
          </w:p>
        </w:tc>
      </w:tr>
      <w:tr>
        <w:trPr>
          <w:trHeight w:val="20"/>
        </w:trPr>
        <w:tc>
          <w:tcPr>
            <w:tcW w:w="3000" w:type="dxa"/>
            <w:vAlign w:val="bottom"/>
            <w:vMerge w:val="continu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000" w:type="dxa"/>
            <w:vAlign w:val="bottom"/>
            <w:vMerge w:val="continue"/>
          </w:tcPr>
          <w:p>
            <w:pPr>
              <w:spacing w:after="0"/>
              <w:rPr>
                <w:sz w:val="7"/>
                <w:szCs w:val="7"/>
                <w:color w:val="auto"/>
              </w:rPr>
            </w:pPr>
          </w:p>
        </w:tc>
        <w:tc>
          <w:tcPr>
            <w:tcW w:w="1220" w:type="dxa"/>
            <w:vAlign w:val="bottom"/>
            <w:vMerge w:val="restart"/>
          </w:tcPr>
          <w:p>
            <w:pPr>
              <w:spacing w:after="0"/>
              <w:rPr>
                <w:sz w:val="7"/>
                <w:szCs w:val="7"/>
                <w:color w:val="auto"/>
              </w:rPr>
            </w:pPr>
          </w:p>
        </w:tc>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Leonard S. Schleifer, M.D., Ph.D.</w:t>
            </w:r>
          </w:p>
        </w:tc>
        <w:tc>
          <w:tcPr>
            <w:tcW w:w="0" w:type="dxa"/>
            <w:vAlign w:val="bottom"/>
          </w:tcPr>
          <w:p>
            <w:pPr>
              <w:spacing w:after="0"/>
              <w:rPr>
                <w:sz w:val="1"/>
                <w:szCs w:val="1"/>
                <w:color w:val="auto"/>
              </w:rPr>
            </w:pPr>
          </w:p>
        </w:tc>
      </w:tr>
      <w:tr>
        <w:trPr>
          <w:trHeight w:val="225"/>
        </w:trPr>
        <w:tc>
          <w:tcPr>
            <w:tcW w:w="30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6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spacing w:after="0"/>
              <w:rPr>
                <w:sz w:val="19"/>
                <w:szCs w:val="19"/>
                <w:color w:val="auto"/>
              </w:rPr>
            </w:pPr>
          </w:p>
        </w:tc>
        <w:tc>
          <w:tcPr>
            <w:tcW w:w="82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82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93"/>
        </w:trPr>
        <w:tc>
          <w:tcPr>
            <w:tcW w:w="3000" w:type="dxa"/>
            <w:vAlign w:val="bottom"/>
            <w:tcBorders>
              <w:bottom w:val="single" w:sz="8" w:color="666666"/>
            </w:tcBorders>
          </w:tcPr>
          <w:p>
            <w:pPr>
              <w:spacing w:after="0"/>
              <w:rPr>
                <w:sz w:val="24"/>
                <w:szCs w:val="24"/>
                <w:color w:val="auto"/>
              </w:rPr>
            </w:pPr>
          </w:p>
        </w:tc>
        <w:tc>
          <w:tcPr>
            <w:tcW w:w="1220" w:type="dxa"/>
            <w:vAlign w:val="bottom"/>
            <w:tcBorders>
              <w:bottom w:val="single" w:sz="8" w:color="666666"/>
            </w:tcBorders>
          </w:tcPr>
          <w:p>
            <w:pPr>
              <w:spacing w:after="0"/>
              <w:rPr>
                <w:sz w:val="24"/>
                <w:szCs w:val="24"/>
                <w:color w:val="auto"/>
              </w:rPr>
            </w:pPr>
          </w:p>
        </w:tc>
        <w:tc>
          <w:tcPr>
            <w:tcW w:w="1700" w:type="dxa"/>
            <w:vAlign w:val="bottom"/>
            <w:tcBorders>
              <w:bottom w:val="single" w:sz="8" w:color="666666"/>
            </w:tcBorders>
          </w:tcPr>
          <w:p>
            <w:pPr>
              <w:spacing w:after="0"/>
              <w:rPr>
                <w:sz w:val="24"/>
                <w:szCs w:val="24"/>
                <w:color w:val="auto"/>
              </w:rPr>
            </w:pPr>
          </w:p>
        </w:tc>
        <w:tc>
          <w:tcPr>
            <w:tcW w:w="528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5"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Fenimore, certify that:</w:t>
      </w:r>
    </w:p>
    <w:p>
      <w:pPr>
        <w:spacing w:after="0" w:line="104"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90"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0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Date: April 29, 2026</w:t>
            </w:r>
          </w:p>
        </w:tc>
        <w:tc>
          <w:tcPr>
            <w:tcW w:w="12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Christopher Fenimore</w:t>
            </w:r>
          </w:p>
        </w:tc>
        <w:tc>
          <w:tcPr>
            <w:tcW w:w="0" w:type="dxa"/>
            <w:vAlign w:val="bottom"/>
          </w:tcPr>
          <w:p>
            <w:pPr>
              <w:spacing w:after="0"/>
              <w:rPr>
                <w:sz w:val="1"/>
                <w:szCs w:val="1"/>
                <w:color w:val="auto"/>
              </w:rPr>
            </w:pPr>
          </w:p>
        </w:tc>
      </w:tr>
      <w:tr>
        <w:trPr>
          <w:trHeight w:val="88"/>
        </w:trPr>
        <w:tc>
          <w:tcPr>
            <w:tcW w:w="3000" w:type="dxa"/>
            <w:vAlign w:val="bottom"/>
            <w:vMerge w:val="continue"/>
          </w:tcPr>
          <w:p>
            <w:pPr>
              <w:spacing w:after="0"/>
              <w:rPr>
                <w:sz w:val="7"/>
                <w:szCs w:val="7"/>
                <w:color w:val="auto"/>
              </w:rPr>
            </w:pPr>
          </w:p>
        </w:tc>
        <w:tc>
          <w:tcPr>
            <w:tcW w:w="1220" w:type="dxa"/>
            <w:vAlign w:val="bottom"/>
            <w:vMerge w:val="restart"/>
          </w:tcPr>
          <w:p>
            <w:pPr>
              <w:spacing w:after="0"/>
              <w:rPr>
                <w:sz w:val="7"/>
                <w:szCs w:val="7"/>
                <w:color w:val="auto"/>
              </w:rPr>
            </w:pPr>
          </w:p>
        </w:tc>
        <w:tc>
          <w:tcPr>
            <w:tcW w:w="18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Christopher Fenimore</w:t>
            </w:r>
          </w:p>
        </w:tc>
        <w:tc>
          <w:tcPr>
            <w:tcW w:w="51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30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800" w:type="dxa"/>
            <w:vAlign w:val="bottom"/>
            <w:vMerge w:val="continue"/>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000" w:type="dxa"/>
            <w:vAlign w:val="bottom"/>
          </w:tcPr>
          <w:p>
            <w:pPr>
              <w:spacing w:after="0"/>
              <w:rPr>
                <w:sz w:val="15"/>
                <w:szCs w:val="15"/>
                <w:color w:val="auto"/>
              </w:rPr>
            </w:pPr>
          </w:p>
        </w:tc>
        <w:tc>
          <w:tcPr>
            <w:tcW w:w="8200" w:type="dxa"/>
            <w:vAlign w:val="bottom"/>
            <w:gridSpan w:val="3"/>
          </w:tcPr>
          <w:p>
            <w:pPr>
              <w:ind w:left="1220"/>
              <w:spacing w:after="0" w:line="181" w:lineRule="exact"/>
              <w:rPr>
                <w:sz w:val="20"/>
                <w:szCs w:val="20"/>
                <w:color w:val="auto"/>
              </w:rPr>
            </w:pPr>
            <w:r>
              <w:rPr>
                <w:rFonts w:ascii="Times New Roman" w:cs="Times New Roman" w:eastAsia="Times New Roman" w:hAnsi="Times New Roman"/>
                <w:sz w:val="18"/>
                <w:szCs w:val="18"/>
                <w:color w:val="auto"/>
              </w:rPr>
              <w:t>Executive Vice President, Finance and Chief</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82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Financial Officer</w:t>
            </w:r>
          </w:p>
        </w:tc>
        <w:tc>
          <w:tcPr>
            <w:tcW w:w="0" w:type="dxa"/>
            <w:vAlign w:val="bottom"/>
          </w:tcPr>
          <w:p>
            <w:pPr>
              <w:spacing w:after="0"/>
              <w:rPr>
                <w:sz w:val="1"/>
                <w:szCs w:val="1"/>
                <w:color w:val="auto"/>
              </w:rPr>
            </w:pPr>
          </w:p>
        </w:tc>
      </w:tr>
      <w:tr>
        <w:trPr>
          <w:trHeight w:val="238"/>
        </w:trPr>
        <w:tc>
          <w:tcPr>
            <w:tcW w:w="3000" w:type="dxa"/>
            <w:vAlign w:val="bottom"/>
          </w:tcPr>
          <w:p>
            <w:pPr>
              <w:spacing w:after="0"/>
              <w:rPr>
                <w:sz w:val="20"/>
                <w:szCs w:val="20"/>
                <w:color w:val="auto"/>
              </w:rPr>
            </w:pPr>
          </w:p>
        </w:tc>
        <w:tc>
          <w:tcPr>
            <w:tcW w:w="82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493"/>
        </w:trPr>
        <w:tc>
          <w:tcPr>
            <w:tcW w:w="3000" w:type="dxa"/>
            <w:vAlign w:val="bottom"/>
            <w:tcBorders>
              <w:bottom w:val="single" w:sz="8" w:color="666666"/>
            </w:tcBorders>
          </w:tcPr>
          <w:p>
            <w:pPr>
              <w:spacing w:after="0"/>
              <w:rPr>
                <w:sz w:val="24"/>
                <w:szCs w:val="24"/>
                <w:color w:val="auto"/>
              </w:rPr>
            </w:pPr>
          </w:p>
        </w:tc>
        <w:tc>
          <w:tcPr>
            <w:tcW w:w="1220" w:type="dxa"/>
            <w:vAlign w:val="bottom"/>
            <w:tcBorders>
              <w:bottom w:val="single" w:sz="8" w:color="666666"/>
            </w:tcBorders>
          </w:tcPr>
          <w:p>
            <w:pPr>
              <w:spacing w:after="0"/>
              <w:rPr>
                <w:sz w:val="24"/>
                <w:szCs w:val="24"/>
                <w:color w:val="auto"/>
              </w:rPr>
            </w:pPr>
          </w:p>
        </w:tc>
        <w:tc>
          <w:tcPr>
            <w:tcW w:w="1800" w:type="dxa"/>
            <w:vAlign w:val="bottom"/>
            <w:tcBorders>
              <w:bottom w:val="single" w:sz="8" w:color="666666"/>
            </w:tcBorders>
          </w:tcPr>
          <w:p>
            <w:pPr>
              <w:spacing w:after="0"/>
              <w:rPr>
                <w:sz w:val="24"/>
                <w:szCs w:val="24"/>
                <w:color w:val="auto"/>
              </w:rPr>
            </w:pPr>
          </w:p>
        </w:tc>
        <w:tc>
          <w:tcPr>
            <w:tcW w:w="518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5"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2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Regeneron Pharmaceuticals, Inc. (the "Company") on Form 10-Q for the quarterly period ended March 31, 2026 as filed with the Securities and Exchange Commission on the date hereof (the "Report"), Leonard S. Schleifer, M.D., Ph.D., as Principal Executive Officer of the Company, and Christopher Fenimore, as Principal Financial Officer of the Company, each hereby certifies, pursuant to 18 U.S.C. Section 1350, as adopted pursuant to Section 906 of the Sarbanes-Oxley Act of 2002, to the best of his knowledge, that:</w:t>
      </w:r>
    </w:p>
    <w:p>
      <w:pPr>
        <w:spacing w:after="0" w:line="58" w:lineRule="exact"/>
        <w:rPr>
          <w:sz w:val="20"/>
          <w:szCs w:val="20"/>
          <w:color w:val="auto"/>
        </w:rPr>
      </w:pPr>
    </w:p>
    <w:p>
      <w:pPr>
        <w:ind w:left="640" w:hanging="308"/>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Leonard S. Schleifer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Leonard S. Schleifer, M.D., Ph.D.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29, 2026</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Christopher Fenimore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Christopher Fenimore</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Finance and Chief</w:t>
      </w:r>
    </w:p>
    <w:p>
      <w:pPr>
        <w:ind w:left="2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29, 2026</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lowerLetter"/>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lowerLetter"/>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2"/>
    </w:lvl>
  </w:abstractNum>
  <w:abstractNum w:abstractNumId="8">
    <w:nsid w:val="71F32454"/>
    <w:multiLevelType w:val="hybridMultilevel"/>
    <w:lvl w:ilvl="0">
      <w:lvlJc w:val="left"/>
      <w:lvlText w:val="(%1)"/>
      <w:numFmt w:val="lowerRoman"/>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1)"/>
      <w:numFmt w:val="lowerLetter"/>
      <w:start w:val="1"/>
    </w:lvl>
  </w:abstractNum>
  <w:abstractNum w:abstractNumId="11">
    <w:nsid w:val="2901D82"/>
    <w:multiLevelType w:val="hybridMultilevel"/>
    <w:lvl w:ilvl="0">
      <w:lvlJc w:val="left"/>
      <w:lvlText w:val="(%1)"/>
      <w:numFmt w:val="lowerLetter"/>
      <w:start w:val="1"/>
    </w:lvl>
  </w:abstractNum>
  <w:abstractNum w:abstractNumId="12">
    <w:nsid w:val="3A95F874"/>
    <w:multiLevelType w:val="hybridMultilevel"/>
    <w:lvl w:ilvl="0">
      <w:lvlJc w:val="left"/>
      <w:lvlText w:val="(%1)"/>
      <w:numFmt w:val="lowerLetter"/>
      <w:start w:val="1"/>
    </w:lvl>
  </w:abstractNum>
  <w:abstractNum w:abstractNumId="13">
    <w:nsid w:val="8138641"/>
    <w:multiLevelType w:val="hybridMultilevel"/>
    <w:lvl w:ilvl="0">
      <w:lvlJc w:val="left"/>
      <w:lvlText w:val="(%1)"/>
      <w:numFmt w:val="lowerLetter"/>
      <w:start w:val="1"/>
    </w:lvl>
  </w:abstractNum>
  <w:abstractNum w:abstractNumId="14">
    <w:nsid w:val="1E7FF521"/>
    <w:multiLevelType w:val="hybridMultilevel"/>
    <w:lvl w:ilvl="0">
      <w:lvlJc w:val="left"/>
      <w:lvlText w:val="(%1)"/>
      <w:numFmt w:val="lowerLetter"/>
      <w:start w:val="1"/>
    </w:lvl>
  </w:abstractNum>
  <w:abstractNum w:abstractNumId="15">
    <w:nsid w:val="7C3DBD3D"/>
    <w:multiLevelType w:val="hybridMultilevel"/>
    <w:lvl w:ilvl="0">
      <w:lvlJc w:val="left"/>
      <w:lvlText w:val="(%1)"/>
      <w:numFmt w:val="lowerLetter"/>
      <w:start w:val="1"/>
    </w:lvl>
  </w:abstractNum>
  <w:abstractNum w:abstractNumId="16">
    <w:nsid w:val="737B8DDC"/>
    <w:multiLevelType w:val="hybridMultilevel"/>
    <w:lvl w:ilvl="0">
      <w:lvlJc w:val="left"/>
      <w:lvlText w:val="(%1)"/>
      <w:numFmt w:val="lowerLetter"/>
      <w:start w:val="1"/>
    </w:lvl>
  </w:abstractNum>
  <w:abstractNum w:abstractNumId="17">
    <w:nsid w:val="6CEAF087"/>
    <w:multiLevelType w:val="hybridMultilevel"/>
    <w:lvl w:ilvl="0">
      <w:lvlJc w:val="left"/>
      <w:lvlText w:val="(%1)"/>
      <w:numFmt w:val="lowerLetter"/>
      <w:start w:val="1"/>
    </w:lvl>
  </w:abstractNum>
  <w:abstractNum w:abstractNumId="18">
    <w:nsid w:val="22221A70"/>
    <w:multiLevelType w:val="hybridMultilevel"/>
    <w:lvl w:ilvl="0">
      <w:lvlJc w:val="left"/>
      <w:lvlText w:val="(%1)"/>
      <w:numFmt w:val="lowerLetter"/>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1)"/>
      <w:numFmt w:val="lowerLetter"/>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lvl w:ilvl="1">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1)"/>
      <w:numFmt w:val="lowerLetter"/>
      <w:start w:val="1"/>
    </w:lvl>
  </w:abstractNum>
  <w:abstractNum w:abstractNumId="39">
    <w:nsid w:val="2A487CB0"/>
    <w:multiLevelType w:val="hybridMultilevel"/>
    <w:lvl w:ilvl="0">
      <w:lvlJc w:val="left"/>
      <w:lvlText w:val="(%1)"/>
      <w:numFmt w:val="lowerLetter"/>
      <w:start w:val="1"/>
    </w:lvl>
  </w:abstractNum>
  <w:abstractNum w:abstractNumId="40">
    <w:nsid w:val="1D4ED43B"/>
    <w:multiLevelType w:val="hybridMultilevel"/>
    <w:lvl w:ilvl="0">
      <w:lvlJc w:val="left"/>
      <w:lvlText w:val="%1"/>
      <w:numFmt w:val="decimal"/>
      <w:start w:val="32"/>
    </w:lvl>
  </w:abstractNum>
  <w:abstractNum w:abstractNumId="41">
    <w:nsid w:val="725A06FB"/>
    <w:multiLevelType w:val="hybridMultilevel"/>
    <w:lvl w:ilvl="0">
      <w:lvlJc w:val="left"/>
      <w:lvlText w:val="%1"/>
      <w:numFmt w:val="decimal"/>
      <w:start w:val="101"/>
    </w:lvl>
  </w:abstractNum>
  <w:abstractNum w:abstractNumId="42">
    <w:nsid w:val="2CD89A32"/>
    <w:multiLevelType w:val="hybridMultilevel"/>
    <w:lvl w:ilvl="0">
      <w:lvlJc w:val="left"/>
      <w:lvlText w:val="%1"/>
      <w:numFmt w:val="decimal"/>
      <w:start w:val="104"/>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2026-04-29T05:58:28Z</dcterms:created>
  <dcterms:modified xsi:type="dcterms:W3CDTF">2026-04-29T05:58:28Z</dcterms:modified>
</cp:coreProperties>
</file>